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049C72">
      <w:bookmarkStart w:id="21" w:name="_GoBack"/>
      <w:bookmarkEnd w:id="21"/>
    </w:p>
    <w:p w14:paraId="35400049">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lang w:val="en-US" w:eastAsia="zh-CN" w:bidi="en-US"/>
        </w:rPr>
      </w:pPr>
    </w:p>
    <w:p w14:paraId="36584F84">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和田地区洛浦县市场开发建设管理中心</w:t>
      </w:r>
    </w:p>
    <w:p w14:paraId="50F4C58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项目支出绩效评价报告</w:t>
      </w:r>
    </w:p>
    <w:p w14:paraId="5D985816">
      <w:pPr>
        <w:pStyle w:val="6"/>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56EAE6DB">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62166365">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lang w:bidi="en-US"/>
        </w:rPr>
      </w:pPr>
    </w:p>
    <w:p w14:paraId="441A1865">
      <w:pPr>
        <w:pStyle w:val="6"/>
        <w:rPr>
          <w:rFonts w:hint="eastAsia" w:eastAsia="方正仿宋_GBK" w:cs="方正仿宋_GBK"/>
          <w:b/>
          <w:kern w:val="0"/>
          <w:sz w:val="32"/>
          <w:szCs w:val="32"/>
          <w:lang w:bidi="en-US"/>
        </w:rPr>
      </w:pPr>
    </w:p>
    <w:p w14:paraId="16A81D7A">
      <w:pPr>
        <w:rPr>
          <w:rFonts w:hint="eastAsia" w:eastAsia="方正仿宋_GBK" w:cs="方正仿宋_GBK"/>
          <w:b/>
          <w:kern w:val="0"/>
          <w:sz w:val="32"/>
          <w:szCs w:val="32"/>
          <w:lang w:bidi="en-US"/>
        </w:rPr>
      </w:pPr>
    </w:p>
    <w:p w14:paraId="401D1CD9">
      <w:pPr>
        <w:pStyle w:val="6"/>
        <w:rPr>
          <w:rFonts w:hint="eastAsia"/>
        </w:rPr>
      </w:pPr>
    </w:p>
    <w:p w14:paraId="660F48B1">
      <w:pPr>
        <w:pStyle w:val="6"/>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lang w:bidi="en-US"/>
        </w:rPr>
      </w:pPr>
    </w:p>
    <w:p w14:paraId="5F3D1E2C">
      <w:pPr>
        <w:pageBreakBefore w:val="0"/>
        <w:widowControl w:val="0"/>
        <w:kinsoku/>
        <w:wordWrap/>
        <w:topLinePunct w:val="0"/>
        <w:autoSpaceDE/>
        <w:autoSpaceDN/>
        <w:bidi w:val="0"/>
        <w:spacing w:line="560" w:lineRule="exact"/>
        <w:ind w:left="0" w:leftChars="0" w:firstLine="560"/>
        <w:textAlignment w:val="auto"/>
        <w:rPr>
          <w:rFonts w:hint="eastAsia"/>
        </w:rPr>
      </w:pPr>
    </w:p>
    <w:p w14:paraId="7463A8D0">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lang w:bidi="en-US"/>
        </w:rPr>
      </w:pPr>
    </w:p>
    <w:p w14:paraId="354A37FD">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w:t>
      </w:r>
      <w:r>
        <w:rPr>
          <w:rFonts w:hint="eastAsia" w:ascii="宋体" w:hAnsi="宋体" w:eastAsia="宋体" w:cs="宋体"/>
          <w:b/>
          <w:bCs/>
          <w:color w:val="000000"/>
          <w:kern w:val="0"/>
          <w:sz w:val="28"/>
          <w:szCs w:val="28"/>
          <w:highlight w:val="none"/>
          <w:lang w:eastAsia="zh-CN" w:bidi="en-US"/>
        </w:rPr>
        <w:t>2024年聘用人员工资</w:t>
      </w:r>
    </w:p>
    <w:p w14:paraId="71AFA48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洛浦县市场开发建设管理中心</w:t>
      </w:r>
    </w:p>
    <w:p w14:paraId="10F40A99">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w:t>
      </w:r>
      <w:r>
        <w:rPr>
          <w:rFonts w:hint="eastAsia" w:ascii="宋体" w:hAnsi="宋体" w:eastAsia="宋体" w:cs="宋体"/>
          <w:b/>
          <w:bCs/>
          <w:color w:val="000000"/>
          <w:kern w:val="0"/>
          <w:sz w:val="28"/>
          <w:szCs w:val="28"/>
          <w:highlight w:val="none"/>
          <w:lang w:val="en-US" w:eastAsia="zh-CN" w:bidi="en-US"/>
        </w:rPr>
        <w:t>市场监督管理局</w:t>
      </w:r>
    </w:p>
    <w:p w14:paraId="19010EDB">
      <w:pPr>
        <w:pageBreakBefore w:val="0"/>
        <w:widowControl w:val="0"/>
        <w:kinsoku/>
        <w:wordWrap/>
        <w:topLinePunct w:val="0"/>
        <w:autoSpaceDE/>
        <w:autoSpaceDN/>
        <w:bidi w:val="0"/>
        <w:spacing w:line="560" w:lineRule="exact"/>
        <w:ind w:left="0" w:leftChars="0" w:firstLine="1234" w:firstLineChars="441"/>
        <w:jc w:val="left"/>
        <w:textAlignment w:val="auto"/>
        <w:rPr>
          <w:rFonts w:hint="default"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val="en-US" w:eastAsia="zh-CN" w:bidi="en-US"/>
        </w:rPr>
        <w:t>麦麦提江·麦麦提敏</w:t>
      </w:r>
    </w:p>
    <w:p w14:paraId="50C27BDC">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31</w:t>
      </w:r>
      <w:r>
        <w:rPr>
          <w:rFonts w:hint="eastAsia" w:ascii="宋体" w:hAnsi="宋体" w:eastAsia="宋体" w:cs="宋体"/>
          <w:b/>
          <w:bCs/>
          <w:color w:val="000000"/>
          <w:kern w:val="0"/>
          <w:sz w:val="28"/>
          <w:szCs w:val="28"/>
          <w:highlight w:val="none"/>
          <w:lang w:bidi="en-US"/>
        </w:rPr>
        <w:t>日</w:t>
      </w:r>
    </w:p>
    <w:p w14:paraId="53CCCE72">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lang w:bidi="en-US"/>
        </w:rPr>
      </w:pPr>
    </w:p>
    <w:p w14:paraId="48F21311">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757E325A">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0"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0"/>
    </w:p>
    <w:p w14:paraId="1CF7FDF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23ABD64E">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促进大龄下岗失业人员和城镇就业困难人员就业再就业，根据《自治区党委、自治区人民政府贯彻落实的实施意见》(新党发[2005]16号)，结合本县实际情况在由政府、社区开发的便民利民、社会化服务、托老托幼、保洁、保安、保绿、公共设施养护等公益性岗位就业再就业并按规定享受的岗位工资补贴。</w:t>
      </w:r>
    </w:p>
    <w:p w14:paraId="24D36D4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保工资、保运转、保基本民生”涉及新疆广大干部职工和各族人民群众切身利益，事关我县各项事业发展、社会稳定和长治久安，洛浦县高度重视将其作为防风险的一项重大政治任务来抓。我单位将继续严格遵守“量力而行、分级负责、严守底线”的原则，落实逐级管理责任，积极采取有力措施，全力抓实抓好，确保本单位“保工资、保运转、保基本民生”不出问题，2024年度我单位正常运转和政府职能得以发挥。洛浦县市场开发建设管理中心2024年聘用人员人工资项目的建成必将对辖区的政治、经济、文化产生积极的影响。</w:t>
      </w:r>
    </w:p>
    <w:p w14:paraId="45411B8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洛浦县市场开发建设管理中心聘用人员人工资项目的建设（实施）是保障对聘用人员人及时发放工资，将对改善生活质量，发展区域经济有十分重要的社会意义。</w:t>
      </w:r>
    </w:p>
    <w:p w14:paraId="5F2D3D9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06E05942">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6E3E65AC">
      <w:pPr>
        <w:pStyle w:val="3"/>
        <w:bidi w:val="0"/>
        <w:spacing w:line="360" w:lineRule="auto"/>
        <w:ind w:left="0" w:leftChars="0" w:firstLine="480" w:firstLineChars="200"/>
        <w:rPr>
          <w:rFonts w:hint="eastAsia"/>
          <w:lang w:val="en-US" w:eastAsia="zh-CN"/>
        </w:rPr>
      </w:pPr>
      <w:r>
        <w:rPr>
          <w:rFonts w:hint="eastAsia" w:ascii="宋体" w:hAnsi="宋体" w:eastAsia="宋体" w:cs="宋体"/>
          <w:bCs w:val="0"/>
          <w:color w:val="auto"/>
          <w:kern w:val="0"/>
          <w:sz w:val="24"/>
          <w:szCs w:val="24"/>
          <w:lang w:val="en-US" w:eastAsia="zh-CN" w:bidi="ar-SA"/>
        </w:rPr>
        <w:t>保障我单位管辖的洛浦县昆冈夜市4名聘用人员（保安3名、司机1名）的工资，</w:t>
      </w:r>
      <w:r>
        <w:rPr>
          <w:rFonts w:hint="eastAsia" w:ascii="宋体" w:hAnsi="宋体" w:eastAsia="宋体" w:cs="宋体"/>
          <w:color w:val="auto"/>
          <w:kern w:val="0"/>
          <w:sz w:val="24"/>
          <w:szCs w:val="24"/>
          <w:lang w:val="en-US" w:eastAsia="zh-CN" w:bidi="ar-SA"/>
        </w:rPr>
        <w:t>改善聘用人员生活质量</w:t>
      </w:r>
      <w:r>
        <w:rPr>
          <w:rFonts w:hint="eastAsia" w:ascii="宋体" w:hAnsi="宋体" w:eastAsia="宋体" w:cs="宋体"/>
          <w:bCs w:val="0"/>
          <w:color w:val="auto"/>
          <w:kern w:val="0"/>
          <w:sz w:val="24"/>
          <w:szCs w:val="24"/>
          <w:lang w:val="en-US" w:eastAsia="zh-CN" w:bidi="ar-SA"/>
        </w:rPr>
        <w:t>。</w:t>
      </w:r>
    </w:p>
    <w:p w14:paraId="363E503F">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75CAD46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7A4E203C">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本项目主管部门为洛浦县市场监督管理局，实施单位为洛浦市场开发建设管理中心。</w:t>
      </w:r>
    </w:p>
    <w:p w14:paraId="6B122E08">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347AE7D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 w:val="0"/>
          <w:bCs w:val="0"/>
          <w:color w:val="FF0000"/>
          <w:sz w:val="24"/>
          <w:szCs w:val="24"/>
          <w:lang w:val="en-US" w:eastAsia="zh-CN"/>
        </w:rPr>
      </w:pPr>
      <w:r>
        <w:rPr>
          <w:rFonts w:hint="eastAsia" w:ascii="宋体" w:hAnsi="宋体" w:eastAsia="宋体" w:cs="宋体"/>
          <w:b w:val="0"/>
          <w:bCs w:val="0"/>
          <w:sz w:val="24"/>
          <w:szCs w:val="24"/>
          <w:lang w:val="en-US" w:eastAsia="zh-CN"/>
        </w:rPr>
        <w:t>2024年1月-2024年12月</w:t>
      </w:r>
    </w:p>
    <w:p w14:paraId="7A4C943F">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3521D304">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default" w:ascii="宋体" w:hAnsi="宋体" w:eastAsia="宋体" w:cs="宋体"/>
          <w:bCs w:val="0"/>
          <w:color w:val="auto"/>
          <w:kern w:val="0"/>
          <w:sz w:val="24"/>
          <w:szCs w:val="24"/>
          <w:lang w:val="en-US" w:eastAsia="zh-CN" w:bidi="ar-SA"/>
        </w:rPr>
      </w:pPr>
      <w:r>
        <w:rPr>
          <w:rFonts w:hint="eastAsia" w:ascii="宋体" w:hAnsi="宋体" w:eastAsia="宋体" w:cs="宋体"/>
          <w:bCs w:val="0"/>
          <w:color w:val="auto"/>
          <w:kern w:val="0"/>
          <w:sz w:val="24"/>
          <w:szCs w:val="24"/>
          <w:lang w:val="en-US" w:eastAsia="zh-CN" w:bidi="ar-SA"/>
        </w:rPr>
        <w:t>为了保证我单位4名聘用人员2024年1月至12月工资及社保金按时发放、提高我单位聘用人员正常生活水平、带动村民就业、提高就业率及其聘用人员工作积极性实施该项目，聘用人员人数：4人；资金使用合规率：100%；资金发放准确率：100%；项目开始时间：2024年1月;项目完成时间：2024年12月；资金拨付及时率：100%；聘用人员工资：13.06万元；保障聘用人员工作积极性：有效保障；受益群众满意度：95%。</w:t>
      </w:r>
    </w:p>
    <w:p w14:paraId="1B9E3CE8">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2482B03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28F566D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本项目预算安排总额为</w:t>
      </w:r>
      <w:r>
        <w:rPr>
          <w:rFonts w:hint="eastAsia" w:ascii="宋体" w:hAnsi="宋体" w:eastAsia="宋体" w:cs="宋体"/>
          <w:color w:val="auto"/>
          <w:sz w:val="24"/>
          <w:szCs w:val="24"/>
          <w:lang w:val="en-US" w:eastAsia="zh-CN"/>
        </w:rPr>
        <w:t>13.06万元</w:t>
      </w:r>
      <w:r>
        <w:rPr>
          <w:rFonts w:hint="eastAsia" w:ascii="宋体" w:hAnsi="宋体" w:eastAsia="宋体" w:cs="宋体"/>
          <w:color w:val="auto"/>
          <w:sz w:val="24"/>
          <w:szCs w:val="24"/>
        </w:rPr>
        <w:t>，资金来源为财政拨款，其中：财政资金</w:t>
      </w:r>
      <w:r>
        <w:rPr>
          <w:rFonts w:hint="eastAsia" w:ascii="宋体" w:hAnsi="宋体" w:eastAsia="宋体" w:cs="宋体"/>
          <w:color w:val="auto"/>
          <w:sz w:val="24"/>
          <w:szCs w:val="24"/>
          <w:lang w:val="en-US" w:eastAsia="zh-CN"/>
        </w:rPr>
        <w:t>13.06万元</w:t>
      </w:r>
      <w:r>
        <w:rPr>
          <w:rFonts w:hint="eastAsia" w:ascii="宋体" w:hAnsi="宋体" w:eastAsia="宋体" w:cs="宋体"/>
          <w:color w:val="auto"/>
          <w:sz w:val="24"/>
          <w:szCs w:val="24"/>
        </w:rPr>
        <w:t>，其他资金</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万元，202</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年实际收到预算资金</w:t>
      </w:r>
      <w:r>
        <w:rPr>
          <w:rFonts w:hint="eastAsia" w:ascii="宋体" w:hAnsi="宋体" w:eastAsia="宋体" w:cs="宋体"/>
          <w:color w:val="auto"/>
          <w:sz w:val="24"/>
          <w:szCs w:val="24"/>
          <w:lang w:val="en-US" w:eastAsia="zh-CN"/>
        </w:rPr>
        <w:t>13.06万元</w:t>
      </w:r>
      <w:r>
        <w:rPr>
          <w:rFonts w:hint="eastAsia" w:ascii="宋体" w:hAnsi="宋体" w:eastAsia="宋体" w:cs="宋体"/>
          <w:color w:val="auto"/>
          <w:sz w:val="24"/>
          <w:szCs w:val="24"/>
        </w:rPr>
        <w:t>，预算资金到位率为</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w:t>
      </w:r>
    </w:p>
    <w:p w14:paraId="2D3663B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7F19E0B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本项目实际支付资金</w:t>
      </w:r>
      <w:r>
        <w:rPr>
          <w:rFonts w:hint="eastAsia" w:ascii="宋体" w:hAnsi="宋体" w:eastAsia="宋体" w:cs="宋体"/>
          <w:color w:val="auto"/>
          <w:sz w:val="24"/>
          <w:szCs w:val="24"/>
          <w:lang w:val="en-US" w:eastAsia="zh-CN"/>
        </w:rPr>
        <w:t>13.06万元</w:t>
      </w:r>
      <w:r>
        <w:rPr>
          <w:rFonts w:hint="eastAsia" w:ascii="宋体" w:hAnsi="宋体" w:eastAsia="宋体" w:cs="宋体"/>
          <w:color w:val="auto"/>
          <w:sz w:val="24"/>
          <w:szCs w:val="24"/>
        </w:rPr>
        <w:t>，预算执行率</w:t>
      </w:r>
      <w:r>
        <w:rPr>
          <w:rFonts w:hint="eastAsia" w:ascii="宋体" w:hAnsi="宋体" w:eastAsia="宋体" w:cs="宋体"/>
          <w:color w:val="auto"/>
          <w:sz w:val="24"/>
          <w:szCs w:val="24"/>
          <w:lang w:val="en-US" w:eastAsia="zh-CN"/>
        </w:rPr>
        <w:t>100</w:t>
      </w:r>
      <w:r>
        <w:rPr>
          <w:rFonts w:hint="eastAsia" w:ascii="宋体" w:hAnsi="宋体" w:eastAsia="宋体" w:cs="宋体"/>
          <w:color w:val="auto"/>
          <w:sz w:val="24"/>
          <w:szCs w:val="24"/>
        </w:rPr>
        <w:t>%。本项目资金主要用于支付</w:t>
      </w:r>
      <w:r>
        <w:rPr>
          <w:rFonts w:hint="eastAsia" w:ascii="宋体" w:hAnsi="宋体" w:eastAsia="宋体" w:cs="宋体"/>
          <w:color w:val="auto"/>
          <w:sz w:val="24"/>
          <w:szCs w:val="24"/>
          <w:lang w:val="en-US" w:eastAsia="zh-CN"/>
        </w:rPr>
        <w:t>聘用人员工资</w:t>
      </w:r>
      <w:r>
        <w:rPr>
          <w:rFonts w:hint="eastAsia" w:ascii="宋体" w:hAnsi="宋体" w:eastAsia="宋体" w:cs="宋体"/>
          <w:color w:val="auto"/>
          <w:sz w:val="24"/>
          <w:szCs w:val="24"/>
        </w:rPr>
        <w:t>。</w:t>
      </w:r>
    </w:p>
    <w:p w14:paraId="57FE62E6">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 w:name="_Toc68364659"/>
      <w:r>
        <w:rPr>
          <w:rFonts w:hint="eastAsia" w:ascii="宋体" w:hAnsi="宋体" w:eastAsia="宋体" w:cs="宋体"/>
          <w:sz w:val="24"/>
          <w:szCs w:val="24"/>
        </w:rPr>
        <w:t>（二）项目绩效目标</w:t>
      </w:r>
      <w:bookmarkEnd w:id="1"/>
    </w:p>
    <w:p w14:paraId="5B5B8065">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项目绩效目标包括项目总</w:t>
      </w:r>
      <w:r>
        <w:rPr>
          <w:rFonts w:hint="eastAsia" w:ascii="宋体" w:hAnsi="宋体" w:eastAsia="宋体" w:cs="宋体"/>
          <w:sz w:val="24"/>
          <w:szCs w:val="24"/>
          <w:lang w:val="en-US" w:eastAsia="zh-CN"/>
        </w:rPr>
        <w:t>体</w:t>
      </w:r>
      <w:r>
        <w:rPr>
          <w:rFonts w:hint="eastAsia" w:ascii="宋体" w:hAnsi="宋体" w:eastAsia="宋体" w:cs="宋体"/>
          <w:sz w:val="24"/>
          <w:szCs w:val="24"/>
        </w:rPr>
        <w:t>目标和阶段性目标。</w:t>
      </w:r>
    </w:p>
    <w:p w14:paraId="3C34D692">
      <w:pPr>
        <w:pStyle w:val="45"/>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1.总</w:t>
      </w:r>
      <w:r>
        <w:rPr>
          <w:rFonts w:hint="eastAsia" w:ascii="宋体" w:hAnsi="宋体" w:eastAsia="宋体" w:cs="宋体"/>
          <w:b/>
          <w:bCs/>
          <w:sz w:val="24"/>
          <w:szCs w:val="24"/>
          <w:lang w:val="en-US" w:eastAsia="zh-CN"/>
        </w:rPr>
        <w:t>体</w:t>
      </w:r>
      <w:r>
        <w:rPr>
          <w:rFonts w:hint="eastAsia" w:ascii="宋体" w:hAnsi="宋体" w:eastAsia="宋体" w:cs="宋体"/>
          <w:b/>
          <w:bCs/>
          <w:sz w:val="24"/>
          <w:szCs w:val="24"/>
        </w:rPr>
        <w:t>目标</w:t>
      </w:r>
    </w:p>
    <w:p w14:paraId="72966851">
      <w:pPr>
        <w:pStyle w:val="45"/>
        <w:pageBreakBefore w:val="0"/>
        <w:widowControl w:val="0"/>
        <w:kinsoku/>
        <w:wordWrap/>
        <w:overflowPunct/>
        <w:topLinePunct w:val="0"/>
        <w:autoSpaceDE/>
        <w:autoSpaceDN/>
        <w:bidi w:val="0"/>
        <w:adjustRightInd/>
        <w:snapToGrid/>
        <w:spacing w:line="360" w:lineRule="auto"/>
        <w:jc w:val="both"/>
        <w:textAlignment w:val="auto"/>
        <w:outlineLvl w:val="2"/>
        <w:rPr>
          <w:rFonts w:hint="eastAsia" w:ascii="宋体" w:hAnsi="宋体" w:eastAsia="宋体" w:cs="宋体"/>
          <w:color w:val="FF0000"/>
          <w:sz w:val="24"/>
          <w:szCs w:val="24"/>
        </w:rPr>
      </w:pPr>
      <w:r>
        <w:rPr>
          <w:rFonts w:hint="eastAsia" w:ascii="宋体" w:hAnsi="宋体" w:eastAsia="宋体" w:cs="宋体"/>
          <w:color w:val="auto"/>
          <w:sz w:val="24"/>
          <w:szCs w:val="24"/>
        </w:rPr>
        <w:t>保证我单位4名安保人员2024年1月至12月工资及社保金按时发放，提高我单位安保人员正常生活水平，带动村民就业、提高就业率及其安保人员工作积极性。</w:t>
      </w:r>
    </w:p>
    <w:p w14:paraId="4C8E46E2">
      <w:pPr>
        <w:pStyle w:val="45"/>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阶段性目标</w:t>
      </w:r>
    </w:p>
    <w:p w14:paraId="0B8FE7E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bookmarkStart w:id="2" w:name="_Toc68364660"/>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18B1B5D2">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6AFE1E0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136D61E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指标1：安保人员配置数量，预期指标值≥4人；</w:t>
      </w:r>
    </w:p>
    <w:p w14:paraId="3864798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2）质量指标：</w:t>
      </w:r>
    </w:p>
    <w:p w14:paraId="1FF04D5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指标1：资金使用合规率，预期指标值=100%；</w:t>
      </w:r>
    </w:p>
    <w:p w14:paraId="0C32479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000000"/>
          <w:sz w:val="24"/>
          <w:szCs w:val="24"/>
          <w:highlight w:val="none"/>
          <w:lang w:val="en-US" w:eastAsia="zh-CN"/>
        </w:rPr>
        <w:t>指标2：资金发放准确率，预期指标值=100%；</w:t>
      </w:r>
    </w:p>
    <w:p w14:paraId="3051A57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3）时效指标：</w:t>
      </w:r>
    </w:p>
    <w:p w14:paraId="083A362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指标1：项目开始时间，预期指标值2023年5月；</w:t>
      </w:r>
    </w:p>
    <w:p w14:paraId="66236C7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指标2：项目完工时间，预期指标值2024年8月；</w:t>
      </w:r>
    </w:p>
    <w:p w14:paraId="2D7FCE4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指标3：资金拨付及时率，预期指标值=100%；</w:t>
      </w:r>
    </w:p>
    <w:p w14:paraId="6A80C70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（2）成本指标：</w:t>
      </w:r>
    </w:p>
    <w:p w14:paraId="257E7CD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21739EA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指标1：聘用人员工资，预期指标值≤13.06万元；</w:t>
      </w:r>
    </w:p>
    <w:p w14:paraId="1C65701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4FECE76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该项目无社会成本指标；</w:t>
      </w:r>
    </w:p>
    <w:p w14:paraId="38B6640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142AF60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该项目无生态成本指标；</w:t>
      </w:r>
    </w:p>
    <w:p w14:paraId="1A885D3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（3）效益指标</w:t>
      </w:r>
    </w:p>
    <w:p w14:paraId="4DF6DA2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1）经济效益指标：</w:t>
      </w:r>
    </w:p>
    <w:p w14:paraId="36BE788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该项目无经济效益指标；</w:t>
      </w:r>
    </w:p>
    <w:p w14:paraId="3CC26C89">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2）社会效益指标：</w:t>
      </w:r>
    </w:p>
    <w:p w14:paraId="59E40856">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指标1：保障聘用人员工作积极性，预期指标值为有效保障；</w:t>
      </w:r>
    </w:p>
    <w:p w14:paraId="6745C4F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3）生态效益指标：</w:t>
      </w:r>
    </w:p>
    <w:p w14:paraId="4A3A46C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该项目无生态效益指标；</w:t>
      </w:r>
    </w:p>
    <w:p w14:paraId="270E978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（4）服务对象满意度指标：</w:t>
      </w:r>
    </w:p>
    <w:p w14:paraId="1C6626D8">
      <w:pPr>
        <w:pStyle w:val="45"/>
        <w:pageBreakBefore w:val="0"/>
        <w:widowControl w:val="0"/>
        <w:numPr>
          <w:ilvl w:val="0"/>
          <w:numId w:val="0"/>
        </w:numPr>
        <w:kinsoku/>
        <w:wordWrap/>
        <w:overflowPunct/>
        <w:topLinePunct w:val="0"/>
        <w:autoSpaceDE/>
        <w:autoSpaceDN/>
        <w:bidi w:val="0"/>
        <w:adjustRightInd/>
        <w:snapToGrid/>
        <w:spacing w:line="360" w:lineRule="auto"/>
        <w:ind w:left="560" w:leftChars="200"/>
        <w:jc w:val="both"/>
        <w:textAlignment w:val="auto"/>
        <w:outlineLvl w:val="2"/>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指标1：受益聘用人员满意度，预期指标值≥95%。</w:t>
      </w:r>
      <w:bookmarkEnd w:id="2"/>
    </w:p>
    <w:p w14:paraId="262827EF">
      <w:pPr>
        <w:pStyle w:val="4"/>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二、绩效评价工作开展情况</w:t>
      </w:r>
    </w:p>
    <w:p w14:paraId="71CD19F2">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3" w:name="_Toc68364661"/>
      <w:r>
        <w:rPr>
          <w:rFonts w:hint="eastAsia" w:ascii="宋体" w:hAnsi="宋体" w:eastAsia="宋体" w:cs="宋体"/>
          <w:color w:val="000000"/>
          <w:sz w:val="24"/>
          <w:szCs w:val="24"/>
          <w:highlight w:val="none"/>
        </w:rPr>
        <w:t>（一）绩效评价目的、对象和范围</w:t>
      </w:r>
      <w:bookmarkEnd w:id="3"/>
    </w:p>
    <w:p w14:paraId="6C1DBBC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1.绩效评价目的</w:t>
      </w:r>
    </w:p>
    <w:p w14:paraId="25827AA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本次绩效评价遵循财政部《项目支出绩效评价管理办法》（财预〔2020〕10号）《自治区财政支出绩效评价管理暂行办法》（新财预〔2018〕189号）</w:t>
      </w:r>
      <w:r>
        <w:rPr>
          <w:rFonts w:hint="eastAsia" w:ascii="宋体" w:hAnsi="宋体" w:eastAsia="宋体" w:cs="宋体"/>
          <w:sz w:val="24"/>
          <w:szCs w:val="24"/>
          <w:lang w:val="en-US" w:eastAsia="zh-CN"/>
        </w:rPr>
        <w:t>及</w:t>
      </w:r>
      <w:r>
        <w:rPr>
          <w:rFonts w:hint="eastAsia" w:ascii="宋体" w:hAnsi="宋体" w:eastAsia="宋体" w:cs="宋体"/>
          <w:sz w:val="24"/>
          <w:szCs w:val="24"/>
        </w:rPr>
        <w:t>自治区财政厅《关于印发〈自治区项目支出绩效目标设置指引〉的通知》（新财预〔2022〕42号）</w:t>
      </w:r>
      <w:r>
        <w:rPr>
          <w:rFonts w:hint="eastAsia" w:ascii="宋体" w:hAnsi="宋体" w:eastAsia="宋体" w:cs="宋体"/>
          <w:sz w:val="24"/>
          <w:szCs w:val="24"/>
          <w:highlight w:val="none"/>
        </w:rPr>
        <w:t>等相关政策文件与规</w:t>
      </w:r>
      <w:r>
        <w:rPr>
          <w:rFonts w:hint="eastAsia" w:ascii="宋体" w:hAnsi="宋体" w:eastAsia="宋体" w:cs="宋体"/>
          <w:sz w:val="24"/>
          <w:szCs w:val="24"/>
        </w:rPr>
        <w:t>定，对</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w:t>
      </w:r>
      <w:r>
        <w:rPr>
          <w:rFonts w:hint="eastAsia" w:ascii="宋体" w:hAnsi="宋体" w:eastAsia="宋体" w:cs="宋体"/>
          <w:color w:val="auto"/>
          <w:sz w:val="24"/>
          <w:szCs w:val="24"/>
        </w:rPr>
        <w:t>目</w:t>
      </w:r>
      <w:r>
        <w:rPr>
          <w:rFonts w:hint="eastAsia" w:ascii="宋体" w:hAnsi="宋体" w:eastAsia="宋体" w:cs="宋体"/>
          <w:sz w:val="24"/>
          <w:szCs w:val="24"/>
        </w:rPr>
        <w:t>开展本次部门项目支出绩效评价工作。全面了解</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项目预算编制合理性、资金使用合规性、项目管理的规范性、项目目标的实现情况、服务对象的满意度等项目实施前期、过程及</w:t>
      </w:r>
      <w:r>
        <w:rPr>
          <w:rFonts w:hint="eastAsia" w:ascii="宋体" w:hAnsi="宋体" w:eastAsia="宋体" w:cs="宋体"/>
          <w:sz w:val="24"/>
          <w:szCs w:val="24"/>
          <w:lang w:val="en-US" w:eastAsia="zh-CN"/>
        </w:rPr>
        <w:t>实施</w:t>
      </w:r>
      <w:r>
        <w:rPr>
          <w:rFonts w:hint="eastAsia" w:ascii="宋体" w:hAnsi="宋体" w:eastAsia="宋体" w:cs="宋体"/>
          <w:sz w:val="24"/>
          <w:szCs w:val="24"/>
        </w:rPr>
        <w:t>效果</w:t>
      </w:r>
      <w:r>
        <w:rPr>
          <w:rFonts w:hint="eastAsia" w:ascii="宋体" w:hAnsi="宋体" w:eastAsia="宋体" w:cs="宋体"/>
          <w:sz w:val="24"/>
          <w:szCs w:val="24"/>
          <w:lang w:val="en-US" w:eastAsia="zh-CN"/>
        </w:rPr>
        <w:t>情况。</w:t>
      </w:r>
    </w:p>
    <w:p w14:paraId="407275F0">
      <w:pPr>
        <w:pStyle w:val="45"/>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0B82A2BB">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02A7BBCF">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方正仿宋_GBK" w:hAnsi="方正仿宋_GBK" w:eastAsia="方正仿宋_GBK" w:cs="方正仿宋_GBK"/>
          <w:b/>
          <w:bCs/>
          <w:color w:val="auto"/>
          <w:sz w:val="32"/>
          <w:szCs w:val="32"/>
          <w:highlight w:val="none"/>
        </w:rPr>
      </w:pPr>
      <w:r>
        <w:rPr>
          <w:rFonts w:hint="eastAsia" w:ascii="宋体" w:hAnsi="宋体" w:eastAsia="宋体" w:cs="宋体"/>
          <w:sz w:val="24"/>
          <w:szCs w:val="24"/>
          <w:lang w:val="en-US" w:eastAsia="zh-CN"/>
        </w:rPr>
        <w:t>同时，通过部门项目支出绩效评价，可促进本单位发现预算项目管理中的问题、总结经验、改进工作，以提高</w:t>
      </w:r>
      <w:r>
        <w:rPr>
          <w:rFonts w:hint="eastAsia" w:ascii="宋体" w:hAnsi="宋体" w:eastAsia="宋体" w:cs="宋体"/>
          <w:sz w:val="24"/>
          <w:szCs w:val="24"/>
        </w:rPr>
        <w:t>财政预算资金使用的效率及效益。</w:t>
      </w:r>
    </w:p>
    <w:p w14:paraId="3827EB6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B8C92C9">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64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此</w:t>
      </w:r>
      <w:r>
        <w:rPr>
          <w:rFonts w:hint="eastAsia" w:ascii="宋体" w:hAnsi="宋体" w:eastAsia="宋体" w:cs="宋体"/>
          <w:color w:val="auto"/>
          <w:sz w:val="24"/>
          <w:szCs w:val="24"/>
          <w:highlight w:val="none"/>
        </w:rPr>
        <w:t>次绩效评价遵循财政部《项目支出绩效评价管理办法》（财预〔2020〕10号）和《自治区财政支出绩效评价管理暂行办法》（新财预〔2018〕189号）等政策文件规定</w:t>
      </w:r>
      <w:r>
        <w:rPr>
          <w:rFonts w:hint="eastAsia" w:ascii="宋体" w:hAnsi="宋体" w:eastAsia="宋体" w:cs="宋体"/>
          <w:sz w:val="24"/>
          <w:szCs w:val="24"/>
        </w:rPr>
        <w:t>，以</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项目为</w:t>
      </w:r>
      <w:r>
        <w:rPr>
          <w:rFonts w:hint="eastAsia" w:ascii="宋体" w:hAnsi="宋体" w:eastAsia="宋体" w:cs="宋体"/>
          <w:sz w:val="24"/>
          <w:szCs w:val="24"/>
          <w:lang w:val="en-US" w:eastAsia="zh-CN"/>
        </w:rPr>
        <w:t>评价</w:t>
      </w:r>
      <w:r>
        <w:rPr>
          <w:rFonts w:hint="eastAsia" w:ascii="宋体" w:hAnsi="宋体" w:eastAsia="宋体" w:cs="宋体"/>
          <w:sz w:val="24"/>
          <w:szCs w:val="24"/>
        </w:rPr>
        <w:t>对象</w:t>
      </w:r>
      <w:r>
        <w:rPr>
          <w:rFonts w:hint="eastAsia" w:ascii="宋体" w:hAnsi="宋体" w:eastAsia="宋体" w:cs="宋体"/>
          <w:sz w:val="24"/>
          <w:szCs w:val="24"/>
          <w:lang w:eastAsia="zh-CN"/>
        </w:rPr>
        <w:t>，</w:t>
      </w:r>
      <w:r>
        <w:rPr>
          <w:rFonts w:hint="eastAsia" w:ascii="宋体" w:hAnsi="宋体" w:eastAsia="宋体" w:cs="宋体"/>
          <w:sz w:val="24"/>
          <w:szCs w:val="24"/>
        </w:rPr>
        <w:t>对该项目决策、</w:t>
      </w:r>
      <w:r>
        <w:rPr>
          <w:rFonts w:hint="eastAsia" w:ascii="宋体" w:hAnsi="宋体" w:eastAsia="宋体" w:cs="宋体"/>
          <w:sz w:val="24"/>
          <w:szCs w:val="24"/>
          <w:lang w:val="en-US" w:eastAsia="zh-CN"/>
        </w:rPr>
        <w:t>项目资</w:t>
      </w:r>
      <w:r>
        <w:rPr>
          <w:rFonts w:hint="eastAsia" w:ascii="宋体" w:hAnsi="宋体" w:eastAsia="宋体" w:cs="宋体"/>
          <w:color w:val="auto"/>
          <w:sz w:val="24"/>
          <w:szCs w:val="24"/>
          <w:highlight w:val="none"/>
          <w:lang w:val="en-US" w:eastAsia="zh-CN"/>
        </w:rPr>
        <w:t>金管理、项目实施</w:t>
      </w:r>
      <w:r>
        <w:rPr>
          <w:rFonts w:hint="eastAsia" w:ascii="宋体" w:hAnsi="宋体" w:eastAsia="宋体" w:cs="宋体"/>
          <w:color w:val="auto"/>
          <w:sz w:val="24"/>
          <w:szCs w:val="24"/>
          <w:highlight w:val="none"/>
        </w:rPr>
        <w:t>过程</w:t>
      </w:r>
      <w:r>
        <w:rPr>
          <w:rFonts w:hint="eastAsia" w:ascii="宋体" w:hAnsi="宋体" w:eastAsia="宋体" w:cs="宋体"/>
          <w:color w:val="auto"/>
          <w:sz w:val="24"/>
          <w:szCs w:val="24"/>
          <w:highlight w:val="none"/>
          <w:lang w:val="en-US" w:eastAsia="zh-CN"/>
        </w:rPr>
        <w:t>管理</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rPr>
        <w:t>项目实施所带来的产出和效果</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内容，</w:t>
      </w:r>
      <w:r>
        <w:rPr>
          <w:rFonts w:hint="eastAsia" w:ascii="宋体" w:hAnsi="宋体" w:eastAsia="宋体" w:cs="宋体"/>
          <w:color w:val="auto"/>
          <w:sz w:val="24"/>
          <w:szCs w:val="24"/>
          <w:highlight w:val="none"/>
          <w:lang w:val="en-US" w:eastAsia="zh-CN"/>
        </w:rPr>
        <w:t>进行综合评价。</w:t>
      </w:r>
    </w:p>
    <w:p w14:paraId="0B9A577C">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rPr>
      </w:pPr>
      <w:r>
        <w:rPr>
          <w:rFonts w:hint="eastAsia" w:ascii="宋体" w:hAnsi="宋体" w:eastAsia="宋体" w:cs="宋体"/>
          <w:b/>
          <w:bCs/>
          <w:sz w:val="24"/>
          <w:szCs w:val="24"/>
        </w:rPr>
        <w:t>3.绩效评价范围</w:t>
      </w:r>
    </w:p>
    <w:p w14:paraId="557FDBA5">
      <w:pPr>
        <w:pStyle w:val="45"/>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本次绩效评价主要围绕</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项目决策、项目资金管理、项目实施过程管理，以及项目实施所带来的产出和效果等内容，进行综合评价。范围涵盖项目总体绩效目标、各项绩效指标完成情况以及预算执行情况</w:t>
      </w:r>
      <w:bookmarkStart w:id="4" w:name="_Toc68364662"/>
      <w:r>
        <w:rPr>
          <w:rFonts w:hint="eastAsia" w:ascii="宋体" w:hAnsi="宋体" w:eastAsia="宋体" w:cs="宋体"/>
          <w:sz w:val="24"/>
          <w:szCs w:val="24"/>
          <w:lang w:eastAsia="zh-CN"/>
        </w:rPr>
        <w:t>，</w:t>
      </w:r>
      <w:r>
        <w:rPr>
          <w:rFonts w:hint="eastAsia" w:ascii="宋体" w:hAnsi="宋体" w:eastAsia="宋体" w:cs="宋体"/>
          <w:sz w:val="24"/>
          <w:szCs w:val="24"/>
        </w:rPr>
        <w:t>覆盖预算资金支出项目的所有内容进行评价。</w:t>
      </w:r>
    </w:p>
    <w:p w14:paraId="5844B207">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（二）绩效评价原则、评价指标体系、评价方法评价标准</w:t>
      </w:r>
      <w:bookmarkEnd w:id="4"/>
    </w:p>
    <w:p w14:paraId="4A62739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1.绩效评价原则</w:t>
      </w:r>
    </w:p>
    <w:p w14:paraId="1B954E74">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2B8FC75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（1）科学公正。绩效评价应当运用科学合理的方法，按照规范的程序，对项目绩效进行客观、公正的反映。</w:t>
      </w:r>
    </w:p>
    <w:p w14:paraId="4D30BCA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35D8B142">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（3）激励约束。绩效评价结果应与预算安排、政策调整、改进管理实质性挂钩，体现奖优罚劣和激励相容导向，有效要安排、低效要压减、无效要问责。</w:t>
      </w:r>
    </w:p>
    <w:p w14:paraId="1AF9CEE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（4）公开透明。绩效评价结果应依法依规公开，并自觉接受社会监督。</w:t>
      </w:r>
    </w:p>
    <w:p w14:paraId="4DB92C5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rPr>
      </w:pPr>
      <w:r>
        <w:rPr>
          <w:rFonts w:hint="eastAsia" w:ascii="宋体" w:hAnsi="宋体" w:eastAsia="宋体" w:cs="宋体"/>
          <w:sz w:val="24"/>
          <w:szCs w:val="24"/>
        </w:rPr>
        <w:t>根据以上原则，绩效评价应遵循如下要求:</w:t>
      </w:r>
    </w:p>
    <w:p w14:paraId="3B4DED05">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6A0F3968">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421DBF3F">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580A4583">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2.绩效评价指标体系</w:t>
      </w:r>
    </w:p>
    <w:p w14:paraId="4CA16E2D">
      <w:pPr>
        <w:pStyle w:val="45"/>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rPr>
      </w:pPr>
      <w:r>
        <w:rPr>
          <w:rFonts w:hint="eastAsia" w:ascii="宋体" w:hAnsi="宋体" w:eastAsia="宋体" w:cs="宋体"/>
          <w:sz w:val="24"/>
          <w:szCs w:val="24"/>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lang w:val="en-US" w:eastAsia="zh-CN"/>
        </w:rPr>
        <w:t>2</w:t>
      </w:r>
      <w:r>
        <w:rPr>
          <w:rFonts w:hint="eastAsia" w:ascii="宋体" w:hAnsi="宋体" w:eastAsia="宋体" w:cs="宋体"/>
          <w:sz w:val="24"/>
          <w:szCs w:val="24"/>
        </w:rPr>
        <w:t>个二级指标。项目绩效评价体系</w:t>
      </w:r>
      <w:r>
        <w:rPr>
          <w:rFonts w:hint="eastAsia" w:ascii="宋体" w:hAnsi="宋体" w:eastAsia="宋体" w:cs="宋体"/>
          <w:sz w:val="24"/>
          <w:szCs w:val="24"/>
          <w:lang w:eastAsia="zh-CN"/>
        </w:rPr>
        <w:t>。</w:t>
      </w:r>
      <w:r>
        <w:rPr>
          <w:rFonts w:hint="eastAsia" w:ascii="宋体" w:hAnsi="宋体" w:eastAsia="宋体" w:cs="宋体"/>
          <w:sz w:val="24"/>
          <w:szCs w:val="24"/>
        </w:rPr>
        <w:t>详细指标体系见“附件1：项目支出绩效评价体系”。</w:t>
      </w:r>
    </w:p>
    <w:p w14:paraId="1991FF8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3.绩效评价方法</w:t>
      </w:r>
    </w:p>
    <w:p w14:paraId="0115250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5EC15FD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lang w:val="en-US" w:eastAsia="zh-CN"/>
        </w:rPr>
        <w:t>具体</w:t>
      </w:r>
      <w:r>
        <w:rPr>
          <w:rFonts w:hint="eastAsia" w:ascii="宋体" w:hAnsi="宋体" w:eastAsia="宋体" w:cs="宋体"/>
          <w:b w:val="0"/>
          <w:bCs/>
          <w:sz w:val="24"/>
          <w:szCs w:val="24"/>
        </w:rPr>
        <w:t>评价方法的应用如下:</w:t>
      </w:r>
    </w:p>
    <w:p w14:paraId="27DFEFE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立项依据充分性：比较法、文献法，查找法律法规政策以及规划，对比实际执行内容和政策支持内容是否匹配。</w:t>
      </w:r>
    </w:p>
    <w:p w14:paraId="3CE5C66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立项程序规范性：比较法、文献法，查找相关项目设立的政策和文件要求，对比分析实际执行程序是否按照政策及文件要求执行，分析立项程序的规范性。</w:t>
      </w:r>
    </w:p>
    <w:p w14:paraId="2D328595">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绩效目标合理性：比较法，对比分析年初编制项目支出绩效目标表与项目内容的相关性、资金的匹配性等。</w:t>
      </w:r>
    </w:p>
    <w:p w14:paraId="010E4AF9">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绩效指标明确性：比较法，比较分析年初编制项目支出绩效目标表是否符合双七原则，是否可衡量。</w:t>
      </w:r>
    </w:p>
    <w:p w14:paraId="4EBC3EA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预算编制科学性</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成本效益分析法</w:t>
      </w:r>
      <w:r>
        <w:rPr>
          <w:rFonts w:hint="eastAsia" w:ascii="宋体" w:hAnsi="宋体" w:eastAsia="宋体" w:cs="宋体"/>
          <w:b w:val="0"/>
          <w:bCs/>
          <w:sz w:val="24"/>
          <w:szCs w:val="24"/>
          <w:lang w:eastAsia="zh-CN"/>
        </w:rPr>
        <w:t>，</w:t>
      </w:r>
      <w:r>
        <w:rPr>
          <w:rFonts w:hint="eastAsia" w:ascii="宋体" w:hAnsi="宋体" w:eastAsia="宋体" w:cs="宋体"/>
          <w:b w:val="0"/>
          <w:bCs/>
          <w:sz w:val="24"/>
          <w:szCs w:val="24"/>
        </w:rPr>
        <w:t>分析在产出一定的情况下，成本取值是否有依据，是否经过询价，是否按照市场最低成本编制。</w:t>
      </w:r>
    </w:p>
    <w:p w14:paraId="21B337D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lang w:eastAsia="zh-CN"/>
        </w:rPr>
      </w:pPr>
      <w:r>
        <w:rPr>
          <w:rFonts w:hint="eastAsia" w:ascii="宋体" w:hAnsi="宋体" w:eastAsia="宋体" w:cs="宋体"/>
          <w:b w:val="0"/>
          <w:bCs/>
          <w:sz w:val="24"/>
          <w:szCs w:val="24"/>
        </w:rPr>
        <w:t>资金分配合理性：因素分析法，综合分析资金的分配依据是否充分，分配金额是否与项目实施单位需求金额一致</w:t>
      </w:r>
      <w:r>
        <w:rPr>
          <w:rFonts w:hint="eastAsia" w:ascii="宋体" w:hAnsi="宋体" w:eastAsia="宋体" w:cs="宋体"/>
          <w:b w:val="0"/>
          <w:bCs/>
          <w:sz w:val="24"/>
          <w:szCs w:val="24"/>
          <w:lang w:eastAsia="zh-CN"/>
        </w:rPr>
        <w:t>。</w:t>
      </w:r>
    </w:p>
    <w:p w14:paraId="4A2D303E">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资金到位率：比较法，资金到位率预期指标值应为100%，通过实际计算，分析实际完成值和预期指标值之间的差距和原因。</w:t>
      </w:r>
    </w:p>
    <w:p w14:paraId="07342DB6">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预算执行率：比较法，预算执行率预期指标值应为100%，通过实际计算，分析实际完成值和预期指标值之间的差距和原因。</w:t>
      </w:r>
    </w:p>
    <w:p w14:paraId="72CA67A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资金使用合规性：文献法、实地勘察法，一是查找资金管理办法，包括专项资金管理办法和单位自有资金管理办法；二是通过查账了解具体开支情况，是否专用专用，是否按照标准支出。</w:t>
      </w:r>
    </w:p>
    <w:p w14:paraId="2EB25BC1">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管理制度健全性：文献法、比较法，查阅项目实施人员提供的财务和业务管理制度，将已建立的制度与现行的法律法规和政策要求进行对比，分析项目制度的合法性、合规性、完整性。</w:t>
      </w:r>
    </w:p>
    <w:p w14:paraId="574DC570">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制度执行有效性：比较法，结合项目实际实施过程性文件，根据已建设的财务管理制度和项目管理制度综合分析制度执行的有效性。</w:t>
      </w:r>
    </w:p>
    <w:p w14:paraId="5F38FDCF">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330E940A">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rPr>
      </w:pPr>
      <w:r>
        <w:rPr>
          <w:rFonts w:hint="eastAsia" w:ascii="宋体" w:hAnsi="宋体" w:eastAsia="宋体" w:cs="宋体"/>
          <w:b w:val="0"/>
          <w:bCs/>
          <w:sz w:val="24"/>
          <w:szCs w:val="24"/>
        </w:rPr>
        <w:t>定性指标：公众评判法，通过问卷及抽样调查等方式评价本项目实施后社会公众对于其实施效果的满意程度。</w:t>
      </w:r>
    </w:p>
    <w:p w14:paraId="1C80CB0D">
      <w:pPr>
        <w:pStyle w:val="45"/>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rPr>
      </w:pPr>
      <w:r>
        <w:rPr>
          <w:rFonts w:hint="eastAsia" w:ascii="宋体" w:hAnsi="宋体" w:eastAsia="宋体" w:cs="宋体"/>
          <w:b/>
          <w:bCs/>
          <w:sz w:val="24"/>
          <w:szCs w:val="24"/>
        </w:rPr>
        <w:t>4.绩效评价标准</w:t>
      </w:r>
    </w:p>
    <w:p w14:paraId="4CB3B04C">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rPr>
      </w:pPr>
      <w:bookmarkStart w:id="5" w:name="_Toc68364663"/>
      <w:r>
        <w:rPr>
          <w:rFonts w:hint="eastAsia" w:ascii="宋体" w:hAnsi="宋体" w:eastAsia="宋体" w:cs="宋体"/>
          <w:sz w:val="24"/>
          <w:szCs w:val="24"/>
        </w:rPr>
        <w:t>绩效评价标准通常包括计划标准、行业标准、历史标准等，用于对绩效指标完成情况进行比较、分析、评价。本次评价主要采用了计划标准标准。</w:t>
      </w:r>
    </w:p>
    <w:p w14:paraId="7459BD75">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6" w:name="_Toc31464"/>
      <w:bookmarkStart w:id="7" w:name="_Toc17882"/>
      <w:r>
        <w:rPr>
          <w:rFonts w:hint="eastAsia" w:ascii="宋体" w:hAnsi="宋体" w:eastAsia="宋体" w:cs="宋体"/>
          <w:b/>
          <w:bCs/>
          <w:sz w:val="24"/>
          <w:szCs w:val="24"/>
        </w:rPr>
        <w:t>计划标准：</w:t>
      </w:r>
      <w:r>
        <w:rPr>
          <w:rFonts w:hint="eastAsia" w:ascii="宋体" w:hAnsi="宋体" w:eastAsia="宋体" w:cs="宋体"/>
          <w:sz w:val="24"/>
          <w:szCs w:val="24"/>
        </w:rPr>
        <w:t>指以预先制定的目标、计划、预算、定额等作为评价标准。</w:t>
      </w:r>
      <w:bookmarkEnd w:id="6"/>
      <w:bookmarkEnd w:id="7"/>
    </w:p>
    <w:p w14:paraId="1ECB8EF2">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8" w:name="_Toc2318"/>
      <w:bookmarkStart w:id="9" w:name="_Toc5633"/>
      <w:r>
        <w:rPr>
          <w:rFonts w:hint="eastAsia" w:ascii="宋体" w:hAnsi="宋体" w:eastAsia="宋体" w:cs="宋体"/>
          <w:b/>
          <w:bCs/>
          <w:sz w:val="24"/>
          <w:szCs w:val="24"/>
        </w:rPr>
        <w:t>行业标准：</w:t>
      </w:r>
      <w:r>
        <w:rPr>
          <w:rFonts w:hint="eastAsia" w:ascii="宋体" w:hAnsi="宋体" w:eastAsia="宋体" w:cs="宋体"/>
          <w:sz w:val="24"/>
          <w:szCs w:val="24"/>
        </w:rPr>
        <w:t>指参照国家公布的行业指标数据制定的评价标准。</w:t>
      </w:r>
      <w:bookmarkEnd w:id="8"/>
      <w:bookmarkEnd w:id="9"/>
    </w:p>
    <w:p w14:paraId="6F546FF8">
      <w:pPr>
        <w:pageBreakBefore w:val="0"/>
        <w:widowControl w:val="0"/>
        <w:kinsoku/>
        <w:wordWrap/>
        <w:overflowPunct/>
        <w:topLinePunct w:val="0"/>
        <w:autoSpaceDE/>
        <w:autoSpaceDN/>
        <w:bidi w:val="0"/>
        <w:adjustRightInd/>
        <w:snapToGrid/>
        <w:spacing w:line="360" w:lineRule="auto"/>
        <w:ind w:left="0" w:leftChars="0" w:firstLine="643"/>
        <w:textAlignment w:val="auto"/>
        <w:rPr>
          <w:rFonts w:hint="eastAsia" w:ascii="宋体" w:hAnsi="宋体" w:eastAsia="宋体" w:cs="宋体"/>
          <w:sz w:val="24"/>
          <w:szCs w:val="24"/>
        </w:rPr>
      </w:pPr>
      <w:bookmarkStart w:id="10" w:name="_Toc430"/>
      <w:bookmarkStart w:id="11" w:name="_Toc16028"/>
      <w:r>
        <w:rPr>
          <w:rFonts w:hint="eastAsia" w:ascii="宋体" w:hAnsi="宋体" w:eastAsia="宋体" w:cs="宋体"/>
          <w:b/>
          <w:bCs/>
          <w:sz w:val="24"/>
          <w:szCs w:val="24"/>
        </w:rPr>
        <w:t>历史标准：</w:t>
      </w:r>
      <w:r>
        <w:rPr>
          <w:rFonts w:hint="eastAsia" w:ascii="宋体" w:hAnsi="宋体" w:eastAsia="宋体" w:cs="宋体"/>
          <w:sz w:val="24"/>
          <w:szCs w:val="24"/>
        </w:rPr>
        <w:t>指参照历史数据制定的评价标准，为体现绩效改进的原则，在可实现的条件下应当确定相对较高的评价标准。</w:t>
      </w:r>
      <w:bookmarkEnd w:id="10"/>
      <w:bookmarkEnd w:id="11"/>
    </w:p>
    <w:p w14:paraId="320B865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（三）绩效评价工作过程</w:t>
      </w:r>
      <w:bookmarkEnd w:id="5"/>
    </w:p>
    <w:p w14:paraId="52BF4F9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12" w:name="_Toc68364664"/>
      <w:r>
        <w:rPr>
          <w:rFonts w:hint="eastAsia" w:ascii="宋体" w:hAnsi="宋体" w:eastAsia="宋体" w:cs="宋体"/>
          <w:b/>
          <w:bCs/>
          <w:color w:val="000000"/>
          <w:sz w:val="24"/>
          <w:szCs w:val="24"/>
          <w:highlight w:val="none"/>
        </w:rPr>
        <w:t>1.前期准备</w:t>
      </w:r>
    </w:p>
    <w:p w14:paraId="6FB688F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我</w:t>
      </w:r>
      <w:r>
        <w:rPr>
          <w:rFonts w:hint="eastAsia" w:ascii="宋体" w:hAnsi="宋体" w:eastAsia="宋体" w:cs="宋体"/>
          <w:color w:val="auto"/>
          <w:sz w:val="24"/>
          <w:szCs w:val="24"/>
        </w:rPr>
        <w:t>单位于</w:t>
      </w: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日，确定绩</w:t>
      </w:r>
      <w:r>
        <w:rPr>
          <w:rFonts w:hint="eastAsia" w:ascii="宋体" w:hAnsi="宋体" w:eastAsia="宋体" w:cs="宋体"/>
          <w:sz w:val="24"/>
          <w:szCs w:val="24"/>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135A445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麦麦提江·麦麦提敏</w:t>
      </w:r>
      <w:r>
        <w:rPr>
          <w:rFonts w:hint="eastAsia" w:ascii="宋体" w:hAnsi="宋体" w:eastAsia="宋体" w:cs="宋体"/>
          <w:sz w:val="24"/>
          <w:szCs w:val="24"/>
        </w:rPr>
        <w:t>（评价小组组长）：主要负责</w:t>
      </w:r>
      <w:r>
        <w:rPr>
          <w:rFonts w:hint="eastAsia" w:ascii="宋体" w:hAnsi="宋体" w:eastAsia="宋体" w:cs="宋体"/>
          <w:sz w:val="24"/>
          <w:szCs w:val="24"/>
          <w:lang w:val="en-US" w:eastAsia="zh-CN"/>
        </w:rPr>
        <w:t>组织安排绩效评价工作</w:t>
      </w:r>
      <w:r>
        <w:rPr>
          <w:rFonts w:hint="eastAsia" w:ascii="宋体" w:hAnsi="宋体" w:eastAsia="宋体" w:cs="宋体"/>
          <w:sz w:val="24"/>
          <w:szCs w:val="24"/>
        </w:rPr>
        <w:t>;</w:t>
      </w:r>
    </w:p>
    <w:p w14:paraId="760E293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麦麦提艾力·麦麦提江</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资料整理及信息汇总工作</w:t>
      </w:r>
      <w:r>
        <w:rPr>
          <w:rFonts w:hint="eastAsia" w:ascii="宋体" w:hAnsi="宋体" w:eastAsia="宋体" w:cs="宋体"/>
          <w:sz w:val="24"/>
          <w:szCs w:val="24"/>
        </w:rPr>
        <w:t>;</w:t>
      </w:r>
    </w:p>
    <w:p w14:paraId="2AEAD45B">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买买提艾力·努尔买买提</w:t>
      </w:r>
      <w:r>
        <w:rPr>
          <w:rFonts w:hint="eastAsia" w:ascii="宋体" w:hAnsi="宋体" w:eastAsia="宋体" w:cs="宋体"/>
          <w:sz w:val="24"/>
          <w:szCs w:val="24"/>
        </w:rPr>
        <w:t>（评价小组组员）：主要负责</w:t>
      </w:r>
      <w:r>
        <w:rPr>
          <w:rFonts w:hint="eastAsia" w:ascii="宋体" w:hAnsi="宋体" w:eastAsia="宋体" w:cs="宋体"/>
          <w:sz w:val="24"/>
          <w:szCs w:val="24"/>
          <w:lang w:val="en-US" w:eastAsia="zh-CN"/>
        </w:rPr>
        <w:t>出具项目绩效评价报告</w:t>
      </w:r>
      <w:r>
        <w:rPr>
          <w:rFonts w:hint="eastAsia" w:ascii="宋体" w:hAnsi="宋体" w:eastAsia="宋体" w:cs="宋体"/>
          <w:sz w:val="24"/>
          <w:szCs w:val="24"/>
        </w:rPr>
        <w:t>。</w:t>
      </w:r>
    </w:p>
    <w:p w14:paraId="7CF4881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0BACCAF9">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20</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日，评价工作进</w:t>
      </w:r>
      <w:r>
        <w:rPr>
          <w:rFonts w:hint="eastAsia" w:ascii="宋体" w:hAnsi="宋体" w:eastAsia="宋体" w:cs="宋体"/>
          <w:sz w:val="24"/>
          <w:szCs w:val="24"/>
        </w:rPr>
        <w:t>入实施阶段。在数据采集方面，评价小组整理单位前期提交的资料，与项目实施负责人沟通，了解资金的内容、操作流程、管理机制、资金使用方向等情况并采集信息，了解项目设置背景及资金使用等情况。</w:t>
      </w:r>
    </w:p>
    <w:p w14:paraId="43C24AB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43DFCFA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color w:val="auto"/>
          <w:sz w:val="24"/>
          <w:szCs w:val="24"/>
          <w:lang w:eastAsia="zh-CN"/>
        </w:rPr>
        <w:t>202</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lang w:eastAsia="zh-CN"/>
        </w:rPr>
        <w:t>年</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日-</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月</w:t>
      </w:r>
      <w:r>
        <w:rPr>
          <w:rFonts w:hint="eastAsia" w:ascii="宋体" w:hAnsi="宋体" w:eastAsia="宋体" w:cs="宋体"/>
          <w:color w:val="auto"/>
          <w:sz w:val="24"/>
          <w:szCs w:val="24"/>
          <w:lang w:val="en-US" w:eastAsia="zh-CN"/>
        </w:rPr>
        <w:t>15</w:t>
      </w:r>
      <w:r>
        <w:rPr>
          <w:rFonts w:hint="eastAsia" w:ascii="宋体" w:hAnsi="宋体" w:eastAsia="宋体" w:cs="宋体"/>
          <w:color w:val="auto"/>
          <w:sz w:val="24"/>
          <w:szCs w:val="24"/>
        </w:rPr>
        <w:t>日，评价小组</w:t>
      </w:r>
      <w:r>
        <w:rPr>
          <w:rFonts w:hint="eastAsia" w:ascii="宋体" w:hAnsi="宋体" w:eastAsia="宋体" w:cs="宋体"/>
          <w:sz w:val="24"/>
          <w:szCs w:val="24"/>
        </w:rPr>
        <w:t>按照绩效评价的原则和规范，对取得的资料进行审查核实，对采集的数据进行分析，按照绩效评价指标评分表逐项进行打分、分析、汇总各方评价结果。</w:t>
      </w:r>
    </w:p>
    <w:p w14:paraId="42D46E2D">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28CF8ED8">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16</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月</w:t>
      </w:r>
      <w:r>
        <w:rPr>
          <w:rFonts w:hint="eastAsia" w:ascii="宋体" w:hAnsi="宋体" w:eastAsia="宋体" w:cs="宋体"/>
          <w:sz w:val="24"/>
          <w:szCs w:val="24"/>
          <w:highlight w:val="none"/>
          <w:lang w:val="en-US" w:eastAsia="zh-CN"/>
        </w:rPr>
        <w:t>31</w:t>
      </w:r>
      <w:r>
        <w:rPr>
          <w:rFonts w:hint="eastAsia" w:ascii="宋体" w:hAnsi="宋体" w:eastAsia="宋体" w:cs="宋体"/>
          <w:sz w:val="24"/>
          <w:szCs w:val="24"/>
          <w:highlight w:val="none"/>
        </w:rPr>
        <w:t>日</w:t>
      </w:r>
      <w:r>
        <w:rPr>
          <w:rFonts w:hint="eastAsia" w:ascii="宋体" w:hAnsi="宋体" w:eastAsia="宋体" w:cs="宋体"/>
          <w:sz w:val="24"/>
          <w:szCs w:val="24"/>
          <w:highlight w:val="none"/>
          <w:lang w:val="en-US" w:eastAsia="zh-CN"/>
        </w:rPr>
        <w:t>评价小</w:t>
      </w:r>
      <w:r>
        <w:rPr>
          <w:rFonts w:hint="eastAsia" w:ascii="宋体" w:hAnsi="宋体" w:eastAsia="宋体" w:cs="宋体"/>
          <w:color w:val="auto"/>
          <w:sz w:val="24"/>
          <w:szCs w:val="24"/>
          <w:highlight w:val="none"/>
          <w:lang w:val="en-US" w:eastAsia="zh-CN"/>
        </w:rPr>
        <w:t>组</w:t>
      </w:r>
      <w:r>
        <w:rPr>
          <w:rFonts w:hint="eastAsia" w:ascii="宋体" w:hAnsi="宋体" w:eastAsia="宋体" w:cs="宋体"/>
          <w:sz w:val="24"/>
          <w:szCs w:val="24"/>
          <w:highlight w:val="none"/>
        </w:rPr>
        <w:t>撰写绩效评价报告，按照新疆</w:t>
      </w:r>
      <w:r>
        <w:rPr>
          <w:rFonts w:hint="eastAsia" w:ascii="宋体" w:hAnsi="宋体" w:eastAsia="宋体" w:cs="宋体"/>
          <w:sz w:val="24"/>
          <w:szCs w:val="24"/>
          <w:highlight w:val="none"/>
          <w:lang w:eastAsia="zh-CN"/>
        </w:rPr>
        <w:t>维吾尔自治区财政绩效管理信息系统</w:t>
      </w:r>
      <w:r>
        <w:rPr>
          <w:rFonts w:hint="eastAsia" w:ascii="宋体" w:hAnsi="宋体" w:eastAsia="宋体" w:cs="宋体"/>
          <w:sz w:val="24"/>
          <w:szCs w:val="24"/>
          <w:highlight w:val="none"/>
        </w:rPr>
        <w:t>绩效评价模块中统一格式和文本框架撰写绩效评价报告并提交审核。</w:t>
      </w:r>
    </w:p>
    <w:p w14:paraId="75E95FB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4F6FB7B0">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317F831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3A94813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rPr>
      </w:pPr>
      <w:r>
        <w:rPr>
          <w:rFonts w:hint="eastAsia" w:ascii="宋体" w:hAnsi="宋体" w:eastAsia="宋体" w:cs="宋体"/>
          <w:sz w:val="24"/>
          <w:szCs w:val="24"/>
        </w:rPr>
        <w:t>建立和落实档案管理制度，将项目相关资料存档，包括但不限于：评价项目基本情况和相关文件、评价实施方案、项目支付资料等相关档案。</w:t>
      </w:r>
    </w:p>
    <w:p w14:paraId="29B2093F">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三、综合评价情况及评价结论</w:t>
      </w:r>
      <w:bookmarkEnd w:id="12"/>
    </w:p>
    <w:p w14:paraId="3BE50CAA">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3" w:name="_Toc68364665"/>
      <w:r>
        <w:rPr>
          <w:rFonts w:hint="eastAsia" w:ascii="宋体" w:hAnsi="宋体" w:eastAsia="宋体" w:cs="宋体"/>
          <w:sz w:val="24"/>
          <w:szCs w:val="24"/>
        </w:rPr>
        <w:t>（一）综合评价情况</w:t>
      </w:r>
      <w:bookmarkEnd w:id="13"/>
    </w:p>
    <w:p w14:paraId="070B598A">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bookmarkStart w:id="14" w:name="_Toc68364666"/>
      <w:r>
        <w:rPr>
          <w:rFonts w:hint="eastAsia" w:ascii="宋体" w:hAnsi="宋体" w:eastAsia="宋体" w:cs="宋体"/>
          <w:sz w:val="24"/>
          <w:szCs w:val="24"/>
        </w:rPr>
        <w:t>通过实施</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项目</w:t>
      </w:r>
      <w:r>
        <w:rPr>
          <w:rFonts w:hint="eastAsia" w:ascii="宋体" w:hAnsi="宋体" w:eastAsia="宋体" w:cs="宋体"/>
          <w:sz w:val="24"/>
          <w:szCs w:val="24"/>
          <w:lang w:val="en-US" w:eastAsia="zh-CN"/>
        </w:rPr>
        <w:t>能够</w:t>
      </w:r>
      <w:r>
        <w:rPr>
          <w:rFonts w:hint="eastAsia" w:ascii="宋体" w:hAnsi="宋体" w:eastAsia="宋体" w:cs="宋体"/>
          <w:sz w:val="24"/>
          <w:szCs w:val="24"/>
        </w:rPr>
        <w:t>提高我单位安保人员正常生活水平，带动村民就业、提高就业率及其安保人员工作积极性。项目实施主要通过项目决策、项目过程、项目产出以及项目效益等方面进行评价，其中：</w:t>
      </w:r>
    </w:p>
    <w:p w14:paraId="1D7F8CD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项目决策：该项目主要通过项目立项依据《自治区财政资金使用跟踪反馈管理暂行办法》（新财预﹝2016﹞113</w:t>
      </w:r>
      <w:r>
        <w:rPr>
          <w:rFonts w:hint="eastAsia" w:ascii="宋体" w:hAnsi="宋体" w:eastAsia="宋体" w:cs="宋体"/>
          <w:sz w:val="24"/>
          <w:szCs w:val="24"/>
          <w:lang w:val="en-US" w:eastAsia="zh-CN"/>
        </w:rPr>
        <w:t>号</w:t>
      </w:r>
      <w:r>
        <w:rPr>
          <w:rFonts w:hint="eastAsia" w:ascii="宋体" w:hAnsi="宋体" w:eastAsia="宋体" w:cs="宋体"/>
          <w:sz w:val="24"/>
          <w:szCs w:val="24"/>
        </w:rPr>
        <w:t>)，符合部门或行业发展规划和政策要求文件立项，项目实施符合要求，项目立项依据充分，立项程序规范。</w:t>
      </w:r>
    </w:p>
    <w:p w14:paraId="7E9F1196">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项目过程：</w:t>
      </w:r>
      <w:r>
        <w:rPr>
          <w:rFonts w:hint="eastAsia" w:ascii="宋体" w:hAnsi="宋体" w:eastAsia="宋体" w:cs="宋体"/>
          <w:sz w:val="24"/>
          <w:szCs w:val="24"/>
          <w:lang w:val="en-US" w:eastAsia="zh-CN"/>
        </w:rPr>
        <w:t>2024年聘用人员工资</w:t>
      </w:r>
      <w:r>
        <w:rPr>
          <w:rFonts w:hint="eastAsia" w:ascii="宋体" w:hAnsi="宋体" w:eastAsia="宋体" w:cs="宋体"/>
          <w:sz w:val="24"/>
          <w:szCs w:val="24"/>
        </w:rPr>
        <w:t>项目预算安排</w:t>
      </w:r>
      <w:r>
        <w:rPr>
          <w:rFonts w:hint="eastAsia" w:ascii="宋体" w:hAnsi="宋体" w:eastAsia="宋体" w:cs="宋体"/>
          <w:sz w:val="24"/>
          <w:szCs w:val="24"/>
          <w:lang w:val="en-US" w:eastAsia="zh-CN"/>
        </w:rPr>
        <w:t>13.06</w:t>
      </w:r>
      <w:r>
        <w:rPr>
          <w:rFonts w:hint="eastAsia" w:ascii="宋体" w:hAnsi="宋体" w:eastAsia="宋体" w:cs="宋体"/>
          <w:sz w:val="24"/>
          <w:szCs w:val="24"/>
        </w:rPr>
        <w:t>万元，实际支出</w:t>
      </w:r>
      <w:r>
        <w:rPr>
          <w:rFonts w:hint="eastAsia" w:ascii="宋体" w:hAnsi="宋体" w:eastAsia="宋体" w:cs="宋体"/>
          <w:sz w:val="24"/>
          <w:szCs w:val="24"/>
          <w:lang w:val="en-US" w:eastAsia="zh-CN"/>
        </w:rPr>
        <w:t>13.06</w:t>
      </w:r>
      <w:r>
        <w:rPr>
          <w:rFonts w:hint="eastAsia" w:ascii="宋体" w:hAnsi="宋体" w:eastAsia="宋体" w:cs="宋体"/>
          <w:sz w:val="24"/>
          <w:szCs w:val="24"/>
        </w:rPr>
        <w:t>万元，预算执行率</w:t>
      </w:r>
      <w:r>
        <w:rPr>
          <w:rFonts w:hint="eastAsia" w:ascii="宋体" w:hAnsi="宋体" w:eastAsia="宋体" w:cs="宋体"/>
          <w:sz w:val="24"/>
          <w:szCs w:val="24"/>
          <w:lang w:val="en-US" w:eastAsia="zh-CN"/>
        </w:rPr>
        <w:t>100</w:t>
      </w:r>
      <w:r>
        <w:rPr>
          <w:rFonts w:hint="eastAsia" w:ascii="宋体" w:hAnsi="宋体" w:eastAsia="宋体" w:cs="宋体"/>
          <w:sz w:val="24"/>
          <w:szCs w:val="24"/>
        </w:rPr>
        <w:t>%。项目资金使用合规，项目财务管理制度健全，财务监控到位，所有资金支付均按照国库集中支付制度严格执行，现有项目管理制度执行情况良好。</w:t>
      </w:r>
    </w:p>
    <w:p w14:paraId="56943B7C">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color w:val="auto"/>
          <w:sz w:val="24"/>
          <w:szCs w:val="24"/>
          <w:highlight w:val="none"/>
          <w:lang w:val="en-US" w:eastAsia="zh-CN"/>
        </w:rPr>
        <w:t>项目产出：安保人员配置数量4人、资金发放准确率100%、项目开始时间2024年1月、项目完成时间2024年12月、资金拨付及时率100%，</w:t>
      </w:r>
      <w:r>
        <w:rPr>
          <w:rFonts w:hint="eastAsia" w:ascii="宋体" w:hAnsi="宋体" w:eastAsia="宋体" w:cs="宋体"/>
          <w:sz w:val="24"/>
          <w:szCs w:val="24"/>
          <w:lang w:val="en-US" w:eastAsia="zh-CN"/>
        </w:rPr>
        <w:t>未出现任务未完成情况；通过定期检查和观众反馈，经统计群众满意度达到95%，达到预期目标。</w:t>
      </w:r>
    </w:p>
    <w:p w14:paraId="3F17984B">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lang w:val="en-US" w:eastAsia="zh-CN"/>
        </w:rPr>
      </w:pPr>
      <w:r>
        <w:rPr>
          <w:rFonts w:hint="eastAsia" w:ascii="宋体" w:hAnsi="宋体" w:eastAsia="宋体" w:cs="宋体"/>
          <w:sz w:val="24"/>
          <w:szCs w:val="24"/>
        </w:rPr>
        <w:t>项目效益：保障对临时工人及时发放工资，将对改善生活质量，发展区域经济有十分重要的社会意义</w:t>
      </w:r>
      <w:r>
        <w:rPr>
          <w:rFonts w:hint="eastAsia" w:ascii="宋体" w:hAnsi="宋体" w:eastAsia="宋体" w:cs="宋体"/>
          <w:color w:val="auto"/>
          <w:sz w:val="24"/>
          <w:szCs w:val="24"/>
          <w:highlight w:val="none"/>
          <w:lang w:eastAsia="zh-CN"/>
        </w:rPr>
        <w:t>。</w:t>
      </w:r>
    </w:p>
    <w:p w14:paraId="3ACF2819">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（二）综合评价结论</w:t>
      </w:r>
    </w:p>
    <w:p w14:paraId="215C6271">
      <w:pPr>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黑体" w:hAnsi="黑体" w:eastAsia="黑体" w:cs="黑体"/>
          <w:sz w:val="24"/>
          <w:szCs w:val="24"/>
        </w:rPr>
      </w:pPr>
      <w:r>
        <w:rPr>
          <w:rFonts w:hint="eastAsia" w:ascii="宋体" w:hAnsi="宋体" w:eastAsia="宋体" w:cs="宋体"/>
          <w:color w:val="333333"/>
          <w:sz w:val="24"/>
          <w:szCs w:val="24"/>
        </w:rPr>
        <w:t>依据《中共中央国务院关于全面实施预算绩效管理的意见》《项目支出绩效评价管理办法》（财预〔2020〕10号）文件，绩效评价总分设置为100分，划分为四档：90（含）-100分为“优”、80（含）-90分为“良”、70（含）-80分为“中”、70分以下为“差”。经对</w:t>
      </w:r>
      <w:r>
        <w:rPr>
          <w:rFonts w:hint="eastAsia" w:ascii="宋体" w:hAnsi="宋体" w:eastAsia="宋体" w:cs="宋体"/>
          <w:color w:val="333333"/>
          <w:sz w:val="24"/>
          <w:szCs w:val="24"/>
          <w:lang w:val="en-US" w:eastAsia="zh-CN"/>
        </w:rPr>
        <w:t>2024年城乡居民基本医疗保险-县配套（140万元）</w:t>
      </w:r>
      <w:r>
        <w:rPr>
          <w:rFonts w:hint="eastAsia" w:ascii="宋体" w:hAnsi="宋体" w:eastAsia="宋体" w:cs="宋体"/>
          <w:color w:val="333333"/>
          <w:sz w:val="24"/>
          <w:szCs w:val="24"/>
        </w:rPr>
        <w:t>项目项目进行客观评价，最终评分结果：评价总分</w:t>
      </w:r>
      <w:r>
        <w:rPr>
          <w:rFonts w:hint="eastAsia" w:ascii="宋体" w:hAnsi="宋体" w:eastAsia="宋体" w:cs="宋体"/>
          <w:color w:val="333333"/>
          <w:sz w:val="24"/>
          <w:szCs w:val="24"/>
          <w:lang w:val="en-US" w:eastAsia="zh-CN"/>
        </w:rPr>
        <w:t>100</w:t>
      </w:r>
      <w:r>
        <w:rPr>
          <w:rFonts w:hint="eastAsia" w:ascii="宋体" w:hAnsi="宋体" w:eastAsia="宋体" w:cs="宋体"/>
          <w:color w:val="333333"/>
          <w:sz w:val="24"/>
          <w:szCs w:val="24"/>
        </w:rPr>
        <w:t>分，绩效等级为“优”。</w:t>
      </w:r>
      <w:bookmarkEnd w:id="14"/>
      <w:bookmarkStart w:id="15" w:name="_Toc68364667"/>
    </w:p>
    <w:p w14:paraId="01104E53">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四、绩效评价指标分析</w:t>
      </w:r>
      <w:bookmarkEnd w:id="15"/>
    </w:p>
    <w:p w14:paraId="5AA86C27">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rPr>
      </w:pPr>
      <w:bookmarkStart w:id="16" w:name="_Toc68364668"/>
      <w:r>
        <w:rPr>
          <w:rFonts w:hint="eastAsia" w:ascii="宋体" w:hAnsi="宋体" w:eastAsia="宋体" w:cs="宋体"/>
          <w:sz w:val="24"/>
          <w:szCs w:val="24"/>
        </w:rPr>
        <w:t>（一）项目决策情况</w:t>
      </w:r>
    </w:p>
    <w:p w14:paraId="7227F51F">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color w:val="FF0000"/>
          <w:sz w:val="24"/>
          <w:szCs w:val="24"/>
        </w:rPr>
      </w:pPr>
      <w:r>
        <w:rPr>
          <w:rFonts w:hint="eastAsia" w:ascii="宋体" w:hAnsi="宋体" w:eastAsia="宋体" w:cs="宋体"/>
          <w:sz w:val="24"/>
          <w:szCs w:val="24"/>
        </w:rPr>
        <w:t>项目决策类指标包括项目立项、绩效目标和资金投入三方面的内容，由6个三级指标构成，权重分</w:t>
      </w:r>
      <w:r>
        <w:rPr>
          <w:rFonts w:hint="eastAsia" w:ascii="宋体" w:hAnsi="宋体" w:eastAsia="宋体" w:cs="宋体"/>
          <w:sz w:val="24"/>
          <w:szCs w:val="24"/>
          <w:highlight w:val="none"/>
        </w:rPr>
        <w:t>为</w:t>
      </w:r>
      <w:r>
        <w:rPr>
          <w:rFonts w:hint="eastAsia" w:ascii="宋体" w:hAnsi="宋体" w:eastAsia="宋体" w:cs="宋体"/>
          <w:sz w:val="24"/>
          <w:szCs w:val="24"/>
          <w:highlight w:val="none"/>
          <w:lang w:val="en-US" w:eastAsia="zh-CN"/>
        </w:rPr>
        <w:t>23</w:t>
      </w:r>
      <w:r>
        <w:rPr>
          <w:rFonts w:hint="eastAsia" w:ascii="宋体" w:hAnsi="宋体" w:eastAsia="宋体" w:cs="宋体"/>
          <w:sz w:val="24"/>
          <w:szCs w:val="24"/>
          <w:highlight w:val="none"/>
        </w:rPr>
        <w:t>分</w:t>
      </w:r>
      <w:r>
        <w:rPr>
          <w:rFonts w:hint="eastAsia" w:ascii="宋体" w:hAnsi="宋体" w:eastAsia="宋体" w:cs="宋体"/>
          <w:sz w:val="24"/>
          <w:szCs w:val="24"/>
        </w:rPr>
        <w:t>，实际得分</w:t>
      </w:r>
      <w:r>
        <w:rPr>
          <w:rFonts w:hint="eastAsia" w:ascii="宋体" w:hAnsi="宋体" w:eastAsia="宋体" w:cs="宋体"/>
          <w:sz w:val="24"/>
          <w:szCs w:val="24"/>
          <w:lang w:val="en-US" w:eastAsia="zh-CN"/>
        </w:rPr>
        <w:t>23</w:t>
      </w:r>
      <w:r>
        <w:rPr>
          <w:rFonts w:hint="eastAsia" w:ascii="宋体" w:hAnsi="宋体" w:eastAsia="宋体" w:cs="宋体"/>
          <w:sz w:val="24"/>
          <w:szCs w:val="24"/>
        </w:rPr>
        <w:t>分，得分率为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522788F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069C9BBF">
      <w:pPr>
        <w:keepNext w:val="0"/>
        <w:keepLines w:val="0"/>
        <w:pageBreakBefore w:val="0"/>
        <w:widowControl w:val="0"/>
        <w:kinsoku/>
        <w:wordWrap/>
        <w:overflowPunct w:val="0"/>
        <w:topLinePunct w:val="0"/>
        <w:autoSpaceDE/>
        <w:autoSpaceDN/>
        <w:bidi w:val="0"/>
        <w:adjustRightInd/>
        <w:snapToGrid/>
        <w:spacing w:line="360" w:lineRule="auto"/>
        <w:ind w:left="0" w:leftChars="0" w:firstLine="640"/>
        <w:contextualSpacing/>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本项目立项符合行业发展规划和政策要求内容</w:t>
      </w:r>
      <w:r>
        <w:rPr>
          <w:rFonts w:hint="eastAsia" w:ascii="宋体" w:hAnsi="宋体" w:eastAsia="宋体" w:cs="宋体"/>
          <w:sz w:val="24"/>
          <w:szCs w:val="24"/>
          <w:lang w:eastAsia="zh-CN"/>
        </w:rPr>
        <w:t>：根据《洛浦县财经委员会会议纪要》精神实施此项目，项目主要内容为：保证我单位4名安保人员2024年1月至12月工资及社保金按时发放，提高我单位安保人员正常生活水平，带动村民就业、提高就业率及其安保人员工作积极性。</w:t>
      </w:r>
    </w:p>
    <w:p w14:paraId="34E396AD">
      <w:pPr>
        <w:keepNext w:val="0"/>
        <w:keepLines w:val="0"/>
        <w:pageBreakBefore w:val="0"/>
        <w:widowControl w:val="0"/>
        <w:kinsoku/>
        <w:wordWrap/>
        <w:topLinePunct w:val="0"/>
        <w:autoSpaceDE/>
        <w:autoSpaceDN/>
        <w:bidi w:val="0"/>
        <w:adjustRightInd/>
        <w:snapToGrid/>
        <w:spacing w:line="360" w:lineRule="auto"/>
        <w:ind w:firstLine="56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综上所述，</w:t>
      </w:r>
      <w:r>
        <w:rPr>
          <w:rFonts w:hint="eastAsia" w:ascii="宋体" w:hAnsi="宋体" w:eastAsia="宋体" w:cs="宋体"/>
          <w:color w:val="000000"/>
          <w:sz w:val="24"/>
          <w:szCs w:val="24"/>
          <w:highlight w:val="none"/>
        </w:rPr>
        <w:t>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62AD3C1E">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37DAA6E0">
      <w:pPr>
        <w:keepNext w:val="0"/>
        <w:keepLines w:val="0"/>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w:t>
      </w:r>
      <w:r>
        <w:rPr>
          <w:rFonts w:hint="eastAsia" w:ascii="宋体" w:hAnsi="宋体" w:eastAsia="宋体" w:cs="宋体"/>
          <w:color w:val="000000"/>
          <w:sz w:val="24"/>
          <w:szCs w:val="24"/>
          <w:highlight w:val="none"/>
        </w:rPr>
        <w:t>按照规定的程序申请设立</w:t>
      </w:r>
      <w:r>
        <w:rPr>
          <w:rFonts w:hint="eastAsia" w:ascii="宋体" w:hAnsi="宋体" w:eastAsia="宋体" w:cs="宋体"/>
          <w:color w:val="auto"/>
          <w:sz w:val="24"/>
          <w:szCs w:val="24"/>
          <w:highlight w:val="none"/>
        </w:rPr>
        <w:t>，项目立项过程中产生的文件均符合相关要求。本项目为特定目标类项目，属于经常性项目，项目预算金额为</w:t>
      </w:r>
      <w:r>
        <w:rPr>
          <w:rFonts w:hint="eastAsia" w:ascii="宋体" w:hAnsi="宋体" w:eastAsia="宋体" w:cs="宋体"/>
          <w:color w:val="auto"/>
          <w:sz w:val="24"/>
          <w:szCs w:val="24"/>
          <w:highlight w:val="none"/>
          <w:lang w:val="en-US" w:eastAsia="zh-CN"/>
        </w:rPr>
        <w:t>13.06</w:t>
      </w:r>
      <w:r>
        <w:rPr>
          <w:rFonts w:hint="eastAsia" w:ascii="宋体" w:hAnsi="宋体" w:eastAsia="宋体" w:cs="宋体"/>
          <w:color w:val="auto"/>
          <w:sz w:val="24"/>
          <w:szCs w:val="24"/>
          <w:highlight w:val="none"/>
        </w:rPr>
        <w:t>万元，不涉及事前绩效评估和风险评估，</w:t>
      </w:r>
      <w:r>
        <w:rPr>
          <w:rFonts w:hint="eastAsia" w:ascii="宋体" w:hAnsi="宋体" w:eastAsia="宋体" w:cs="宋体"/>
          <w:color w:val="auto"/>
          <w:sz w:val="24"/>
          <w:szCs w:val="24"/>
          <w:highlight w:val="none"/>
          <w:lang w:eastAsia="zh-CN"/>
        </w:rPr>
        <w:t>本</w:t>
      </w:r>
      <w:r>
        <w:rPr>
          <w:rFonts w:hint="eastAsia" w:ascii="宋体" w:hAnsi="宋体" w:eastAsia="宋体" w:cs="宋体"/>
          <w:color w:val="auto"/>
          <w:sz w:val="24"/>
          <w:szCs w:val="24"/>
          <w:highlight w:val="none"/>
        </w:rPr>
        <w:t>单位完成本项目可行性研究报告的编制，并经过专家论证。</w:t>
      </w:r>
    </w:p>
    <w:p w14:paraId="639F0F45">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rPr>
      </w:pPr>
      <w:r>
        <w:rPr>
          <w:rFonts w:hint="eastAsia" w:ascii="宋体" w:hAnsi="宋体" w:eastAsia="宋体" w:cs="宋体"/>
          <w:color w:val="auto"/>
          <w:sz w:val="24"/>
          <w:szCs w:val="24"/>
          <w:highlight w:val="none"/>
        </w:rPr>
        <w:t>综上所述，本指标满分为3分，根</w:t>
      </w:r>
      <w:r>
        <w:rPr>
          <w:rFonts w:hint="eastAsia" w:ascii="宋体" w:hAnsi="宋体" w:eastAsia="宋体" w:cs="宋体"/>
          <w:color w:val="auto"/>
          <w:sz w:val="24"/>
          <w:szCs w:val="24"/>
        </w:rPr>
        <w:t>据评分标准得</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分，本项目立项程序合规。</w:t>
      </w:r>
    </w:p>
    <w:p w14:paraId="4426E64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rPr>
      </w:pPr>
      <w:r>
        <w:rPr>
          <w:rFonts w:hint="eastAsia" w:ascii="宋体" w:hAnsi="宋体" w:eastAsia="宋体" w:cs="宋体"/>
          <w:b/>
          <w:bCs/>
          <w:color w:val="000000"/>
          <w:sz w:val="24"/>
          <w:szCs w:val="24"/>
          <w:highlight w:val="none"/>
          <w:lang w:val="en-US" w:eastAsia="zh-CN"/>
        </w:rPr>
        <w:t>3.绩效目标合理性</w:t>
      </w:r>
    </w:p>
    <w:p w14:paraId="62ED45FC">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该项目年初设定绩效目标主要内容为：保证我单位4名安保人员2024年1月至12月工资及社保金按时发放，提高我单位安保人员正常生活水平，带动村民就业、提高就业率及其安保人员工作积极性</w:t>
      </w:r>
      <w:r>
        <w:rPr>
          <w:rFonts w:hint="eastAsia" w:ascii="宋体" w:hAnsi="宋体" w:eastAsia="宋体" w:cs="宋体"/>
          <w:color w:val="auto"/>
          <w:sz w:val="24"/>
          <w:szCs w:val="24"/>
          <w:highlight w:val="none"/>
        </w:rPr>
        <w:t>。</w:t>
      </w:r>
    </w:p>
    <w:p w14:paraId="76560C9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28AFAA5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1366D42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经检查我单位年初设置的《2024年聘用人员工资项目支出绩效目标表》，得出如下结论：本项目已将年度绩效目标进行细化为绩效指标体系，共设置一级指标4个，二级指标6个，三级指标9个，定量指标8个，定性指标1个，指标量化率为88.89%，量化率达70.0%以上，将项目绩效目标细化分解为具体的绩效指标。</w:t>
      </w:r>
    </w:p>
    <w:p w14:paraId="0A91D3F1">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该《2024年聘用人员工资项目绩效目标申报表》中，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“安保人员配置数量</w:t>
      </w:r>
      <w:r>
        <w:rPr>
          <w:rFonts w:hint="eastAsia" w:ascii="宋体" w:hAnsi="宋体" w:eastAsia="宋体" w:cs="宋体"/>
          <w:color w:val="000000"/>
          <w:sz w:val="24"/>
          <w:szCs w:val="24"/>
          <w:highlight w:val="none"/>
          <w:lang w:val="en-US" w:eastAsia="zh-CN"/>
        </w:rPr>
        <w:t>≥4人</w:t>
      </w:r>
      <w:r>
        <w:rPr>
          <w:rFonts w:hint="eastAsia" w:ascii="宋体" w:hAnsi="宋体" w:eastAsia="宋体" w:cs="宋体"/>
          <w:color w:val="000000"/>
          <w:sz w:val="24"/>
          <w:szCs w:val="24"/>
          <w:highlight w:val="none"/>
          <w:lang w:eastAsia="zh-CN"/>
        </w:rPr>
        <w:t>”</w:t>
      </w:r>
      <w:r>
        <w:rPr>
          <w:rFonts w:hint="eastAsia" w:ascii="宋体" w:hAnsi="宋体" w:eastAsia="宋体" w:cs="宋体"/>
          <w:color w:val="auto"/>
          <w:sz w:val="24"/>
          <w:szCs w:val="24"/>
          <w:highlight w:val="none"/>
          <w:lang w:val="en-US" w:eastAsia="zh-CN"/>
        </w:rPr>
        <w:t>，三级指标的年度指标值与年度绩效目标中任务数一致，已设置时效指标“项目完成时间为2024年12月31日、项目开始时间为2024年1月、资金拨付及时率为100%”。已设置的绩效目标具备明确性、可衡量性、可实现性、相关性、时限性。</w:t>
      </w:r>
    </w:p>
    <w:p w14:paraId="158D50C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2BAE541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47C5FDF9">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：保证我单位4名安保人员2024年1月至12月工资及社保金按时发放，提高我单位安保人员正常生活水平，带动村民就业、提高就业率及其安保人员工作积极性，</w:t>
      </w:r>
      <w:r>
        <w:rPr>
          <w:rFonts w:hint="eastAsia" w:ascii="宋体" w:hAnsi="宋体" w:eastAsia="宋体" w:cs="宋体"/>
          <w:color w:val="auto"/>
          <w:sz w:val="24"/>
          <w:szCs w:val="24"/>
          <w:highlight w:val="none"/>
        </w:rPr>
        <w:t>预算申请与《2024年</w:t>
      </w:r>
      <w:r>
        <w:rPr>
          <w:rFonts w:hint="eastAsia" w:ascii="宋体" w:hAnsi="宋体" w:eastAsia="宋体" w:cs="宋体"/>
          <w:color w:val="auto"/>
          <w:sz w:val="24"/>
          <w:szCs w:val="24"/>
          <w:highlight w:val="none"/>
          <w:lang w:val="en-US" w:eastAsia="zh-CN"/>
        </w:rPr>
        <w:t>聘用人员工资项目实施方案</w:t>
      </w:r>
      <w:r>
        <w:rPr>
          <w:rFonts w:hint="eastAsia" w:ascii="宋体" w:hAnsi="宋体" w:eastAsia="宋体" w:cs="宋体"/>
          <w:color w:val="auto"/>
          <w:sz w:val="24"/>
          <w:szCs w:val="24"/>
          <w:highlight w:val="none"/>
        </w:rPr>
        <w:t>》中涉及的项目内容匹配；</w:t>
      </w:r>
    </w:p>
    <w:p w14:paraId="05CB2C15">
      <w:pPr>
        <w:pageBreakBefore w:val="0"/>
        <w:widowControl w:val="0"/>
        <w:kinsoku/>
        <w:wordWrap/>
        <w:topLinePunct w:val="0"/>
        <w:autoSpaceDE/>
        <w:autoSpaceDN/>
        <w:bidi w:val="0"/>
        <w:adjustRightInd/>
        <w:snapToGrid/>
        <w:spacing w:line="360" w:lineRule="auto"/>
        <w:ind w:left="0" w:leftChars="0" w:firstLine="643"/>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本项目预算申请资金</w:t>
      </w:r>
      <w:r>
        <w:rPr>
          <w:rFonts w:hint="eastAsia" w:ascii="宋体" w:hAnsi="宋体" w:eastAsia="宋体" w:cs="宋体"/>
          <w:color w:val="auto"/>
          <w:sz w:val="24"/>
          <w:szCs w:val="24"/>
          <w:highlight w:val="none"/>
          <w:lang w:val="en-US" w:eastAsia="zh-CN"/>
        </w:rPr>
        <w:t>13.06</w:t>
      </w:r>
      <w:r>
        <w:rPr>
          <w:rFonts w:hint="eastAsia" w:ascii="宋体" w:hAnsi="宋体" w:eastAsia="宋体" w:cs="宋体"/>
          <w:color w:val="auto"/>
          <w:sz w:val="24"/>
          <w:szCs w:val="24"/>
          <w:highlight w:val="none"/>
        </w:rPr>
        <w:t>万元，我单位在预算申请中严格按照项目实施内容及测算标准进行核算，其中：</w:t>
      </w:r>
      <w:r>
        <w:rPr>
          <w:rFonts w:hint="eastAsia" w:ascii="宋体" w:hAnsi="宋体" w:eastAsia="宋体" w:cs="宋体"/>
          <w:color w:val="auto"/>
          <w:sz w:val="24"/>
          <w:szCs w:val="24"/>
          <w:highlight w:val="none"/>
          <w:lang w:eastAsia="zh-CN"/>
        </w:rPr>
        <w:t>县财政补助</w:t>
      </w:r>
      <w:r>
        <w:rPr>
          <w:rFonts w:hint="eastAsia" w:ascii="宋体" w:hAnsi="宋体" w:eastAsia="宋体" w:cs="宋体"/>
          <w:color w:val="auto"/>
          <w:sz w:val="24"/>
          <w:szCs w:val="24"/>
          <w:highlight w:val="none"/>
          <w:lang w:val="en-US" w:eastAsia="zh-CN"/>
        </w:rPr>
        <w:t>13.06</w:t>
      </w:r>
      <w:r>
        <w:rPr>
          <w:rFonts w:hint="eastAsia" w:ascii="宋体" w:hAnsi="宋体" w:eastAsia="宋体" w:cs="宋体"/>
          <w:color w:val="auto"/>
          <w:sz w:val="24"/>
          <w:szCs w:val="24"/>
          <w:highlight w:val="none"/>
        </w:rPr>
        <w:t>万元。预算确定资金量与实际工作任务相匹配。本项目预算额度测算依据充分，严格按照标准编制，预算确定资金量与实际工作任务相匹配</w:t>
      </w:r>
      <w:r>
        <w:rPr>
          <w:rFonts w:hint="eastAsia" w:ascii="宋体" w:hAnsi="宋体" w:eastAsia="宋体" w:cs="宋体"/>
          <w:color w:val="auto"/>
          <w:sz w:val="24"/>
          <w:szCs w:val="24"/>
          <w:highlight w:val="none"/>
          <w:lang w:eastAsia="zh-CN"/>
        </w:rPr>
        <w:t>。</w:t>
      </w:r>
    </w:p>
    <w:p w14:paraId="7432A2A0">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1CC56FE1">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413CE5D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本项目实际分配资金以《关于申请2024年</w:t>
      </w:r>
      <w:r>
        <w:rPr>
          <w:rFonts w:hint="eastAsia" w:ascii="宋体" w:hAnsi="宋体" w:eastAsia="宋体" w:cs="宋体"/>
          <w:color w:val="000000"/>
          <w:sz w:val="24"/>
          <w:szCs w:val="24"/>
          <w:highlight w:val="none"/>
          <w:lang w:val="en-US" w:eastAsia="zh-CN"/>
        </w:rPr>
        <w:t>聘用人员工资13.06万元</w:t>
      </w:r>
      <w:r>
        <w:rPr>
          <w:rFonts w:hint="eastAsia" w:ascii="宋体" w:hAnsi="宋体" w:eastAsia="宋体" w:cs="宋体"/>
          <w:color w:val="000000"/>
          <w:sz w:val="24"/>
          <w:szCs w:val="24"/>
          <w:highlight w:val="none"/>
        </w:rPr>
        <w:t>的请示》和《2024年</w:t>
      </w:r>
      <w:r>
        <w:rPr>
          <w:rFonts w:hint="eastAsia" w:ascii="宋体" w:hAnsi="宋体" w:eastAsia="宋体" w:cs="宋体"/>
          <w:color w:val="000000"/>
          <w:sz w:val="24"/>
          <w:szCs w:val="24"/>
          <w:highlight w:val="none"/>
          <w:lang w:val="en-US" w:eastAsia="zh-CN"/>
        </w:rPr>
        <w:t>聘用人员工资</w:t>
      </w:r>
      <w:r>
        <w:rPr>
          <w:rFonts w:hint="eastAsia" w:ascii="宋体" w:hAnsi="宋体" w:eastAsia="宋体" w:cs="宋体"/>
          <w:color w:val="000000"/>
          <w:sz w:val="24"/>
          <w:szCs w:val="24"/>
          <w:highlight w:val="none"/>
        </w:rPr>
        <w:t>项目实施方案》为依据进行资金分配，预算资金分配依据充分。本项目实际到位资金</w:t>
      </w:r>
      <w:r>
        <w:rPr>
          <w:rFonts w:hint="eastAsia" w:ascii="宋体" w:hAnsi="宋体" w:eastAsia="宋体" w:cs="宋体"/>
          <w:color w:val="000000"/>
          <w:sz w:val="24"/>
          <w:szCs w:val="24"/>
          <w:highlight w:val="none"/>
          <w:lang w:val="en-US" w:eastAsia="zh-CN"/>
        </w:rPr>
        <w:t>13.06</w:t>
      </w:r>
      <w:r>
        <w:rPr>
          <w:rFonts w:hint="eastAsia" w:ascii="宋体" w:hAnsi="宋体" w:eastAsia="宋体" w:cs="宋体"/>
          <w:color w:val="000000"/>
          <w:sz w:val="24"/>
          <w:szCs w:val="24"/>
          <w:highlight w:val="none"/>
        </w:rPr>
        <w:t>万元，资金分配额度合理，与我单位实际需求相适应。资金分配与实际相适应</w:t>
      </w:r>
      <w:r>
        <w:rPr>
          <w:rFonts w:hint="eastAsia" w:ascii="宋体" w:hAnsi="宋体" w:eastAsia="宋体" w:cs="宋体"/>
          <w:color w:val="000000"/>
          <w:sz w:val="24"/>
          <w:szCs w:val="24"/>
          <w:highlight w:val="none"/>
          <w:lang w:eastAsia="zh-CN"/>
        </w:rPr>
        <w:t>。</w:t>
      </w:r>
    </w:p>
    <w:p w14:paraId="57C2D71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495D203A">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6B3F4BC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个三级指标构成，权重分为</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分，实际得分</w:t>
      </w:r>
      <w:r>
        <w:rPr>
          <w:rFonts w:hint="eastAsia" w:ascii="宋体" w:hAnsi="宋体" w:eastAsia="宋体" w:cs="宋体"/>
          <w:sz w:val="24"/>
          <w:szCs w:val="24"/>
          <w:highlight w:val="none"/>
          <w:lang w:val="en-US" w:eastAsia="zh-CN"/>
        </w:rPr>
        <w:t>12</w:t>
      </w:r>
      <w:r>
        <w:rPr>
          <w:rFonts w:hint="eastAsia" w:ascii="宋体" w:hAnsi="宋体" w:eastAsia="宋体" w:cs="宋体"/>
          <w:sz w:val="24"/>
          <w:szCs w:val="24"/>
          <w:highlight w:val="none"/>
        </w:rPr>
        <w:t>分，得分率为</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p>
    <w:p w14:paraId="642CB9A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FD963B7">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本项目预算资金</w:t>
      </w:r>
      <w:r>
        <w:rPr>
          <w:rFonts w:hint="eastAsia" w:ascii="宋体" w:hAnsi="宋体" w:eastAsia="宋体" w:cs="宋体"/>
          <w:sz w:val="24"/>
          <w:szCs w:val="24"/>
          <w:highlight w:val="none"/>
          <w:lang w:val="en-US" w:eastAsia="zh-CN"/>
        </w:rPr>
        <w:t>为13.06万元，其中：财政安排资金13.06万元，其他资金0万元，实际到位资金13.06万元，资金到位率=100%；通过分析可知，该项目财政资金足额拨付到位，能够及时足额支付给实施单位。</w:t>
      </w:r>
    </w:p>
    <w:p w14:paraId="03CDE46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根据评分标准</w:t>
      </w:r>
      <w:r>
        <w:rPr>
          <w:rFonts w:hint="eastAsia" w:ascii="宋体" w:hAnsi="宋体" w:eastAsia="宋体" w:cs="宋体"/>
          <w:sz w:val="24"/>
          <w:szCs w:val="24"/>
          <w:highlight w:val="none"/>
        </w:rPr>
        <w:t>，该指标不扣分，得</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分。</w:t>
      </w:r>
    </w:p>
    <w:p w14:paraId="3985B8F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7698025D">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本项目实际支出资金</w:t>
      </w:r>
      <w:r>
        <w:rPr>
          <w:rFonts w:hint="eastAsia" w:ascii="宋体" w:hAnsi="宋体" w:eastAsia="宋体" w:cs="宋体"/>
          <w:sz w:val="24"/>
          <w:szCs w:val="24"/>
          <w:highlight w:val="none"/>
          <w:lang w:val="en-US" w:eastAsia="zh-CN"/>
        </w:rPr>
        <w:t>13.06</w:t>
      </w:r>
      <w:r>
        <w:rPr>
          <w:rFonts w:hint="eastAsia" w:ascii="宋体" w:hAnsi="宋体" w:eastAsia="宋体" w:cs="宋体"/>
          <w:sz w:val="24"/>
          <w:szCs w:val="24"/>
          <w:highlight w:val="none"/>
        </w:rPr>
        <w:t>万元，预算执行率=</w:t>
      </w:r>
      <w:r>
        <w:rPr>
          <w:rFonts w:hint="eastAsia" w:ascii="宋体" w:hAnsi="宋体" w:eastAsia="宋体" w:cs="宋体"/>
          <w:sz w:val="24"/>
          <w:szCs w:val="24"/>
          <w:highlight w:val="none"/>
          <w:lang w:val="en-US" w:eastAsia="zh-CN"/>
        </w:rPr>
        <w:t>100</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通过分析可知，该项目</w:t>
      </w:r>
      <w:r>
        <w:rPr>
          <w:rFonts w:hint="eastAsia" w:ascii="宋体" w:hAnsi="宋体" w:eastAsia="宋体" w:cs="宋体"/>
          <w:sz w:val="24"/>
          <w:szCs w:val="24"/>
          <w:highlight w:val="none"/>
        </w:rPr>
        <w:t>预算编制较为详细，项目资金支出总体能够按照预算执行</w:t>
      </w:r>
      <w:r>
        <w:rPr>
          <w:rFonts w:hint="eastAsia" w:ascii="宋体" w:hAnsi="宋体" w:eastAsia="宋体" w:cs="宋体"/>
          <w:sz w:val="24"/>
          <w:szCs w:val="24"/>
          <w:highlight w:val="none"/>
          <w:lang w:eastAsia="zh-CN"/>
        </w:rPr>
        <w:t>。</w:t>
      </w:r>
    </w:p>
    <w:p w14:paraId="75256DC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分。</w:t>
      </w:r>
    </w:p>
    <w:p w14:paraId="4F5DBDAF">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33FD4D8A">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通过检查项目资金申请文件、</w:t>
      </w:r>
      <w:r>
        <w:rPr>
          <w:rFonts w:hint="eastAsia" w:ascii="宋体" w:hAnsi="宋体" w:eastAsia="宋体" w:cs="宋体"/>
          <w:sz w:val="24"/>
          <w:szCs w:val="24"/>
          <w:highlight w:val="none"/>
          <w:lang w:val="en-US" w:eastAsia="zh-CN"/>
        </w:rPr>
        <w:t>国库支付凭证</w:t>
      </w:r>
      <w:r>
        <w:rPr>
          <w:rFonts w:hint="eastAsia" w:ascii="宋体" w:hAnsi="宋体" w:eastAsia="宋体" w:cs="宋体"/>
          <w:sz w:val="24"/>
          <w:szCs w:val="24"/>
          <w:highlight w:val="none"/>
        </w:rPr>
        <w:t>等财务</w:t>
      </w:r>
      <w:r>
        <w:rPr>
          <w:rFonts w:hint="eastAsia" w:ascii="宋体" w:hAnsi="宋体" w:eastAsia="宋体" w:cs="宋体"/>
          <w:sz w:val="24"/>
          <w:szCs w:val="24"/>
          <w:highlight w:val="none"/>
          <w:lang w:val="en-US" w:eastAsia="zh-CN"/>
        </w:rPr>
        <w:t>资料</w:t>
      </w:r>
      <w:r>
        <w:rPr>
          <w:rFonts w:hint="eastAsia" w:ascii="宋体" w:hAnsi="宋体" w:eastAsia="宋体" w:cs="宋体"/>
          <w:sz w:val="24"/>
          <w:szCs w:val="24"/>
          <w:highlight w:val="none"/>
        </w:rPr>
        <w:t>，得出本项目资金支出符合国家财经法规、《政府会计制度》《</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单位资金管理办法》《</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sz w:val="24"/>
          <w:szCs w:val="24"/>
          <w:highlight w:val="none"/>
          <w:lang w:val="en-US" w:eastAsia="zh-CN"/>
        </w:rPr>
        <w:t>我单位</w:t>
      </w:r>
      <w:r>
        <w:rPr>
          <w:rFonts w:hint="eastAsia" w:ascii="宋体" w:hAnsi="宋体" w:eastAsia="宋体" w:cs="宋体"/>
          <w:sz w:val="24"/>
          <w:szCs w:val="24"/>
          <w:highlight w:val="none"/>
        </w:rPr>
        <w:t>制定了相关的制度和管理规定对经费使用进行规范管理，财务制度健全、执行严格</w:t>
      </w:r>
      <w:r>
        <w:rPr>
          <w:rFonts w:hint="eastAsia" w:ascii="宋体" w:hAnsi="宋体" w:eastAsia="宋体" w:cs="宋体"/>
          <w:sz w:val="24"/>
          <w:szCs w:val="24"/>
          <w:highlight w:val="none"/>
          <w:lang w:eastAsia="zh-CN"/>
        </w:rPr>
        <w:t>。</w:t>
      </w:r>
    </w:p>
    <w:p w14:paraId="65B75064">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5837FC2">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216BCE6C">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我单位已制定《</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资金管理办法》《</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收支业务管理制度》《</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政府采购业务管理制度》《</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合同管理制度》，</w:t>
      </w:r>
      <w:r>
        <w:rPr>
          <w:rFonts w:hint="eastAsia" w:ascii="宋体" w:hAnsi="宋体" w:eastAsia="宋体" w:cs="宋体"/>
          <w:sz w:val="24"/>
          <w:szCs w:val="24"/>
          <w:highlight w:val="none"/>
          <w:lang w:val="en-US" w:eastAsia="zh-CN"/>
        </w:rPr>
        <w:t>相关</w:t>
      </w:r>
      <w:r>
        <w:rPr>
          <w:rFonts w:hint="eastAsia" w:ascii="宋体" w:hAnsi="宋体" w:eastAsia="宋体" w:cs="宋体"/>
          <w:sz w:val="24"/>
          <w:szCs w:val="24"/>
          <w:highlight w:val="none"/>
        </w:rPr>
        <w:t>制度均符合行政事业单位内控管理要求，财务和业务管理制度合法、合规、完整，本项目执行符合上述制度规定。</w:t>
      </w:r>
    </w:p>
    <w:p w14:paraId="3EA797B3">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分。</w:t>
      </w:r>
    </w:p>
    <w:p w14:paraId="78877B4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513296A1">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该项目的实施符合《</w:t>
      </w:r>
      <w:r>
        <w:rPr>
          <w:rFonts w:hint="eastAsia" w:ascii="宋体" w:hAnsi="宋体" w:eastAsia="宋体" w:cs="宋体"/>
          <w:sz w:val="24"/>
          <w:szCs w:val="24"/>
          <w:highlight w:val="none"/>
          <w:lang w:eastAsia="zh-CN"/>
        </w:rPr>
        <w:t>洛浦县市场开发建设管理中心</w:t>
      </w:r>
      <w:r>
        <w:rPr>
          <w:rFonts w:hint="eastAsia" w:ascii="宋体" w:hAnsi="宋体" w:eastAsia="宋体" w:cs="宋体"/>
          <w:sz w:val="24"/>
          <w:szCs w:val="24"/>
          <w:highlight w:val="none"/>
        </w:rPr>
        <w:t>资金管理办法办法》《</w:t>
      </w:r>
      <w:r>
        <w:rPr>
          <w:rFonts w:hint="eastAsia" w:ascii="宋体" w:hAnsi="宋体" w:eastAsia="宋体" w:cs="宋体"/>
          <w:sz w:val="24"/>
          <w:szCs w:val="24"/>
          <w:highlight w:val="none"/>
          <w:lang w:val="en-US" w:eastAsia="zh-CN"/>
        </w:rPr>
        <w:t>洛浦县市场开发建设管理中心</w:t>
      </w:r>
      <w:r>
        <w:rPr>
          <w:rFonts w:hint="eastAsia" w:ascii="宋体" w:hAnsi="宋体" w:eastAsia="宋体" w:cs="宋体"/>
          <w:sz w:val="24"/>
          <w:szCs w:val="24"/>
          <w:highlight w:val="none"/>
        </w:rPr>
        <w:t>管理制度》《</w:t>
      </w:r>
      <w:r>
        <w:rPr>
          <w:rFonts w:hint="eastAsia" w:ascii="宋体" w:hAnsi="宋体" w:eastAsia="宋体" w:cs="宋体"/>
          <w:sz w:val="24"/>
          <w:szCs w:val="24"/>
          <w:highlight w:val="none"/>
          <w:lang w:val="en-US" w:eastAsia="zh-CN"/>
        </w:rPr>
        <w:t>洛浦县市场开发建设管理中心</w:t>
      </w:r>
      <w:r>
        <w:rPr>
          <w:rFonts w:hint="eastAsia" w:ascii="宋体" w:hAnsi="宋体" w:eastAsia="宋体" w:cs="宋体"/>
          <w:sz w:val="24"/>
          <w:szCs w:val="24"/>
          <w:highlight w:val="none"/>
        </w:rPr>
        <w:t>采购业务管理制度》《</w:t>
      </w:r>
      <w:r>
        <w:rPr>
          <w:rFonts w:hint="eastAsia" w:ascii="宋体" w:hAnsi="宋体" w:eastAsia="宋体" w:cs="宋体"/>
          <w:sz w:val="24"/>
          <w:szCs w:val="24"/>
          <w:highlight w:val="none"/>
          <w:lang w:val="en-US" w:eastAsia="zh-CN"/>
        </w:rPr>
        <w:t>洛浦县市场开发建设管理中心</w:t>
      </w:r>
      <w:r>
        <w:rPr>
          <w:rFonts w:hint="eastAsia" w:ascii="宋体" w:hAnsi="宋体" w:eastAsia="宋体" w:cs="宋体"/>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会议纪要、项目资金支付审批表、记账凭证等资金拨付流程资料，项目资金拨付流程完整、手续齐全。该项目实施过程中不存在调整事项</w:t>
      </w:r>
      <w:r>
        <w:rPr>
          <w:rFonts w:hint="eastAsia" w:ascii="宋体" w:hAnsi="宋体" w:eastAsia="宋体" w:cs="宋体"/>
          <w:sz w:val="24"/>
          <w:szCs w:val="24"/>
          <w:highlight w:val="none"/>
          <w:lang w:val="en-US" w:eastAsia="zh-CN"/>
        </w:rPr>
        <w:t>；2024年12月项目结束，各类</w:t>
      </w:r>
      <w:r>
        <w:rPr>
          <w:rFonts w:hint="eastAsia" w:ascii="宋体" w:hAnsi="宋体" w:eastAsia="宋体" w:cs="宋体"/>
          <w:sz w:val="24"/>
          <w:szCs w:val="24"/>
          <w:highlight w:val="none"/>
        </w:rPr>
        <w:t>会议纪要、项目资金支付审批表、</w:t>
      </w:r>
      <w:r>
        <w:rPr>
          <w:rFonts w:hint="eastAsia" w:ascii="宋体" w:hAnsi="宋体" w:eastAsia="宋体" w:cs="宋体"/>
          <w:sz w:val="24"/>
          <w:szCs w:val="24"/>
          <w:highlight w:val="none"/>
          <w:lang w:eastAsia="zh-CN"/>
        </w:rPr>
        <w:t>合同、验收单、</w:t>
      </w:r>
      <w:r>
        <w:rPr>
          <w:rFonts w:hint="eastAsia" w:ascii="宋体" w:hAnsi="宋体" w:eastAsia="宋体" w:cs="宋体"/>
          <w:sz w:val="24"/>
          <w:szCs w:val="24"/>
          <w:highlight w:val="none"/>
        </w:rPr>
        <w:t>记账凭证等</w:t>
      </w:r>
      <w:r>
        <w:rPr>
          <w:rFonts w:hint="eastAsia" w:ascii="宋体" w:hAnsi="宋体" w:eastAsia="宋体" w:cs="宋体"/>
          <w:sz w:val="24"/>
          <w:szCs w:val="24"/>
          <w:highlight w:val="none"/>
          <w:lang w:eastAsia="zh-CN"/>
        </w:rPr>
        <w:t>财务</w:t>
      </w:r>
      <w:r>
        <w:rPr>
          <w:rFonts w:hint="eastAsia" w:ascii="宋体" w:hAnsi="宋体" w:eastAsia="宋体" w:cs="宋体"/>
          <w:sz w:val="24"/>
          <w:szCs w:val="24"/>
          <w:highlight w:val="none"/>
        </w:rPr>
        <w:t>资料齐全并及时归档</w:t>
      </w:r>
      <w:r>
        <w:rPr>
          <w:rFonts w:hint="eastAsia" w:ascii="宋体" w:hAnsi="宋体" w:eastAsia="宋体" w:cs="宋体"/>
          <w:sz w:val="24"/>
          <w:szCs w:val="24"/>
          <w:highlight w:val="none"/>
          <w:lang w:eastAsia="zh-CN"/>
        </w:rPr>
        <w:t>。</w:t>
      </w:r>
    </w:p>
    <w:p w14:paraId="534BC4F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根据评分标准，该指标不扣分，得</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分。</w:t>
      </w:r>
    </w:p>
    <w:p w14:paraId="34B55F19">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5E5AC1F8">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项目产出类指标包括产出数量、产出质量、产出时效本</w:t>
      </w:r>
      <w:r>
        <w:rPr>
          <w:rFonts w:hint="eastAsia" w:ascii="宋体" w:hAnsi="宋体" w:eastAsia="宋体" w:cs="宋体"/>
          <w:color w:val="auto"/>
          <w:sz w:val="24"/>
          <w:szCs w:val="24"/>
          <w:highlight w:val="none"/>
          <w:lang w:eastAsia="zh-CN"/>
        </w:rPr>
        <w:t>三</w:t>
      </w:r>
      <w:r>
        <w:rPr>
          <w:rFonts w:hint="eastAsia" w:ascii="宋体" w:hAnsi="宋体" w:eastAsia="宋体" w:cs="宋体"/>
          <w:color w:val="auto"/>
          <w:sz w:val="24"/>
          <w:szCs w:val="24"/>
          <w:highlight w:val="none"/>
        </w:rPr>
        <w:t>方面的内容，由</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100</w:t>
      </w:r>
      <w:r>
        <w:rPr>
          <w:rFonts w:hint="eastAsia" w:ascii="宋体" w:hAnsi="宋体" w:eastAsia="宋体" w:cs="宋体"/>
          <w:color w:val="auto"/>
          <w:sz w:val="24"/>
          <w:szCs w:val="24"/>
          <w:highlight w:val="none"/>
        </w:rPr>
        <w:t>%。</w:t>
      </w:r>
    </w:p>
    <w:p w14:paraId="242E856C">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147BEA0B">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安保人员配置数量，预期指标值</w:t>
      </w:r>
      <w:r>
        <w:rPr>
          <w:rFonts w:hint="eastAsia" w:ascii="宋体" w:hAnsi="宋体" w:eastAsia="宋体" w:cs="宋体"/>
          <w:color w:val="000000"/>
          <w:sz w:val="24"/>
          <w:szCs w:val="24"/>
          <w:highlight w:val="none"/>
          <w:lang w:val="en-US" w:eastAsia="zh-CN"/>
        </w:rPr>
        <w:t>大于等于</w:t>
      </w:r>
      <w:r>
        <w:rPr>
          <w:rFonts w:hint="eastAsia" w:ascii="宋体" w:hAnsi="宋体" w:eastAsia="宋体" w:cs="宋体"/>
          <w:color w:val="000000"/>
          <w:sz w:val="24"/>
          <w:szCs w:val="24"/>
          <w:highlight w:val="none"/>
        </w:rPr>
        <w:t>4人，实际完成值4人，指标完成率为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D53020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2D36137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79FF1796">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4B324BA1">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资金发放准确率，预期指标值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417719E3">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75D567F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23235A37">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项目开始时间，预期指标值2024年1月，实际完成值2024年1月，指标完成率为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507C5EE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项目完成时间，预期指标值2024年12月，实际完成值2024年12月，指标完成率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1E7EE9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资金拨付及时率，预期指标值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4</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4F92EE59">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47E8C5FB">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4432607D">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聘用人员工资，预期指标值</w:t>
      </w:r>
      <w:r>
        <w:rPr>
          <w:rFonts w:hint="eastAsia" w:ascii="宋体" w:hAnsi="宋体" w:eastAsia="宋体" w:cs="宋体"/>
          <w:color w:val="000000"/>
          <w:sz w:val="24"/>
          <w:szCs w:val="24"/>
          <w:highlight w:val="none"/>
          <w:lang w:val="en-US" w:eastAsia="zh-CN"/>
        </w:rPr>
        <w:t>小于等于</w:t>
      </w:r>
      <w:r>
        <w:rPr>
          <w:rFonts w:hint="eastAsia" w:ascii="宋体" w:hAnsi="宋体" w:eastAsia="宋体" w:cs="宋体"/>
          <w:color w:val="000000"/>
          <w:sz w:val="24"/>
          <w:szCs w:val="24"/>
          <w:highlight w:val="none"/>
        </w:rPr>
        <w:t>13.06万元，实际完成值为13.06万元，指标完成率</w:t>
      </w:r>
      <w:r>
        <w:rPr>
          <w:rFonts w:hint="eastAsia" w:ascii="宋体" w:hAnsi="宋体" w:eastAsia="宋体" w:cs="宋体"/>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10</w:t>
      </w:r>
      <w:r>
        <w:rPr>
          <w:rFonts w:hint="eastAsia" w:ascii="宋体" w:hAnsi="宋体" w:eastAsia="宋体" w:cs="宋体"/>
          <w:color w:val="000000"/>
          <w:sz w:val="24"/>
          <w:szCs w:val="24"/>
          <w:highlight w:val="none"/>
        </w:rPr>
        <w:t>分。</w:t>
      </w:r>
    </w:p>
    <w:p w14:paraId="09183A76">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合计得10分。</w:t>
      </w:r>
    </w:p>
    <w:p w14:paraId="728ED71E">
      <w:pPr>
        <w:pStyle w:val="48"/>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60F31C75">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项目效益类指标包括项目效益1个方面的内容，由</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个三级指标构成，权重分为2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分，实际得分2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分，得分率为100%。</w:t>
      </w:r>
      <w:bookmarkEnd w:id="16"/>
    </w:p>
    <w:p w14:paraId="3D372047">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7295C72B">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bCs w:val="0"/>
          <w:color w:val="000000"/>
          <w:sz w:val="24"/>
          <w:szCs w:val="24"/>
          <w:highlight w:val="none"/>
        </w:rPr>
        <w:t>保障聘用人员工作积极性，预期指标值为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有效保障</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15</w:t>
      </w:r>
      <w:r>
        <w:rPr>
          <w:rFonts w:hint="eastAsia" w:ascii="宋体" w:hAnsi="宋体" w:eastAsia="宋体" w:cs="宋体"/>
          <w:b w:val="0"/>
          <w:bCs w:val="0"/>
          <w:color w:val="000000"/>
          <w:sz w:val="24"/>
          <w:szCs w:val="24"/>
          <w:highlight w:val="none"/>
        </w:rPr>
        <w:t>分。</w:t>
      </w:r>
    </w:p>
    <w:p w14:paraId="3B5FF736">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62BBC98E">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lang w:val="en-US" w:eastAsia="zh-CN"/>
        </w:rPr>
        <w:t>该项目不涉及</w:t>
      </w:r>
      <w:r>
        <w:rPr>
          <w:rFonts w:hint="eastAsia" w:ascii="宋体" w:hAnsi="宋体" w:eastAsia="宋体" w:cs="宋体"/>
          <w:b w:val="0"/>
          <w:bCs w:val="0"/>
          <w:color w:val="000000"/>
          <w:sz w:val="24"/>
          <w:szCs w:val="24"/>
          <w:highlight w:val="none"/>
        </w:rPr>
        <w:t>经济效益指标</w:t>
      </w:r>
      <w:r>
        <w:rPr>
          <w:rFonts w:hint="eastAsia" w:ascii="宋体" w:hAnsi="宋体" w:eastAsia="宋体" w:cs="宋体"/>
          <w:b w:val="0"/>
          <w:bCs w:val="0"/>
          <w:color w:val="000000"/>
          <w:sz w:val="24"/>
          <w:szCs w:val="24"/>
          <w:highlight w:val="none"/>
          <w:lang w:val="en-US" w:eastAsia="zh-CN"/>
        </w:rPr>
        <w:t>。</w:t>
      </w:r>
    </w:p>
    <w:p w14:paraId="2CE8EBD4">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38C3B1E2">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该项目不涉及生态效益指标。</w:t>
      </w:r>
    </w:p>
    <w:p w14:paraId="4A7B1A10">
      <w:pPr>
        <w:pStyle w:val="45"/>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p>
    <w:p w14:paraId="2DB22FC9">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受益聘用人员满意度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95%</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0D36167F">
      <w:pPr>
        <w:pStyle w:val="1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24CD9D61">
      <w:pPr>
        <w:pStyle w:val="4"/>
        <w:pageBreakBefore w:val="0"/>
        <w:widowControl w:val="0"/>
        <w:kinsoku/>
        <w:wordWrap/>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rPr>
      </w:pPr>
      <w:r>
        <w:rPr>
          <w:rFonts w:hint="eastAsia" w:ascii="黑体" w:hAnsi="黑体" w:eastAsia="黑体" w:cs="黑体"/>
          <w:sz w:val="24"/>
          <w:szCs w:val="24"/>
        </w:rPr>
        <w:t>五、预算执行进度与绩效指标偏差情况</w:t>
      </w:r>
    </w:p>
    <w:p w14:paraId="18052D12">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本项目年初预算资金总额为</w:t>
      </w:r>
      <w:r>
        <w:rPr>
          <w:rFonts w:hint="eastAsia" w:ascii="宋体" w:hAnsi="宋体" w:eastAsia="宋体" w:cs="宋体"/>
          <w:sz w:val="24"/>
          <w:szCs w:val="24"/>
          <w:lang w:val="en-US" w:eastAsia="zh-CN"/>
        </w:rPr>
        <w:t>13.06</w:t>
      </w:r>
      <w:r>
        <w:rPr>
          <w:rFonts w:hint="eastAsia" w:ascii="宋体" w:hAnsi="宋体" w:eastAsia="宋体" w:cs="宋体"/>
          <w:sz w:val="24"/>
          <w:szCs w:val="24"/>
        </w:rPr>
        <w:t>万元，全年预算数为</w:t>
      </w:r>
      <w:r>
        <w:rPr>
          <w:rFonts w:hint="eastAsia" w:ascii="宋体" w:hAnsi="宋体" w:eastAsia="宋体" w:cs="宋体"/>
          <w:sz w:val="24"/>
          <w:szCs w:val="24"/>
          <w:lang w:val="en-US" w:eastAsia="zh-CN"/>
        </w:rPr>
        <w:t>13.06</w:t>
      </w:r>
      <w:r>
        <w:rPr>
          <w:rFonts w:hint="eastAsia" w:ascii="宋体" w:hAnsi="宋体" w:eastAsia="宋体" w:cs="宋体"/>
          <w:sz w:val="24"/>
          <w:szCs w:val="24"/>
        </w:rPr>
        <w:t>万元，全年执行数为</w:t>
      </w:r>
      <w:r>
        <w:rPr>
          <w:rFonts w:hint="eastAsia" w:ascii="宋体" w:hAnsi="宋体" w:eastAsia="宋体" w:cs="宋体"/>
          <w:sz w:val="24"/>
          <w:szCs w:val="24"/>
          <w:lang w:val="en-US" w:eastAsia="zh-CN"/>
        </w:rPr>
        <w:t>13.06</w:t>
      </w:r>
      <w:r>
        <w:rPr>
          <w:rFonts w:hint="eastAsia" w:ascii="宋体" w:hAnsi="宋体" w:eastAsia="宋体" w:cs="宋体"/>
          <w:sz w:val="24"/>
          <w:szCs w:val="24"/>
        </w:rPr>
        <w:t>万元，预算执行率为</w:t>
      </w:r>
      <w:r>
        <w:rPr>
          <w:rFonts w:hint="eastAsia" w:ascii="宋体" w:hAnsi="宋体" w:eastAsia="宋体" w:cs="宋体"/>
          <w:sz w:val="24"/>
          <w:szCs w:val="24"/>
          <w:lang w:val="en-US" w:eastAsia="zh-CN"/>
        </w:rPr>
        <w:t>100</w:t>
      </w:r>
      <w:r>
        <w:rPr>
          <w:rFonts w:hint="eastAsia" w:ascii="宋体" w:hAnsi="宋体" w:eastAsia="宋体" w:cs="宋体"/>
          <w:sz w:val="24"/>
          <w:szCs w:val="24"/>
        </w:rPr>
        <w:t>%。</w:t>
      </w:r>
    </w:p>
    <w:p w14:paraId="2D350403">
      <w:pPr>
        <w:pStyle w:val="45"/>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本项目共设置三级指标数量</w:t>
      </w:r>
      <w:r>
        <w:rPr>
          <w:rFonts w:hint="eastAsia" w:ascii="宋体" w:hAnsi="宋体" w:eastAsia="宋体" w:cs="宋体"/>
          <w:sz w:val="24"/>
          <w:szCs w:val="24"/>
          <w:lang w:val="en-US" w:eastAsia="zh-CN"/>
        </w:rPr>
        <w:t>9</w:t>
      </w:r>
      <w:r>
        <w:rPr>
          <w:rFonts w:hint="eastAsia" w:ascii="宋体" w:hAnsi="宋体" w:eastAsia="宋体" w:cs="宋体"/>
          <w:sz w:val="24"/>
          <w:szCs w:val="24"/>
        </w:rPr>
        <w:t>个，满分指标数量</w:t>
      </w:r>
      <w:r>
        <w:rPr>
          <w:rFonts w:hint="eastAsia" w:ascii="宋体" w:hAnsi="宋体" w:eastAsia="宋体" w:cs="宋体"/>
          <w:sz w:val="24"/>
          <w:szCs w:val="24"/>
          <w:lang w:val="en-US" w:eastAsia="zh-CN"/>
        </w:rPr>
        <w:t>9</w:t>
      </w:r>
      <w:r>
        <w:rPr>
          <w:rFonts w:hint="eastAsia" w:ascii="宋体" w:hAnsi="宋体" w:eastAsia="宋体" w:cs="宋体"/>
          <w:sz w:val="24"/>
          <w:szCs w:val="24"/>
        </w:rPr>
        <w:t>个，</w:t>
      </w:r>
      <w:r>
        <w:rPr>
          <w:rFonts w:hint="eastAsia" w:ascii="宋体" w:hAnsi="宋体" w:eastAsia="宋体" w:cs="宋体"/>
          <w:color w:val="000000"/>
          <w:sz w:val="24"/>
          <w:szCs w:val="24"/>
          <w:highlight w:val="none"/>
        </w:rPr>
        <w:t>扣分指标数量</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个</w:t>
      </w:r>
      <w:r>
        <w:rPr>
          <w:rFonts w:hint="eastAsia" w:ascii="宋体" w:hAnsi="宋体" w:eastAsia="宋体" w:cs="宋体"/>
          <w:sz w:val="24"/>
          <w:szCs w:val="24"/>
          <w:lang w:eastAsia="zh-CN"/>
        </w:rPr>
        <w:t>，</w:t>
      </w:r>
      <w:r>
        <w:rPr>
          <w:rFonts w:hint="eastAsia" w:ascii="宋体" w:hAnsi="宋体" w:eastAsia="宋体" w:cs="宋体"/>
          <w:color w:val="000000"/>
          <w:sz w:val="24"/>
          <w:szCs w:val="24"/>
          <w:highlight w:val="none"/>
        </w:rPr>
        <w:t>经分析计算所有三级指标完成率得出，本项目总体完成率为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15CB8B64">
      <w:pPr>
        <w:pStyle w:val="45"/>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sz w:val="24"/>
          <w:szCs w:val="24"/>
        </w:rPr>
      </w:pPr>
      <w:r>
        <w:rPr>
          <w:rFonts w:hint="eastAsia" w:ascii="宋体" w:hAnsi="宋体" w:eastAsia="宋体" w:cs="宋体"/>
          <w:sz w:val="24"/>
          <w:szCs w:val="24"/>
        </w:rPr>
        <w:t>综上所述本项目预算执行率与总体完成率之间</w:t>
      </w:r>
      <w:r>
        <w:rPr>
          <w:rFonts w:hint="eastAsia" w:ascii="宋体" w:hAnsi="宋体" w:eastAsia="宋体" w:cs="宋体"/>
          <w:sz w:val="24"/>
          <w:szCs w:val="24"/>
          <w:lang w:val="en-US" w:eastAsia="zh-CN"/>
        </w:rPr>
        <w:t>无偏差</w:t>
      </w:r>
      <w:r>
        <w:rPr>
          <w:rFonts w:hint="eastAsia" w:ascii="宋体" w:hAnsi="宋体" w:eastAsia="宋体" w:cs="宋体"/>
          <w:sz w:val="24"/>
          <w:szCs w:val="24"/>
        </w:rPr>
        <w:t>。</w:t>
      </w:r>
    </w:p>
    <w:p w14:paraId="214F1741">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bookmarkStart w:id="17" w:name="_Toc68364673"/>
      <w:r>
        <w:rPr>
          <w:rFonts w:hint="eastAsia" w:ascii="宋体" w:hAnsi="宋体" w:eastAsia="宋体" w:cs="宋体"/>
          <w:sz w:val="24"/>
          <w:szCs w:val="24"/>
        </w:rPr>
        <w:t>六、主要经验及做法、存在的问题及原因分析</w:t>
      </w:r>
    </w:p>
    <w:p w14:paraId="3FB0AF60">
      <w:pPr>
        <w:pStyle w:val="48"/>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（一）主要经验及做法</w:t>
      </w:r>
      <w:bookmarkEnd w:id="17"/>
    </w:p>
    <w:p w14:paraId="05BF7D23">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一是本项目能够严格按照《项目实施方案》执行，项目执行情况较好。</w:t>
      </w:r>
    </w:p>
    <w:p w14:paraId="4C09DE0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二是加强组织领导，本项目绩效评价工作，有主要领导亲自挂帅，分管领导具体负责，从项目到资金，均能够很好的执行。</w:t>
      </w:r>
    </w:p>
    <w:p w14:paraId="7499A4C7">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三是加强沟通协调，我单位及时向领导汇报项目建设进度，加强与施工单位的沟通，确保项目按期完工。</w:t>
      </w:r>
    </w:p>
    <w:p w14:paraId="564C13EB">
      <w:pPr>
        <w:pStyle w:val="48"/>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FF0000"/>
          <w:sz w:val="24"/>
          <w:szCs w:val="24"/>
        </w:rPr>
      </w:pPr>
      <w:bookmarkStart w:id="18" w:name="_Toc68364674"/>
      <w:r>
        <w:rPr>
          <w:rFonts w:hint="eastAsia" w:ascii="宋体" w:hAnsi="宋体" w:eastAsia="宋体" w:cs="宋体"/>
          <w:sz w:val="24"/>
          <w:szCs w:val="24"/>
        </w:rPr>
        <w:t>（二）存在问题及原因分析</w:t>
      </w:r>
      <w:bookmarkEnd w:id="18"/>
    </w:p>
    <w:p w14:paraId="4F48293D">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一是对各项指标和指标值要进一步优化、完善，主要在细化、量化上改进</w:t>
      </w:r>
      <w:r>
        <w:rPr>
          <w:rFonts w:hint="eastAsia" w:ascii="宋体" w:hAnsi="宋体" w:eastAsia="宋体" w:cs="宋体"/>
          <w:color w:val="auto"/>
          <w:sz w:val="24"/>
          <w:szCs w:val="24"/>
          <w:lang w:eastAsia="zh-CN"/>
        </w:rPr>
        <w:t>；</w:t>
      </w:r>
    </w:p>
    <w:p w14:paraId="4C3DB6E1">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二是</w:t>
      </w:r>
      <w:r>
        <w:rPr>
          <w:rFonts w:hint="eastAsia" w:ascii="宋体" w:hAnsi="宋体" w:eastAsia="宋体" w:cs="宋体"/>
          <w:color w:val="auto"/>
          <w:sz w:val="24"/>
          <w:szCs w:val="24"/>
          <w:lang w:val="en-US" w:eastAsia="zh-CN"/>
        </w:rPr>
        <w:t>部门</w:t>
      </w:r>
      <w:r>
        <w:rPr>
          <w:rFonts w:hint="eastAsia" w:ascii="宋体" w:hAnsi="宋体" w:eastAsia="宋体" w:cs="宋体"/>
          <w:color w:val="auto"/>
          <w:sz w:val="24"/>
          <w:szCs w:val="24"/>
        </w:rPr>
        <w:t>评价工作还存在自我审定的局限性，会影响评价质量，容易造成问题的疏漏，在客观性和公正性上说服力不强</w:t>
      </w:r>
      <w:r>
        <w:rPr>
          <w:rFonts w:hint="eastAsia" w:ascii="宋体" w:hAnsi="宋体" w:eastAsia="宋体" w:cs="宋体"/>
          <w:color w:val="auto"/>
          <w:sz w:val="24"/>
          <w:szCs w:val="24"/>
          <w:lang w:eastAsia="zh-CN"/>
        </w:rPr>
        <w:t>；</w:t>
      </w:r>
    </w:p>
    <w:p w14:paraId="517B74D4">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三是缺少带着问题去评价的意识</w:t>
      </w:r>
      <w:r>
        <w:rPr>
          <w:rFonts w:hint="eastAsia" w:ascii="宋体" w:hAnsi="宋体" w:eastAsia="宋体" w:cs="宋体"/>
          <w:color w:val="auto"/>
          <w:sz w:val="24"/>
          <w:szCs w:val="24"/>
          <w:lang w:eastAsia="zh-CN"/>
        </w:rPr>
        <w:t>；</w:t>
      </w:r>
    </w:p>
    <w:p w14:paraId="28C9FE9C">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四是现场评价的工作量少，后续效益评价具体措施和方法较少。</w:t>
      </w:r>
    </w:p>
    <w:p w14:paraId="219228A8">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color w:val="FF0000"/>
          <w:sz w:val="24"/>
          <w:szCs w:val="24"/>
        </w:rPr>
      </w:pPr>
      <w:bookmarkStart w:id="19" w:name="_Toc68364675"/>
      <w:r>
        <w:rPr>
          <w:rFonts w:hint="eastAsia" w:ascii="黑体" w:hAnsi="黑体" w:eastAsia="黑体" w:cs="黑体"/>
          <w:sz w:val="24"/>
          <w:szCs w:val="24"/>
        </w:rPr>
        <w:t>七、有关建议</w:t>
      </w:r>
      <w:bookmarkEnd w:id="19"/>
    </w:p>
    <w:p w14:paraId="14F0AD0C">
      <w:pPr>
        <w:pStyle w:val="45"/>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5FA28BAA">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2.项目评价资料有待进一步完善。项目启动时同步做好档案的归纳与整理，及时整理、收集、汇总，健全档案资料。项目后续管理有待进一步加强和跟踪。</w:t>
      </w:r>
    </w:p>
    <w:p w14:paraId="7DAB8898">
      <w:pPr>
        <w:pStyle w:val="45"/>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3.通过绩效管理，发现实施中存在漏洞，以后加强管理，及时掌握与之相关的各类信息，减少成本，使资金效益最大化。</w:t>
      </w:r>
    </w:p>
    <w:p w14:paraId="28396F9A">
      <w:pPr>
        <w:pStyle w:val="45"/>
        <w:pageBreakBefore w:val="0"/>
        <w:widowControl w:val="0"/>
        <w:kinsoku/>
        <w:wordWrap/>
        <w:overflowPunct/>
        <w:topLinePunct w:val="0"/>
        <w:autoSpaceDE/>
        <w:autoSpaceDN/>
        <w:bidi w:val="0"/>
        <w:adjustRightInd/>
        <w:snapToGrid/>
        <w:spacing w:line="360" w:lineRule="auto"/>
        <w:ind w:left="476" w:leftChars="170" w:firstLine="0" w:firstLineChars="0"/>
        <w:jc w:val="both"/>
        <w:textAlignment w:val="auto"/>
        <w:rPr>
          <w:rFonts w:hint="eastAsia" w:ascii="宋体" w:hAnsi="宋体" w:eastAsia="宋体" w:cs="宋体"/>
          <w:sz w:val="24"/>
          <w:szCs w:val="24"/>
        </w:rPr>
      </w:pPr>
      <w:r>
        <w:rPr>
          <w:rFonts w:hint="eastAsia" w:ascii="宋体" w:hAnsi="宋体" w:eastAsia="宋体" w:cs="宋体"/>
          <w:color w:val="auto"/>
          <w:sz w:val="24"/>
          <w:szCs w:val="24"/>
        </w:rPr>
        <w:t>4．评价工作应从项目实施方案源头抓起，评价工作和意识应贯穿项目整个过程。</w:t>
      </w:r>
      <w:bookmarkStart w:id="20" w:name="_Toc68364676"/>
    </w:p>
    <w:p w14:paraId="49583612">
      <w:pPr>
        <w:pStyle w:val="4"/>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宋体" w:hAnsi="宋体" w:eastAsia="宋体" w:cs="宋体"/>
          <w:sz w:val="24"/>
          <w:szCs w:val="24"/>
        </w:rPr>
      </w:pPr>
      <w:r>
        <w:rPr>
          <w:rFonts w:hint="eastAsia" w:ascii="宋体" w:hAnsi="宋体" w:eastAsia="宋体" w:cs="宋体"/>
          <w:sz w:val="24"/>
          <w:szCs w:val="24"/>
        </w:rPr>
        <w:t>八、其他需要说明的问题</w:t>
      </w:r>
      <w:bookmarkEnd w:id="20"/>
    </w:p>
    <w:p w14:paraId="48168E91">
      <w:pPr>
        <w:pStyle w:val="45"/>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我单位对上述项目支出绩效评价报告内反映内容的真实性、完整性负责，</w:t>
      </w:r>
      <w:r>
        <w:rPr>
          <w:rFonts w:hint="eastAsia" w:ascii="宋体" w:hAnsi="宋体" w:eastAsia="宋体" w:cs="宋体"/>
          <w:color w:val="auto"/>
          <w:sz w:val="24"/>
          <w:szCs w:val="24"/>
          <w:lang w:val="en-US" w:eastAsia="zh-CN"/>
        </w:rPr>
        <w:t>愿</w:t>
      </w:r>
      <w:r>
        <w:rPr>
          <w:rFonts w:hint="eastAsia" w:ascii="宋体" w:hAnsi="宋体" w:eastAsia="宋体" w:cs="宋体"/>
          <w:color w:val="auto"/>
          <w:sz w:val="24"/>
          <w:szCs w:val="24"/>
        </w:rPr>
        <w:t>接受上级部门及社会公众监督。</w:t>
      </w:r>
    </w:p>
    <w:p w14:paraId="6808D123">
      <w:pPr>
        <w:pStyle w:val="45"/>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rPr>
      </w:pPr>
    </w:p>
    <w:p w14:paraId="07EA4312">
      <w:pPr>
        <w:pStyle w:val="45"/>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附件1：2024年聘用人员工资项目绩效评价指标体系</w:t>
      </w:r>
    </w:p>
    <w:p w14:paraId="70BEBAD1">
      <w:pPr>
        <w:pStyle w:val="45"/>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附件2：2024年聘用人员工资项目综合得分表</w:t>
      </w:r>
    </w:p>
    <w:p w14:paraId="3C524EF8">
      <w:pPr>
        <w:pStyle w:val="45"/>
        <w:pageBreakBefore w:val="0"/>
        <w:widowControl w:val="0"/>
        <w:kinsoku/>
        <w:wordWrap/>
        <w:overflowPunct/>
        <w:topLinePunct w:val="0"/>
        <w:autoSpaceDE/>
        <w:autoSpaceDN/>
        <w:bidi w:val="0"/>
        <w:adjustRightInd/>
        <w:snapToGrid/>
        <w:spacing w:line="360" w:lineRule="auto"/>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附件3：满意度调查问分析情况</w:t>
      </w:r>
    </w:p>
    <w:p w14:paraId="11D53EEB">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sz w:val="24"/>
          <w:szCs w:val="24"/>
        </w:rPr>
      </w:pPr>
    </w:p>
    <w:p w14:paraId="0941E9CA">
      <w:pPr>
        <w:pStyle w:val="10"/>
        <w:ind w:left="0" w:leftChars="0" w:firstLine="0" w:firstLineChars="0"/>
        <w:jc w:val="both"/>
        <w:rPr>
          <w:rFonts w:hint="eastAsia" w:ascii="宋体" w:hAnsi="宋体" w:eastAsia="宋体" w:cs="宋体"/>
          <w:sz w:val="24"/>
          <w:szCs w:val="24"/>
        </w:rPr>
      </w:pPr>
    </w:p>
    <w:p w14:paraId="421AEAF5">
      <w:pPr>
        <w:pStyle w:val="10"/>
        <w:ind w:left="0" w:leftChars="0" w:firstLine="0" w:firstLineChars="0"/>
        <w:jc w:val="both"/>
        <w:rPr>
          <w:rFonts w:hint="eastAsia" w:ascii="宋体" w:hAnsi="宋体" w:eastAsia="宋体" w:cs="宋体"/>
          <w:sz w:val="24"/>
          <w:szCs w:val="24"/>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3"/>
        <w:tblpPr w:leftFromText="180" w:rightFromText="180" w:vertAnchor="text" w:horzAnchor="page" w:tblpX="1733" w:tblpY="347"/>
        <w:tblOverlap w:val="never"/>
        <w:tblW w:w="14213"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58"/>
        <w:gridCol w:w="495"/>
        <w:gridCol w:w="615"/>
        <w:gridCol w:w="510"/>
        <w:gridCol w:w="900"/>
        <w:gridCol w:w="585"/>
        <w:gridCol w:w="2725"/>
        <w:gridCol w:w="885"/>
        <w:gridCol w:w="4959"/>
        <w:gridCol w:w="1026"/>
        <w:gridCol w:w="855"/>
      </w:tblGrid>
      <w:tr w14:paraId="387EAFB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14213" w:type="dxa"/>
            <w:gridSpan w:val="11"/>
            <w:tcBorders>
              <w:top w:val="nil"/>
              <w:left w:val="nil"/>
              <w:bottom w:val="single" w:color="auto" w:sz="4" w:space="0"/>
              <w:right w:val="nil"/>
            </w:tcBorders>
            <w:noWrap w:val="0"/>
            <w:vAlign w:val="center"/>
          </w:tcPr>
          <w:p w14:paraId="6B01C5A3">
            <w:pPr>
              <w:keepNext w:val="0"/>
              <w:keepLines w:val="0"/>
              <w:pageBreakBefore w:val="0"/>
              <w:widowControl w:val="0"/>
              <w:suppressLineNumbers w:val="0"/>
              <w:kinsoku/>
              <w:wordWrap/>
              <w:overflowPunct/>
              <w:topLinePunct w:val="0"/>
              <w:autoSpaceDE/>
              <w:autoSpaceDN/>
              <w:bidi w:val="0"/>
              <w:adjustRightInd/>
              <w:snapToGrid/>
              <w:spacing w:line="240" w:lineRule="exact"/>
              <w:ind w:left="0" w:leftChars="0" w:firstLine="0" w:firstLineChars="0"/>
              <w:jc w:val="both"/>
              <w:textAlignment w:val="center"/>
              <w:rPr>
                <w:rFonts w:hint="eastAsia" w:ascii="宋体" w:hAnsi="宋体" w:eastAsia="宋体" w:cs="宋体"/>
                <w:b/>
                <w:bCs/>
                <w:i w:val="0"/>
                <w:iCs w:val="0"/>
                <w:color w:val="000000"/>
                <w:kern w:val="0"/>
                <w:sz w:val="21"/>
                <w:szCs w:val="21"/>
                <w:u w:val="none"/>
                <w:lang w:val="en-US" w:eastAsia="zh-CN"/>
              </w:rPr>
            </w:pPr>
            <w:r>
              <w:rPr>
                <w:rFonts w:hint="eastAsia" w:ascii="宋体" w:hAnsi="宋体" w:eastAsia="宋体" w:cs="宋体"/>
                <w:b/>
                <w:bCs/>
                <w:i w:val="0"/>
                <w:iCs w:val="0"/>
                <w:color w:val="000000"/>
                <w:kern w:val="0"/>
                <w:sz w:val="21"/>
                <w:szCs w:val="21"/>
                <w:u w:val="none"/>
                <w:lang w:val="en-US" w:eastAsia="zh-CN"/>
              </w:rPr>
              <w:t>附件1：</w:t>
            </w:r>
          </w:p>
          <w:p w14:paraId="0EAAF8A9">
            <w:pPr>
              <w:keepNext w:val="0"/>
              <w:keepLines w:val="0"/>
              <w:pageBreakBefore w:val="0"/>
              <w:widowControl w:val="0"/>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4"/>
                <w:szCs w:val="24"/>
                <w:highlight w:val="none"/>
                <w:u w:val="none"/>
                <w:lang w:val="en-US" w:eastAsia="zh-CN"/>
              </w:rPr>
              <w:t>洛浦县市场开发建设管理中心2024年聘用人员工资项目绩效评价指标体系综合评分表</w:t>
            </w:r>
          </w:p>
        </w:tc>
      </w:tr>
      <w:tr w14:paraId="01EA65F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tcBorders>
              <w:top w:val="single" w:color="auto" w:sz="4" w:space="0"/>
              <w:bottom w:val="single" w:color="auto" w:sz="4" w:space="0"/>
              <w:right w:val="single" w:color="auto" w:sz="4" w:space="0"/>
            </w:tcBorders>
            <w:noWrap w:val="0"/>
            <w:vAlign w:val="center"/>
          </w:tcPr>
          <w:p w14:paraId="181234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495" w:type="dxa"/>
            <w:tcBorders>
              <w:top w:val="single" w:color="auto" w:sz="4" w:space="0"/>
              <w:left w:val="single" w:color="auto" w:sz="4" w:space="0"/>
              <w:bottom w:val="single" w:color="auto" w:sz="4" w:space="0"/>
              <w:right w:val="single" w:color="auto" w:sz="4" w:space="0"/>
            </w:tcBorders>
            <w:noWrap w:val="0"/>
            <w:vAlign w:val="center"/>
          </w:tcPr>
          <w:p w14:paraId="443832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615" w:type="dxa"/>
            <w:tcBorders>
              <w:top w:val="single" w:color="auto" w:sz="4" w:space="0"/>
              <w:left w:val="single" w:color="auto" w:sz="4" w:space="0"/>
              <w:bottom w:val="single" w:color="auto" w:sz="4" w:space="0"/>
              <w:right w:val="single" w:color="auto" w:sz="4" w:space="0"/>
            </w:tcBorders>
            <w:noWrap w:val="0"/>
            <w:vAlign w:val="center"/>
          </w:tcPr>
          <w:p w14:paraId="6DF642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510" w:type="dxa"/>
            <w:tcBorders>
              <w:top w:val="single" w:color="auto" w:sz="4" w:space="0"/>
              <w:left w:val="single" w:color="auto" w:sz="4" w:space="0"/>
              <w:bottom w:val="single" w:color="auto" w:sz="4" w:space="0"/>
              <w:right w:val="single" w:color="auto" w:sz="4" w:space="0"/>
            </w:tcBorders>
            <w:noWrap w:val="0"/>
            <w:vAlign w:val="center"/>
          </w:tcPr>
          <w:p w14:paraId="2EC0B5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548A5C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50B656C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0C2366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4EC5A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02B7A2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EA92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855" w:type="dxa"/>
            <w:tcBorders>
              <w:top w:val="single" w:color="auto" w:sz="4" w:space="0"/>
              <w:left w:val="single" w:color="auto" w:sz="4" w:space="0"/>
              <w:bottom w:val="single" w:color="auto" w:sz="4" w:space="0"/>
            </w:tcBorders>
            <w:noWrap w:val="0"/>
            <w:vAlign w:val="center"/>
          </w:tcPr>
          <w:p w14:paraId="3E7362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kern w:val="0"/>
                <w:sz w:val="18"/>
                <w:szCs w:val="18"/>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rPr>
              <w:t>得分</w:t>
            </w:r>
          </w:p>
        </w:tc>
      </w:tr>
      <w:tr w14:paraId="253A80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restart"/>
            <w:tcBorders>
              <w:top w:val="single" w:color="auto" w:sz="4" w:space="0"/>
              <w:bottom w:val="single" w:color="auto" w:sz="4" w:space="0"/>
              <w:right w:val="single" w:color="auto" w:sz="4" w:space="0"/>
            </w:tcBorders>
            <w:noWrap w:val="0"/>
            <w:vAlign w:val="center"/>
          </w:tcPr>
          <w:p w14:paraId="20CD75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项目决策</w:t>
            </w:r>
          </w:p>
        </w:tc>
        <w:tc>
          <w:tcPr>
            <w:tcW w:w="495" w:type="dxa"/>
            <w:vMerge w:val="restart"/>
            <w:tcBorders>
              <w:top w:val="single" w:color="auto" w:sz="4" w:space="0"/>
              <w:left w:val="single" w:color="auto" w:sz="4" w:space="0"/>
              <w:bottom w:val="single" w:color="auto" w:sz="4" w:space="0"/>
              <w:right w:val="single" w:color="auto" w:sz="4" w:space="0"/>
            </w:tcBorders>
            <w:noWrap w:val="0"/>
            <w:vAlign w:val="center"/>
          </w:tcPr>
          <w:p w14:paraId="0D3FA3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23</w:t>
            </w: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4562E5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w:t>
            </w:r>
          </w:p>
        </w:tc>
        <w:tc>
          <w:tcPr>
            <w:tcW w:w="510" w:type="dxa"/>
            <w:vMerge w:val="restart"/>
            <w:tcBorders>
              <w:top w:val="single" w:color="auto" w:sz="4" w:space="0"/>
              <w:left w:val="single" w:color="auto" w:sz="4" w:space="0"/>
              <w:bottom w:val="single" w:color="auto" w:sz="8" w:space="0"/>
              <w:right w:val="single" w:color="auto" w:sz="8" w:space="0"/>
            </w:tcBorders>
            <w:noWrap w:val="0"/>
            <w:vAlign w:val="center"/>
          </w:tcPr>
          <w:p w14:paraId="23E151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900" w:type="dxa"/>
            <w:tcBorders>
              <w:top w:val="single" w:color="auto" w:sz="4" w:space="0"/>
              <w:left w:val="nil"/>
              <w:bottom w:val="single" w:color="auto" w:sz="8" w:space="0"/>
              <w:right w:val="single" w:color="auto" w:sz="8" w:space="0"/>
            </w:tcBorders>
            <w:noWrap w:val="0"/>
            <w:vAlign w:val="center"/>
          </w:tcPr>
          <w:p w14:paraId="09D7F94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585" w:type="dxa"/>
            <w:tcBorders>
              <w:top w:val="single" w:color="auto" w:sz="4" w:space="0"/>
              <w:left w:val="nil"/>
              <w:bottom w:val="single" w:color="auto" w:sz="8" w:space="0"/>
              <w:right w:val="single" w:color="auto" w:sz="8" w:space="0"/>
            </w:tcBorders>
            <w:noWrap w:val="0"/>
            <w:vAlign w:val="center"/>
          </w:tcPr>
          <w:p w14:paraId="0E9AB1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725" w:type="dxa"/>
            <w:tcBorders>
              <w:top w:val="single" w:color="auto" w:sz="4" w:space="0"/>
              <w:left w:val="nil"/>
              <w:bottom w:val="single" w:color="auto" w:sz="8" w:space="0"/>
              <w:right w:val="single" w:color="auto" w:sz="8" w:space="0"/>
            </w:tcBorders>
            <w:noWrap w:val="0"/>
            <w:vAlign w:val="center"/>
          </w:tcPr>
          <w:p w14:paraId="40CC481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885" w:type="dxa"/>
            <w:tcBorders>
              <w:top w:val="single" w:color="auto" w:sz="4" w:space="0"/>
              <w:left w:val="nil"/>
              <w:bottom w:val="single" w:color="auto" w:sz="8" w:space="0"/>
              <w:right w:val="single" w:color="auto" w:sz="8" w:space="0"/>
            </w:tcBorders>
            <w:noWrap w:val="0"/>
            <w:vAlign w:val="center"/>
          </w:tcPr>
          <w:p w14:paraId="3E22711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4959" w:type="dxa"/>
            <w:tcBorders>
              <w:top w:val="single" w:color="auto" w:sz="4" w:space="0"/>
              <w:left w:val="nil"/>
              <w:bottom w:val="single" w:color="auto" w:sz="8" w:space="0"/>
              <w:right w:val="single" w:color="auto" w:sz="8" w:space="0"/>
            </w:tcBorders>
            <w:noWrap w:val="0"/>
            <w:vAlign w:val="center"/>
          </w:tcPr>
          <w:p w14:paraId="1A3E44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6F8F3C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42FA8F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1C9C81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666B77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6DF474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1026" w:type="dxa"/>
            <w:tcBorders>
              <w:top w:val="single" w:color="auto" w:sz="4" w:space="0"/>
              <w:left w:val="nil"/>
              <w:bottom w:val="single" w:color="auto" w:sz="8" w:space="0"/>
              <w:right w:val="single" w:color="auto" w:sz="8" w:space="0"/>
            </w:tcBorders>
            <w:noWrap w:val="0"/>
            <w:vAlign w:val="center"/>
          </w:tcPr>
          <w:p w14:paraId="408577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充分</w:t>
            </w:r>
          </w:p>
        </w:tc>
        <w:tc>
          <w:tcPr>
            <w:tcW w:w="855" w:type="dxa"/>
            <w:tcBorders>
              <w:top w:val="single" w:color="auto" w:sz="4" w:space="0"/>
              <w:left w:val="nil"/>
              <w:bottom w:val="single" w:color="auto" w:sz="8" w:space="0"/>
            </w:tcBorders>
            <w:noWrap w:val="0"/>
            <w:vAlign w:val="center"/>
          </w:tcPr>
          <w:p w14:paraId="3A2EA7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747DB46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62" w:hRule="atLeast"/>
        </w:trPr>
        <w:tc>
          <w:tcPr>
            <w:tcW w:w="658" w:type="dxa"/>
            <w:vMerge w:val="continue"/>
            <w:tcBorders>
              <w:top w:val="single" w:color="auto" w:sz="4" w:space="0"/>
              <w:bottom w:val="single" w:color="auto" w:sz="4" w:space="0"/>
              <w:right w:val="single" w:color="auto" w:sz="4" w:space="0"/>
            </w:tcBorders>
            <w:noWrap w:val="0"/>
            <w:vAlign w:val="center"/>
          </w:tcPr>
          <w:p w14:paraId="1B8696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1AAB84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370BFB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nil"/>
              <w:left w:val="single" w:color="auto" w:sz="4" w:space="0"/>
              <w:bottom w:val="single" w:color="auto" w:sz="4" w:space="0"/>
              <w:right w:val="single" w:color="auto" w:sz="8" w:space="0"/>
            </w:tcBorders>
            <w:noWrap w:val="0"/>
            <w:vAlign w:val="center"/>
          </w:tcPr>
          <w:p w14:paraId="52C64A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nil"/>
              <w:left w:val="nil"/>
              <w:bottom w:val="single" w:color="auto" w:sz="4" w:space="0"/>
              <w:right w:val="single" w:color="auto" w:sz="8" w:space="0"/>
            </w:tcBorders>
            <w:noWrap w:val="0"/>
            <w:vAlign w:val="center"/>
          </w:tcPr>
          <w:p w14:paraId="637FD7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585" w:type="dxa"/>
            <w:tcBorders>
              <w:top w:val="nil"/>
              <w:left w:val="nil"/>
              <w:bottom w:val="single" w:color="auto" w:sz="4" w:space="0"/>
              <w:right w:val="single" w:color="auto" w:sz="8" w:space="0"/>
            </w:tcBorders>
            <w:noWrap w:val="0"/>
            <w:vAlign w:val="center"/>
          </w:tcPr>
          <w:p w14:paraId="384A89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25" w:type="dxa"/>
            <w:tcBorders>
              <w:top w:val="nil"/>
              <w:left w:val="nil"/>
              <w:bottom w:val="single" w:color="auto" w:sz="4" w:space="0"/>
              <w:right w:val="single" w:color="auto" w:sz="8" w:space="0"/>
            </w:tcBorders>
            <w:noWrap w:val="0"/>
            <w:vAlign w:val="center"/>
          </w:tcPr>
          <w:p w14:paraId="4C4A00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885" w:type="dxa"/>
            <w:tcBorders>
              <w:top w:val="nil"/>
              <w:left w:val="nil"/>
              <w:bottom w:val="single" w:color="auto" w:sz="4" w:space="0"/>
              <w:right w:val="single" w:color="auto" w:sz="8" w:space="0"/>
            </w:tcBorders>
            <w:noWrap w:val="0"/>
            <w:vAlign w:val="center"/>
          </w:tcPr>
          <w:p w14:paraId="11200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4959" w:type="dxa"/>
            <w:tcBorders>
              <w:top w:val="nil"/>
              <w:left w:val="nil"/>
              <w:bottom w:val="single" w:color="auto" w:sz="4" w:space="0"/>
              <w:right w:val="single" w:color="auto" w:sz="8" w:space="0"/>
            </w:tcBorders>
            <w:noWrap w:val="0"/>
            <w:vAlign w:val="center"/>
          </w:tcPr>
          <w:p w14:paraId="79138A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271D869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48C3F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56AA7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1026" w:type="dxa"/>
            <w:tcBorders>
              <w:top w:val="nil"/>
              <w:left w:val="nil"/>
              <w:bottom w:val="single" w:color="auto" w:sz="4" w:space="0"/>
              <w:right w:val="single" w:color="auto" w:sz="8" w:space="0"/>
            </w:tcBorders>
            <w:noWrap w:val="0"/>
            <w:vAlign w:val="center"/>
          </w:tcPr>
          <w:p w14:paraId="6303D77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规范</w:t>
            </w:r>
          </w:p>
        </w:tc>
        <w:tc>
          <w:tcPr>
            <w:tcW w:w="855" w:type="dxa"/>
            <w:tcBorders>
              <w:top w:val="nil"/>
              <w:left w:val="nil"/>
              <w:bottom w:val="single" w:color="auto" w:sz="4" w:space="0"/>
            </w:tcBorders>
            <w:noWrap w:val="0"/>
            <w:vAlign w:val="center"/>
          </w:tcPr>
          <w:p w14:paraId="7265EE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E15A9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09" w:hRule="atLeast"/>
        </w:trPr>
        <w:tc>
          <w:tcPr>
            <w:tcW w:w="658" w:type="dxa"/>
            <w:vMerge w:val="continue"/>
            <w:tcBorders>
              <w:top w:val="single" w:color="auto" w:sz="4" w:space="0"/>
              <w:bottom w:val="single" w:color="auto" w:sz="4" w:space="0"/>
              <w:right w:val="single" w:color="auto" w:sz="4" w:space="0"/>
            </w:tcBorders>
            <w:noWrap w:val="0"/>
            <w:vAlign w:val="center"/>
          </w:tcPr>
          <w:p w14:paraId="238EA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68B193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22AF0D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w:t>
            </w:r>
          </w:p>
        </w:tc>
        <w:tc>
          <w:tcPr>
            <w:tcW w:w="510" w:type="dxa"/>
            <w:vMerge w:val="restart"/>
            <w:tcBorders>
              <w:top w:val="single" w:color="auto" w:sz="4" w:space="0"/>
              <w:left w:val="single" w:color="auto" w:sz="4" w:space="0"/>
              <w:bottom w:val="single" w:color="auto" w:sz="8" w:space="0"/>
              <w:right w:val="single" w:color="auto" w:sz="8" w:space="0"/>
            </w:tcBorders>
            <w:noWrap w:val="0"/>
            <w:vAlign w:val="center"/>
          </w:tcPr>
          <w:p w14:paraId="3D2E78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00" w:type="dxa"/>
            <w:tcBorders>
              <w:top w:val="single" w:color="auto" w:sz="4" w:space="0"/>
              <w:left w:val="nil"/>
              <w:bottom w:val="single" w:color="auto" w:sz="8" w:space="0"/>
              <w:right w:val="single" w:color="auto" w:sz="8" w:space="0"/>
            </w:tcBorders>
            <w:noWrap w:val="0"/>
            <w:vAlign w:val="center"/>
          </w:tcPr>
          <w:p w14:paraId="63691E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585" w:type="dxa"/>
            <w:tcBorders>
              <w:top w:val="single" w:color="auto" w:sz="4" w:space="0"/>
              <w:left w:val="nil"/>
              <w:bottom w:val="single" w:color="auto" w:sz="8" w:space="0"/>
              <w:right w:val="single" w:color="auto" w:sz="8" w:space="0"/>
            </w:tcBorders>
            <w:noWrap w:val="0"/>
            <w:vAlign w:val="center"/>
          </w:tcPr>
          <w:p w14:paraId="05592B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single" w:color="auto" w:sz="4" w:space="0"/>
              <w:left w:val="nil"/>
              <w:bottom w:val="single" w:color="auto" w:sz="8" w:space="0"/>
              <w:right w:val="single" w:color="auto" w:sz="8" w:space="0"/>
            </w:tcBorders>
            <w:noWrap w:val="0"/>
            <w:vAlign w:val="center"/>
          </w:tcPr>
          <w:p w14:paraId="220917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885" w:type="dxa"/>
            <w:tcBorders>
              <w:top w:val="single" w:color="auto" w:sz="4" w:space="0"/>
              <w:left w:val="nil"/>
              <w:bottom w:val="single" w:color="auto" w:sz="8" w:space="0"/>
              <w:right w:val="single" w:color="auto" w:sz="8" w:space="0"/>
            </w:tcBorders>
            <w:noWrap w:val="0"/>
            <w:vAlign w:val="center"/>
          </w:tcPr>
          <w:p w14:paraId="154D09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7EB2E0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223B10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A5A69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2A54A9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68EC51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61048E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855" w:type="dxa"/>
            <w:tcBorders>
              <w:top w:val="single" w:color="auto" w:sz="4" w:space="0"/>
              <w:left w:val="nil"/>
              <w:bottom w:val="single" w:color="auto" w:sz="8" w:space="0"/>
            </w:tcBorders>
            <w:noWrap w:val="0"/>
            <w:vAlign w:val="center"/>
          </w:tcPr>
          <w:p w14:paraId="7A2AA9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1C5EE9E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continue"/>
            <w:tcBorders>
              <w:top w:val="single" w:color="auto" w:sz="4" w:space="0"/>
              <w:bottom w:val="single" w:color="auto" w:sz="4" w:space="0"/>
              <w:right w:val="single" w:color="auto" w:sz="4" w:space="0"/>
            </w:tcBorders>
            <w:noWrap w:val="0"/>
            <w:vAlign w:val="center"/>
          </w:tcPr>
          <w:p w14:paraId="77DB693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1CA8493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14987D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nil"/>
              <w:left w:val="single" w:color="auto" w:sz="4" w:space="0"/>
              <w:bottom w:val="single" w:color="auto" w:sz="4" w:space="0"/>
              <w:right w:val="single" w:color="auto" w:sz="8" w:space="0"/>
            </w:tcBorders>
            <w:noWrap w:val="0"/>
            <w:vAlign w:val="center"/>
          </w:tcPr>
          <w:p w14:paraId="058F98C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nil"/>
              <w:left w:val="nil"/>
              <w:bottom w:val="single" w:color="auto" w:sz="4" w:space="0"/>
              <w:right w:val="single" w:color="auto" w:sz="8" w:space="0"/>
            </w:tcBorders>
            <w:noWrap w:val="0"/>
            <w:vAlign w:val="center"/>
          </w:tcPr>
          <w:p w14:paraId="43C45D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585" w:type="dxa"/>
            <w:tcBorders>
              <w:top w:val="nil"/>
              <w:left w:val="nil"/>
              <w:bottom w:val="single" w:color="auto" w:sz="4" w:space="0"/>
              <w:right w:val="single" w:color="auto" w:sz="8" w:space="0"/>
            </w:tcBorders>
            <w:noWrap w:val="0"/>
            <w:vAlign w:val="center"/>
          </w:tcPr>
          <w:p w14:paraId="579064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nil"/>
              <w:left w:val="nil"/>
              <w:bottom w:val="single" w:color="auto" w:sz="4" w:space="0"/>
              <w:right w:val="single" w:color="auto" w:sz="8" w:space="0"/>
            </w:tcBorders>
            <w:noWrap w:val="0"/>
            <w:vAlign w:val="center"/>
          </w:tcPr>
          <w:p w14:paraId="7859A5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885" w:type="dxa"/>
            <w:tcBorders>
              <w:top w:val="nil"/>
              <w:left w:val="nil"/>
              <w:bottom w:val="single" w:color="auto" w:sz="4" w:space="0"/>
              <w:right w:val="single" w:color="auto" w:sz="8" w:space="0"/>
            </w:tcBorders>
            <w:noWrap w:val="0"/>
            <w:vAlign w:val="center"/>
          </w:tcPr>
          <w:p w14:paraId="2F9EB5D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4959" w:type="dxa"/>
            <w:tcBorders>
              <w:top w:val="nil"/>
              <w:left w:val="nil"/>
              <w:bottom w:val="single" w:color="auto" w:sz="4" w:space="0"/>
              <w:right w:val="single" w:color="auto" w:sz="8" w:space="0"/>
            </w:tcBorders>
            <w:noWrap w:val="0"/>
            <w:vAlign w:val="center"/>
          </w:tcPr>
          <w:p w14:paraId="2659E4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03473A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68BDA1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72EC26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1026" w:type="dxa"/>
            <w:tcBorders>
              <w:top w:val="nil"/>
              <w:left w:val="nil"/>
              <w:bottom w:val="single" w:color="auto" w:sz="4" w:space="0"/>
              <w:right w:val="single" w:color="auto" w:sz="8" w:space="0"/>
            </w:tcBorders>
            <w:noWrap w:val="0"/>
            <w:vAlign w:val="center"/>
          </w:tcPr>
          <w:p w14:paraId="068D53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明确</w:t>
            </w:r>
          </w:p>
        </w:tc>
        <w:tc>
          <w:tcPr>
            <w:tcW w:w="855" w:type="dxa"/>
            <w:tcBorders>
              <w:top w:val="nil"/>
              <w:left w:val="nil"/>
              <w:bottom w:val="single" w:color="auto" w:sz="4" w:space="0"/>
            </w:tcBorders>
            <w:noWrap w:val="0"/>
            <w:vAlign w:val="center"/>
          </w:tcPr>
          <w:p w14:paraId="61A70F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6A32D3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continue"/>
            <w:tcBorders>
              <w:top w:val="single" w:color="auto" w:sz="4" w:space="0"/>
              <w:bottom w:val="single" w:color="auto" w:sz="4" w:space="0"/>
              <w:right w:val="single" w:color="auto" w:sz="4" w:space="0"/>
            </w:tcBorders>
            <w:noWrap w:val="0"/>
            <w:vAlign w:val="center"/>
          </w:tcPr>
          <w:p w14:paraId="1A84F9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769E57E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03DBFAF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资金投入</w:t>
            </w:r>
          </w:p>
        </w:tc>
        <w:tc>
          <w:tcPr>
            <w:tcW w:w="510" w:type="dxa"/>
            <w:vMerge w:val="restart"/>
            <w:tcBorders>
              <w:top w:val="single" w:color="auto" w:sz="4" w:space="0"/>
              <w:left w:val="single" w:color="auto" w:sz="4" w:space="0"/>
              <w:bottom w:val="single" w:color="auto" w:sz="4" w:space="0"/>
              <w:right w:val="single" w:color="auto" w:sz="8" w:space="0"/>
            </w:tcBorders>
            <w:noWrap w:val="0"/>
            <w:vAlign w:val="center"/>
          </w:tcPr>
          <w:p w14:paraId="46C1A2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8</w:t>
            </w:r>
          </w:p>
        </w:tc>
        <w:tc>
          <w:tcPr>
            <w:tcW w:w="900" w:type="dxa"/>
            <w:tcBorders>
              <w:top w:val="single" w:color="auto" w:sz="4" w:space="0"/>
              <w:left w:val="nil"/>
              <w:bottom w:val="single" w:color="auto" w:sz="4" w:space="0"/>
              <w:right w:val="single" w:color="auto" w:sz="8" w:space="0"/>
            </w:tcBorders>
            <w:noWrap w:val="0"/>
            <w:vAlign w:val="center"/>
          </w:tcPr>
          <w:p w14:paraId="11662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585" w:type="dxa"/>
            <w:tcBorders>
              <w:top w:val="single" w:color="auto" w:sz="4" w:space="0"/>
              <w:left w:val="nil"/>
              <w:bottom w:val="single" w:color="auto" w:sz="4" w:space="0"/>
              <w:right w:val="single" w:color="auto" w:sz="8" w:space="0"/>
            </w:tcBorders>
            <w:noWrap w:val="0"/>
            <w:vAlign w:val="center"/>
          </w:tcPr>
          <w:p w14:paraId="60782DB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725" w:type="dxa"/>
            <w:tcBorders>
              <w:top w:val="single" w:color="auto" w:sz="4" w:space="0"/>
              <w:left w:val="nil"/>
              <w:bottom w:val="single" w:color="auto" w:sz="4" w:space="0"/>
              <w:right w:val="single" w:color="auto" w:sz="8" w:space="0"/>
            </w:tcBorders>
            <w:noWrap w:val="0"/>
            <w:vAlign w:val="center"/>
          </w:tcPr>
          <w:p w14:paraId="06B925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885" w:type="dxa"/>
            <w:tcBorders>
              <w:top w:val="single" w:color="auto" w:sz="4" w:space="0"/>
              <w:left w:val="nil"/>
              <w:bottom w:val="single" w:color="auto" w:sz="4" w:space="0"/>
              <w:right w:val="single" w:color="auto" w:sz="8" w:space="0"/>
            </w:tcBorders>
            <w:noWrap w:val="0"/>
            <w:vAlign w:val="center"/>
          </w:tcPr>
          <w:p w14:paraId="7E23FE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4959" w:type="dxa"/>
            <w:tcBorders>
              <w:top w:val="single" w:color="auto" w:sz="4" w:space="0"/>
              <w:left w:val="nil"/>
              <w:bottom w:val="single" w:color="auto" w:sz="4" w:space="0"/>
              <w:right w:val="single" w:color="auto" w:sz="8" w:space="0"/>
            </w:tcBorders>
            <w:noWrap w:val="0"/>
            <w:vAlign w:val="center"/>
          </w:tcPr>
          <w:p w14:paraId="286D35B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35952F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348DDF3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1A2320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310BCC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1026" w:type="dxa"/>
            <w:tcBorders>
              <w:top w:val="single" w:color="auto" w:sz="4" w:space="0"/>
              <w:left w:val="nil"/>
              <w:bottom w:val="single" w:color="auto" w:sz="4" w:space="0"/>
              <w:right w:val="single" w:color="auto" w:sz="8" w:space="0"/>
            </w:tcBorders>
            <w:noWrap w:val="0"/>
            <w:vAlign w:val="center"/>
          </w:tcPr>
          <w:p w14:paraId="5356DE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科学</w:t>
            </w:r>
          </w:p>
        </w:tc>
        <w:tc>
          <w:tcPr>
            <w:tcW w:w="855" w:type="dxa"/>
            <w:tcBorders>
              <w:top w:val="single" w:color="auto" w:sz="4" w:space="0"/>
              <w:left w:val="nil"/>
              <w:bottom w:val="single" w:color="auto" w:sz="4" w:space="0"/>
            </w:tcBorders>
            <w:noWrap w:val="0"/>
            <w:vAlign w:val="center"/>
          </w:tcPr>
          <w:p w14:paraId="3CE911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049A52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658" w:type="dxa"/>
            <w:vMerge w:val="continue"/>
            <w:tcBorders>
              <w:top w:val="single" w:color="auto" w:sz="4" w:space="0"/>
              <w:bottom w:val="single" w:color="auto" w:sz="4" w:space="0"/>
              <w:right w:val="single" w:color="auto" w:sz="8" w:space="0"/>
            </w:tcBorders>
            <w:noWrap w:val="0"/>
            <w:vAlign w:val="center"/>
          </w:tcPr>
          <w:p w14:paraId="6D96A9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bottom w:val="single" w:color="auto" w:sz="4" w:space="0"/>
              <w:right w:val="single" w:color="auto" w:sz="4" w:space="0"/>
            </w:tcBorders>
            <w:noWrap w:val="0"/>
            <w:vAlign w:val="center"/>
          </w:tcPr>
          <w:p w14:paraId="7076923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7DCB58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single" w:color="auto" w:sz="4" w:space="0"/>
              <w:left w:val="single" w:color="auto" w:sz="4" w:space="0"/>
              <w:bottom w:val="single" w:color="auto" w:sz="8" w:space="0"/>
              <w:right w:val="single" w:color="auto" w:sz="8" w:space="0"/>
            </w:tcBorders>
            <w:noWrap w:val="0"/>
            <w:vAlign w:val="center"/>
          </w:tcPr>
          <w:p w14:paraId="3F24DD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single" w:color="auto" w:sz="4" w:space="0"/>
              <w:left w:val="nil"/>
              <w:bottom w:val="single" w:color="auto" w:sz="8" w:space="0"/>
              <w:right w:val="single" w:color="auto" w:sz="8" w:space="0"/>
            </w:tcBorders>
            <w:noWrap w:val="0"/>
            <w:vAlign w:val="center"/>
          </w:tcPr>
          <w:p w14:paraId="65A207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585" w:type="dxa"/>
            <w:tcBorders>
              <w:top w:val="single" w:color="auto" w:sz="4" w:space="0"/>
              <w:left w:val="nil"/>
              <w:bottom w:val="single" w:color="auto" w:sz="8" w:space="0"/>
              <w:right w:val="single" w:color="auto" w:sz="8" w:space="0"/>
            </w:tcBorders>
            <w:noWrap w:val="0"/>
            <w:vAlign w:val="center"/>
          </w:tcPr>
          <w:p w14:paraId="3D2BC8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725" w:type="dxa"/>
            <w:tcBorders>
              <w:top w:val="single" w:color="auto" w:sz="4" w:space="0"/>
              <w:left w:val="nil"/>
              <w:bottom w:val="single" w:color="auto" w:sz="8" w:space="0"/>
              <w:right w:val="single" w:color="auto" w:sz="8" w:space="0"/>
            </w:tcBorders>
            <w:noWrap w:val="0"/>
            <w:vAlign w:val="center"/>
          </w:tcPr>
          <w:p w14:paraId="0DFFDF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885" w:type="dxa"/>
            <w:tcBorders>
              <w:top w:val="single" w:color="auto" w:sz="4" w:space="0"/>
              <w:left w:val="nil"/>
              <w:bottom w:val="single" w:color="auto" w:sz="8" w:space="0"/>
              <w:right w:val="single" w:color="auto" w:sz="8" w:space="0"/>
            </w:tcBorders>
            <w:noWrap w:val="0"/>
            <w:vAlign w:val="center"/>
          </w:tcPr>
          <w:p w14:paraId="690B83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4959" w:type="dxa"/>
            <w:tcBorders>
              <w:top w:val="single" w:color="auto" w:sz="4" w:space="0"/>
              <w:left w:val="nil"/>
              <w:bottom w:val="single" w:color="auto" w:sz="8" w:space="0"/>
              <w:right w:val="single" w:color="auto" w:sz="8" w:space="0"/>
            </w:tcBorders>
            <w:noWrap w:val="0"/>
            <w:vAlign w:val="center"/>
          </w:tcPr>
          <w:p w14:paraId="0A9401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29D0D2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487C90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26" w:type="dxa"/>
            <w:tcBorders>
              <w:top w:val="single" w:color="auto" w:sz="4" w:space="0"/>
              <w:left w:val="nil"/>
              <w:bottom w:val="single" w:color="auto" w:sz="8" w:space="0"/>
              <w:right w:val="single" w:color="auto" w:sz="8" w:space="0"/>
            </w:tcBorders>
            <w:noWrap w:val="0"/>
            <w:vAlign w:val="center"/>
          </w:tcPr>
          <w:p w14:paraId="471CD42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合理</w:t>
            </w:r>
          </w:p>
        </w:tc>
        <w:tc>
          <w:tcPr>
            <w:tcW w:w="855" w:type="dxa"/>
            <w:tcBorders>
              <w:top w:val="single" w:color="auto" w:sz="4" w:space="0"/>
              <w:left w:val="nil"/>
              <w:bottom w:val="single" w:color="auto" w:sz="8" w:space="0"/>
            </w:tcBorders>
            <w:noWrap w:val="0"/>
            <w:vAlign w:val="center"/>
          </w:tcPr>
          <w:p w14:paraId="214FD8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75DA658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restart"/>
            <w:tcBorders>
              <w:top w:val="single" w:color="auto" w:sz="4" w:space="0"/>
              <w:bottom w:val="single" w:color="auto" w:sz="4" w:space="0"/>
              <w:right w:val="single" w:color="auto" w:sz="8" w:space="0"/>
            </w:tcBorders>
            <w:noWrap w:val="0"/>
            <w:vAlign w:val="center"/>
          </w:tcPr>
          <w:p w14:paraId="4F5E63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项目过程</w:t>
            </w:r>
          </w:p>
        </w:tc>
        <w:tc>
          <w:tcPr>
            <w:tcW w:w="495" w:type="dxa"/>
            <w:vMerge w:val="restart"/>
            <w:tcBorders>
              <w:top w:val="single" w:color="auto" w:sz="4" w:space="0"/>
              <w:left w:val="nil"/>
              <w:bottom w:val="single" w:color="auto" w:sz="4" w:space="0"/>
              <w:right w:val="single" w:color="auto" w:sz="8" w:space="0"/>
            </w:tcBorders>
            <w:noWrap w:val="0"/>
            <w:vAlign w:val="center"/>
          </w:tcPr>
          <w:p w14:paraId="3F746F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w:t>
            </w:r>
          </w:p>
        </w:tc>
        <w:tc>
          <w:tcPr>
            <w:tcW w:w="615" w:type="dxa"/>
            <w:vMerge w:val="restart"/>
            <w:tcBorders>
              <w:top w:val="single" w:color="auto" w:sz="4" w:space="0"/>
              <w:left w:val="nil"/>
              <w:bottom w:val="single" w:color="auto" w:sz="4" w:space="0"/>
              <w:right w:val="single" w:color="auto" w:sz="8" w:space="0"/>
            </w:tcBorders>
            <w:noWrap w:val="0"/>
            <w:vAlign w:val="center"/>
          </w:tcPr>
          <w:p w14:paraId="3F901C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资金管理</w:t>
            </w:r>
          </w:p>
        </w:tc>
        <w:tc>
          <w:tcPr>
            <w:tcW w:w="510" w:type="dxa"/>
            <w:vMerge w:val="restart"/>
            <w:tcBorders>
              <w:top w:val="nil"/>
              <w:left w:val="nil"/>
              <w:bottom w:val="single" w:color="auto" w:sz="8" w:space="0"/>
              <w:right w:val="single" w:color="auto" w:sz="8" w:space="0"/>
            </w:tcBorders>
            <w:noWrap w:val="0"/>
            <w:vAlign w:val="center"/>
          </w:tcPr>
          <w:p w14:paraId="53DBC2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900" w:type="dxa"/>
            <w:tcBorders>
              <w:top w:val="nil"/>
              <w:left w:val="nil"/>
              <w:bottom w:val="single" w:color="auto" w:sz="8" w:space="0"/>
              <w:right w:val="single" w:color="auto" w:sz="8" w:space="0"/>
            </w:tcBorders>
            <w:noWrap w:val="0"/>
            <w:vAlign w:val="center"/>
          </w:tcPr>
          <w:p w14:paraId="73F536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585" w:type="dxa"/>
            <w:tcBorders>
              <w:top w:val="nil"/>
              <w:left w:val="nil"/>
              <w:bottom w:val="single" w:color="auto" w:sz="8" w:space="0"/>
              <w:right w:val="single" w:color="auto" w:sz="8" w:space="0"/>
            </w:tcBorders>
            <w:noWrap w:val="0"/>
            <w:vAlign w:val="center"/>
          </w:tcPr>
          <w:p w14:paraId="039406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c>
          <w:tcPr>
            <w:tcW w:w="2725" w:type="dxa"/>
            <w:tcBorders>
              <w:top w:val="nil"/>
              <w:left w:val="nil"/>
              <w:bottom w:val="single" w:color="auto" w:sz="8" w:space="0"/>
              <w:right w:val="single" w:color="auto" w:sz="8" w:space="0"/>
            </w:tcBorders>
            <w:noWrap w:val="0"/>
            <w:vAlign w:val="center"/>
          </w:tcPr>
          <w:p w14:paraId="31D7E9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885" w:type="dxa"/>
            <w:tcBorders>
              <w:top w:val="nil"/>
              <w:left w:val="nil"/>
              <w:bottom w:val="single" w:color="auto" w:sz="8" w:space="0"/>
              <w:right w:val="single" w:color="auto" w:sz="8" w:space="0"/>
            </w:tcBorders>
            <w:noWrap w:val="0"/>
            <w:vAlign w:val="center"/>
          </w:tcPr>
          <w:p w14:paraId="433512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959" w:type="dxa"/>
            <w:tcBorders>
              <w:top w:val="nil"/>
              <w:left w:val="nil"/>
              <w:bottom w:val="single" w:color="auto" w:sz="8" w:space="0"/>
              <w:right w:val="single" w:color="auto" w:sz="8" w:space="0"/>
            </w:tcBorders>
            <w:noWrap w:val="0"/>
            <w:vAlign w:val="center"/>
          </w:tcPr>
          <w:p w14:paraId="73AD3E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5E0BC81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1026" w:type="dxa"/>
            <w:tcBorders>
              <w:top w:val="nil"/>
              <w:left w:val="nil"/>
              <w:bottom w:val="single" w:color="auto" w:sz="8" w:space="0"/>
              <w:right w:val="single" w:color="auto" w:sz="8" w:space="0"/>
            </w:tcBorders>
            <w:noWrap w:val="0"/>
            <w:vAlign w:val="center"/>
          </w:tcPr>
          <w:p w14:paraId="325894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tcBorders>
              <w:top w:val="nil"/>
              <w:left w:val="nil"/>
              <w:bottom w:val="single" w:color="auto" w:sz="8" w:space="0"/>
            </w:tcBorders>
            <w:noWrap w:val="0"/>
            <w:vAlign w:val="center"/>
          </w:tcPr>
          <w:p w14:paraId="1EEC08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w:t>
            </w:r>
          </w:p>
        </w:tc>
      </w:tr>
      <w:tr w14:paraId="44BC25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0" w:hRule="atLeast"/>
        </w:trPr>
        <w:tc>
          <w:tcPr>
            <w:tcW w:w="658" w:type="dxa"/>
            <w:vMerge w:val="continue"/>
            <w:tcBorders>
              <w:top w:val="single" w:color="auto" w:sz="4" w:space="0"/>
              <w:bottom w:val="single" w:color="auto" w:sz="4" w:space="0"/>
              <w:right w:val="single" w:color="auto" w:sz="8" w:space="0"/>
            </w:tcBorders>
            <w:noWrap w:val="0"/>
            <w:vAlign w:val="center"/>
          </w:tcPr>
          <w:p w14:paraId="7293E6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bottom w:val="single" w:color="auto" w:sz="4" w:space="0"/>
              <w:right w:val="single" w:color="auto" w:sz="8" w:space="0"/>
            </w:tcBorders>
            <w:noWrap w:val="0"/>
            <w:vAlign w:val="center"/>
          </w:tcPr>
          <w:p w14:paraId="2C7E3C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nil"/>
              <w:bottom w:val="single" w:color="auto" w:sz="4" w:space="0"/>
              <w:right w:val="single" w:color="auto" w:sz="8" w:space="0"/>
            </w:tcBorders>
            <w:noWrap w:val="0"/>
            <w:vAlign w:val="center"/>
          </w:tcPr>
          <w:p w14:paraId="751EC3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nil"/>
              <w:left w:val="nil"/>
              <w:bottom w:val="single" w:color="auto" w:sz="8" w:space="0"/>
              <w:right w:val="single" w:color="auto" w:sz="8" w:space="0"/>
            </w:tcBorders>
            <w:noWrap w:val="0"/>
            <w:vAlign w:val="center"/>
          </w:tcPr>
          <w:p w14:paraId="584ACA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nil"/>
              <w:left w:val="nil"/>
              <w:bottom w:val="single" w:color="auto" w:sz="4" w:space="0"/>
              <w:right w:val="single" w:color="auto" w:sz="8" w:space="0"/>
            </w:tcBorders>
            <w:noWrap w:val="0"/>
            <w:vAlign w:val="center"/>
          </w:tcPr>
          <w:p w14:paraId="61454E7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585" w:type="dxa"/>
            <w:tcBorders>
              <w:top w:val="nil"/>
              <w:left w:val="nil"/>
              <w:bottom w:val="single" w:color="auto" w:sz="4" w:space="0"/>
              <w:right w:val="single" w:color="auto" w:sz="8" w:space="0"/>
            </w:tcBorders>
            <w:noWrap w:val="0"/>
            <w:vAlign w:val="center"/>
          </w:tcPr>
          <w:p w14:paraId="5B16FBF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c>
          <w:tcPr>
            <w:tcW w:w="2725" w:type="dxa"/>
            <w:tcBorders>
              <w:top w:val="nil"/>
              <w:left w:val="nil"/>
              <w:bottom w:val="single" w:color="auto" w:sz="4" w:space="0"/>
              <w:right w:val="single" w:color="auto" w:sz="8" w:space="0"/>
            </w:tcBorders>
            <w:noWrap w:val="0"/>
            <w:vAlign w:val="center"/>
          </w:tcPr>
          <w:p w14:paraId="0C9C6E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885" w:type="dxa"/>
            <w:tcBorders>
              <w:top w:val="nil"/>
              <w:left w:val="nil"/>
              <w:bottom w:val="single" w:color="auto" w:sz="4" w:space="0"/>
              <w:right w:val="single" w:color="auto" w:sz="8" w:space="0"/>
            </w:tcBorders>
            <w:noWrap w:val="0"/>
            <w:vAlign w:val="center"/>
          </w:tcPr>
          <w:p w14:paraId="540BD8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959" w:type="dxa"/>
            <w:tcBorders>
              <w:top w:val="nil"/>
              <w:left w:val="nil"/>
              <w:bottom w:val="single" w:color="auto" w:sz="4" w:space="0"/>
              <w:right w:val="single" w:color="auto" w:sz="8" w:space="0"/>
            </w:tcBorders>
            <w:noWrap w:val="0"/>
            <w:vAlign w:val="center"/>
          </w:tcPr>
          <w:p w14:paraId="31165C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3D983B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1026" w:type="dxa"/>
            <w:tcBorders>
              <w:top w:val="nil"/>
              <w:left w:val="nil"/>
              <w:bottom w:val="single" w:color="auto" w:sz="4" w:space="0"/>
              <w:right w:val="single" w:color="auto" w:sz="8" w:space="0"/>
            </w:tcBorders>
            <w:noWrap w:val="0"/>
            <w:vAlign w:val="center"/>
          </w:tcPr>
          <w:p w14:paraId="1264F2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tcBorders>
              <w:top w:val="nil"/>
              <w:left w:val="nil"/>
              <w:bottom w:val="single" w:color="auto" w:sz="4" w:space="0"/>
            </w:tcBorders>
            <w:noWrap w:val="0"/>
            <w:vAlign w:val="center"/>
          </w:tcPr>
          <w:p w14:paraId="157849E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w:t>
            </w:r>
          </w:p>
        </w:tc>
      </w:tr>
      <w:tr w14:paraId="671EEBF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45" w:hRule="atLeast"/>
        </w:trPr>
        <w:tc>
          <w:tcPr>
            <w:tcW w:w="658" w:type="dxa"/>
            <w:vMerge w:val="continue"/>
            <w:tcBorders>
              <w:top w:val="single" w:color="auto" w:sz="4" w:space="0"/>
              <w:bottom w:val="single" w:color="auto" w:sz="4" w:space="0"/>
              <w:right w:val="single" w:color="auto" w:sz="8" w:space="0"/>
            </w:tcBorders>
            <w:noWrap w:val="0"/>
            <w:vAlign w:val="center"/>
          </w:tcPr>
          <w:p w14:paraId="69EA6F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bottom w:val="single" w:color="auto" w:sz="4" w:space="0"/>
              <w:right w:val="single" w:color="auto" w:sz="8" w:space="0"/>
            </w:tcBorders>
            <w:noWrap w:val="0"/>
            <w:vAlign w:val="center"/>
          </w:tcPr>
          <w:p w14:paraId="3BDD7A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nil"/>
              <w:bottom w:val="single" w:color="auto" w:sz="4" w:space="0"/>
              <w:right w:val="single" w:color="auto" w:sz="8" w:space="0"/>
            </w:tcBorders>
            <w:noWrap w:val="0"/>
            <w:vAlign w:val="center"/>
          </w:tcPr>
          <w:p w14:paraId="283698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nil"/>
              <w:left w:val="nil"/>
              <w:bottom w:val="single" w:color="auto" w:sz="4" w:space="0"/>
              <w:right w:val="single" w:color="auto" w:sz="8" w:space="0"/>
            </w:tcBorders>
            <w:noWrap w:val="0"/>
            <w:vAlign w:val="center"/>
          </w:tcPr>
          <w:p w14:paraId="6E4B49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single" w:color="auto" w:sz="4" w:space="0"/>
              <w:left w:val="nil"/>
              <w:bottom w:val="single" w:color="auto" w:sz="4" w:space="0"/>
              <w:right w:val="single" w:color="auto" w:sz="8" w:space="0"/>
            </w:tcBorders>
            <w:noWrap w:val="0"/>
            <w:vAlign w:val="center"/>
          </w:tcPr>
          <w:p w14:paraId="2907DB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585" w:type="dxa"/>
            <w:tcBorders>
              <w:top w:val="single" w:color="auto" w:sz="4" w:space="0"/>
              <w:left w:val="nil"/>
              <w:bottom w:val="single" w:color="auto" w:sz="4" w:space="0"/>
              <w:right w:val="single" w:color="auto" w:sz="8" w:space="0"/>
            </w:tcBorders>
            <w:noWrap w:val="0"/>
            <w:vAlign w:val="center"/>
          </w:tcPr>
          <w:p w14:paraId="1AEF9B5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25" w:type="dxa"/>
            <w:tcBorders>
              <w:top w:val="single" w:color="auto" w:sz="4" w:space="0"/>
              <w:left w:val="nil"/>
              <w:bottom w:val="single" w:color="auto" w:sz="4" w:space="0"/>
              <w:right w:val="single" w:color="auto" w:sz="8" w:space="0"/>
            </w:tcBorders>
            <w:noWrap w:val="0"/>
            <w:vAlign w:val="center"/>
          </w:tcPr>
          <w:p w14:paraId="03124A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885" w:type="dxa"/>
            <w:tcBorders>
              <w:top w:val="single" w:color="auto" w:sz="4" w:space="0"/>
              <w:left w:val="nil"/>
              <w:bottom w:val="single" w:color="auto" w:sz="4" w:space="0"/>
              <w:right w:val="single" w:color="auto" w:sz="8" w:space="0"/>
            </w:tcBorders>
            <w:noWrap w:val="0"/>
            <w:vAlign w:val="center"/>
          </w:tcPr>
          <w:p w14:paraId="0FA975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4959" w:type="dxa"/>
            <w:tcBorders>
              <w:top w:val="single" w:color="auto" w:sz="4" w:space="0"/>
              <w:left w:val="nil"/>
              <w:bottom w:val="single" w:color="auto" w:sz="4" w:space="0"/>
              <w:right w:val="single" w:color="auto" w:sz="8" w:space="0"/>
            </w:tcBorders>
            <w:noWrap w:val="0"/>
            <w:vAlign w:val="center"/>
          </w:tcPr>
          <w:p w14:paraId="3AF447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185600E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0F58AA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6B2CA9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6ECC137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1026" w:type="dxa"/>
            <w:tcBorders>
              <w:top w:val="single" w:color="auto" w:sz="4" w:space="0"/>
              <w:left w:val="nil"/>
              <w:bottom w:val="single" w:color="auto" w:sz="4" w:space="0"/>
              <w:right w:val="single" w:color="auto" w:sz="8" w:space="0"/>
            </w:tcBorders>
            <w:noWrap w:val="0"/>
            <w:vAlign w:val="center"/>
          </w:tcPr>
          <w:p w14:paraId="326B86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合规</w:t>
            </w:r>
          </w:p>
        </w:tc>
        <w:tc>
          <w:tcPr>
            <w:tcW w:w="855" w:type="dxa"/>
            <w:tcBorders>
              <w:top w:val="single" w:color="auto" w:sz="4" w:space="0"/>
              <w:left w:val="nil"/>
              <w:bottom w:val="single" w:color="auto" w:sz="4" w:space="0"/>
            </w:tcBorders>
            <w:noWrap w:val="0"/>
            <w:vAlign w:val="center"/>
          </w:tcPr>
          <w:p w14:paraId="52A2A9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264CA02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continue"/>
            <w:tcBorders>
              <w:top w:val="single" w:color="auto" w:sz="4" w:space="0"/>
              <w:bottom w:val="single" w:color="auto" w:sz="4" w:space="0"/>
              <w:right w:val="single" w:color="auto" w:sz="8" w:space="0"/>
            </w:tcBorders>
            <w:noWrap w:val="0"/>
            <w:vAlign w:val="center"/>
          </w:tcPr>
          <w:p w14:paraId="617AF86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bottom w:val="single" w:color="auto" w:sz="4" w:space="0"/>
              <w:right w:val="single" w:color="auto" w:sz="4" w:space="0"/>
            </w:tcBorders>
            <w:noWrap w:val="0"/>
            <w:vAlign w:val="center"/>
          </w:tcPr>
          <w:p w14:paraId="120D80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4958FF6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组织实施</w:t>
            </w:r>
          </w:p>
        </w:tc>
        <w:tc>
          <w:tcPr>
            <w:tcW w:w="510" w:type="dxa"/>
            <w:vMerge w:val="restart"/>
            <w:tcBorders>
              <w:top w:val="single" w:color="auto" w:sz="4" w:space="0"/>
              <w:left w:val="single" w:color="auto" w:sz="4" w:space="0"/>
              <w:bottom w:val="single" w:color="auto" w:sz="4" w:space="0"/>
              <w:right w:val="single" w:color="auto" w:sz="4" w:space="0"/>
            </w:tcBorders>
            <w:noWrap w:val="0"/>
            <w:vAlign w:val="center"/>
          </w:tcPr>
          <w:p w14:paraId="5E19BA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6</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4CA4C3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19960C6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1D67D7C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5C380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3C99C1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229AA03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075881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CFEB2A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健全</w:t>
            </w:r>
          </w:p>
        </w:tc>
        <w:tc>
          <w:tcPr>
            <w:tcW w:w="855" w:type="dxa"/>
            <w:tcBorders>
              <w:top w:val="single" w:color="auto" w:sz="4" w:space="0"/>
              <w:left w:val="single" w:color="auto" w:sz="4" w:space="0"/>
              <w:bottom w:val="single" w:color="auto" w:sz="4" w:space="0"/>
            </w:tcBorders>
            <w:noWrap w:val="0"/>
            <w:vAlign w:val="center"/>
          </w:tcPr>
          <w:p w14:paraId="025751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34206E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vMerge w:val="continue"/>
            <w:tcBorders>
              <w:top w:val="single" w:color="auto" w:sz="4" w:space="0"/>
              <w:bottom w:val="single" w:color="auto" w:sz="4" w:space="0"/>
              <w:right w:val="single" w:color="auto" w:sz="8" w:space="0"/>
            </w:tcBorders>
            <w:noWrap w:val="0"/>
            <w:vAlign w:val="center"/>
          </w:tcPr>
          <w:p w14:paraId="1585E0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bottom w:val="single" w:color="auto" w:sz="4" w:space="0"/>
              <w:right w:val="single" w:color="auto" w:sz="4" w:space="0"/>
            </w:tcBorders>
            <w:noWrap w:val="0"/>
            <w:vAlign w:val="center"/>
          </w:tcPr>
          <w:p w14:paraId="71F6E6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single" w:color="auto" w:sz="4" w:space="0"/>
              <w:bottom w:val="single" w:color="auto" w:sz="4" w:space="0"/>
              <w:right w:val="single" w:color="auto" w:sz="8" w:space="0"/>
            </w:tcBorders>
            <w:noWrap w:val="0"/>
            <w:vAlign w:val="center"/>
          </w:tcPr>
          <w:p w14:paraId="58096DB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single" w:color="auto" w:sz="4" w:space="0"/>
              <w:left w:val="nil"/>
              <w:bottom w:val="single" w:color="auto" w:sz="4" w:space="0"/>
              <w:right w:val="single" w:color="auto" w:sz="8" w:space="0"/>
            </w:tcBorders>
            <w:noWrap w:val="0"/>
            <w:vAlign w:val="center"/>
          </w:tcPr>
          <w:p w14:paraId="50FFBB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single" w:color="auto" w:sz="4" w:space="0"/>
              <w:left w:val="nil"/>
              <w:bottom w:val="single" w:color="auto" w:sz="4" w:space="0"/>
              <w:right w:val="single" w:color="auto" w:sz="8" w:space="0"/>
            </w:tcBorders>
            <w:noWrap w:val="0"/>
            <w:vAlign w:val="center"/>
          </w:tcPr>
          <w:p w14:paraId="309319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585" w:type="dxa"/>
            <w:tcBorders>
              <w:top w:val="single" w:color="auto" w:sz="4" w:space="0"/>
              <w:left w:val="nil"/>
              <w:bottom w:val="single" w:color="auto" w:sz="4" w:space="0"/>
              <w:right w:val="single" w:color="auto" w:sz="8" w:space="0"/>
            </w:tcBorders>
            <w:noWrap w:val="0"/>
            <w:vAlign w:val="center"/>
          </w:tcPr>
          <w:p w14:paraId="33F706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single" w:color="auto" w:sz="4" w:space="0"/>
              <w:left w:val="nil"/>
              <w:bottom w:val="single" w:color="auto" w:sz="4" w:space="0"/>
              <w:right w:val="single" w:color="auto" w:sz="8" w:space="0"/>
            </w:tcBorders>
            <w:noWrap w:val="0"/>
            <w:vAlign w:val="center"/>
          </w:tcPr>
          <w:p w14:paraId="531E33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885" w:type="dxa"/>
            <w:tcBorders>
              <w:top w:val="single" w:color="auto" w:sz="4" w:space="0"/>
              <w:left w:val="nil"/>
              <w:bottom w:val="single" w:color="auto" w:sz="4" w:space="0"/>
              <w:right w:val="single" w:color="auto" w:sz="8" w:space="0"/>
            </w:tcBorders>
            <w:noWrap w:val="0"/>
            <w:vAlign w:val="center"/>
          </w:tcPr>
          <w:p w14:paraId="247392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4959" w:type="dxa"/>
            <w:tcBorders>
              <w:top w:val="single" w:color="auto" w:sz="4" w:space="0"/>
              <w:left w:val="nil"/>
              <w:bottom w:val="single" w:color="auto" w:sz="4" w:space="0"/>
              <w:right w:val="single" w:color="auto" w:sz="8" w:space="0"/>
            </w:tcBorders>
            <w:noWrap w:val="0"/>
            <w:vAlign w:val="center"/>
          </w:tcPr>
          <w:p w14:paraId="327949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387578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7C42404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66186F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1026" w:type="dxa"/>
            <w:tcBorders>
              <w:top w:val="single" w:color="auto" w:sz="4" w:space="0"/>
              <w:left w:val="nil"/>
              <w:bottom w:val="single" w:color="auto" w:sz="4" w:space="0"/>
              <w:right w:val="single" w:color="auto" w:sz="8" w:space="0"/>
            </w:tcBorders>
            <w:noWrap w:val="0"/>
            <w:vAlign w:val="center"/>
          </w:tcPr>
          <w:p w14:paraId="027277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w:t>
            </w:r>
          </w:p>
        </w:tc>
        <w:tc>
          <w:tcPr>
            <w:tcW w:w="855" w:type="dxa"/>
            <w:tcBorders>
              <w:top w:val="single" w:color="auto" w:sz="4" w:space="0"/>
              <w:left w:val="nil"/>
              <w:bottom w:val="single" w:color="auto" w:sz="8" w:space="0"/>
            </w:tcBorders>
            <w:noWrap w:val="0"/>
            <w:vAlign w:val="center"/>
          </w:tcPr>
          <w:p w14:paraId="6C8F71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BE8952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5" w:hRule="atLeast"/>
        </w:trPr>
        <w:tc>
          <w:tcPr>
            <w:tcW w:w="658" w:type="dxa"/>
            <w:vMerge w:val="restart"/>
            <w:tcBorders>
              <w:top w:val="single" w:color="auto" w:sz="4" w:space="0"/>
              <w:bottom w:val="single" w:color="auto" w:sz="4" w:space="0"/>
              <w:right w:val="single" w:color="auto" w:sz="8" w:space="0"/>
            </w:tcBorders>
            <w:noWrap w:val="0"/>
            <w:vAlign w:val="center"/>
          </w:tcPr>
          <w:p w14:paraId="7E60283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项目产出</w:t>
            </w:r>
          </w:p>
        </w:tc>
        <w:tc>
          <w:tcPr>
            <w:tcW w:w="495" w:type="dxa"/>
            <w:vMerge w:val="restart"/>
            <w:tcBorders>
              <w:top w:val="single" w:color="auto" w:sz="4" w:space="0"/>
              <w:left w:val="nil"/>
              <w:bottom w:val="single" w:color="auto" w:sz="4" w:space="0"/>
              <w:right w:val="single" w:color="auto" w:sz="8" w:space="0"/>
            </w:tcBorders>
            <w:noWrap w:val="0"/>
            <w:vAlign w:val="center"/>
          </w:tcPr>
          <w:p w14:paraId="5AF83F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40</w:t>
            </w:r>
          </w:p>
        </w:tc>
        <w:tc>
          <w:tcPr>
            <w:tcW w:w="615" w:type="dxa"/>
            <w:tcBorders>
              <w:top w:val="single" w:color="auto" w:sz="4" w:space="0"/>
              <w:left w:val="nil"/>
              <w:bottom w:val="single" w:color="auto" w:sz="4" w:space="0"/>
              <w:right w:val="single" w:color="auto" w:sz="8" w:space="0"/>
            </w:tcBorders>
            <w:noWrap w:val="0"/>
            <w:vAlign w:val="center"/>
          </w:tcPr>
          <w:p w14:paraId="35B03E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产出数量</w:t>
            </w:r>
          </w:p>
        </w:tc>
        <w:tc>
          <w:tcPr>
            <w:tcW w:w="510" w:type="dxa"/>
            <w:tcBorders>
              <w:top w:val="single" w:color="auto" w:sz="4" w:space="0"/>
              <w:left w:val="nil"/>
              <w:bottom w:val="single" w:color="auto" w:sz="4" w:space="0"/>
              <w:right w:val="single" w:color="auto" w:sz="8" w:space="0"/>
            </w:tcBorders>
            <w:noWrap w:val="0"/>
            <w:vAlign w:val="center"/>
          </w:tcPr>
          <w:p w14:paraId="252F278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00" w:type="dxa"/>
            <w:tcBorders>
              <w:top w:val="single" w:color="auto" w:sz="4" w:space="0"/>
              <w:left w:val="nil"/>
              <w:bottom w:val="single" w:color="auto" w:sz="4" w:space="0"/>
              <w:right w:val="single" w:color="auto" w:sz="4" w:space="0"/>
            </w:tcBorders>
            <w:noWrap w:val="0"/>
            <w:vAlign w:val="center"/>
          </w:tcPr>
          <w:p w14:paraId="35F7D3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1A0604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725" w:type="dxa"/>
            <w:tcBorders>
              <w:top w:val="single" w:color="auto" w:sz="4" w:space="0"/>
              <w:left w:val="single" w:color="auto" w:sz="4" w:space="0"/>
              <w:bottom w:val="single" w:color="auto" w:sz="4" w:space="0"/>
              <w:right w:val="single" w:color="auto" w:sz="8" w:space="0"/>
            </w:tcBorders>
            <w:noWrap w:val="0"/>
            <w:vAlign w:val="center"/>
          </w:tcPr>
          <w:p w14:paraId="631E24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安保人员配置数量</w:t>
            </w:r>
          </w:p>
        </w:tc>
        <w:tc>
          <w:tcPr>
            <w:tcW w:w="885" w:type="dxa"/>
            <w:tcBorders>
              <w:top w:val="single" w:color="auto" w:sz="4" w:space="0"/>
              <w:left w:val="nil"/>
              <w:bottom w:val="single" w:color="auto" w:sz="4" w:space="0"/>
              <w:right w:val="single" w:color="auto" w:sz="8" w:space="0"/>
            </w:tcBorders>
            <w:noWrap w:val="0"/>
            <w:vAlign w:val="center"/>
          </w:tcPr>
          <w:p w14:paraId="26B71D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&gt;=4人</w:t>
            </w:r>
          </w:p>
        </w:tc>
        <w:tc>
          <w:tcPr>
            <w:tcW w:w="4959" w:type="dxa"/>
            <w:tcBorders>
              <w:top w:val="single" w:color="auto" w:sz="4" w:space="0"/>
              <w:left w:val="nil"/>
              <w:right w:val="single" w:color="auto" w:sz="4" w:space="0"/>
            </w:tcBorders>
            <w:noWrap w:val="0"/>
            <w:vAlign w:val="center"/>
          </w:tcPr>
          <w:p w14:paraId="5F28FF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①实际完成率=（实际完成/预期完成）×100%。</w:t>
            </w:r>
          </w:p>
          <w:p w14:paraId="5FA2AA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②实际完成率≥100%，偏离程度≥20%，得0分；</w:t>
            </w:r>
          </w:p>
          <w:p w14:paraId="1C6D718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D0CB2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4人</w:t>
            </w:r>
          </w:p>
        </w:tc>
        <w:tc>
          <w:tcPr>
            <w:tcW w:w="855" w:type="dxa"/>
            <w:tcBorders>
              <w:top w:val="nil"/>
              <w:left w:val="single" w:color="auto" w:sz="4" w:space="0"/>
              <w:bottom w:val="single" w:color="auto" w:sz="8" w:space="0"/>
            </w:tcBorders>
            <w:noWrap w:val="0"/>
            <w:vAlign w:val="center"/>
          </w:tcPr>
          <w:p w14:paraId="13AA8F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46AA58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658" w:type="dxa"/>
            <w:vMerge w:val="continue"/>
            <w:tcBorders>
              <w:top w:val="single" w:color="auto" w:sz="4" w:space="0"/>
              <w:right w:val="single" w:color="auto" w:sz="8" w:space="0"/>
            </w:tcBorders>
            <w:noWrap w:val="0"/>
            <w:vAlign w:val="center"/>
          </w:tcPr>
          <w:p w14:paraId="4932D6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nil"/>
              <w:right w:val="single" w:color="auto" w:sz="8" w:space="0"/>
            </w:tcBorders>
            <w:noWrap w:val="0"/>
            <w:vAlign w:val="center"/>
          </w:tcPr>
          <w:p w14:paraId="72F160D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restart"/>
            <w:tcBorders>
              <w:top w:val="single" w:color="auto" w:sz="4" w:space="0"/>
              <w:left w:val="nil"/>
              <w:right w:val="single" w:color="auto" w:sz="8" w:space="0"/>
            </w:tcBorders>
            <w:noWrap w:val="0"/>
            <w:vAlign w:val="center"/>
          </w:tcPr>
          <w:p w14:paraId="1D6E44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产出质量</w:t>
            </w:r>
          </w:p>
        </w:tc>
        <w:tc>
          <w:tcPr>
            <w:tcW w:w="510" w:type="dxa"/>
            <w:vMerge w:val="restart"/>
            <w:tcBorders>
              <w:top w:val="single" w:color="auto" w:sz="4" w:space="0"/>
              <w:left w:val="nil"/>
              <w:right w:val="single" w:color="auto" w:sz="8" w:space="0"/>
            </w:tcBorders>
            <w:noWrap w:val="0"/>
            <w:vAlign w:val="center"/>
          </w:tcPr>
          <w:p w14:paraId="5007EC1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00" w:type="dxa"/>
            <w:vMerge w:val="restart"/>
            <w:tcBorders>
              <w:top w:val="single" w:color="auto" w:sz="4" w:space="0"/>
              <w:left w:val="nil"/>
              <w:right w:val="single" w:color="auto" w:sz="4" w:space="0"/>
            </w:tcBorders>
            <w:noWrap w:val="0"/>
            <w:vAlign w:val="center"/>
          </w:tcPr>
          <w:p w14:paraId="55FA36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668C08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single" w:color="auto" w:sz="4" w:space="0"/>
              <w:left w:val="single" w:color="auto" w:sz="4" w:space="0"/>
              <w:right w:val="single" w:color="auto" w:sz="4" w:space="0"/>
            </w:tcBorders>
            <w:noWrap w:val="0"/>
            <w:vAlign w:val="center"/>
          </w:tcPr>
          <w:p w14:paraId="7707BC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资金使用合规率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62109A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959" w:type="dxa"/>
            <w:vMerge w:val="restart"/>
            <w:tcBorders>
              <w:top w:val="single" w:color="auto" w:sz="4" w:space="0"/>
              <w:left w:val="single" w:color="auto" w:sz="4" w:space="0"/>
              <w:right w:val="single" w:color="auto" w:sz="4" w:space="0"/>
            </w:tcBorders>
            <w:noWrap w:val="0"/>
            <w:vAlign w:val="center"/>
          </w:tcPr>
          <w:p w14:paraId="6D930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6B48E2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23FA78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vMerge w:val="restart"/>
            <w:tcBorders>
              <w:top w:val="nil"/>
              <w:left w:val="single" w:color="auto" w:sz="4" w:space="0"/>
            </w:tcBorders>
            <w:noWrap w:val="0"/>
            <w:vAlign w:val="center"/>
          </w:tcPr>
          <w:p w14:paraId="29CC521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3E56251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4" w:hRule="atLeast"/>
        </w:trPr>
        <w:tc>
          <w:tcPr>
            <w:tcW w:w="658" w:type="dxa"/>
            <w:vMerge w:val="continue"/>
            <w:tcBorders>
              <w:right w:val="single" w:color="auto" w:sz="8" w:space="0"/>
            </w:tcBorders>
            <w:noWrap w:val="0"/>
            <w:vAlign w:val="center"/>
          </w:tcPr>
          <w:p w14:paraId="705B5E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left w:val="nil"/>
              <w:right w:val="single" w:color="auto" w:sz="8" w:space="0"/>
            </w:tcBorders>
            <w:noWrap w:val="0"/>
            <w:vAlign w:val="center"/>
          </w:tcPr>
          <w:p w14:paraId="21A90A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left w:val="nil"/>
              <w:bottom w:val="single" w:color="auto" w:sz="8" w:space="0"/>
              <w:right w:val="single" w:color="auto" w:sz="8" w:space="0"/>
            </w:tcBorders>
            <w:noWrap w:val="0"/>
            <w:vAlign w:val="center"/>
          </w:tcPr>
          <w:p w14:paraId="5B9DFD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left w:val="nil"/>
              <w:bottom w:val="single" w:color="auto" w:sz="8" w:space="0"/>
              <w:right w:val="single" w:color="auto" w:sz="8" w:space="0"/>
            </w:tcBorders>
            <w:noWrap w:val="0"/>
            <w:vAlign w:val="center"/>
          </w:tcPr>
          <w:p w14:paraId="14A574E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vMerge w:val="continue"/>
            <w:tcBorders>
              <w:left w:val="nil"/>
              <w:bottom w:val="single" w:color="auto" w:sz="8" w:space="0"/>
              <w:right w:val="single" w:color="auto" w:sz="8" w:space="0"/>
            </w:tcBorders>
            <w:noWrap w:val="0"/>
            <w:vAlign w:val="center"/>
          </w:tcPr>
          <w:p w14:paraId="30787E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tcBorders>
              <w:top w:val="single" w:color="auto" w:sz="4" w:space="0"/>
              <w:left w:val="nil"/>
              <w:bottom w:val="single" w:color="auto" w:sz="8" w:space="0"/>
              <w:right w:val="single" w:color="auto" w:sz="8" w:space="0"/>
            </w:tcBorders>
            <w:noWrap w:val="0"/>
            <w:vAlign w:val="center"/>
          </w:tcPr>
          <w:p w14:paraId="2C72663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2725" w:type="dxa"/>
            <w:tcBorders>
              <w:top w:val="single" w:color="auto" w:sz="4" w:space="0"/>
              <w:left w:val="nil"/>
              <w:right w:val="single" w:color="auto" w:sz="4" w:space="0"/>
            </w:tcBorders>
            <w:noWrap w:val="0"/>
            <w:vAlign w:val="center"/>
          </w:tcPr>
          <w:p w14:paraId="7A8C60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资金发放准确率</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7B3C7C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959" w:type="dxa"/>
            <w:vMerge w:val="continue"/>
            <w:tcBorders>
              <w:left w:val="single" w:color="auto" w:sz="4" w:space="0"/>
              <w:bottom w:val="single" w:color="auto" w:sz="4" w:space="0"/>
              <w:right w:val="single" w:color="auto" w:sz="4" w:space="0"/>
            </w:tcBorders>
            <w:noWrap w:val="0"/>
            <w:vAlign w:val="center"/>
          </w:tcPr>
          <w:p w14:paraId="098735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19C1172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vMerge w:val="continue"/>
            <w:tcBorders>
              <w:left w:val="single" w:color="auto" w:sz="4" w:space="0"/>
              <w:bottom w:val="single" w:color="auto" w:sz="8" w:space="0"/>
            </w:tcBorders>
            <w:noWrap w:val="0"/>
            <w:vAlign w:val="center"/>
          </w:tcPr>
          <w:p w14:paraId="77276F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r>
      <w:tr w14:paraId="1E4363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exact"/>
        </w:trPr>
        <w:tc>
          <w:tcPr>
            <w:tcW w:w="658" w:type="dxa"/>
            <w:vMerge w:val="continue"/>
            <w:tcBorders>
              <w:right w:val="single" w:color="auto" w:sz="8" w:space="0"/>
            </w:tcBorders>
            <w:noWrap w:val="0"/>
            <w:vAlign w:val="center"/>
          </w:tcPr>
          <w:p w14:paraId="46A008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left w:val="nil"/>
              <w:right w:val="single" w:color="auto" w:sz="8" w:space="0"/>
            </w:tcBorders>
            <w:noWrap w:val="0"/>
            <w:vAlign w:val="center"/>
          </w:tcPr>
          <w:p w14:paraId="48AE33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restart"/>
            <w:tcBorders>
              <w:top w:val="nil"/>
              <w:left w:val="nil"/>
              <w:right w:val="single" w:color="auto" w:sz="8" w:space="0"/>
            </w:tcBorders>
            <w:noWrap w:val="0"/>
            <w:vAlign w:val="center"/>
          </w:tcPr>
          <w:p w14:paraId="3B7C2C1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产出时效</w:t>
            </w:r>
          </w:p>
        </w:tc>
        <w:tc>
          <w:tcPr>
            <w:tcW w:w="510" w:type="dxa"/>
            <w:vMerge w:val="restart"/>
            <w:tcBorders>
              <w:top w:val="nil"/>
              <w:left w:val="nil"/>
              <w:right w:val="single" w:color="auto" w:sz="8" w:space="0"/>
            </w:tcBorders>
            <w:noWrap w:val="0"/>
            <w:vAlign w:val="center"/>
          </w:tcPr>
          <w:p w14:paraId="2CE0FF0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00" w:type="dxa"/>
            <w:vMerge w:val="restart"/>
            <w:tcBorders>
              <w:top w:val="nil"/>
              <w:left w:val="nil"/>
              <w:right w:val="single" w:color="auto" w:sz="8" w:space="0"/>
            </w:tcBorders>
            <w:noWrap w:val="0"/>
            <w:vAlign w:val="center"/>
          </w:tcPr>
          <w:p w14:paraId="6EA93EA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585" w:type="dxa"/>
            <w:tcBorders>
              <w:top w:val="nil"/>
              <w:left w:val="nil"/>
              <w:bottom w:val="single" w:color="auto" w:sz="8" w:space="0"/>
              <w:right w:val="single" w:color="auto" w:sz="8" w:space="0"/>
            </w:tcBorders>
            <w:noWrap w:val="0"/>
            <w:vAlign w:val="center"/>
          </w:tcPr>
          <w:p w14:paraId="38C08FF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25" w:type="dxa"/>
            <w:tcBorders>
              <w:top w:val="single" w:color="auto" w:sz="4" w:space="0"/>
              <w:left w:val="single" w:color="auto" w:sz="4" w:space="0"/>
              <w:bottom w:val="single" w:color="auto" w:sz="4" w:space="0"/>
              <w:right w:val="single" w:color="auto" w:sz="4" w:space="0"/>
            </w:tcBorders>
            <w:noWrap/>
            <w:vAlign w:val="center"/>
          </w:tcPr>
          <w:p w14:paraId="3922F4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项目开始时间</w:t>
            </w:r>
          </w:p>
        </w:tc>
        <w:tc>
          <w:tcPr>
            <w:tcW w:w="885" w:type="dxa"/>
            <w:tcBorders>
              <w:top w:val="single" w:color="auto" w:sz="4" w:space="0"/>
              <w:left w:val="single" w:color="auto" w:sz="4" w:space="0"/>
              <w:bottom w:val="single" w:color="auto" w:sz="4" w:space="0"/>
              <w:right w:val="single" w:color="auto" w:sz="4" w:space="0"/>
            </w:tcBorders>
            <w:noWrap/>
            <w:vAlign w:val="center"/>
          </w:tcPr>
          <w:p w14:paraId="6A4418E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w:t>
            </w:r>
          </w:p>
          <w:p w14:paraId="7CC43F1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1月</w:t>
            </w:r>
          </w:p>
        </w:tc>
        <w:tc>
          <w:tcPr>
            <w:tcW w:w="4959" w:type="dxa"/>
            <w:vMerge w:val="restart"/>
            <w:tcBorders>
              <w:top w:val="single" w:color="auto" w:sz="4" w:space="0"/>
              <w:left w:val="single" w:color="auto" w:sz="4" w:space="0"/>
              <w:right w:val="single" w:color="auto" w:sz="4" w:space="0"/>
            </w:tcBorders>
            <w:noWrap w:val="0"/>
            <w:vAlign w:val="center"/>
          </w:tcPr>
          <w:p w14:paraId="7AD5672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262913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1026" w:type="dxa"/>
            <w:tcBorders>
              <w:top w:val="single" w:color="auto" w:sz="4" w:space="0"/>
              <w:left w:val="single" w:color="auto" w:sz="4" w:space="0"/>
              <w:right w:val="single" w:color="auto" w:sz="4" w:space="0"/>
            </w:tcBorders>
            <w:noWrap w:val="0"/>
            <w:vAlign w:val="center"/>
          </w:tcPr>
          <w:p w14:paraId="5DC0234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w:t>
            </w:r>
          </w:p>
          <w:p w14:paraId="5B7D5C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1月</w:t>
            </w:r>
          </w:p>
        </w:tc>
        <w:tc>
          <w:tcPr>
            <w:tcW w:w="855" w:type="dxa"/>
            <w:tcBorders>
              <w:top w:val="nil"/>
              <w:left w:val="single" w:color="auto" w:sz="4" w:space="0"/>
              <w:bottom w:val="single" w:color="auto" w:sz="8" w:space="0"/>
            </w:tcBorders>
            <w:noWrap w:val="0"/>
            <w:vAlign w:val="center"/>
          </w:tcPr>
          <w:p w14:paraId="1C10DB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521B3E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exact"/>
        </w:trPr>
        <w:tc>
          <w:tcPr>
            <w:tcW w:w="658" w:type="dxa"/>
            <w:vMerge w:val="continue"/>
            <w:tcBorders>
              <w:right w:val="single" w:color="auto" w:sz="8" w:space="0"/>
            </w:tcBorders>
            <w:noWrap w:val="0"/>
            <w:vAlign w:val="center"/>
          </w:tcPr>
          <w:p w14:paraId="33ADFD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left w:val="nil"/>
              <w:right w:val="single" w:color="auto" w:sz="8" w:space="0"/>
            </w:tcBorders>
            <w:noWrap w:val="0"/>
            <w:vAlign w:val="center"/>
          </w:tcPr>
          <w:p w14:paraId="675A40F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left w:val="nil"/>
              <w:right w:val="single" w:color="auto" w:sz="8" w:space="0"/>
            </w:tcBorders>
            <w:noWrap w:val="0"/>
            <w:vAlign w:val="center"/>
          </w:tcPr>
          <w:p w14:paraId="6EFEB23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p>
        </w:tc>
        <w:tc>
          <w:tcPr>
            <w:tcW w:w="510" w:type="dxa"/>
            <w:vMerge w:val="continue"/>
            <w:tcBorders>
              <w:left w:val="nil"/>
              <w:right w:val="single" w:color="auto" w:sz="8" w:space="0"/>
            </w:tcBorders>
            <w:noWrap w:val="0"/>
            <w:vAlign w:val="center"/>
          </w:tcPr>
          <w:p w14:paraId="19FEB73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p>
        </w:tc>
        <w:tc>
          <w:tcPr>
            <w:tcW w:w="900" w:type="dxa"/>
            <w:vMerge w:val="continue"/>
            <w:tcBorders>
              <w:left w:val="nil"/>
              <w:right w:val="single" w:color="auto" w:sz="8" w:space="0"/>
            </w:tcBorders>
            <w:noWrap w:val="0"/>
            <w:vAlign w:val="center"/>
          </w:tcPr>
          <w:p w14:paraId="5C702C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p>
        </w:tc>
        <w:tc>
          <w:tcPr>
            <w:tcW w:w="585" w:type="dxa"/>
            <w:tcBorders>
              <w:top w:val="nil"/>
              <w:left w:val="nil"/>
              <w:bottom w:val="single" w:color="auto" w:sz="8" w:space="0"/>
              <w:right w:val="single" w:color="auto" w:sz="8" w:space="0"/>
            </w:tcBorders>
            <w:noWrap w:val="0"/>
            <w:vAlign w:val="center"/>
          </w:tcPr>
          <w:p w14:paraId="0118A4B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c>
          <w:tcPr>
            <w:tcW w:w="2725" w:type="dxa"/>
            <w:tcBorders>
              <w:top w:val="single" w:color="auto" w:sz="4" w:space="0"/>
              <w:left w:val="single" w:color="auto" w:sz="4" w:space="0"/>
              <w:bottom w:val="single" w:color="auto" w:sz="4" w:space="0"/>
              <w:right w:val="single" w:color="auto" w:sz="4" w:space="0"/>
            </w:tcBorders>
            <w:noWrap/>
            <w:vAlign w:val="center"/>
          </w:tcPr>
          <w:p w14:paraId="10D0CD6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项目完成时间</w:t>
            </w:r>
          </w:p>
        </w:tc>
        <w:tc>
          <w:tcPr>
            <w:tcW w:w="885" w:type="dxa"/>
            <w:tcBorders>
              <w:top w:val="single" w:color="auto" w:sz="4" w:space="0"/>
              <w:left w:val="single" w:color="auto" w:sz="4" w:space="0"/>
              <w:bottom w:val="single" w:color="auto" w:sz="4" w:space="0"/>
              <w:right w:val="single" w:color="auto" w:sz="4" w:space="0"/>
            </w:tcBorders>
            <w:noWrap/>
            <w:vAlign w:val="center"/>
          </w:tcPr>
          <w:p w14:paraId="2998CD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w:t>
            </w:r>
          </w:p>
          <w:p w14:paraId="28D4B6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12月</w:t>
            </w:r>
          </w:p>
        </w:tc>
        <w:tc>
          <w:tcPr>
            <w:tcW w:w="4959" w:type="dxa"/>
            <w:vMerge w:val="continue"/>
            <w:tcBorders>
              <w:left w:val="single" w:color="auto" w:sz="4" w:space="0"/>
              <w:right w:val="single" w:color="auto" w:sz="4" w:space="0"/>
            </w:tcBorders>
            <w:noWrap w:val="0"/>
            <w:vAlign w:val="center"/>
          </w:tcPr>
          <w:p w14:paraId="0CD4EC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26" w:type="dxa"/>
            <w:tcBorders>
              <w:top w:val="single" w:color="auto" w:sz="4" w:space="0"/>
              <w:left w:val="single" w:color="auto" w:sz="4" w:space="0"/>
              <w:right w:val="single" w:color="auto" w:sz="4" w:space="0"/>
            </w:tcBorders>
            <w:noWrap w:val="0"/>
            <w:vAlign w:val="center"/>
          </w:tcPr>
          <w:p w14:paraId="4C54415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w:t>
            </w:r>
          </w:p>
          <w:p w14:paraId="07A6A6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12月</w:t>
            </w:r>
          </w:p>
        </w:tc>
        <w:tc>
          <w:tcPr>
            <w:tcW w:w="855" w:type="dxa"/>
            <w:tcBorders>
              <w:top w:val="nil"/>
              <w:left w:val="single" w:color="auto" w:sz="4" w:space="0"/>
              <w:bottom w:val="single" w:color="auto" w:sz="8" w:space="0"/>
            </w:tcBorders>
            <w:noWrap w:val="0"/>
            <w:vAlign w:val="center"/>
          </w:tcPr>
          <w:p w14:paraId="59987C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3</w:t>
            </w:r>
          </w:p>
        </w:tc>
      </w:tr>
      <w:tr w14:paraId="4184D30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658" w:type="dxa"/>
            <w:vMerge w:val="continue"/>
            <w:tcBorders>
              <w:right w:val="single" w:color="auto" w:sz="8" w:space="0"/>
            </w:tcBorders>
            <w:noWrap w:val="0"/>
            <w:vAlign w:val="center"/>
          </w:tcPr>
          <w:p w14:paraId="2EAC5F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left w:val="nil"/>
              <w:right w:val="single" w:color="auto" w:sz="8" w:space="0"/>
            </w:tcBorders>
            <w:noWrap w:val="0"/>
            <w:vAlign w:val="center"/>
          </w:tcPr>
          <w:p w14:paraId="0D86D7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left w:val="nil"/>
              <w:bottom w:val="single" w:color="auto" w:sz="8" w:space="0"/>
              <w:right w:val="single" w:color="auto" w:sz="8" w:space="0"/>
            </w:tcBorders>
            <w:noWrap w:val="0"/>
            <w:vAlign w:val="center"/>
          </w:tcPr>
          <w:p w14:paraId="45BAB3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left w:val="nil"/>
              <w:bottom w:val="single" w:color="auto" w:sz="8" w:space="0"/>
              <w:right w:val="single" w:color="auto" w:sz="8" w:space="0"/>
            </w:tcBorders>
            <w:noWrap w:val="0"/>
            <w:vAlign w:val="center"/>
          </w:tcPr>
          <w:p w14:paraId="24A5CA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vMerge w:val="continue"/>
            <w:tcBorders>
              <w:left w:val="nil"/>
              <w:bottom w:val="single" w:color="auto" w:sz="8" w:space="0"/>
              <w:right w:val="single" w:color="auto" w:sz="8" w:space="0"/>
            </w:tcBorders>
            <w:noWrap w:val="0"/>
            <w:vAlign w:val="center"/>
          </w:tcPr>
          <w:p w14:paraId="11A2F26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tcBorders>
              <w:top w:val="nil"/>
              <w:left w:val="nil"/>
              <w:bottom w:val="single" w:color="auto" w:sz="8" w:space="0"/>
              <w:right w:val="single" w:color="auto" w:sz="8" w:space="0"/>
            </w:tcBorders>
            <w:noWrap w:val="0"/>
            <w:vAlign w:val="center"/>
          </w:tcPr>
          <w:p w14:paraId="3EBE13E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c>
          <w:tcPr>
            <w:tcW w:w="2725" w:type="dxa"/>
            <w:tcBorders>
              <w:top w:val="nil"/>
              <w:left w:val="nil"/>
              <w:bottom w:val="single" w:color="auto" w:sz="8" w:space="0"/>
              <w:right w:val="single" w:color="auto" w:sz="8" w:space="0"/>
            </w:tcBorders>
            <w:noWrap w:val="0"/>
            <w:vAlign w:val="center"/>
          </w:tcPr>
          <w:p w14:paraId="4231DE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资金拨付及时率</w:t>
            </w:r>
          </w:p>
        </w:tc>
        <w:tc>
          <w:tcPr>
            <w:tcW w:w="885" w:type="dxa"/>
            <w:tcBorders>
              <w:top w:val="nil"/>
              <w:left w:val="nil"/>
              <w:bottom w:val="single" w:color="auto" w:sz="8" w:space="0"/>
              <w:right w:val="single" w:color="auto" w:sz="4" w:space="0"/>
            </w:tcBorders>
            <w:noWrap w:val="0"/>
            <w:vAlign w:val="center"/>
          </w:tcPr>
          <w:p w14:paraId="37BACF9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4959" w:type="dxa"/>
            <w:vMerge w:val="continue"/>
            <w:tcBorders>
              <w:left w:val="single" w:color="auto" w:sz="4" w:space="0"/>
              <w:bottom w:val="single" w:color="auto" w:sz="4" w:space="0"/>
              <w:right w:val="single" w:color="auto" w:sz="4" w:space="0"/>
            </w:tcBorders>
            <w:noWrap w:val="0"/>
            <w:vAlign w:val="center"/>
          </w:tcPr>
          <w:p w14:paraId="1E012A4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1026" w:type="dxa"/>
            <w:tcBorders>
              <w:top w:val="single" w:color="auto" w:sz="4" w:space="0"/>
              <w:left w:val="single" w:color="auto" w:sz="4" w:space="0"/>
              <w:bottom w:val="single" w:color="auto" w:sz="4" w:space="0"/>
              <w:right w:val="single" w:color="auto" w:sz="4" w:space="0"/>
            </w:tcBorders>
            <w:noWrap w:val="0"/>
            <w:vAlign w:val="center"/>
          </w:tcPr>
          <w:p w14:paraId="0AC4AA7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855" w:type="dxa"/>
            <w:tcBorders>
              <w:top w:val="nil"/>
              <w:left w:val="single" w:color="auto" w:sz="4" w:space="0"/>
              <w:bottom w:val="single" w:color="auto" w:sz="8" w:space="0"/>
            </w:tcBorders>
            <w:noWrap w:val="0"/>
            <w:vAlign w:val="center"/>
          </w:tcPr>
          <w:p w14:paraId="25B072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w:t>
            </w:r>
          </w:p>
        </w:tc>
      </w:tr>
      <w:tr w14:paraId="7EE5BB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68" w:hRule="atLeast"/>
        </w:trPr>
        <w:tc>
          <w:tcPr>
            <w:tcW w:w="658" w:type="dxa"/>
            <w:vMerge w:val="continue"/>
            <w:tcBorders>
              <w:right w:val="single" w:color="auto" w:sz="8" w:space="0"/>
            </w:tcBorders>
            <w:noWrap w:val="0"/>
            <w:vAlign w:val="center"/>
          </w:tcPr>
          <w:p w14:paraId="7EBFACB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left w:val="nil"/>
              <w:right w:val="single" w:color="auto" w:sz="8" w:space="0"/>
            </w:tcBorders>
            <w:noWrap w:val="0"/>
            <w:vAlign w:val="center"/>
          </w:tcPr>
          <w:p w14:paraId="37CBC9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tcBorders>
              <w:top w:val="nil"/>
              <w:left w:val="nil"/>
              <w:right w:val="single" w:color="auto" w:sz="8" w:space="0"/>
            </w:tcBorders>
            <w:noWrap w:val="0"/>
            <w:vAlign w:val="center"/>
          </w:tcPr>
          <w:p w14:paraId="5C39CD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产出成本</w:t>
            </w:r>
          </w:p>
        </w:tc>
        <w:tc>
          <w:tcPr>
            <w:tcW w:w="510" w:type="dxa"/>
            <w:tcBorders>
              <w:top w:val="nil"/>
              <w:left w:val="nil"/>
              <w:right w:val="single" w:color="auto" w:sz="8" w:space="0"/>
            </w:tcBorders>
            <w:noWrap w:val="0"/>
            <w:vAlign w:val="center"/>
          </w:tcPr>
          <w:p w14:paraId="28BAD62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900" w:type="dxa"/>
            <w:tcBorders>
              <w:top w:val="nil"/>
              <w:left w:val="nil"/>
              <w:right w:val="single" w:color="auto" w:sz="8" w:space="0"/>
            </w:tcBorders>
            <w:noWrap w:val="0"/>
            <w:vAlign w:val="center"/>
          </w:tcPr>
          <w:p w14:paraId="19D14CB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585" w:type="dxa"/>
            <w:tcBorders>
              <w:top w:val="nil"/>
              <w:left w:val="nil"/>
              <w:bottom w:val="single" w:color="auto" w:sz="8" w:space="0"/>
              <w:right w:val="single" w:color="auto" w:sz="8" w:space="0"/>
            </w:tcBorders>
            <w:noWrap w:val="0"/>
            <w:vAlign w:val="center"/>
          </w:tcPr>
          <w:p w14:paraId="723CCA2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725" w:type="dxa"/>
            <w:tcBorders>
              <w:top w:val="nil"/>
              <w:left w:val="nil"/>
              <w:bottom w:val="single" w:color="auto" w:sz="4" w:space="0"/>
              <w:right w:val="single" w:color="auto" w:sz="8" w:space="0"/>
            </w:tcBorders>
            <w:noWrap w:val="0"/>
            <w:vAlign w:val="center"/>
          </w:tcPr>
          <w:p w14:paraId="13F095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聘用人员工资</w:t>
            </w:r>
          </w:p>
        </w:tc>
        <w:tc>
          <w:tcPr>
            <w:tcW w:w="885" w:type="dxa"/>
            <w:tcBorders>
              <w:top w:val="nil"/>
              <w:left w:val="nil"/>
              <w:bottom w:val="single" w:color="auto" w:sz="4" w:space="0"/>
              <w:right w:val="single" w:color="auto" w:sz="8" w:space="0"/>
            </w:tcBorders>
            <w:noWrap w:val="0"/>
            <w:vAlign w:val="center"/>
          </w:tcPr>
          <w:p w14:paraId="1BA397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&lt;=13.06万元</w:t>
            </w:r>
          </w:p>
        </w:tc>
        <w:tc>
          <w:tcPr>
            <w:tcW w:w="4959" w:type="dxa"/>
            <w:tcBorders>
              <w:top w:val="single" w:color="auto" w:sz="4" w:space="0"/>
              <w:left w:val="nil"/>
              <w:bottom w:val="single" w:color="auto" w:sz="4" w:space="0"/>
              <w:right w:val="single" w:color="auto" w:sz="8" w:space="0"/>
            </w:tcBorders>
            <w:noWrap w:val="0"/>
            <w:vAlign w:val="center"/>
          </w:tcPr>
          <w:p w14:paraId="076A51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p>
          <w:p w14:paraId="182E9F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①实际完成率＞年度指标值，得0得分；</w:t>
            </w:r>
          </w:p>
          <w:p w14:paraId="3586FC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p>
          <w:p w14:paraId="017A9CC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1026" w:type="dxa"/>
            <w:tcBorders>
              <w:top w:val="single" w:color="auto" w:sz="4" w:space="0"/>
              <w:left w:val="nil"/>
              <w:bottom w:val="single" w:color="auto" w:sz="8" w:space="0"/>
              <w:right w:val="single" w:color="auto" w:sz="8" w:space="0"/>
            </w:tcBorders>
            <w:noWrap w:val="0"/>
            <w:vAlign w:val="center"/>
          </w:tcPr>
          <w:p w14:paraId="0EE74DB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13.06万元</w:t>
            </w:r>
          </w:p>
        </w:tc>
        <w:tc>
          <w:tcPr>
            <w:tcW w:w="855" w:type="dxa"/>
            <w:tcBorders>
              <w:top w:val="nil"/>
              <w:left w:val="nil"/>
              <w:bottom w:val="single" w:color="auto" w:sz="8" w:space="0"/>
            </w:tcBorders>
            <w:noWrap w:val="0"/>
            <w:vAlign w:val="center"/>
          </w:tcPr>
          <w:p w14:paraId="47D927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3FECC92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53" w:hRule="atLeast"/>
        </w:trPr>
        <w:tc>
          <w:tcPr>
            <w:tcW w:w="658" w:type="dxa"/>
            <w:vMerge w:val="restart"/>
            <w:tcBorders>
              <w:top w:val="single" w:color="auto" w:sz="4" w:space="0"/>
              <w:bottom w:val="single" w:color="auto" w:sz="4" w:space="0"/>
              <w:right w:val="single" w:color="auto" w:sz="4" w:space="0"/>
            </w:tcBorders>
            <w:noWrap w:val="0"/>
            <w:vAlign w:val="center"/>
          </w:tcPr>
          <w:p w14:paraId="62F4E56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495" w:type="dxa"/>
            <w:vMerge w:val="restart"/>
            <w:tcBorders>
              <w:top w:val="single" w:color="auto" w:sz="4" w:space="0"/>
              <w:left w:val="single" w:color="auto" w:sz="4" w:space="0"/>
              <w:bottom w:val="single" w:color="auto" w:sz="4" w:space="0"/>
              <w:right w:val="single" w:color="auto" w:sz="4" w:space="0"/>
            </w:tcBorders>
            <w:noWrap w:val="0"/>
            <w:vAlign w:val="center"/>
          </w:tcPr>
          <w:p w14:paraId="5306FD8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615" w:type="dxa"/>
            <w:vMerge w:val="restart"/>
            <w:tcBorders>
              <w:top w:val="single" w:color="auto" w:sz="4" w:space="0"/>
              <w:left w:val="single" w:color="auto" w:sz="4" w:space="0"/>
              <w:bottom w:val="single" w:color="auto" w:sz="4" w:space="0"/>
              <w:right w:val="single" w:color="auto" w:sz="4" w:space="0"/>
            </w:tcBorders>
            <w:noWrap w:val="0"/>
            <w:vAlign w:val="center"/>
          </w:tcPr>
          <w:p w14:paraId="7A0FB5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项目效益</w:t>
            </w:r>
          </w:p>
        </w:tc>
        <w:tc>
          <w:tcPr>
            <w:tcW w:w="510" w:type="dxa"/>
            <w:vMerge w:val="restart"/>
            <w:tcBorders>
              <w:top w:val="single" w:color="auto" w:sz="4" w:space="0"/>
              <w:left w:val="single" w:color="auto" w:sz="4" w:space="0"/>
              <w:bottom w:val="single" w:color="auto" w:sz="4" w:space="0"/>
              <w:right w:val="single" w:color="auto" w:sz="4" w:space="0"/>
            </w:tcBorders>
            <w:noWrap w:val="0"/>
            <w:vAlign w:val="center"/>
          </w:tcPr>
          <w:p w14:paraId="513FD54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25</w:t>
            </w:r>
          </w:p>
        </w:tc>
        <w:tc>
          <w:tcPr>
            <w:tcW w:w="900" w:type="dxa"/>
            <w:tcBorders>
              <w:top w:val="single" w:color="auto" w:sz="4" w:space="0"/>
              <w:left w:val="single" w:color="auto" w:sz="4" w:space="0"/>
              <w:bottom w:val="single" w:color="auto" w:sz="4" w:space="0"/>
              <w:right w:val="single" w:color="auto" w:sz="4" w:space="0"/>
            </w:tcBorders>
            <w:noWrap w:val="0"/>
            <w:vAlign w:val="center"/>
          </w:tcPr>
          <w:p w14:paraId="62860ED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社会效益</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5800A8C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0615F7A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保障聘用人员工作积极性</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2580A3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19D4769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40F85C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有效保障</w:t>
            </w:r>
          </w:p>
        </w:tc>
        <w:tc>
          <w:tcPr>
            <w:tcW w:w="855" w:type="dxa"/>
            <w:tcBorders>
              <w:top w:val="single" w:color="auto" w:sz="4" w:space="0"/>
              <w:left w:val="single" w:color="auto" w:sz="4" w:space="0"/>
              <w:bottom w:val="single" w:color="auto" w:sz="4" w:space="0"/>
            </w:tcBorders>
            <w:noWrap w:val="0"/>
            <w:vAlign w:val="center"/>
          </w:tcPr>
          <w:p w14:paraId="599DCA0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15</w:t>
            </w:r>
          </w:p>
        </w:tc>
      </w:tr>
      <w:tr w14:paraId="45F3E7E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90" w:hRule="atLeast"/>
        </w:trPr>
        <w:tc>
          <w:tcPr>
            <w:tcW w:w="658" w:type="dxa"/>
            <w:vMerge w:val="continue"/>
            <w:tcBorders>
              <w:top w:val="single" w:color="auto" w:sz="4" w:space="0"/>
              <w:bottom w:val="single" w:color="auto" w:sz="4" w:space="0"/>
              <w:right w:val="single" w:color="auto" w:sz="4" w:space="0"/>
            </w:tcBorders>
            <w:noWrap w:val="0"/>
            <w:vAlign w:val="center"/>
          </w:tcPr>
          <w:p w14:paraId="26A3DC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495" w:type="dxa"/>
            <w:vMerge w:val="continue"/>
            <w:tcBorders>
              <w:top w:val="single" w:color="auto" w:sz="4" w:space="0"/>
              <w:left w:val="single" w:color="auto" w:sz="4" w:space="0"/>
              <w:bottom w:val="single" w:color="auto" w:sz="4" w:space="0"/>
              <w:right w:val="single" w:color="auto" w:sz="4" w:space="0"/>
            </w:tcBorders>
            <w:noWrap w:val="0"/>
            <w:vAlign w:val="center"/>
          </w:tcPr>
          <w:p w14:paraId="3084065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615" w:type="dxa"/>
            <w:vMerge w:val="continue"/>
            <w:tcBorders>
              <w:top w:val="single" w:color="auto" w:sz="4" w:space="0"/>
              <w:left w:val="single" w:color="auto" w:sz="4" w:space="0"/>
              <w:bottom w:val="single" w:color="auto" w:sz="4" w:space="0"/>
              <w:right w:val="single" w:color="auto" w:sz="4" w:space="0"/>
            </w:tcBorders>
            <w:noWrap w:val="0"/>
            <w:vAlign w:val="center"/>
          </w:tcPr>
          <w:p w14:paraId="0F4E52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vMerge w:val="continue"/>
            <w:tcBorders>
              <w:top w:val="single" w:color="auto" w:sz="4" w:space="0"/>
              <w:left w:val="single" w:color="auto" w:sz="4" w:space="0"/>
              <w:bottom w:val="single" w:color="auto" w:sz="4" w:space="0"/>
              <w:right w:val="single" w:color="auto" w:sz="4" w:space="0"/>
            </w:tcBorders>
            <w:noWrap w:val="0"/>
            <w:vAlign w:val="center"/>
          </w:tcPr>
          <w:p w14:paraId="05CB1D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900" w:type="dxa"/>
            <w:tcBorders>
              <w:top w:val="single" w:color="auto" w:sz="4" w:space="0"/>
              <w:left w:val="single" w:color="auto" w:sz="4" w:space="0"/>
              <w:bottom w:val="single" w:color="auto" w:sz="4" w:space="0"/>
              <w:right w:val="single" w:color="auto" w:sz="4" w:space="0"/>
            </w:tcBorders>
            <w:noWrap w:val="0"/>
            <w:vAlign w:val="center"/>
          </w:tcPr>
          <w:p w14:paraId="45EE2F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585" w:type="dxa"/>
            <w:tcBorders>
              <w:top w:val="single" w:color="auto" w:sz="4" w:space="0"/>
              <w:left w:val="single" w:color="auto" w:sz="4" w:space="0"/>
              <w:bottom w:val="single" w:color="auto" w:sz="4" w:space="0"/>
              <w:right w:val="single" w:color="auto" w:sz="4" w:space="0"/>
            </w:tcBorders>
            <w:noWrap w:val="0"/>
            <w:vAlign w:val="center"/>
          </w:tcPr>
          <w:p w14:paraId="03EAAD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c>
          <w:tcPr>
            <w:tcW w:w="2725" w:type="dxa"/>
            <w:tcBorders>
              <w:top w:val="single" w:color="auto" w:sz="4" w:space="0"/>
              <w:left w:val="single" w:color="auto" w:sz="4" w:space="0"/>
              <w:bottom w:val="single" w:color="auto" w:sz="4" w:space="0"/>
              <w:right w:val="single" w:color="auto" w:sz="4" w:space="0"/>
            </w:tcBorders>
            <w:noWrap w:val="0"/>
            <w:vAlign w:val="center"/>
          </w:tcPr>
          <w:p w14:paraId="71D22D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受益聘用人员满意度</w:t>
            </w:r>
          </w:p>
        </w:tc>
        <w:tc>
          <w:tcPr>
            <w:tcW w:w="885" w:type="dxa"/>
            <w:tcBorders>
              <w:top w:val="single" w:color="auto" w:sz="4" w:space="0"/>
              <w:left w:val="single" w:color="auto" w:sz="4" w:space="0"/>
              <w:bottom w:val="single" w:color="auto" w:sz="4" w:space="0"/>
              <w:right w:val="single" w:color="auto" w:sz="4" w:space="0"/>
            </w:tcBorders>
            <w:noWrap w:val="0"/>
            <w:vAlign w:val="center"/>
          </w:tcPr>
          <w:p w14:paraId="61C8FD8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4959" w:type="dxa"/>
            <w:tcBorders>
              <w:top w:val="single" w:color="auto" w:sz="4" w:space="0"/>
              <w:left w:val="single" w:color="auto" w:sz="4" w:space="0"/>
              <w:bottom w:val="single" w:color="auto" w:sz="4" w:space="0"/>
              <w:right w:val="single" w:color="auto" w:sz="4" w:space="0"/>
            </w:tcBorders>
            <w:noWrap w:val="0"/>
            <w:vAlign w:val="center"/>
          </w:tcPr>
          <w:p w14:paraId="0F04C97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1026" w:type="dxa"/>
            <w:tcBorders>
              <w:top w:val="single" w:color="auto" w:sz="4" w:space="0"/>
              <w:left w:val="single" w:color="auto" w:sz="4" w:space="0"/>
              <w:bottom w:val="single" w:color="auto" w:sz="4" w:space="0"/>
              <w:right w:val="single" w:color="auto" w:sz="4" w:space="0"/>
            </w:tcBorders>
            <w:noWrap w:val="0"/>
            <w:vAlign w:val="center"/>
          </w:tcPr>
          <w:p w14:paraId="6A4AD96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95%</w:t>
            </w:r>
          </w:p>
        </w:tc>
        <w:tc>
          <w:tcPr>
            <w:tcW w:w="855" w:type="dxa"/>
            <w:tcBorders>
              <w:top w:val="single" w:color="auto" w:sz="4" w:space="0"/>
              <w:left w:val="single" w:color="auto" w:sz="4" w:space="0"/>
              <w:bottom w:val="single" w:color="auto" w:sz="4" w:space="0"/>
            </w:tcBorders>
            <w:noWrap w:val="0"/>
            <w:vAlign w:val="center"/>
          </w:tcPr>
          <w:p w14:paraId="5FCC81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w:t>
            </w:r>
          </w:p>
        </w:tc>
      </w:tr>
      <w:tr w14:paraId="2BD5E9D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658" w:type="dxa"/>
            <w:tcBorders>
              <w:top w:val="single" w:color="auto" w:sz="4" w:space="0"/>
              <w:right w:val="single" w:color="auto" w:sz="8" w:space="0"/>
            </w:tcBorders>
            <w:noWrap w:val="0"/>
            <w:vAlign w:val="center"/>
          </w:tcPr>
          <w:p w14:paraId="490FD3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总分</w:t>
            </w:r>
          </w:p>
        </w:tc>
        <w:tc>
          <w:tcPr>
            <w:tcW w:w="495" w:type="dxa"/>
            <w:tcBorders>
              <w:top w:val="single" w:color="auto" w:sz="4" w:space="0"/>
              <w:left w:val="nil"/>
              <w:right w:val="single" w:color="auto" w:sz="8" w:space="0"/>
            </w:tcBorders>
            <w:noWrap w:val="0"/>
            <w:vAlign w:val="center"/>
          </w:tcPr>
          <w:p w14:paraId="7561F40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615" w:type="dxa"/>
            <w:tcBorders>
              <w:top w:val="single" w:color="auto" w:sz="4" w:space="0"/>
              <w:left w:val="nil"/>
              <w:right w:val="single" w:color="auto" w:sz="8" w:space="0"/>
            </w:tcBorders>
            <w:noWrap w:val="0"/>
            <w:vAlign w:val="center"/>
          </w:tcPr>
          <w:p w14:paraId="0C0828E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10" w:type="dxa"/>
            <w:tcBorders>
              <w:top w:val="single" w:color="auto" w:sz="4" w:space="0"/>
              <w:left w:val="nil"/>
              <w:right w:val="single" w:color="auto" w:sz="8" w:space="0"/>
            </w:tcBorders>
            <w:noWrap w:val="0"/>
            <w:vAlign w:val="center"/>
          </w:tcPr>
          <w:p w14:paraId="6C61A69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900" w:type="dxa"/>
            <w:tcBorders>
              <w:top w:val="single" w:color="auto" w:sz="4" w:space="0"/>
              <w:left w:val="nil"/>
              <w:right w:val="single" w:color="auto" w:sz="8" w:space="0"/>
            </w:tcBorders>
            <w:noWrap w:val="0"/>
            <w:vAlign w:val="center"/>
          </w:tcPr>
          <w:p w14:paraId="31D065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585" w:type="dxa"/>
            <w:tcBorders>
              <w:top w:val="single" w:color="auto" w:sz="4" w:space="0"/>
              <w:left w:val="nil"/>
              <w:right w:val="single" w:color="auto" w:sz="8" w:space="0"/>
            </w:tcBorders>
            <w:noWrap w:val="0"/>
            <w:vAlign w:val="center"/>
          </w:tcPr>
          <w:p w14:paraId="748EB91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c>
          <w:tcPr>
            <w:tcW w:w="2725" w:type="dxa"/>
            <w:tcBorders>
              <w:top w:val="single" w:color="auto" w:sz="4" w:space="0"/>
              <w:left w:val="nil"/>
              <w:right w:val="single" w:color="auto" w:sz="8" w:space="0"/>
            </w:tcBorders>
            <w:noWrap w:val="0"/>
            <w:vAlign w:val="center"/>
          </w:tcPr>
          <w:p w14:paraId="5751282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85" w:type="dxa"/>
            <w:tcBorders>
              <w:top w:val="single" w:color="auto" w:sz="4" w:space="0"/>
              <w:left w:val="nil"/>
              <w:right w:val="single" w:color="auto" w:sz="8" w:space="0"/>
            </w:tcBorders>
            <w:noWrap w:val="0"/>
            <w:vAlign w:val="center"/>
          </w:tcPr>
          <w:p w14:paraId="0977DE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w:t>
            </w:r>
          </w:p>
        </w:tc>
        <w:tc>
          <w:tcPr>
            <w:tcW w:w="4959" w:type="dxa"/>
            <w:tcBorders>
              <w:top w:val="single" w:color="auto" w:sz="4" w:space="0"/>
              <w:left w:val="nil"/>
              <w:right w:val="single" w:color="auto" w:sz="8" w:space="0"/>
            </w:tcBorders>
            <w:noWrap w:val="0"/>
            <w:vAlign w:val="center"/>
          </w:tcPr>
          <w:p w14:paraId="08F442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1026" w:type="dxa"/>
            <w:tcBorders>
              <w:top w:val="single" w:color="auto" w:sz="4" w:space="0"/>
              <w:left w:val="nil"/>
              <w:right w:val="single" w:color="auto" w:sz="8" w:space="0"/>
            </w:tcBorders>
            <w:noWrap w:val="0"/>
            <w:vAlign w:val="center"/>
          </w:tcPr>
          <w:p w14:paraId="6B4C6DD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p>
        </w:tc>
        <w:tc>
          <w:tcPr>
            <w:tcW w:w="855" w:type="dxa"/>
            <w:tcBorders>
              <w:top w:val="single" w:color="auto" w:sz="4" w:space="0"/>
              <w:left w:val="nil"/>
            </w:tcBorders>
            <w:noWrap w:val="0"/>
            <w:vAlign w:val="center"/>
          </w:tcPr>
          <w:p w14:paraId="2B2E71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100</w:t>
            </w:r>
          </w:p>
        </w:tc>
      </w:tr>
    </w:tbl>
    <w:p w14:paraId="02DA83A1">
      <w:pPr>
        <w:pStyle w:val="10"/>
        <w:ind w:left="0" w:leftChars="0" w:firstLine="0" w:firstLineChars="0"/>
        <w:jc w:val="both"/>
        <w:rPr>
          <w:rFonts w:hint="eastAsia" w:ascii="宋体" w:hAnsi="宋体" w:eastAsia="宋体" w:cs="宋体"/>
          <w:sz w:val="24"/>
          <w:szCs w:val="24"/>
          <w:lang w:val="en-US" w:eastAsia="zh-CN"/>
        </w:rPr>
      </w:pPr>
    </w:p>
    <w:p w14:paraId="7B4DF234">
      <w:pPr>
        <w:pStyle w:val="10"/>
        <w:ind w:left="0" w:leftChars="0" w:firstLine="0" w:firstLineChars="0"/>
        <w:jc w:val="both"/>
        <w:rPr>
          <w:rFonts w:hint="eastAsia" w:ascii="宋体" w:hAnsi="宋体" w:eastAsia="宋体" w:cs="宋体"/>
          <w:sz w:val="24"/>
          <w:szCs w:val="24"/>
          <w:lang w:val="en-US" w:eastAsia="zh-CN"/>
        </w:rPr>
      </w:pPr>
    </w:p>
    <w:p w14:paraId="612E0AFC">
      <w:pPr>
        <w:pStyle w:val="10"/>
        <w:ind w:left="0" w:leftChars="0" w:firstLine="0" w:firstLineChars="0"/>
        <w:jc w:val="both"/>
        <w:rPr>
          <w:rFonts w:hint="eastAsia" w:ascii="宋体" w:hAnsi="宋体" w:eastAsia="宋体" w:cs="宋体"/>
          <w:sz w:val="24"/>
          <w:szCs w:val="24"/>
          <w:lang w:val="en-US" w:eastAsia="zh-CN"/>
        </w:rPr>
      </w:pPr>
    </w:p>
    <w:p w14:paraId="5C37CDBE">
      <w:pPr>
        <w:pStyle w:val="10"/>
        <w:ind w:left="0" w:leftChars="0" w:firstLine="0" w:firstLineChars="0"/>
        <w:jc w:val="both"/>
        <w:rPr>
          <w:rFonts w:hint="eastAsia" w:ascii="宋体" w:hAnsi="宋体" w:eastAsia="宋体" w:cs="宋体"/>
          <w:sz w:val="24"/>
          <w:szCs w:val="24"/>
          <w:lang w:val="en-US" w:eastAsia="zh-CN"/>
        </w:rPr>
      </w:pPr>
    </w:p>
    <w:p w14:paraId="669E271B">
      <w:pPr>
        <w:pStyle w:val="10"/>
        <w:ind w:left="0" w:leftChars="0" w:firstLine="0" w:firstLineChars="0"/>
        <w:jc w:val="both"/>
        <w:rPr>
          <w:rFonts w:hint="eastAsia" w:ascii="宋体" w:hAnsi="宋体" w:eastAsia="宋体" w:cs="宋体"/>
          <w:sz w:val="24"/>
          <w:szCs w:val="24"/>
          <w:lang w:val="en-US" w:eastAsia="zh-CN"/>
        </w:rPr>
      </w:pPr>
    </w:p>
    <w:p w14:paraId="4C49C01F">
      <w:pPr>
        <w:pStyle w:val="10"/>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tbl>
      <w:tblPr>
        <w:tblStyle w:val="23"/>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62B82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21BDAB3E">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000000"/>
                <w:sz w:val="22"/>
                <w:szCs w:val="22"/>
                <w:u w:val="none"/>
              </w:rPr>
            </w:pPr>
          </w:p>
        </w:tc>
        <w:tc>
          <w:tcPr>
            <w:tcW w:w="1778" w:type="dxa"/>
            <w:tcBorders>
              <w:top w:val="nil"/>
              <w:left w:val="nil"/>
              <w:bottom w:val="nil"/>
              <w:right w:val="nil"/>
            </w:tcBorders>
            <w:noWrap/>
            <w:vAlign w:val="center"/>
          </w:tcPr>
          <w:p w14:paraId="1A9126E0">
            <w:pPr>
              <w:rPr>
                <w:rFonts w:hint="eastAsia" w:ascii="宋体" w:hAnsi="宋体" w:eastAsia="宋体" w:cs="宋体"/>
                <w:i w:val="0"/>
                <w:iCs w:val="0"/>
                <w:color w:val="000000"/>
                <w:sz w:val="22"/>
                <w:szCs w:val="22"/>
                <w:u w:val="none"/>
              </w:rPr>
            </w:pPr>
          </w:p>
        </w:tc>
        <w:tc>
          <w:tcPr>
            <w:tcW w:w="2786" w:type="dxa"/>
            <w:tcBorders>
              <w:top w:val="nil"/>
              <w:left w:val="nil"/>
              <w:bottom w:val="nil"/>
              <w:right w:val="nil"/>
            </w:tcBorders>
            <w:noWrap/>
            <w:vAlign w:val="center"/>
          </w:tcPr>
          <w:p w14:paraId="01697DE5">
            <w:pPr>
              <w:rPr>
                <w:rFonts w:hint="eastAsia" w:ascii="宋体" w:hAnsi="宋体" w:eastAsia="宋体" w:cs="宋体"/>
                <w:i w:val="0"/>
                <w:iCs w:val="0"/>
                <w:color w:val="000000"/>
                <w:sz w:val="22"/>
                <w:szCs w:val="22"/>
                <w:u w:val="none"/>
              </w:rPr>
            </w:pPr>
          </w:p>
        </w:tc>
        <w:tc>
          <w:tcPr>
            <w:tcW w:w="2314" w:type="dxa"/>
            <w:tcBorders>
              <w:top w:val="nil"/>
              <w:left w:val="nil"/>
              <w:bottom w:val="nil"/>
              <w:right w:val="nil"/>
            </w:tcBorders>
            <w:noWrap/>
            <w:vAlign w:val="center"/>
          </w:tcPr>
          <w:p w14:paraId="4EFAA5FB">
            <w:pPr>
              <w:rPr>
                <w:rFonts w:hint="eastAsia" w:ascii="宋体" w:hAnsi="宋体" w:eastAsia="宋体" w:cs="宋体"/>
                <w:i w:val="0"/>
                <w:iCs w:val="0"/>
                <w:color w:val="000000"/>
                <w:sz w:val="22"/>
                <w:szCs w:val="22"/>
                <w:u w:val="none"/>
              </w:rPr>
            </w:pPr>
          </w:p>
        </w:tc>
        <w:tc>
          <w:tcPr>
            <w:tcW w:w="3449" w:type="dxa"/>
            <w:tcBorders>
              <w:top w:val="nil"/>
              <w:left w:val="nil"/>
              <w:bottom w:val="nil"/>
              <w:right w:val="nil"/>
            </w:tcBorders>
            <w:noWrap/>
            <w:vAlign w:val="center"/>
          </w:tcPr>
          <w:p w14:paraId="0FE23568">
            <w:pPr>
              <w:rPr>
                <w:rFonts w:hint="eastAsia" w:ascii="宋体" w:hAnsi="宋体" w:eastAsia="宋体" w:cs="宋体"/>
                <w:i w:val="0"/>
                <w:iCs w:val="0"/>
                <w:color w:val="000000"/>
                <w:sz w:val="22"/>
                <w:szCs w:val="22"/>
                <w:u w:val="none"/>
              </w:rPr>
            </w:pPr>
          </w:p>
        </w:tc>
        <w:tc>
          <w:tcPr>
            <w:tcW w:w="1331" w:type="dxa"/>
            <w:tcBorders>
              <w:top w:val="nil"/>
              <w:left w:val="nil"/>
              <w:bottom w:val="nil"/>
              <w:right w:val="nil"/>
            </w:tcBorders>
            <w:noWrap/>
            <w:vAlign w:val="center"/>
          </w:tcPr>
          <w:p w14:paraId="05AB0D7A">
            <w:pPr>
              <w:rPr>
                <w:rFonts w:hint="eastAsia" w:ascii="宋体" w:hAnsi="宋体" w:eastAsia="宋体" w:cs="宋体"/>
                <w:i w:val="0"/>
                <w:iCs w:val="0"/>
                <w:color w:val="000000"/>
                <w:sz w:val="22"/>
                <w:szCs w:val="22"/>
                <w:u w:val="none"/>
              </w:rPr>
            </w:pPr>
          </w:p>
        </w:tc>
      </w:tr>
      <w:tr w14:paraId="22D41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21010B2B">
            <w:pPr>
              <w:keepNext w:val="0"/>
              <w:keepLines w:val="0"/>
              <w:widowControl/>
              <w:suppressLineNumbers w:val="0"/>
              <w:jc w:val="center"/>
              <w:textAlignment w:val="center"/>
              <w:rPr>
                <w:rFonts w:hint="eastAsia" w:ascii="宋体" w:hAnsi="宋体" w:eastAsia="宋体" w:cs="宋体"/>
                <w:b/>
                <w:bCs/>
                <w:i w:val="0"/>
                <w:iCs w:val="0"/>
                <w:color w:val="FF0000"/>
                <w:sz w:val="36"/>
                <w:szCs w:val="36"/>
                <w:u w:val="none"/>
              </w:rPr>
            </w:pPr>
            <w:r>
              <w:rPr>
                <w:rFonts w:hint="eastAsia" w:ascii="宋体" w:hAnsi="宋体" w:eastAsia="宋体" w:cs="宋体"/>
                <w:b/>
                <w:bCs/>
                <w:i w:val="0"/>
                <w:iCs w:val="0"/>
                <w:color w:val="000000"/>
                <w:kern w:val="0"/>
                <w:sz w:val="36"/>
                <w:szCs w:val="36"/>
                <w:highlight w:val="none"/>
                <w:u w:val="none"/>
                <w:lang w:val="en-US" w:eastAsia="zh-CN"/>
              </w:rPr>
              <w:t>洛浦县2024年聘用人员工资项目绩效评价指标体系综合评分表项目</w:t>
            </w:r>
          </w:p>
        </w:tc>
      </w:tr>
      <w:tr w14:paraId="04BD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54B3086">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B5B0598">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38BC98">
            <w:pPr>
              <w:keepNext w:val="0"/>
              <w:keepLines w:val="0"/>
              <w:widowControl/>
              <w:suppressLineNumbers w:val="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6813FF2">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6C74705D">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E937950">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合计</w:t>
            </w:r>
          </w:p>
        </w:tc>
      </w:tr>
      <w:tr w14:paraId="7CA70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DF000C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19791F3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EAC4DC0">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21A4977F">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458F7BFC">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05DF2659">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r>
      <w:tr w14:paraId="48ED3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4A15CD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C3DFFC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3561FE4E">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24FE1CB4">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05DD49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default"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4FEE70BD">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r>
      <w:tr w14:paraId="4C24B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AD8650E">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A45EC21">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6686A82A">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4AF8336">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12D9BB58">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355E3737">
            <w:pPr>
              <w:keepNext w:val="0"/>
              <w:keepLines w:val="0"/>
              <w:pageBreakBefore w:val="0"/>
              <w:widowControl/>
              <w:suppressLineNumbers w:val="0"/>
              <w:kinsoku/>
              <w:wordWrap/>
              <w:overflowPunct/>
              <w:topLinePunct w:val="0"/>
              <w:autoSpaceDE/>
              <w:autoSpaceDN/>
              <w:bidi w:val="0"/>
              <w:adjustRightInd/>
              <w:snapToGrid/>
              <w:spacing w:line="360" w:lineRule="auto"/>
              <w:ind w:firstLine="0" w:firstLineChars="0"/>
              <w:jc w:val="center"/>
              <w:textAlignment w:val="center"/>
              <w:rPr>
                <w:rFonts w:hint="eastAsia" w:ascii="宋体" w:hAnsi="宋体" w:eastAsia="宋体" w:cs="宋体"/>
                <w:i w:val="0"/>
                <w:iCs w:val="0"/>
                <w:color w:val="000000"/>
                <w:kern w:val="0"/>
                <w:sz w:val="24"/>
                <w:szCs w:val="24"/>
                <w:highlight w:val="none"/>
                <w:u w:val="none"/>
                <w:lang w:val="en-US" w:eastAsia="zh-CN"/>
              </w:rPr>
            </w:pPr>
            <w:r>
              <w:rPr>
                <w:rFonts w:hint="eastAsia" w:ascii="宋体" w:hAnsi="宋体" w:eastAsia="宋体" w:cs="宋体"/>
                <w:i w:val="0"/>
                <w:iCs w:val="0"/>
                <w:color w:val="000000"/>
                <w:kern w:val="0"/>
                <w:sz w:val="24"/>
                <w:szCs w:val="24"/>
                <w:highlight w:val="none"/>
                <w:u w:val="none"/>
                <w:lang w:val="en-US" w:eastAsia="zh-CN"/>
              </w:rPr>
              <w:t>100.00%</w:t>
            </w:r>
          </w:p>
        </w:tc>
      </w:tr>
    </w:tbl>
    <w:p w14:paraId="75B2F2B6">
      <w:pPr>
        <w:pStyle w:val="10"/>
        <w:ind w:left="0" w:leftChars="0" w:firstLine="0" w:firstLineChars="0"/>
        <w:jc w:val="both"/>
        <w:rPr>
          <w:rFonts w:hint="default" w:ascii="宋体" w:hAnsi="宋体" w:eastAsia="宋体" w:cs="宋体"/>
          <w:sz w:val="24"/>
          <w:szCs w:val="24"/>
          <w:lang w:val="en-US" w:eastAsia="zh-CN"/>
        </w:rPr>
      </w:pPr>
    </w:p>
    <w:p w14:paraId="46D1BA33">
      <w:pPr>
        <w:pStyle w:val="10"/>
        <w:ind w:left="0" w:leftChars="0" w:firstLine="0" w:firstLineChars="0"/>
        <w:jc w:val="both"/>
        <w:rPr>
          <w:rFonts w:hint="eastAsia" w:ascii="宋体" w:hAnsi="宋体" w:eastAsia="宋体" w:cs="宋体"/>
          <w:sz w:val="24"/>
          <w:szCs w:val="24"/>
          <w:lang w:eastAsia="zh-CN"/>
        </w:rPr>
        <w:sectPr>
          <w:pgSz w:w="16838" w:h="11906" w:orient="landscape"/>
          <w:pgMar w:top="1531" w:right="1985" w:bottom="1531" w:left="1701" w:header="851" w:footer="992" w:gutter="0"/>
          <w:pgNumType w:start="1"/>
          <w:cols w:space="720" w:num="1"/>
          <w:docGrid w:type="linesAndChars" w:linePitch="386" w:charSpace="0"/>
        </w:sectPr>
      </w:pPr>
    </w:p>
    <w:p w14:paraId="6F0A7B6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default"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附件3：</w:t>
      </w:r>
    </w:p>
    <w:p w14:paraId="23DB4A2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洛浦县2024年聘用人员工资项目</w:t>
      </w:r>
    </w:p>
    <w:p w14:paraId="0294ED6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满意度调查问卷分析报告</w:t>
      </w:r>
    </w:p>
    <w:p w14:paraId="7A2AF7D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sz w:val="28"/>
          <w:szCs w:val="28"/>
          <w:highlight w:val="none"/>
        </w:rPr>
      </w:pPr>
    </w:p>
    <w:p w14:paraId="5B2C659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4CFC84E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一、该问卷调查从2025年2月10日开始至2025年2月20日结束，调查问卷共设置3道题目。</w:t>
      </w:r>
    </w:p>
    <w:p w14:paraId="2DF61C93">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1.调查对象</w:t>
      </w:r>
    </w:p>
    <w:p w14:paraId="5175689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本次调查的受益对象为</w:t>
      </w:r>
      <w:r>
        <w:rPr>
          <w:rFonts w:hint="eastAsia" w:ascii="宋体" w:hAnsi="宋体" w:eastAsia="宋体" w:cs="宋体"/>
          <w:color w:val="000000"/>
          <w:sz w:val="24"/>
          <w:szCs w:val="24"/>
          <w:highlight w:val="none"/>
        </w:rPr>
        <w:tab/>
      </w:r>
      <w:r>
        <w:rPr>
          <w:rFonts w:hint="eastAsia" w:ascii="宋体" w:hAnsi="宋体" w:eastAsia="宋体" w:cs="宋体"/>
          <w:color w:val="000000"/>
          <w:sz w:val="24"/>
          <w:szCs w:val="24"/>
          <w:highlight w:val="none"/>
        </w:rPr>
        <w:t>受益聘用人员。</w:t>
      </w:r>
    </w:p>
    <w:p w14:paraId="6C3C4D81">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2.调查内容</w:t>
      </w:r>
    </w:p>
    <w:p w14:paraId="7D2B437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①您对2024年聘用人员工资项目</w:t>
      </w:r>
      <w:r>
        <w:rPr>
          <w:rFonts w:hint="eastAsia" w:ascii="宋体" w:hAnsi="宋体" w:eastAsia="宋体" w:cs="宋体"/>
          <w:color w:val="000000"/>
          <w:sz w:val="24"/>
          <w:szCs w:val="24"/>
          <w:highlight w:val="none"/>
          <w:lang w:val="en-US" w:eastAsia="zh-CN"/>
        </w:rPr>
        <w:t>发放的工资</w:t>
      </w:r>
      <w:r>
        <w:rPr>
          <w:rFonts w:hint="eastAsia" w:ascii="宋体" w:hAnsi="宋体" w:eastAsia="宋体" w:cs="宋体"/>
          <w:color w:val="000000"/>
          <w:sz w:val="24"/>
          <w:szCs w:val="24"/>
          <w:highlight w:val="none"/>
        </w:rPr>
        <w:t>是否满意?</w:t>
      </w:r>
    </w:p>
    <w:p w14:paraId="149096A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A.非常满意B.满意C.一般D.不满意</w:t>
      </w:r>
    </w:p>
    <w:p w14:paraId="6E2D980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②您对2024年聘用人员工资项目</w:t>
      </w:r>
      <w:r>
        <w:rPr>
          <w:rFonts w:hint="eastAsia" w:ascii="宋体" w:hAnsi="宋体" w:eastAsia="宋体" w:cs="宋体"/>
          <w:color w:val="000000"/>
          <w:sz w:val="24"/>
          <w:szCs w:val="24"/>
          <w:highlight w:val="none"/>
          <w:lang w:val="en-US" w:eastAsia="zh-CN"/>
        </w:rPr>
        <w:t>发放的工资</w:t>
      </w:r>
      <w:r>
        <w:rPr>
          <w:rFonts w:hint="eastAsia" w:ascii="宋体" w:hAnsi="宋体" w:eastAsia="宋体" w:cs="宋体"/>
          <w:color w:val="000000"/>
          <w:sz w:val="24"/>
          <w:szCs w:val="24"/>
          <w:highlight w:val="none"/>
        </w:rPr>
        <w:t>时间安排是否满意？</w:t>
      </w:r>
    </w:p>
    <w:p w14:paraId="5125B9B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A.非常满意B.满意C.一般D.不满意</w:t>
      </w:r>
    </w:p>
    <w:p w14:paraId="73C6C1B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③总的来说，您对目前2024年聘用人员工资项目</w:t>
      </w:r>
      <w:r>
        <w:rPr>
          <w:rFonts w:hint="eastAsia" w:ascii="宋体" w:hAnsi="宋体" w:eastAsia="宋体" w:cs="宋体"/>
          <w:color w:val="000000"/>
          <w:sz w:val="24"/>
          <w:szCs w:val="24"/>
          <w:highlight w:val="none"/>
          <w:lang w:val="en-US" w:eastAsia="zh-CN"/>
        </w:rPr>
        <w:t>发放的工资</w:t>
      </w:r>
      <w:r>
        <w:rPr>
          <w:rFonts w:hint="eastAsia" w:ascii="宋体" w:hAnsi="宋体" w:eastAsia="宋体" w:cs="宋体"/>
          <w:color w:val="000000"/>
          <w:sz w:val="24"/>
          <w:szCs w:val="24"/>
          <w:highlight w:val="none"/>
        </w:rPr>
        <w:t>实施后的整体满意程度如何？</w:t>
      </w:r>
    </w:p>
    <w:p w14:paraId="38895A1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A.非常满意B.满意C.一般D.不满意</w:t>
      </w:r>
    </w:p>
    <w:p w14:paraId="42008076">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3.调查方法</w:t>
      </w:r>
    </w:p>
    <w:p w14:paraId="3394393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问卷调查采取分层抽样和随机抽样相结合的方式进行。在全面调查开展之前会先进行论证，依据论证结果对问卷和抽样方案再进行一次修改和调整之后再付诸实施。</w:t>
      </w:r>
    </w:p>
    <w:p w14:paraId="5379D867">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4.抽样方式</w:t>
      </w:r>
    </w:p>
    <w:p w14:paraId="5DC93F7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为确保问卷调查的全面性，本次调查问卷调查采取随机抽样和分层抽样相结合方式进行。</w:t>
      </w:r>
    </w:p>
    <w:p w14:paraId="7B51746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5.问卷的发放和回收</w:t>
      </w:r>
    </w:p>
    <w:p w14:paraId="7E780E7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为了给调查对象营造良好的作答环境，保证调查的科学性和严谨性，由我单位工作人员在线下发放问卷，邀请相应的调查对象填写问卷。</w:t>
      </w:r>
      <w:r>
        <w:rPr>
          <w:rFonts w:hint="eastAsia" w:ascii="宋体" w:hAnsi="宋体" w:eastAsia="宋体" w:cs="宋体"/>
          <w:color w:val="000000"/>
          <w:sz w:val="24"/>
          <w:szCs w:val="24"/>
          <w:highlight w:val="none"/>
          <w:lang w:val="en-US" w:eastAsia="zh-CN"/>
        </w:rPr>
        <w:t>截至目前</w:t>
      </w:r>
      <w:r>
        <w:rPr>
          <w:rFonts w:hint="eastAsia" w:ascii="宋体" w:hAnsi="宋体" w:eastAsia="宋体" w:cs="宋体"/>
          <w:color w:val="000000"/>
          <w:sz w:val="24"/>
          <w:szCs w:val="24"/>
          <w:highlight w:val="none"/>
        </w:rPr>
        <w:t>共</w:t>
      </w:r>
      <w:r>
        <w:rPr>
          <w:rFonts w:hint="eastAsia" w:ascii="宋体" w:hAnsi="宋体" w:eastAsia="宋体" w:cs="宋体"/>
          <w:color w:val="000000"/>
          <w:sz w:val="24"/>
          <w:szCs w:val="24"/>
          <w:highlight w:val="none"/>
          <w:lang w:val="en-US" w:eastAsia="zh-CN"/>
        </w:rPr>
        <w:t>发放问卷4份、</w:t>
      </w:r>
      <w:r>
        <w:rPr>
          <w:rFonts w:hint="eastAsia" w:ascii="宋体" w:hAnsi="宋体" w:eastAsia="宋体" w:cs="宋体"/>
          <w:color w:val="000000"/>
          <w:sz w:val="24"/>
          <w:szCs w:val="24"/>
          <w:highlight w:val="none"/>
        </w:rPr>
        <w:t>回收问卷</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份，其中有效问卷</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份，有效问卷回收率为100%。</w:t>
      </w:r>
    </w:p>
    <w:p w14:paraId="1ECE22D0">
      <w:pPr>
        <w:pStyle w:val="10"/>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6.问卷调查分析结果</w:t>
      </w:r>
    </w:p>
    <w:p w14:paraId="756DE98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本次调查过程中，评价小组实际发放问卷</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份，回收问卷</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份，问卷回收率为100.00%，有效问卷</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份，有效回收率100.00%，本次调查的整体情况如下：</w:t>
      </w:r>
    </w:p>
    <w:p w14:paraId="039BCBB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第一个问题：该项统计有效问卷数量</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份，选择非常满意的人数为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人。选择比较满意的人数为0人，选择一般的人数0人，选择不满意的人数0人，选择非常不满意的人数0人。</w:t>
      </w:r>
    </w:p>
    <w:p w14:paraId="3863F1BF">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第二个问题：该项统计有效问卷数量</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份，选择非常满意的人数为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人。选择比较满意的人数为0人，选择一般的人数0人，选择不满意的人数0人，选择非常不满意的人数0人。</w:t>
      </w:r>
    </w:p>
    <w:p w14:paraId="0D9665F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第三个问题：该项统计有效问卷数量</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份，选择非常满意的人数为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人。选择比较满意的人数为0人，选择一般的人数0人，选择不满意的人数0人，选择非常不满意的人数0人。</w:t>
      </w:r>
    </w:p>
    <w:p w14:paraId="447103A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13A4D60C">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洛浦县市场开发建设管理中心2024年聘用人员工资项目针对受益人员发放</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份调查问卷，最终统计受益人群满意度为100%。</w:t>
      </w:r>
    </w:p>
    <w:p w14:paraId="13D51F0E">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both"/>
        <w:textAlignment w:val="auto"/>
        <w:rPr>
          <w:rFonts w:hint="eastAsia" w:ascii="宋体" w:hAnsi="宋体" w:eastAsia="宋体" w:cs="宋体"/>
          <w:sz w:val="24"/>
          <w:szCs w:val="24"/>
          <w:highlight w:val="none"/>
          <w:lang w:val="en-US" w:eastAsia="zh-CN"/>
        </w:rPr>
      </w:pPr>
    </w:p>
    <w:p w14:paraId="1A0197A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洛浦县市场开发建设管理中心</w:t>
      </w:r>
    </w:p>
    <w:p w14:paraId="3CB51A02">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2025年3月31日</w:t>
      </w: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4A6B85-ED21-4B31-8FD8-95A639D53C2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embedRegular r:id="rId2" w:fontKey="{21BCDF2B-05CE-4828-A42C-6ADC6746C4BB}"/>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0EA2B7">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6A85A03A">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40BD9">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401742DC"/>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4">
    <w:name w:val="heading 1"/>
    <w:basedOn w:val="1"/>
    <w:next w:val="2"/>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5">
    <w:name w:val="heading 2"/>
    <w:basedOn w:val="1"/>
    <w:next w:val="1"/>
    <w:link w:val="33"/>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6">
    <w:name w:val="heading 3"/>
    <w:basedOn w:val="1"/>
    <w:next w:val="1"/>
    <w:link w:val="34"/>
    <w:qFormat/>
    <w:uiPriority w:val="9"/>
    <w:pPr>
      <w:keepNext/>
      <w:keepLines/>
      <w:spacing w:before="260" w:after="260" w:line="416" w:lineRule="auto"/>
      <w:jc w:val="left"/>
      <w:outlineLvl w:val="2"/>
    </w:pPr>
    <w:rPr>
      <w:rFonts w:cs="Times New Roman"/>
      <w:bCs/>
      <w:kern w:val="0"/>
      <w:szCs w:val="32"/>
    </w:rPr>
  </w:style>
  <w:style w:type="paragraph" w:styleId="7">
    <w:name w:val="heading 4"/>
    <w:basedOn w:val="1"/>
    <w:next w:val="1"/>
    <w:link w:val="35"/>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5">
    <w:name w:val="Default Paragraph Font"/>
    <w:unhideWhenUsed/>
    <w:uiPriority w:val="1"/>
  </w:style>
  <w:style w:type="table" w:default="1" w:styleId="23">
    <w:name w:val="Normal Table"/>
    <w:unhideWhenUsed/>
    <w:qFormat/>
    <w:uiPriority w:val="99"/>
    <w:tblPr>
      <w:tblCellMar>
        <w:top w:w="0" w:type="dxa"/>
        <w:left w:w="108" w:type="dxa"/>
        <w:bottom w:w="0" w:type="dxa"/>
        <w:right w:w="108" w:type="dxa"/>
      </w:tblCellMar>
    </w:tblPr>
  </w:style>
  <w:style w:type="paragraph" w:styleId="2">
    <w:name w:val="Body Text First Indent 2"/>
    <w:basedOn w:val="3"/>
    <w:link w:val="31"/>
    <w:unhideWhenUsed/>
    <w:uiPriority w:val="0"/>
    <w:pPr>
      <w:ind w:firstLine="420"/>
    </w:pPr>
  </w:style>
  <w:style w:type="paragraph" w:styleId="3">
    <w:name w:val="Body Text Indent"/>
    <w:basedOn w:val="1"/>
    <w:link w:val="30"/>
    <w:unhideWhenUsed/>
    <w:qFormat/>
    <w:uiPriority w:val="99"/>
    <w:pPr>
      <w:spacing w:after="120"/>
      <w:ind w:left="420" w:leftChars="200"/>
    </w:pPr>
    <w:rPr>
      <w:rFonts w:cs="Times New Roman"/>
      <w:kern w:val="0"/>
      <w:szCs w:val="20"/>
    </w:rPr>
  </w:style>
  <w:style w:type="paragraph" w:styleId="8">
    <w:name w:val="toc 7"/>
    <w:basedOn w:val="1"/>
    <w:next w:val="1"/>
    <w:unhideWhenUsed/>
    <w:uiPriority w:val="39"/>
    <w:pPr>
      <w:ind w:left="1680"/>
      <w:jc w:val="left"/>
    </w:pPr>
    <w:rPr>
      <w:rFonts w:ascii="Calibri" w:hAnsi="Calibri" w:cs="Calibri"/>
      <w:sz w:val="18"/>
      <w:szCs w:val="18"/>
    </w:rPr>
  </w:style>
  <w:style w:type="paragraph" w:styleId="9">
    <w:name w:val="Document Map"/>
    <w:basedOn w:val="1"/>
    <w:link w:val="36"/>
    <w:unhideWhenUsed/>
    <w:uiPriority w:val="99"/>
    <w:rPr>
      <w:rFonts w:ascii="宋体" w:eastAsia="宋体" w:cs="Times New Roman"/>
      <w:kern w:val="0"/>
      <w:sz w:val="18"/>
      <w:szCs w:val="18"/>
    </w:rPr>
  </w:style>
  <w:style w:type="paragraph" w:styleId="10">
    <w:name w:val="Body Text"/>
    <w:basedOn w:val="1"/>
    <w:qFormat/>
    <w:uiPriority w:val="0"/>
    <w:pPr>
      <w:spacing w:before="240" w:after="240" w:line="360" w:lineRule="auto"/>
      <w:jc w:val="center"/>
    </w:pPr>
    <w:rPr>
      <w:b/>
      <w:sz w:val="44"/>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38"/>
    <w:unhideWhenUsed/>
    <w:uiPriority w:val="99"/>
    <w:rPr>
      <w:rFonts w:cs="Times New Roman"/>
      <w:kern w:val="0"/>
      <w:sz w:val="18"/>
      <w:szCs w:val="18"/>
    </w:rPr>
  </w:style>
  <w:style w:type="paragraph" w:styleId="15">
    <w:name w:val="footer"/>
    <w:basedOn w:val="1"/>
    <w:link w:val="39"/>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0"/>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toc 6"/>
    <w:basedOn w:val="1"/>
    <w:next w:val="1"/>
    <w:unhideWhenUsed/>
    <w:uiPriority w:val="39"/>
    <w:pPr>
      <w:ind w:left="1400"/>
      <w:jc w:val="left"/>
    </w:pPr>
    <w:rPr>
      <w:rFonts w:ascii="Calibri" w:hAnsi="Calibri" w:cs="Calibri"/>
      <w:sz w:val="18"/>
      <w:szCs w:val="18"/>
    </w:rPr>
  </w:style>
  <w:style w:type="paragraph" w:styleId="20">
    <w:name w:val="toc 2"/>
    <w:basedOn w:val="1"/>
    <w:next w:val="1"/>
    <w:unhideWhenUsed/>
    <w:uiPriority w:val="39"/>
    <w:pPr>
      <w:ind w:left="280"/>
      <w:jc w:val="left"/>
    </w:pPr>
    <w:rPr>
      <w:rFonts w:ascii="Calibri" w:hAnsi="Calibri" w:cs="Calibri"/>
      <w:smallCaps/>
      <w:sz w:val="20"/>
      <w:szCs w:val="20"/>
    </w:rPr>
  </w:style>
  <w:style w:type="paragraph" w:styleId="21">
    <w:name w:val="toc 9"/>
    <w:basedOn w:val="1"/>
    <w:next w:val="1"/>
    <w:unhideWhenUsed/>
    <w:uiPriority w:val="39"/>
    <w:pPr>
      <w:ind w:left="2240"/>
      <w:jc w:val="left"/>
    </w:pPr>
    <w:rPr>
      <w:rFonts w:ascii="Calibri" w:hAnsi="Calibri" w:cs="Calibri"/>
      <w:sz w:val="18"/>
      <w:szCs w:val="18"/>
    </w:rPr>
  </w:style>
  <w:style w:type="paragraph" w:styleId="22">
    <w:name w:val="Title"/>
    <w:basedOn w:val="1"/>
    <w:next w:val="1"/>
    <w:link w:val="41"/>
    <w:qFormat/>
    <w:uiPriority w:val="10"/>
    <w:pPr>
      <w:spacing w:before="240" w:after="60"/>
      <w:jc w:val="center"/>
      <w:outlineLvl w:val="0"/>
    </w:pPr>
    <w:rPr>
      <w:rFonts w:ascii="Cambria" w:hAnsi="Cambria" w:eastAsia="宋体" w:cs="Times New Roman"/>
      <w:b/>
      <w:bCs/>
      <w:sz w:val="32"/>
      <w:szCs w:val="32"/>
    </w:rPr>
  </w:style>
  <w:style w:type="table" w:styleId="24">
    <w:name w:val="Table Grid"/>
    <w:basedOn w:val="23"/>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unhideWhenUsed/>
    <w:uiPriority w:val="99"/>
    <w:rPr>
      <w:color w:val="0000FF"/>
      <w:u w:val="single"/>
    </w:rPr>
  </w:style>
  <w:style w:type="paragraph" w:customStyle="1" w:styleId="27">
    <w:name w:val="Comment Text"/>
    <w:basedOn w:val="1"/>
    <w:link w:val="37"/>
    <w:unhideWhenUsed/>
    <w:uiPriority w:val="99"/>
    <w:rPr>
      <w:rFonts w:cs="Times New Roman"/>
      <w:kern w:val="0"/>
      <w:sz w:val="20"/>
      <w:szCs w:val="20"/>
    </w:rPr>
  </w:style>
  <w:style w:type="paragraph" w:customStyle="1" w:styleId="28">
    <w:name w:val="Comment Subject"/>
    <w:basedOn w:val="27"/>
    <w:next w:val="27"/>
    <w:link w:val="42"/>
    <w:unhideWhenUsed/>
    <w:uiPriority w:val="99"/>
    <w:rPr>
      <w:b/>
      <w:bCs/>
    </w:rPr>
  </w:style>
  <w:style w:type="character" w:customStyle="1" w:styleId="29">
    <w:name w:val="Comment Reference"/>
    <w:unhideWhenUsed/>
    <w:uiPriority w:val="99"/>
    <w:rPr>
      <w:sz w:val="16"/>
      <w:szCs w:val="16"/>
    </w:rPr>
  </w:style>
  <w:style w:type="character" w:customStyle="1" w:styleId="30">
    <w:name w:val="正文文本缩进 Char"/>
    <w:link w:val="3"/>
    <w:semiHidden/>
    <w:uiPriority w:val="99"/>
    <w:rPr>
      <w:rFonts w:ascii="Calibri" w:hAnsi="Calibri" w:eastAsia="仿宋_GB2312" w:cs="黑体"/>
      <w:sz w:val="28"/>
    </w:rPr>
  </w:style>
  <w:style w:type="character" w:customStyle="1" w:styleId="31">
    <w:name w:val="正文首行缩进 2 Char"/>
    <w:link w:val="2"/>
    <w:uiPriority w:val="0"/>
    <w:rPr>
      <w:rFonts w:ascii="Calibri" w:hAnsi="Calibri" w:eastAsia="仿宋_GB2312" w:cs="黑体"/>
      <w:sz w:val="28"/>
    </w:rPr>
  </w:style>
  <w:style w:type="character" w:customStyle="1" w:styleId="32">
    <w:name w:val="标题 1 Char"/>
    <w:link w:val="4"/>
    <w:uiPriority w:val="9"/>
    <w:rPr>
      <w:rFonts w:ascii="Times New Roman" w:hAnsi="Times New Roman" w:eastAsia="仿宋_GB2312" w:cs="Times New Roman"/>
      <w:b/>
      <w:bCs/>
      <w:kern w:val="44"/>
      <w:sz w:val="32"/>
      <w:szCs w:val="44"/>
    </w:rPr>
  </w:style>
  <w:style w:type="character" w:customStyle="1" w:styleId="33">
    <w:name w:val="标题 2 Char"/>
    <w:link w:val="5"/>
    <w:uiPriority w:val="0"/>
    <w:rPr>
      <w:rFonts w:ascii="Cambria" w:hAnsi="Cambria" w:eastAsia="仿宋_GB2312" w:cs="Times New Roman"/>
      <w:b/>
      <w:bCs/>
      <w:kern w:val="0"/>
      <w:sz w:val="30"/>
      <w:szCs w:val="32"/>
    </w:rPr>
  </w:style>
  <w:style w:type="character" w:customStyle="1" w:styleId="34">
    <w:name w:val="标题 3 Char"/>
    <w:link w:val="6"/>
    <w:uiPriority w:val="9"/>
    <w:rPr>
      <w:rFonts w:ascii="Calibri" w:hAnsi="Calibri" w:eastAsia="仿宋_GB2312" w:cs="黑体"/>
      <w:bCs/>
      <w:sz w:val="28"/>
      <w:szCs w:val="32"/>
    </w:rPr>
  </w:style>
  <w:style w:type="character" w:customStyle="1" w:styleId="35">
    <w:name w:val="标题 4 Char"/>
    <w:link w:val="7"/>
    <w:semiHidden/>
    <w:uiPriority w:val="9"/>
    <w:rPr>
      <w:rFonts w:ascii="Cambria" w:hAnsi="Cambria" w:eastAsia="宋体" w:cs="Times New Roman"/>
      <w:b/>
      <w:bCs/>
      <w:sz w:val="28"/>
      <w:szCs w:val="28"/>
    </w:rPr>
  </w:style>
  <w:style w:type="character" w:customStyle="1" w:styleId="36">
    <w:name w:val="文档结构图 Char"/>
    <w:link w:val="9"/>
    <w:semiHidden/>
    <w:uiPriority w:val="99"/>
    <w:rPr>
      <w:rFonts w:ascii="宋体" w:hAnsi="Calibri" w:eastAsia="宋体" w:cs="黑体"/>
      <w:sz w:val="18"/>
      <w:szCs w:val="18"/>
    </w:rPr>
  </w:style>
  <w:style w:type="character" w:customStyle="1" w:styleId="37">
    <w:name w:val="批注文字 Char"/>
    <w:link w:val="27"/>
    <w:semiHidden/>
    <w:uiPriority w:val="99"/>
    <w:rPr>
      <w:rFonts w:ascii="Calibri" w:hAnsi="Calibri" w:eastAsia="仿宋_GB2312" w:cs="黑体"/>
      <w:sz w:val="20"/>
      <w:szCs w:val="20"/>
    </w:rPr>
  </w:style>
  <w:style w:type="character" w:customStyle="1" w:styleId="38">
    <w:name w:val="批注框文本 Char"/>
    <w:link w:val="14"/>
    <w:semiHidden/>
    <w:uiPriority w:val="99"/>
    <w:rPr>
      <w:rFonts w:ascii="Calibri" w:hAnsi="Calibri" w:eastAsia="仿宋_GB2312" w:cs="黑体"/>
      <w:sz w:val="18"/>
      <w:szCs w:val="18"/>
    </w:rPr>
  </w:style>
  <w:style w:type="character" w:customStyle="1" w:styleId="39">
    <w:name w:val="页脚 Char"/>
    <w:link w:val="15"/>
    <w:uiPriority w:val="99"/>
    <w:rPr>
      <w:rFonts w:ascii="Calibri" w:hAnsi="Calibri" w:eastAsia="仿宋_GB2312" w:cs="黑体"/>
      <w:sz w:val="18"/>
      <w:szCs w:val="18"/>
    </w:rPr>
  </w:style>
  <w:style w:type="character" w:customStyle="1" w:styleId="40">
    <w:name w:val="页眉 Char"/>
    <w:link w:val="16"/>
    <w:uiPriority w:val="99"/>
    <w:rPr>
      <w:rFonts w:ascii="Calibri" w:hAnsi="Calibri" w:eastAsia="仿宋_GB2312" w:cs="黑体"/>
      <w:sz w:val="18"/>
      <w:szCs w:val="18"/>
    </w:rPr>
  </w:style>
  <w:style w:type="character" w:customStyle="1" w:styleId="41">
    <w:name w:val="标题 Char"/>
    <w:link w:val="22"/>
    <w:uiPriority w:val="10"/>
    <w:rPr>
      <w:rFonts w:ascii="Cambria" w:hAnsi="Cambria"/>
      <w:b/>
      <w:bCs/>
      <w:kern w:val="2"/>
      <w:sz w:val="32"/>
      <w:szCs w:val="32"/>
    </w:rPr>
  </w:style>
  <w:style w:type="character" w:customStyle="1" w:styleId="42">
    <w:name w:val="批注主题 Char"/>
    <w:link w:val="28"/>
    <w:semiHidden/>
    <w:uiPriority w:val="99"/>
    <w:rPr>
      <w:rFonts w:ascii="Calibri" w:hAnsi="Calibri" w:eastAsia="仿宋_GB2312" w:cs="黑体"/>
      <w:b/>
      <w:bCs/>
      <w:sz w:val="20"/>
      <w:szCs w:val="20"/>
    </w:rPr>
  </w:style>
  <w:style w:type="character" w:customStyle="1" w:styleId="43">
    <w:name w:val="闻政-正文一级标题 Char"/>
    <w:link w:val="44"/>
    <w:uiPriority w:val="3"/>
    <w:rPr>
      <w:rFonts w:ascii="黑体" w:hAnsi="黑体" w:eastAsia="黑体"/>
      <w:bCs/>
      <w:sz w:val="32"/>
      <w:szCs w:val="32"/>
    </w:rPr>
  </w:style>
  <w:style w:type="paragraph" w:customStyle="1" w:styleId="44">
    <w:name w:val="闻政-正文一级标题"/>
    <w:basedOn w:val="6"/>
    <w:next w:val="45"/>
    <w:link w:val="43"/>
    <w:qFormat/>
    <w:uiPriority w:val="3"/>
    <w:pPr>
      <w:spacing w:before="120" w:after="60" w:line="500" w:lineRule="exact"/>
      <w:ind w:firstLine="0" w:firstLineChars="0"/>
      <w:outlineLvl w:val="0"/>
    </w:pPr>
    <w:rPr>
      <w:rFonts w:ascii="黑体" w:hAnsi="黑体" w:eastAsia="黑体"/>
      <w:sz w:val="32"/>
    </w:rPr>
  </w:style>
  <w:style w:type="paragraph" w:customStyle="1" w:styleId="45">
    <w:name w:val="闻政-正文段落文字"/>
    <w:basedOn w:val="1"/>
    <w:link w:val="46"/>
    <w:qFormat/>
    <w:uiPriority w:val="3"/>
    <w:pPr>
      <w:spacing w:line="500" w:lineRule="exact"/>
      <w:ind w:firstLine="200"/>
    </w:pPr>
    <w:rPr>
      <w:rFonts w:ascii="Times New Roman" w:hAnsi="Times New Roman" w:cs="Times New Roman"/>
      <w:kern w:val="0"/>
      <w:szCs w:val="28"/>
    </w:rPr>
  </w:style>
  <w:style w:type="character" w:customStyle="1" w:styleId="46">
    <w:name w:val="闻政-正文段落文字 Char"/>
    <w:link w:val="45"/>
    <w:uiPriority w:val="3"/>
    <w:rPr>
      <w:rFonts w:ascii="Times New Roman" w:hAnsi="Times New Roman" w:eastAsia="仿宋_GB2312"/>
      <w:sz w:val="28"/>
      <w:szCs w:val="28"/>
    </w:rPr>
  </w:style>
  <w:style w:type="character" w:customStyle="1" w:styleId="47">
    <w:name w:val="闻政-正文二级标题 Char"/>
    <w:link w:val="48"/>
    <w:uiPriority w:val="3"/>
    <w:rPr>
      <w:rFonts w:ascii="Times New Roman" w:hAnsi="Times New Roman" w:eastAsia="仿宋_GB2312"/>
      <w:b/>
      <w:bCs/>
      <w:sz w:val="28"/>
      <w:szCs w:val="32"/>
    </w:rPr>
  </w:style>
  <w:style w:type="paragraph" w:customStyle="1" w:styleId="48">
    <w:name w:val="闻政-正文二级标题"/>
    <w:basedOn w:val="5"/>
    <w:next w:val="45"/>
    <w:link w:val="47"/>
    <w:qFormat/>
    <w:uiPriority w:val="3"/>
    <w:pPr>
      <w:spacing w:before="120" w:after="60" w:line="500" w:lineRule="exact"/>
      <w:ind w:left="200" w:leftChars="200" w:firstLine="0" w:firstLineChars="0"/>
    </w:pPr>
    <w:rPr>
      <w:rFonts w:ascii="Times New Roman" w:hAnsi="Times New Roman"/>
      <w:sz w:val="28"/>
    </w:rPr>
  </w:style>
  <w:style w:type="character" w:customStyle="1" w:styleId="49">
    <w:name w:val="font11"/>
    <w:uiPriority w:val="0"/>
    <w:rPr>
      <w:rFonts w:hint="eastAsia" w:ascii="方正仿宋_GBK" w:hAnsi="方正仿宋_GBK" w:eastAsia="方正仿宋_GBK" w:cs="方正仿宋_GBK"/>
      <w:color w:val="000000"/>
      <w:sz w:val="24"/>
      <w:szCs w:val="24"/>
      <w:u w:val="none"/>
    </w:rPr>
  </w:style>
  <w:style w:type="character" w:customStyle="1" w:styleId="50">
    <w:name w:val="50"/>
    <w:qFormat/>
    <w:uiPriority w:val="0"/>
    <w:rPr>
      <w:b/>
      <w:bCs/>
      <w:smallCaps/>
      <w:color w:val="C0504D"/>
      <w:spacing w:val="5"/>
      <w:u w:val="single"/>
    </w:rPr>
  </w:style>
  <w:style w:type="character" w:customStyle="1" w:styleId="51">
    <w:name w:val="闻政-正文三级标题 Char"/>
    <w:link w:val="52"/>
    <w:uiPriority w:val="3"/>
    <w:rPr>
      <w:rFonts w:ascii="Times New Roman" w:hAnsi="Times New Roman" w:eastAsia="仿宋_GB2312"/>
      <w:b/>
      <w:snapToGrid w:val="0"/>
      <w:sz w:val="28"/>
      <w:szCs w:val="28"/>
    </w:rPr>
  </w:style>
  <w:style w:type="paragraph" w:customStyle="1" w:styleId="52">
    <w:name w:val="闻政-正文三级标题"/>
    <w:basedOn w:val="1"/>
    <w:next w:val="45"/>
    <w:link w:val="51"/>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3">
    <w:name w:val="font21"/>
    <w:uiPriority w:val="0"/>
    <w:rPr>
      <w:rFonts w:hint="default" w:ascii="Times New Roman" w:hAnsi="Times New Roman" w:cs="Times New Roman"/>
      <w:color w:val="000000"/>
      <w:sz w:val="24"/>
      <w:szCs w:val="24"/>
      <w:u w:val="none"/>
    </w:rPr>
  </w:style>
  <w:style w:type="character" w:customStyle="1" w:styleId="54">
    <w:name w:val="无间隔 Char"/>
    <w:link w:val="55"/>
    <w:uiPriority w:val="1"/>
    <w:rPr>
      <w:rFonts w:eastAsia="仿宋_GB2312" w:cs="黑体"/>
      <w:kern w:val="2"/>
      <w:sz w:val="28"/>
      <w:szCs w:val="22"/>
      <w:lang w:val="en-US" w:eastAsia="zh-CN" w:bidi="ar-SA"/>
    </w:rPr>
  </w:style>
  <w:style w:type="paragraph" w:styleId="55">
    <w:name w:val="No Spacing"/>
    <w:link w:val="54"/>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6">
    <w:name w:val="List Paragraph"/>
    <w:basedOn w:val="1"/>
    <w:qFormat/>
    <w:uiPriority w:val="34"/>
    <w:pPr>
      <w:ind w:firstLine="420"/>
    </w:pPr>
  </w:style>
  <w:style w:type="paragraph" w:customStyle="1" w:styleId="57">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58">
    <w:name w:val="font71"/>
    <w:basedOn w:val="25"/>
    <w:uiPriority w:val="0"/>
    <w:rPr>
      <w:rFonts w:hint="eastAsia" w:ascii="微软雅黑" w:hAnsi="微软雅黑" w:eastAsia="微软雅黑" w:cs="微软雅黑"/>
      <w:b/>
      <w:bCs/>
      <w:color w:val="000000"/>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AEFD9C5A78CF4EC593C76CF96291C53D_13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513da8-8517-4a3d-aec4-2059a7727f72}">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25</Pages>
  <Words>11827</Words>
  <Characters>12507</Characters>
  <Lines>44</Lines>
  <Paragraphs>12</Paragraphs>
  <TotalTime>2</TotalTime>
  <ScaleCrop>false</ScaleCrop>
  <LinksUpToDate>false</LinksUpToDate>
  <CharactersWithSpaces>12507</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dcterms:modified xsi:type="dcterms:W3CDTF">2025-10-10T10:58:31Z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AEFD9C5A78CF4EC593C76CF96291C53D_13</vt:lpwstr>
  </property>
  <property fmtid="{D5CDD505-2E9C-101B-9397-08002B2CF9AE}" pid="4" name="KSOTemplateDocerSaveRecord">
    <vt:lpwstr>eyJoZGlkIjoiZDE5MGZhMTJhZDM2OTQwYzkzYWVjM2FhZDUxN2Q0M2IiLCJ1c2VySWQiOiI2NTE5NDIwMjYifQ_x003D__x003D_</vt:lpwstr>
  </property>
</Properties>
</file>