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B0677">
      <w:bookmarkStart w:id="16" w:name="_GoBack"/>
      <w:bookmarkEnd w:id="16"/>
    </w:p>
    <w:p w14:paraId="1EBDF52F">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537CC31D">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和田地区洛浦县2024年消防业务经费项目</w:t>
      </w:r>
    </w:p>
    <w:p w14:paraId="5D5996CC">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支出绩效评价报告</w:t>
      </w:r>
    </w:p>
    <w:p w14:paraId="72CD7FFE">
      <w:pPr>
        <w:pStyle w:val="7"/>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20643F3C">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58E21467">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2D6800E5">
      <w:pPr>
        <w:pStyle w:val="7"/>
        <w:rPr>
          <w:rFonts w:hint="eastAsia" w:eastAsia="方正仿宋_GBK" w:cs="方正仿宋_GBK"/>
          <w:b/>
          <w:kern w:val="0"/>
          <w:sz w:val="32"/>
          <w:szCs w:val="32"/>
          <w:lang w:bidi="en-US"/>
        </w:rPr>
      </w:pPr>
    </w:p>
    <w:p w14:paraId="03AD3BE0">
      <w:pPr>
        <w:rPr>
          <w:rFonts w:hint="eastAsia" w:eastAsia="方正仿宋_GBK" w:cs="方正仿宋_GBK"/>
          <w:b/>
          <w:kern w:val="0"/>
          <w:sz w:val="32"/>
          <w:szCs w:val="32"/>
          <w:lang w:bidi="en-US"/>
        </w:rPr>
      </w:pPr>
    </w:p>
    <w:p w14:paraId="23F56853">
      <w:pPr>
        <w:pStyle w:val="7"/>
        <w:rPr>
          <w:rFonts w:hint="eastAsia"/>
        </w:rPr>
      </w:pPr>
    </w:p>
    <w:p w14:paraId="0C91E930">
      <w:pPr>
        <w:pStyle w:val="7"/>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1CE02C8D">
      <w:pPr>
        <w:pageBreakBefore w:val="0"/>
        <w:widowControl w:val="0"/>
        <w:kinsoku/>
        <w:wordWrap/>
        <w:topLinePunct w:val="0"/>
        <w:autoSpaceDE/>
        <w:autoSpaceDN/>
        <w:bidi w:val="0"/>
        <w:spacing w:line="560" w:lineRule="exact"/>
        <w:ind w:left="0" w:leftChars="0" w:firstLine="560"/>
        <w:textAlignment w:val="auto"/>
        <w:rPr>
          <w:rFonts w:hint="eastAsia"/>
        </w:rPr>
      </w:pPr>
    </w:p>
    <w:p w14:paraId="580D5517">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04A233A6">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w:t>
      </w:r>
      <w:r>
        <w:rPr>
          <w:rFonts w:hint="eastAsia" w:ascii="宋体" w:hAnsi="宋体" w:eastAsia="宋体" w:cs="宋体"/>
          <w:b/>
          <w:bCs/>
          <w:color w:val="000000"/>
          <w:kern w:val="0"/>
          <w:sz w:val="28"/>
          <w:szCs w:val="28"/>
          <w:highlight w:val="none"/>
          <w:lang w:val="en-US" w:eastAsia="zh-CN" w:bidi="en-US"/>
        </w:rPr>
        <w:t>2024年消防业务经费</w:t>
      </w:r>
      <w:r>
        <w:rPr>
          <w:rFonts w:hint="eastAsia" w:ascii="宋体" w:hAnsi="宋体" w:eastAsia="宋体" w:cs="宋体"/>
          <w:b/>
          <w:bCs/>
          <w:color w:val="000000"/>
          <w:kern w:val="0"/>
          <w:sz w:val="28"/>
          <w:szCs w:val="28"/>
          <w:highlight w:val="none"/>
          <w:lang w:bidi="en-US"/>
        </w:rPr>
        <w:t>项目</w:t>
      </w:r>
    </w:p>
    <w:p w14:paraId="39C2243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洛浦县应急管理</w:t>
      </w:r>
      <w:r>
        <w:rPr>
          <w:rFonts w:hint="eastAsia" w:ascii="宋体" w:hAnsi="宋体" w:eastAsia="宋体" w:cs="宋体"/>
          <w:b/>
          <w:bCs/>
          <w:color w:val="000000"/>
          <w:kern w:val="0"/>
          <w:sz w:val="28"/>
          <w:szCs w:val="28"/>
          <w:highlight w:val="none"/>
          <w:lang w:bidi="en-US"/>
        </w:rPr>
        <w:t>局</w:t>
      </w:r>
    </w:p>
    <w:p w14:paraId="4445829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洛浦县应急管理</w:t>
      </w:r>
      <w:r>
        <w:rPr>
          <w:rFonts w:hint="eastAsia" w:ascii="宋体" w:hAnsi="宋体" w:eastAsia="宋体" w:cs="宋体"/>
          <w:b/>
          <w:bCs/>
          <w:color w:val="000000"/>
          <w:kern w:val="0"/>
          <w:sz w:val="28"/>
          <w:szCs w:val="28"/>
          <w:highlight w:val="none"/>
          <w:lang w:bidi="en-US"/>
        </w:rPr>
        <w:t>局</w:t>
      </w:r>
    </w:p>
    <w:p w14:paraId="3B92A800">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李恒</w:t>
      </w:r>
    </w:p>
    <w:p w14:paraId="1624E022">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5</w:t>
      </w:r>
      <w:r>
        <w:rPr>
          <w:rFonts w:hint="eastAsia" w:ascii="宋体" w:hAnsi="宋体" w:eastAsia="宋体" w:cs="宋体"/>
          <w:b/>
          <w:bCs/>
          <w:color w:val="000000"/>
          <w:kern w:val="0"/>
          <w:sz w:val="28"/>
          <w:szCs w:val="28"/>
          <w:highlight w:val="none"/>
          <w:lang w:bidi="en-US"/>
        </w:rPr>
        <w:t>日</w:t>
      </w:r>
    </w:p>
    <w:p w14:paraId="4713EBC6">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258A0AF6">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0D77D380">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45557A5E">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FF0000"/>
          <w:sz w:val="24"/>
          <w:szCs w:val="24"/>
          <w:lang w:val="en-US" w:eastAsia="zh-CN"/>
        </w:rPr>
      </w:pPr>
      <w:r>
        <w:rPr>
          <w:rFonts w:hint="eastAsia" w:ascii="宋体" w:hAnsi="宋体" w:eastAsia="宋体" w:cs="宋体"/>
          <w:b/>
          <w:bCs/>
          <w:sz w:val="24"/>
          <w:szCs w:val="24"/>
        </w:rPr>
        <w:t>1.项目背景</w:t>
      </w:r>
    </w:p>
    <w:p w14:paraId="2A55FD0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随着社会经济发展和城市化进程的进一步加快，城市建设已经进入快速、健康发展的轨道。消防工作是城市公共安全和防灾体系的重要组成部分，消防设施是重要的基础设施。我国消防工作坚持以“预防为主，防消结合”的方针，不断完善消防基础设施和管理信息化建设，逐步健全消防工作体系，努力提高消防工作质量，消防工作取得了较大发展和令人瞩目的成就。</w:t>
      </w:r>
    </w:p>
    <w:p w14:paraId="19101B62">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洛浦县消防救援大队现有人数40人，救援消防车辆共8辆(空气泡沫消防车、25米举高喷射消防车、抢险救援车、东风多利卡水罐消防车、盾甲防暴处突车、54米登高平台消防车)，2辆行政车，1辆皮卡车。但是，由于社会经济的发展，人口数量和发展规模的快速增长，现有的消防装备水平已不能满足人民群众日益增长的需求。</w:t>
      </w:r>
    </w:p>
    <w:p w14:paraId="1A38812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洛浦县经济增长速度飞速发展，洛浦县域面积14287平方千米，仅2024年，洛浦县新增高层建筑70栋以上，招招商引资企业入驻40多家，集产业发展、农产品加工等多种企业，而作为城市安保和防灾减灾体系主要组成部分之一的消防事业也面临严峻挑战，洛浦县消防业务经费项目可进一步提高消防工作水平和消防应急能力，可为洛浦县提供消防救援保障，特提出建设此项目。</w:t>
      </w:r>
    </w:p>
    <w:p w14:paraId="3611A2A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01672180">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37802FF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该项目保障消防员数量41人，保障公务用车及消防车11辆，消防救援大队人员、车辆及营区的医疗费、办公费、印刷费、水费、电费、邮电费、取暖费、物业管理费、差旅费、维修（护）费、培训费、专用燃料费、其他商品和服务支出、办公设备购置等费用。</w:t>
      </w:r>
    </w:p>
    <w:p w14:paraId="5FA206AD">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509F5E0F">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25E2CA9E">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sz w:val="24"/>
          <w:szCs w:val="24"/>
          <w:lang w:val="en-US" w:eastAsia="zh-CN"/>
        </w:rPr>
        <w:t>本项目主管部门为洛浦县应急管理局，实施单位为洛浦县应急管理局。</w:t>
      </w:r>
    </w:p>
    <w:p w14:paraId="6CCBCEE0">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572BBAEB">
      <w:pPr>
        <w:pStyle w:val="47"/>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default"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val="en-US" w:eastAsia="zh-CN"/>
        </w:rPr>
        <w:t>2024年1月-2024年12月</w:t>
      </w:r>
    </w:p>
    <w:p w14:paraId="0677E966">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1F26E534">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color w:val="auto"/>
          <w:kern w:val="0"/>
          <w:sz w:val="24"/>
          <w:szCs w:val="24"/>
          <w:lang w:val="en-US" w:eastAsia="zh-CN" w:bidi="ar-SA"/>
        </w:rPr>
      </w:pPr>
      <w:r>
        <w:rPr>
          <w:rFonts w:hint="default" w:ascii="宋体" w:hAnsi="宋体" w:eastAsia="宋体" w:cs="宋体"/>
          <w:color w:val="auto"/>
          <w:kern w:val="0"/>
          <w:sz w:val="24"/>
          <w:szCs w:val="24"/>
          <w:lang w:val="en-US" w:eastAsia="zh-CN" w:bidi="ar-SA"/>
        </w:rPr>
        <w:t>本</w:t>
      </w:r>
      <w:r>
        <w:rPr>
          <w:rFonts w:hint="eastAsia" w:ascii="宋体" w:hAnsi="宋体" w:eastAsia="宋体" w:cs="宋体"/>
          <w:color w:val="auto"/>
          <w:kern w:val="0"/>
          <w:sz w:val="24"/>
          <w:szCs w:val="24"/>
          <w:lang w:val="en-US" w:eastAsia="zh-CN" w:bidi="ar-SA"/>
        </w:rPr>
        <w:t>项目</w:t>
      </w:r>
      <w:r>
        <w:rPr>
          <w:rFonts w:hint="default" w:ascii="宋体" w:hAnsi="宋体" w:eastAsia="宋体" w:cs="宋体"/>
          <w:color w:val="auto"/>
          <w:kern w:val="0"/>
          <w:sz w:val="24"/>
          <w:szCs w:val="24"/>
          <w:lang w:val="en-US" w:eastAsia="zh-CN" w:bidi="ar-SA"/>
        </w:rPr>
        <w:t>于202</w:t>
      </w:r>
      <w:r>
        <w:rPr>
          <w:rFonts w:hint="eastAsia" w:ascii="宋体" w:hAnsi="宋体" w:eastAsia="宋体" w:cs="宋体"/>
          <w:color w:val="auto"/>
          <w:kern w:val="0"/>
          <w:sz w:val="24"/>
          <w:szCs w:val="24"/>
          <w:lang w:val="en-US" w:eastAsia="zh-CN" w:bidi="ar-SA"/>
        </w:rPr>
        <w:t>4</w:t>
      </w:r>
      <w:r>
        <w:rPr>
          <w:rFonts w:hint="default" w:ascii="宋体" w:hAnsi="宋体" w:eastAsia="宋体" w:cs="宋体"/>
          <w:color w:val="auto"/>
          <w:kern w:val="0"/>
          <w:sz w:val="24"/>
          <w:szCs w:val="24"/>
          <w:lang w:val="en-US" w:eastAsia="zh-CN" w:bidi="ar-SA"/>
        </w:rPr>
        <w:t>年12月</w:t>
      </w:r>
      <w:r>
        <w:rPr>
          <w:rFonts w:hint="eastAsia" w:ascii="宋体" w:hAnsi="宋体" w:eastAsia="宋体" w:cs="宋体"/>
          <w:color w:val="auto"/>
          <w:kern w:val="0"/>
          <w:sz w:val="24"/>
          <w:szCs w:val="24"/>
          <w:lang w:val="en-US" w:eastAsia="zh-CN" w:bidi="ar-SA"/>
        </w:rPr>
        <w:t>31</w:t>
      </w:r>
      <w:r>
        <w:rPr>
          <w:rFonts w:hint="default" w:ascii="宋体" w:hAnsi="宋体" w:eastAsia="宋体" w:cs="宋体"/>
          <w:color w:val="auto"/>
          <w:kern w:val="0"/>
          <w:sz w:val="24"/>
          <w:szCs w:val="24"/>
          <w:lang w:val="en-US" w:eastAsia="zh-CN" w:bidi="ar-SA"/>
        </w:rPr>
        <w:t>日前全部</w:t>
      </w:r>
      <w:r>
        <w:rPr>
          <w:rFonts w:hint="eastAsia" w:ascii="宋体" w:hAnsi="宋体" w:eastAsia="宋体" w:cs="宋体"/>
          <w:color w:val="auto"/>
          <w:kern w:val="0"/>
          <w:sz w:val="24"/>
          <w:szCs w:val="24"/>
          <w:lang w:val="en-US" w:eastAsia="zh-CN" w:bidi="ar-SA"/>
        </w:rPr>
        <w:t>完成</w:t>
      </w:r>
      <w:r>
        <w:rPr>
          <w:rFonts w:hint="default" w:ascii="宋体" w:hAnsi="宋体" w:eastAsia="宋体" w:cs="宋体"/>
          <w:color w:val="auto"/>
          <w:kern w:val="0"/>
          <w:sz w:val="24"/>
          <w:szCs w:val="24"/>
          <w:lang w:val="en-US" w:eastAsia="zh-CN" w:bidi="ar-SA"/>
        </w:rPr>
        <w:t>。</w:t>
      </w:r>
    </w:p>
    <w:p w14:paraId="52CE91FD">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该项目从2024年1月实施到2024年12月，期间财政局按月支付该项目费用，洛浦县消防救援大队根据实际领取经费，确保消防救援人员的各项工作能够按时完成、能够做到消防车辆及时维修保养，随时准备扑救各种火灾及自然灾害，建设维修营区设施，确保消防员生活环境，进一步提升洛浦县消防救援队伍能力，为洛浦县提供消防救援保障。截止到2024年12月31日这个项目已全部实施完成。</w:t>
      </w:r>
    </w:p>
    <w:p w14:paraId="4A69D19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3CCDFD4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6707237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144</w:t>
      </w:r>
      <w:r>
        <w:rPr>
          <w:rFonts w:hint="eastAsia" w:ascii="宋体" w:hAnsi="宋体" w:eastAsia="宋体" w:cs="宋体"/>
          <w:color w:val="auto"/>
          <w:sz w:val="24"/>
          <w:szCs w:val="24"/>
        </w:rPr>
        <w:t>万元，资金来源为部门预算，其中：财政资金</w:t>
      </w:r>
      <w:r>
        <w:rPr>
          <w:rFonts w:hint="eastAsia" w:ascii="宋体" w:hAnsi="宋体" w:eastAsia="宋体" w:cs="宋体"/>
          <w:color w:val="auto"/>
          <w:sz w:val="24"/>
          <w:szCs w:val="24"/>
          <w:lang w:val="en-US" w:eastAsia="zh-CN"/>
        </w:rPr>
        <w:t>144</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144</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1797746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34932D5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144</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eastAsia="zh-CN"/>
        </w:rPr>
        <w:t>维修（护）</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44.25</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办公</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、其他商品和服务支出</w:t>
      </w:r>
      <w:r>
        <w:rPr>
          <w:rFonts w:hint="eastAsia" w:ascii="宋体" w:hAnsi="宋体" w:eastAsia="宋体" w:cs="宋体"/>
          <w:color w:val="auto"/>
          <w:sz w:val="24"/>
          <w:szCs w:val="24"/>
        </w:rPr>
        <w:t>用</w:t>
      </w: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万元</w:t>
      </w:r>
      <w:r>
        <w:rPr>
          <w:rFonts w:hint="eastAsia" w:ascii="宋体" w:hAnsi="宋体" w:eastAsia="宋体" w:cs="宋体"/>
          <w:color w:val="auto"/>
          <w:sz w:val="24"/>
          <w:szCs w:val="24"/>
          <w:lang w:val="en-US" w:eastAsia="zh-CN"/>
        </w:rPr>
        <w:t>等</w:t>
      </w:r>
      <w:r>
        <w:rPr>
          <w:rFonts w:hint="eastAsia" w:ascii="宋体" w:hAnsi="宋体" w:eastAsia="宋体" w:cs="宋体"/>
          <w:color w:val="auto"/>
          <w:sz w:val="24"/>
          <w:szCs w:val="24"/>
        </w:rPr>
        <w:t>。</w:t>
      </w:r>
    </w:p>
    <w:p w14:paraId="699B573B">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0CEC4ECA">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项目绩效目标包括项目总</w:t>
      </w:r>
      <w:r>
        <w:rPr>
          <w:rFonts w:hint="eastAsia" w:ascii="宋体" w:hAnsi="宋体" w:eastAsia="宋体" w:cs="宋体"/>
          <w:color w:val="000000"/>
          <w:sz w:val="24"/>
          <w:szCs w:val="24"/>
          <w:highlight w:val="none"/>
          <w:lang w:val="en-US" w:eastAsia="zh-CN"/>
        </w:rPr>
        <w:t>体</w:t>
      </w:r>
      <w:r>
        <w:rPr>
          <w:rFonts w:hint="eastAsia" w:ascii="宋体" w:hAnsi="宋体" w:eastAsia="宋体" w:cs="宋体"/>
          <w:color w:val="000000"/>
          <w:sz w:val="24"/>
          <w:szCs w:val="24"/>
          <w:highlight w:val="none"/>
        </w:rPr>
        <w:t>目标和阶段性目标。</w:t>
      </w:r>
    </w:p>
    <w:p w14:paraId="4221F162">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7F4224E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4"/>
          <w:szCs w:val="24"/>
          <w:highlight w:val="none"/>
        </w:rPr>
        <w:t>项目</w:t>
      </w:r>
      <w:r>
        <w:rPr>
          <w:rFonts w:hint="eastAsia" w:ascii="宋体" w:hAnsi="宋体" w:eastAsia="宋体" w:cs="宋体"/>
          <w:color w:val="000000"/>
          <w:sz w:val="24"/>
          <w:szCs w:val="24"/>
          <w:highlight w:val="none"/>
          <w:lang w:eastAsia="zh-CN"/>
        </w:rPr>
        <w:t>保障消防员数量</w:t>
      </w:r>
      <w:r>
        <w:rPr>
          <w:rFonts w:hint="eastAsia" w:ascii="宋体" w:hAnsi="宋体" w:eastAsia="宋体" w:cs="宋体"/>
          <w:color w:val="000000"/>
          <w:sz w:val="24"/>
          <w:szCs w:val="24"/>
          <w:highlight w:val="none"/>
          <w:lang w:val="en-US" w:eastAsia="zh-CN"/>
        </w:rPr>
        <w:t>41人，保障公务用车及消防车11辆，资金使用合格率要100%，项目完成时间2024年12月之前，资金支付及时率为100%，有效提升了消防员素质及灭火救援能力，收益消防员满意度达到了95%以上。本项目的实施提高消防队伍装备水平，还有利于促进各方面加大对消防工作的投入，有利于推动消防科技和消防产业的发展。</w:t>
      </w:r>
    </w:p>
    <w:p w14:paraId="3BC69555">
      <w:pPr>
        <w:pStyle w:val="47"/>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7AD92906">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bookmarkStart w:id="3" w:name="_Toc68364660"/>
      <w:r>
        <w:rPr>
          <w:rFonts w:hint="eastAsia" w:ascii="宋体" w:hAnsi="宋体" w:eastAsia="宋体" w:cs="宋体"/>
          <w:color w:val="000000"/>
          <w:sz w:val="24"/>
          <w:szCs w:val="24"/>
          <w:highlight w:val="none"/>
          <w:lang w:val="en-US" w:eastAsia="zh-CN"/>
        </w:rPr>
        <w:t>我</w:t>
      </w:r>
      <w:r>
        <w:rPr>
          <w:rFonts w:hint="eastAsia" w:ascii="宋体" w:hAnsi="宋体" w:eastAsia="宋体" w:cs="宋体"/>
          <w:color w:val="000000"/>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272A15A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（1）产出指标</w:t>
      </w:r>
    </w:p>
    <w:p w14:paraId="5BDC6D5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1)数量指标:</w:t>
      </w:r>
    </w:p>
    <w:p w14:paraId="72BEE9B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指标1：保障消防员数量，预期指标值≥41人；</w:t>
      </w:r>
    </w:p>
    <w:p w14:paraId="421F4860">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指标2：保障公务车用车辆，预期指标值≥11辆；</w:t>
      </w:r>
    </w:p>
    <w:p w14:paraId="2D7E0204">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2）质量指标：</w:t>
      </w:r>
    </w:p>
    <w:p w14:paraId="32D79BA9">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000000"/>
          <w:sz w:val="24"/>
          <w:szCs w:val="24"/>
          <w:highlight w:val="none"/>
          <w:lang w:val="en-US" w:eastAsia="zh-CN"/>
        </w:rPr>
        <w:t>指标1：</w:t>
      </w:r>
      <w:r>
        <w:rPr>
          <w:rFonts w:hint="eastAsia" w:ascii="宋体" w:hAnsi="宋体" w:eastAsia="宋体" w:cs="宋体"/>
          <w:color w:val="auto"/>
          <w:kern w:val="0"/>
          <w:sz w:val="24"/>
          <w:szCs w:val="24"/>
          <w:lang w:val="en-US" w:eastAsia="zh-CN" w:bidi="ar-SA"/>
        </w:rPr>
        <w:t>资金使用合格率，预期指标值=100%；</w:t>
      </w:r>
    </w:p>
    <w:p w14:paraId="0D589E9B">
      <w:pPr>
        <w:pStyle w:val="4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w:t>
      </w:r>
      <w:r>
        <w:rPr>
          <w:rFonts w:hint="eastAsia" w:ascii="宋体" w:hAnsi="宋体" w:eastAsia="宋体" w:cs="宋体"/>
          <w:color w:val="000000"/>
          <w:sz w:val="24"/>
          <w:szCs w:val="24"/>
          <w:highlight w:val="none"/>
          <w:lang w:val="en-US" w:eastAsia="zh-CN"/>
        </w:rPr>
        <w:t>指标</w:t>
      </w:r>
      <w:r>
        <w:rPr>
          <w:rFonts w:hint="eastAsia" w:ascii="宋体" w:hAnsi="宋体" w:eastAsia="宋体" w:cs="宋体"/>
          <w:color w:val="auto"/>
          <w:sz w:val="24"/>
          <w:szCs w:val="24"/>
        </w:rPr>
        <w:t>：</w:t>
      </w:r>
    </w:p>
    <w:p w14:paraId="75E98CB3">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000000"/>
          <w:sz w:val="24"/>
          <w:szCs w:val="24"/>
          <w:highlight w:val="none"/>
          <w:lang w:val="en-US" w:eastAsia="zh-CN"/>
        </w:rPr>
        <w:t>指标1：</w:t>
      </w:r>
      <w:r>
        <w:rPr>
          <w:rFonts w:hint="eastAsia" w:ascii="宋体" w:hAnsi="宋体" w:eastAsia="宋体" w:cs="宋体"/>
          <w:color w:val="auto"/>
          <w:kern w:val="0"/>
          <w:sz w:val="24"/>
          <w:szCs w:val="24"/>
          <w:lang w:val="en-US" w:eastAsia="zh-CN" w:bidi="ar-SA"/>
        </w:rPr>
        <w:t>项目完成时间，预期指标值为2024年12月；</w:t>
      </w:r>
    </w:p>
    <w:p w14:paraId="74FFF46D">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000000"/>
          <w:sz w:val="24"/>
          <w:szCs w:val="24"/>
          <w:highlight w:val="none"/>
          <w:lang w:val="en-US" w:eastAsia="zh-CN"/>
        </w:rPr>
        <w:t>指标2：</w:t>
      </w:r>
      <w:r>
        <w:rPr>
          <w:rFonts w:hint="eastAsia" w:ascii="宋体" w:hAnsi="宋体" w:eastAsia="宋体" w:cs="宋体"/>
          <w:color w:val="auto"/>
          <w:kern w:val="0"/>
          <w:sz w:val="24"/>
          <w:szCs w:val="24"/>
          <w:lang w:val="en-US" w:eastAsia="zh-CN" w:bidi="ar-SA"/>
        </w:rPr>
        <w:t>资金支付及时率，预期指标值=100%；</w:t>
      </w:r>
    </w:p>
    <w:p w14:paraId="2A458A8B">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（2）成本指标：</w:t>
      </w:r>
    </w:p>
    <w:p w14:paraId="0E09E1AB">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1）经济成本指标</w:t>
      </w:r>
    </w:p>
    <w:p w14:paraId="099CB7C7">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000000"/>
          <w:sz w:val="24"/>
          <w:szCs w:val="24"/>
          <w:highlight w:val="none"/>
          <w:lang w:val="en-US" w:eastAsia="zh-CN"/>
        </w:rPr>
        <w:t>指标1：</w:t>
      </w:r>
      <w:r>
        <w:rPr>
          <w:rFonts w:hint="eastAsia" w:ascii="宋体" w:hAnsi="宋体" w:eastAsia="宋体" w:cs="宋体"/>
          <w:color w:val="auto"/>
          <w:kern w:val="0"/>
          <w:sz w:val="24"/>
          <w:szCs w:val="24"/>
          <w:lang w:val="en-US" w:eastAsia="zh-CN" w:bidi="ar-SA"/>
        </w:rPr>
        <w:t>2024年消防业务经费，预期指标值≤144万元；</w:t>
      </w:r>
    </w:p>
    <w:p w14:paraId="374A554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2）社会成本指标：</w:t>
      </w:r>
    </w:p>
    <w:p w14:paraId="69CADAF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4312071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7473EFE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1E0827F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（3）效益指标</w:t>
      </w:r>
    </w:p>
    <w:p w14:paraId="5AB4D2B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1）经济效益指标：</w:t>
      </w:r>
    </w:p>
    <w:p w14:paraId="26FC90A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27FE16C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2）社会效益指标：</w:t>
      </w:r>
    </w:p>
    <w:p w14:paraId="64A9A88C">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指标1：提高消防员素质，预期指标值为有效提高；</w:t>
      </w:r>
    </w:p>
    <w:p w14:paraId="78C4330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3）生态效益指标：</w:t>
      </w:r>
    </w:p>
    <w:p w14:paraId="39CEB9EC">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000000"/>
          <w:sz w:val="24"/>
          <w:szCs w:val="24"/>
          <w:highlight w:val="none"/>
          <w:lang w:val="en-US" w:eastAsia="zh-CN"/>
        </w:rPr>
        <w:t>该项目无生态效益指标；</w:t>
      </w:r>
    </w:p>
    <w:p w14:paraId="5BCA2A1B">
      <w:pPr>
        <w:pStyle w:val="4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30F6E624">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指标1：受益消防员满意度，预期指标值≥95%。</w:t>
      </w:r>
    </w:p>
    <w:p w14:paraId="0D67B3F4">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0E7E76AF">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59E1B2F3">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1.绩效评价目的</w:t>
      </w:r>
    </w:p>
    <w:p w14:paraId="42D08E3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w:t>
      </w:r>
      <w:r>
        <w:rPr>
          <w:rFonts w:hint="eastAsia" w:ascii="宋体" w:hAnsi="宋体" w:eastAsia="宋体" w:cs="宋体"/>
          <w:sz w:val="24"/>
          <w:szCs w:val="24"/>
          <w:highlight w:val="none"/>
        </w:rPr>
        <w:t>等相关政策文件与规</w:t>
      </w:r>
      <w:r>
        <w:rPr>
          <w:rFonts w:hint="eastAsia" w:ascii="宋体" w:hAnsi="宋体" w:eastAsia="宋体" w:cs="宋体"/>
          <w:sz w:val="24"/>
          <w:szCs w:val="24"/>
        </w:rPr>
        <w:t>定，对</w:t>
      </w:r>
      <w:r>
        <w:rPr>
          <w:rFonts w:hint="eastAsia" w:ascii="宋体" w:hAnsi="宋体" w:eastAsia="宋体" w:cs="宋体"/>
          <w:sz w:val="24"/>
          <w:szCs w:val="24"/>
          <w:lang w:val="en-US" w:eastAsia="zh-CN"/>
        </w:rPr>
        <w:t>2024年消防业务经费</w:t>
      </w:r>
      <w:r>
        <w:rPr>
          <w:rFonts w:hint="eastAsia" w:ascii="宋体" w:hAnsi="宋体" w:eastAsia="宋体" w:cs="宋体"/>
          <w:color w:val="auto"/>
          <w:sz w:val="24"/>
          <w:szCs w:val="24"/>
        </w:rPr>
        <w:t>项目</w:t>
      </w:r>
      <w:r>
        <w:rPr>
          <w:rFonts w:hint="eastAsia" w:ascii="宋体" w:hAnsi="宋体" w:eastAsia="宋体" w:cs="宋体"/>
          <w:sz w:val="24"/>
          <w:szCs w:val="24"/>
        </w:rPr>
        <w:t>开展本次部门项目支出绩效评价工作。全面了解</w:t>
      </w:r>
      <w:r>
        <w:rPr>
          <w:rFonts w:hint="eastAsia" w:ascii="宋体" w:hAnsi="宋体" w:eastAsia="宋体" w:cs="宋体"/>
          <w:sz w:val="24"/>
          <w:szCs w:val="24"/>
          <w:lang w:val="en-US" w:eastAsia="zh-CN"/>
        </w:rPr>
        <w:t>2024年消防业务经费</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3FFF0A23">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2A5B77B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638C3A1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1DA10D9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5FF381E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sz w:val="24"/>
          <w:szCs w:val="24"/>
          <w:lang w:val="en-US" w:eastAsia="zh-CN"/>
        </w:rPr>
        <w:t>2024年消防业务经费</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71094EC2">
      <w:pPr>
        <w:pStyle w:val="47"/>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color w:val="auto"/>
          <w:sz w:val="24"/>
          <w:szCs w:val="24"/>
        </w:rPr>
      </w:pPr>
      <w:r>
        <w:rPr>
          <w:rFonts w:hint="eastAsia" w:ascii="宋体" w:hAnsi="宋体" w:eastAsia="宋体" w:cs="宋体"/>
          <w:b/>
          <w:bCs/>
          <w:sz w:val="24"/>
          <w:szCs w:val="24"/>
        </w:rPr>
        <w:t>3.绩效评价范围</w:t>
      </w:r>
    </w:p>
    <w:p w14:paraId="0B2A2765">
      <w:pPr>
        <w:pStyle w:val="47"/>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sz w:val="24"/>
          <w:szCs w:val="24"/>
        </w:rPr>
      </w:pPr>
      <w:r>
        <w:rPr>
          <w:rFonts w:hint="eastAsia" w:ascii="宋体" w:hAnsi="宋体" w:eastAsia="宋体" w:cs="宋体"/>
          <w:color w:val="auto"/>
          <w:sz w:val="24"/>
          <w:szCs w:val="24"/>
        </w:rPr>
        <w:t>本次绩效评价主要围绕</w:t>
      </w:r>
      <w:r>
        <w:rPr>
          <w:rFonts w:hint="eastAsia" w:ascii="宋体" w:hAnsi="宋体" w:eastAsia="宋体" w:cs="宋体"/>
          <w:color w:val="auto"/>
          <w:sz w:val="24"/>
          <w:szCs w:val="24"/>
          <w:lang w:val="en-US" w:eastAsia="zh-CN"/>
        </w:rPr>
        <w:t>2024年消防业务经费</w:t>
      </w:r>
      <w:r>
        <w:rPr>
          <w:rFonts w:hint="eastAsia" w:ascii="宋体" w:hAnsi="宋体" w:eastAsia="宋体" w:cs="宋体"/>
          <w:color w:val="auto"/>
          <w:sz w:val="24"/>
          <w:szCs w:val="24"/>
        </w:rPr>
        <w:t>项目决策、项目资金管理、项目实施过程管理，以及项目实施所带来的产出和效果等内容，进行综合</w:t>
      </w:r>
      <w:r>
        <w:rPr>
          <w:rFonts w:hint="eastAsia" w:ascii="宋体" w:hAnsi="宋体" w:eastAsia="宋体" w:cs="宋体"/>
          <w:sz w:val="24"/>
          <w:szCs w:val="24"/>
        </w:rPr>
        <w:t>评价。范围涵盖项目总体绩效目标、各项绩效指标完成情况以及预算执行情况</w:t>
      </w:r>
      <w:bookmarkStart w:id="5"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1D4FF04A">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69B467A6">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1.绩效评价原则</w:t>
      </w:r>
    </w:p>
    <w:p w14:paraId="2D34B3CC">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24E6F30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110E085E">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5BE545C0">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762B6C9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27792F7A">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12835CCA">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4CA760B5">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0756AB42">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14B446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2.绩效评价指标体系</w:t>
      </w:r>
    </w:p>
    <w:p w14:paraId="425A15E8">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0ED62A34">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3.绩效评价方法</w:t>
      </w:r>
    </w:p>
    <w:p w14:paraId="4B873A7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7CF39F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4ADCCB1C">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0F426BAF">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1604BB31">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7CB6E1F1">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5F4CD468">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33CE1317">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42C6661C">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102A7E62">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2B41B015">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13188C13">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60B51754">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2B1D2462">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A6F9385">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3E8360D8">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4.绩效评价标准</w:t>
      </w:r>
    </w:p>
    <w:p w14:paraId="277501C1">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FF0000"/>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EC5E4D4">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2AECB6F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7" w:name="_Toc68364664"/>
      <w:r>
        <w:rPr>
          <w:rFonts w:hint="eastAsia" w:ascii="宋体" w:hAnsi="宋体" w:eastAsia="宋体" w:cs="宋体"/>
          <w:b/>
          <w:bCs/>
          <w:color w:val="000000"/>
          <w:sz w:val="24"/>
          <w:szCs w:val="24"/>
          <w:highlight w:val="none"/>
        </w:rPr>
        <w:t>1.前期准备</w:t>
      </w:r>
    </w:p>
    <w:p w14:paraId="5D2BBC5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1CA07BEA">
      <w:pPr>
        <w:pStyle w:val="7"/>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李恒（评价小组组长）：主要负责项目实施工作；</w:t>
      </w:r>
    </w:p>
    <w:p w14:paraId="2313D786">
      <w:pPr>
        <w:pStyle w:val="7"/>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于朝亮（评价小组组员）：主要负责主要负责票据审核报账工作;</w:t>
      </w:r>
    </w:p>
    <w:p w14:paraId="4D49CBFA">
      <w:pPr>
        <w:pStyle w:val="7"/>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阿卜杜拉</w:t>
      </w:r>
      <w:r>
        <w:rPr>
          <w:rFonts w:hint="eastAsia" w:ascii="宋体" w:hAnsi="宋体" w:eastAsia="宋体" w:cs="宋体"/>
          <w:sz w:val="24"/>
          <w:szCs w:val="24"/>
        </w:rPr>
        <w:t>（评价小组组员）：主要负责主要负责票据审核报账工作。</w:t>
      </w:r>
    </w:p>
    <w:p w14:paraId="03FE4B9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5EF9064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43B3761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09DCE46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44499E7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215479F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7A9A5A1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6CA038E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32779E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4D6AE05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6CDAB9EC">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7"/>
    </w:p>
    <w:p w14:paraId="727E4F31">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8" w:name="_Toc68364665"/>
      <w:r>
        <w:rPr>
          <w:rFonts w:hint="eastAsia" w:ascii="宋体" w:hAnsi="宋体" w:eastAsia="宋体" w:cs="宋体"/>
          <w:sz w:val="24"/>
          <w:szCs w:val="24"/>
        </w:rPr>
        <w:t>（一</w:t>
      </w:r>
      <w:r>
        <w:rPr>
          <w:rFonts w:hint="eastAsia" w:ascii="宋体" w:hAnsi="宋体" w:eastAsia="宋体" w:cs="宋体"/>
          <w:color w:val="auto"/>
          <w:sz w:val="24"/>
          <w:szCs w:val="24"/>
        </w:rPr>
        <w:t>）综合评价情况</w:t>
      </w:r>
      <w:bookmarkEnd w:id="8"/>
    </w:p>
    <w:p w14:paraId="1C0E0808">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bookmarkStart w:id="9" w:name="_Toc68364666"/>
      <w:r>
        <w:rPr>
          <w:rFonts w:hint="eastAsia" w:ascii="宋体" w:hAnsi="宋体" w:eastAsia="宋体" w:cs="宋体"/>
          <w:color w:val="auto"/>
          <w:sz w:val="24"/>
          <w:szCs w:val="24"/>
        </w:rPr>
        <w:t>通过实施</w:t>
      </w:r>
      <w:r>
        <w:rPr>
          <w:rFonts w:hint="eastAsia" w:ascii="宋体" w:hAnsi="宋体" w:eastAsia="宋体" w:cs="宋体"/>
          <w:color w:val="auto"/>
          <w:sz w:val="24"/>
          <w:szCs w:val="24"/>
          <w:lang w:val="en-US" w:eastAsia="zh-CN"/>
        </w:rPr>
        <w:t>2024年消防业务经费</w:t>
      </w:r>
      <w:r>
        <w:rPr>
          <w:rFonts w:hint="eastAsia" w:ascii="宋体" w:hAnsi="宋体" w:eastAsia="宋体" w:cs="宋体"/>
          <w:color w:val="auto"/>
          <w:sz w:val="24"/>
          <w:szCs w:val="24"/>
        </w:rPr>
        <w:t>项目</w:t>
      </w:r>
      <w:r>
        <w:rPr>
          <w:rFonts w:hint="eastAsia" w:ascii="宋体" w:hAnsi="宋体" w:eastAsia="宋体" w:cs="宋体"/>
          <w:color w:val="auto"/>
          <w:sz w:val="24"/>
          <w:szCs w:val="24"/>
          <w:lang w:eastAsia="zh-CN"/>
        </w:rPr>
        <w:t>有效提升了消防员素质，增强消防队伍战斗力，持续增强群众火灾防范意识，收益消防员满意度达到</w:t>
      </w:r>
      <w:r>
        <w:rPr>
          <w:rFonts w:hint="eastAsia" w:ascii="宋体" w:hAnsi="宋体" w:eastAsia="宋体" w:cs="宋体"/>
          <w:color w:val="auto"/>
          <w:sz w:val="24"/>
          <w:szCs w:val="24"/>
          <w:lang w:val="en-US" w:eastAsia="zh-CN"/>
        </w:rPr>
        <w:t>95%以上。</w:t>
      </w:r>
      <w:r>
        <w:rPr>
          <w:rFonts w:hint="eastAsia" w:ascii="宋体" w:hAnsi="宋体" w:eastAsia="宋体" w:cs="宋体"/>
          <w:color w:val="auto"/>
          <w:sz w:val="24"/>
          <w:szCs w:val="24"/>
        </w:rPr>
        <w:t>项目实施主要通过项目决策、项目过程、项目产出以及项目效益等方面进行评价，其中：</w:t>
      </w:r>
    </w:p>
    <w:p w14:paraId="1112567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项目决策：该项目主要通过《国务院关于进一步</w:t>
      </w:r>
      <w:r>
        <w:rPr>
          <w:rFonts w:hint="eastAsia" w:ascii="宋体" w:hAnsi="宋体" w:eastAsia="宋体" w:cs="宋体"/>
          <w:color w:val="000000"/>
          <w:sz w:val="24"/>
          <w:szCs w:val="24"/>
        </w:rPr>
        <w:t>加强消防工作的意见》（国发〔20</w:t>
      </w:r>
      <w:r>
        <w:rPr>
          <w:rFonts w:hint="eastAsia" w:ascii="宋体" w:hAnsi="宋体" w:eastAsia="宋体" w:cs="宋体"/>
          <w:color w:val="auto"/>
          <w:sz w:val="24"/>
          <w:szCs w:val="24"/>
        </w:rPr>
        <w:t>06〕15号）文件立项，项目实施符合《中华人民共和国消防法》要求，项目立项依据充分，立项程序规范。</w:t>
      </w:r>
    </w:p>
    <w:p w14:paraId="6C2A6C85">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w:t>
      </w:r>
      <w:r>
        <w:rPr>
          <w:rFonts w:hint="eastAsia" w:ascii="宋体" w:hAnsi="宋体" w:eastAsia="宋体" w:cs="宋体"/>
          <w:color w:val="auto"/>
          <w:sz w:val="24"/>
          <w:szCs w:val="24"/>
          <w:lang w:val="en-US" w:eastAsia="zh-CN"/>
        </w:rPr>
        <w:t>2024年消防业务经费</w:t>
      </w:r>
      <w:r>
        <w:rPr>
          <w:rFonts w:hint="eastAsia" w:ascii="宋体" w:hAnsi="宋体" w:eastAsia="宋体" w:cs="宋体"/>
          <w:color w:val="auto"/>
          <w:sz w:val="24"/>
          <w:szCs w:val="24"/>
        </w:rPr>
        <w:t>项目预算安排</w:t>
      </w:r>
      <w:r>
        <w:rPr>
          <w:rFonts w:hint="eastAsia" w:ascii="宋体" w:hAnsi="宋体" w:eastAsia="宋体" w:cs="宋体"/>
          <w:color w:val="auto"/>
          <w:sz w:val="24"/>
          <w:szCs w:val="24"/>
          <w:lang w:val="en-US" w:eastAsia="zh-CN"/>
        </w:rPr>
        <w:t>144</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144</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22538717">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项目产出：项目</w:t>
      </w:r>
      <w:r>
        <w:rPr>
          <w:rFonts w:hint="eastAsia" w:ascii="宋体" w:hAnsi="宋体" w:eastAsia="宋体" w:cs="宋体"/>
          <w:color w:val="auto"/>
          <w:sz w:val="24"/>
          <w:szCs w:val="24"/>
          <w:lang w:eastAsia="zh-CN"/>
        </w:rPr>
        <w:t>保障消防员数量</w:t>
      </w:r>
      <w:r>
        <w:rPr>
          <w:rFonts w:hint="eastAsia" w:ascii="宋体" w:hAnsi="宋体" w:eastAsia="宋体" w:cs="宋体"/>
          <w:color w:val="auto"/>
          <w:sz w:val="24"/>
          <w:szCs w:val="24"/>
          <w:lang w:val="en-US" w:eastAsia="zh-CN"/>
        </w:rPr>
        <w:t>41人，保障公务用车及消防车11辆，资金使用合格率要100%，</w:t>
      </w:r>
      <w:r>
        <w:rPr>
          <w:rFonts w:hint="eastAsia" w:ascii="宋体" w:hAnsi="宋体" w:eastAsia="宋体" w:cs="宋体"/>
          <w:bCs/>
          <w:color w:val="auto"/>
          <w:sz w:val="24"/>
          <w:szCs w:val="24"/>
          <w:lang w:val="en-US" w:eastAsia="zh-CN"/>
        </w:rPr>
        <w:t>项目完成时间2024年12月之前，资金支付及时率为100%，</w:t>
      </w:r>
    </w:p>
    <w:p w14:paraId="6E5D1739">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项目效益：通过实施</w:t>
      </w:r>
      <w:r>
        <w:rPr>
          <w:rFonts w:hint="eastAsia" w:ascii="宋体" w:hAnsi="宋体" w:eastAsia="宋体" w:cs="宋体"/>
          <w:color w:val="auto"/>
          <w:sz w:val="24"/>
          <w:szCs w:val="24"/>
          <w:lang w:val="en-US" w:eastAsia="zh-CN"/>
        </w:rPr>
        <w:t>2024年消防业务经费</w:t>
      </w:r>
      <w:r>
        <w:rPr>
          <w:rFonts w:hint="eastAsia" w:ascii="宋体" w:hAnsi="宋体" w:eastAsia="宋体" w:cs="宋体"/>
          <w:color w:val="auto"/>
          <w:sz w:val="24"/>
          <w:szCs w:val="24"/>
        </w:rPr>
        <w:t>项目</w:t>
      </w:r>
      <w:r>
        <w:rPr>
          <w:rFonts w:hint="eastAsia" w:ascii="宋体" w:hAnsi="宋体" w:eastAsia="宋体" w:cs="宋体"/>
          <w:color w:val="auto"/>
          <w:sz w:val="24"/>
          <w:szCs w:val="24"/>
          <w:lang w:eastAsia="zh-CN"/>
        </w:rPr>
        <w:t>有效提升了消防员素质，增强消防队伍战斗力，持续增强群众火灾防范意识，收益消防员满意度达到</w:t>
      </w:r>
      <w:r>
        <w:rPr>
          <w:rFonts w:hint="eastAsia" w:ascii="宋体" w:hAnsi="宋体" w:eastAsia="宋体" w:cs="宋体"/>
          <w:color w:val="auto"/>
          <w:sz w:val="24"/>
          <w:szCs w:val="24"/>
          <w:lang w:val="en-US" w:eastAsia="zh-CN"/>
        </w:rPr>
        <w:t>95%以上。</w:t>
      </w:r>
    </w:p>
    <w:p w14:paraId="194E0E7F">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（二）综合评价结论</w:t>
      </w:r>
    </w:p>
    <w:p w14:paraId="45A0265B">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黑体" w:hAnsi="黑体" w:eastAsia="黑体" w:cs="黑体"/>
          <w:sz w:val="24"/>
          <w:szCs w:val="24"/>
        </w:rPr>
      </w:pPr>
      <w:r>
        <w:rPr>
          <w:rFonts w:hint="eastAsia" w:ascii="宋体" w:hAnsi="宋体" w:eastAsia="宋体" w:cs="宋体"/>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sz w:val="24"/>
          <w:szCs w:val="24"/>
          <w:lang w:val="en-US" w:eastAsia="zh-CN"/>
        </w:rPr>
        <w:t>2024年消防业务经费</w:t>
      </w:r>
      <w:r>
        <w:rPr>
          <w:rFonts w:hint="eastAsia" w:ascii="宋体" w:hAnsi="宋体" w:eastAsia="宋体" w:cs="宋体"/>
          <w:color w:val="auto"/>
          <w:sz w:val="24"/>
          <w:szCs w:val="24"/>
        </w:rPr>
        <w:t>项目进行客观评价，最终评分结果：评价总分</w:t>
      </w:r>
      <w:r>
        <w:rPr>
          <w:rFonts w:hint="eastAsia" w:ascii="宋体" w:hAnsi="宋体" w:eastAsia="宋体" w:cs="宋体"/>
          <w:color w:val="auto"/>
          <w:sz w:val="24"/>
          <w:szCs w:val="24"/>
          <w:lang w:val="en-US" w:eastAsia="zh-CN"/>
        </w:rPr>
        <w:t>99.88</w:t>
      </w:r>
      <w:r>
        <w:rPr>
          <w:rFonts w:hint="eastAsia" w:ascii="宋体" w:hAnsi="宋体" w:eastAsia="宋体" w:cs="宋体"/>
          <w:color w:val="auto"/>
          <w:sz w:val="24"/>
          <w:szCs w:val="24"/>
        </w:rPr>
        <w:t>分，绩效等级为“优”。</w:t>
      </w:r>
      <w:bookmarkEnd w:id="9"/>
      <w:bookmarkStart w:id="10" w:name="_Toc68364667"/>
    </w:p>
    <w:p w14:paraId="74A9110E">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0"/>
    </w:p>
    <w:p w14:paraId="0A2DB175">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1" w:name="_Toc68364668"/>
      <w:r>
        <w:rPr>
          <w:rFonts w:hint="eastAsia" w:ascii="宋体" w:hAnsi="宋体" w:eastAsia="宋体" w:cs="宋体"/>
          <w:sz w:val="24"/>
          <w:szCs w:val="24"/>
        </w:rPr>
        <w:t>（一）项目决策情况</w:t>
      </w:r>
    </w:p>
    <w:p w14:paraId="3F28EF15">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sz w:val="24"/>
          <w:szCs w:val="24"/>
        </w:rPr>
        <w:t>项目决策类指标包括项目</w:t>
      </w:r>
      <w:r>
        <w:rPr>
          <w:rFonts w:hint="eastAsia" w:ascii="宋体" w:hAnsi="宋体" w:eastAsia="宋体" w:cs="宋体"/>
          <w:color w:val="auto"/>
          <w:sz w:val="24"/>
          <w:szCs w:val="24"/>
        </w:rPr>
        <w:t>立项、绩效目标和资金投入三方面的内容，由6个三级指标构成，权重分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761981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64F14E86">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rPr>
        <w:t>本项目立项符合国务院颁发的《国务院关于进一步加强消防工作的意见》（国发〔2006〕15号）中提出了全面加强城乡消防工作，建立健全灭火应急救援工作机制，切实提高全社会防控火灾的意识和能力，有效预防和减少火灾事故发生，为我国经济发展、社会稳定和人民群众安居乐业创造良好的消防安全环境</w:t>
      </w:r>
      <w:r>
        <w:rPr>
          <w:rFonts w:hint="eastAsia" w:ascii="宋体" w:hAnsi="宋体" w:eastAsia="宋体" w:cs="宋体"/>
          <w:sz w:val="24"/>
          <w:szCs w:val="24"/>
        </w:rPr>
        <w:t>；</w:t>
      </w:r>
      <w:r>
        <w:rPr>
          <w:rFonts w:hint="eastAsia" w:ascii="宋体" w:hAnsi="宋体" w:eastAsia="宋体" w:cs="宋体"/>
          <w:color w:val="000000"/>
          <w:sz w:val="24"/>
          <w:szCs w:val="24"/>
        </w:rPr>
        <w:t>本项目立项符合本项目立项符合《中华人民共和国消防法》中：“全面落实预防为主、防消结合的方针，努力构建“政府统一领导、部门依法监管、单位全面负责、群众积极参与”的消防工作格局，着力整治各种火灾隐患，全面加强城乡消防工作，建立健全灭火应急救援工作机制，切实提高全社会防控火灾的意识和能力，有效预防和减少火灾事故发生，为我国经济</w:t>
      </w:r>
      <w:r>
        <w:rPr>
          <w:rFonts w:hint="eastAsia" w:ascii="宋体" w:hAnsi="宋体" w:eastAsia="宋体" w:cs="宋体"/>
          <w:color w:val="auto"/>
          <w:sz w:val="24"/>
          <w:szCs w:val="24"/>
        </w:rPr>
        <w:t>发展、社会稳定和人民群众安居乐业创造良好的消防安全环境。”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符合行业发展规划和政策要求；本项目立项符合《</w:t>
      </w:r>
      <w:r>
        <w:rPr>
          <w:rFonts w:hint="eastAsia" w:ascii="宋体" w:hAnsi="宋体" w:eastAsia="宋体" w:cs="宋体"/>
          <w:color w:val="auto"/>
          <w:sz w:val="24"/>
          <w:szCs w:val="24"/>
          <w:lang w:eastAsia="zh-CN"/>
        </w:rPr>
        <w:t>洛浦县消防救援大队</w:t>
      </w:r>
      <w:r>
        <w:rPr>
          <w:rFonts w:hint="eastAsia" w:ascii="宋体" w:hAnsi="宋体" w:eastAsia="宋体" w:cs="宋体"/>
          <w:color w:val="auto"/>
          <w:sz w:val="24"/>
          <w:szCs w:val="24"/>
        </w:rPr>
        <w:t>单位配置内设机构和人员编制规定》</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属于我单位履职所需；根据《财政资金直接支付申请书》，本项目资金性质为“公共财政预算”功能分类为“</w:t>
      </w:r>
      <w:r>
        <w:rPr>
          <w:rFonts w:hint="eastAsia" w:ascii="宋体" w:hAnsi="宋体" w:eastAsia="宋体" w:cs="宋体"/>
          <w:color w:val="auto"/>
          <w:sz w:val="24"/>
          <w:szCs w:val="24"/>
          <w:lang w:eastAsia="zh-CN"/>
        </w:rPr>
        <w:t>其他消防救援事务支出</w:t>
      </w:r>
      <w:r>
        <w:rPr>
          <w:rFonts w:hint="eastAsia" w:ascii="宋体" w:hAnsi="宋体" w:eastAsia="宋体" w:cs="宋体"/>
          <w:color w:val="auto"/>
          <w:sz w:val="24"/>
          <w:szCs w:val="24"/>
        </w:rPr>
        <w:t>”经济分类为“</w:t>
      </w:r>
      <w:r>
        <w:rPr>
          <w:rFonts w:hint="eastAsia" w:ascii="宋体" w:hAnsi="宋体" w:eastAsia="宋体" w:cs="宋体"/>
          <w:color w:val="auto"/>
          <w:sz w:val="24"/>
          <w:szCs w:val="24"/>
          <w:lang w:eastAsia="zh-CN"/>
        </w:rPr>
        <w:t>办公费、维修费、其他商品和服务支出等</w:t>
      </w:r>
      <w:r>
        <w:rPr>
          <w:rFonts w:hint="eastAsia" w:ascii="宋体" w:hAnsi="宋体" w:eastAsia="宋体" w:cs="宋体"/>
          <w:color w:val="auto"/>
          <w:sz w:val="24"/>
          <w:szCs w:val="24"/>
        </w:rPr>
        <w:t>”属</w:t>
      </w:r>
      <w:r>
        <w:rPr>
          <w:rFonts w:hint="eastAsia" w:ascii="宋体" w:hAnsi="宋体" w:eastAsia="宋体" w:cs="宋体"/>
          <w:color w:val="auto"/>
          <w:sz w:val="24"/>
          <w:szCs w:val="24"/>
          <w:highlight w:val="none"/>
        </w:rPr>
        <w:t>于公共财政支持范围，符合中央、地方事权支出责任划分原则；经检查我单位财政应用平台指标，本项目不存在重复。</w:t>
      </w:r>
    </w:p>
    <w:p w14:paraId="20FEC2DF">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6B61C0E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2B051ED2">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本项目立项过程中产生的文件均符合相关要求。本项目为</w:t>
      </w:r>
      <w:r>
        <w:rPr>
          <w:rFonts w:hint="eastAsia" w:ascii="宋体" w:hAnsi="宋体" w:eastAsia="宋体" w:cs="宋体"/>
          <w:color w:val="auto"/>
          <w:sz w:val="24"/>
          <w:szCs w:val="24"/>
          <w:highlight w:val="none"/>
          <w:lang w:eastAsia="zh-CN"/>
        </w:rPr>
        <w:t>业务</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144</w:t>
      </w:r>
      <w:r>
        <w:rPr>
          <w:rFonts w:hint="eastAsia" w:ascii="宋体" w:hAnsi="宋体" w:eastAsia="宋体" w:cs="宋体"/>
          <w:color w:val="auto"/>
          <w:sz w:val="24"/>
          <w:szCs w:val="24"/>
          <w:highlight w:val="none"/>
        </w:rPr>
        <w:t>万元，不涉及事前绩效评估和风险评估。</w:t>
      </w:r>
    </w:p>
    <w:p w14:paraId="5B45B13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465075B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b/>
          <w:bCs/>
          <w:color w:val="000000"/>
          <w:sz w:val="24"/>
          <w:szCs w:val="24"/>
          <w:highlight w:val="none"/>
          <w:lang w:val="en-US" w:eastAsia="zh-CN"/>
        </w:rPr>
        <w:t>3.绩效目标合理性</w:t>
      </w:r>
    </w:p>
    <w:p w14:paraId="16F0B85A">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w:t>
      </w:r>
      <w:r>
        <w:rPr>
          <w:rFonts w:hint="eastAsia" w:ascii="宋体" w:hAnsi="宋体" w:eastAsia="宋体" w:cs="宋体"/>
          <w:color w:val="auto"/>
          <w:sz w:val="24"/>
          <w:szCs w:val="24"/>
          <w:highlight w:val="none"/>
          <w:lang w:val="en-US" w:eastAsia="zh-CN"/>
        </w:rPr>
        <w:t>保障41名消防员业务经费，保障11辆公务用车正常运行，通过实施本项目</w:t>
      </w:r>
      <w:r>
        <w:rPr>
          <w:rFonts w:hint="eastAsia" w:ascii="宋体" w:hAnsi="宋体" w:eastAsia="宋体" w:cs="宋体"/>
          <w:color w:val="auto"/>
          <w:sz w:val="24"/>
          <w:szCs w:val="24"/>
          <w:highlight w:val="none"/>
          <w:lang w:eastAsia="zh-CN"/>
        </w:rPr>
        <w:t>有效提升了消防员素质，增强消防队伍战斗力，持续增强群众火灾防范意识，收益消防员满意度达到</w:t>
      </w:r>
      <w:r>
        <w:rPr>
          <w:rFonts w:hint="eastAsia" w:ascii="宋体" w:hAnsi="宋体" w:eastAsia="宋体" w:cs="宋体"/>
          <w:color w:val="auto"/>
          <w:sz w:val="24"/>
          <w:szCs w:val="24"/>
          <w:highlight w:val="none"/>
          <w:lang w:val="en-US" w:eastAsia="zh-CN"/>
        </w:rPr>
        <w:t>95%以上。</w:t>
      </w:r>
    </w:p>
    <w:p w14:paraId="0C054C36">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w:t>
      </w:r>
      <w:r>
        <w:rPr>
          <w:rFonts w:hint="eastAsia" w:ascii="宋体" w:hAnsi="宋体" w:eastAsia="宋体" w:cs="宋体"/>
          <w:color w:val="auto"/>
          <w:sz w:val="24"/>
          <w:szCs w:val="24"/>
          <w:highlight w:val="none"/>
          <w:lang w:val="en-US" w:eastAsia="zh-CN"/>
        </w:rPr>
        <w:t>保障41名消防员业务经费，保障11辆公务用车正常运行，通过实施本项目</w:t>
      </w:r>
      <w:r>
        <w:rPr>
          <w:rFonts w:hint="eastAsia" w:ascii="宋体" w:hAnsi="宋体" w:eastAsia="宋体" w:cs="宋体"/>
          <w:color w:val="auto"/>
          <w:sz w:val="24"/>
          <w:szCs w:val="24"/>
          <w:highlight w:val="none"/>
          <w:lang w:eastAsia="zh-CN"/>
        </w:rPr>
        <w:t>有效提升了消防员素质，增强消防队伍战斗力，持续增强群众火灾防范意识，收益消防员满意度达到</w:t>
      </w:r>
      <w:r>
        <w:rPr>
          <w:rFonts w:hint="eastAsia" w:ascii="宋体" w:hAnsi="宋体" w:eastAsia="宋体" w:cs="宋体"/>
          <w:color w:val="auto"/>
          <w:sz w:val="24"/>
          <w:szCs w:val="24"/>
          <w:highlight w:val="none"/>
          <w:lang w:val="en-US" w:eastAsia="zh-CN"/>
        </w:rPr>
        <w:t>95%以上</w:t>
      </w:r>
      <w:r>
        <w:rPr>
          <w:rFonts w:hint="eastAsia" w:ascii="宋体" w:hAnsi="宋体" w:eastAsia="宋体" w:cs="宋体"/>
          <w:color w:val="auto"/>
          <w:sz w:val="24"/>
          <w:szCs w:val="24"/>
          <w:highlight w:val="none"/>
        </w:rPr>
        <w:t>。绩效目标与实际工作内容一致，两者具有相关性。</w:t>
      </w:r>
    </w:p>
    <w:p w14:paraId="5CC1BEEE">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保障41名消防员业务经费，保障11辆公务用车正常运行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有效提升了消防员素质，增强消防队伍战斗力，持续增强群众火灾防范意识，收益消防员满意度达到</w:t>
      </w:r>
      <w:r>
        <w:rPr>
          <w:rFonts w:hint="eastAsia" w:ascii="宋体" w:hAnsi="宋体" w:eastAsia="宋体" w:cs="宋体"/>
          <w:color w:val="auto"/>
          <w:sz w:val="24"/>
          <w:szCs w:val="24"/>
          <w:highlight w:val="none"/>
          <w:lang w:val="en-US" w:eastAsia="zh-CN"/>
        </w:rPr>
        <w:t>95%以上</w:t>
      </w:r>
      <w:r>
        <w:rPr>
          <w:rFonts w:hint="eastAsia" w:ascii="宋体" w:hAnsi="宋体" w:eastAsia="宋体" w:cs="宋体"/>
          <w:color w:val="auto"/>
          <w:sz w:val="24"/>
          <w:szCs w:val="24"/>
          <w:highlight w:val="none"/>
        </w:rPr>
        <w:t>，预期产出效益和效果是否符合正常的业绩水平。</w:t>
      </w:r>
    </w:p>
    <w:p w14:paraId="1E76B9FF">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144</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144</w:t>
      </w:r>
      <w:r>
        <w:rPr>
          <w:rFonts w:hint="eastAsia" w:ascii="宋体" w:hAnsi="宋体" w:eastAsia="宋体" w:cs="宋体"/>
          <w:color w:val="auto"/>
          <w:sz w:val="24"/>
          <w:szCs w:val="24"/>
          <w:highlight w:val="none"/>
        </w:rPr>
        <w:t>万元，预算确定的项目资金与预算确定的项目投资额相匹配。</w:t>
      </w:r>
    </w:p>
    <w:p w14:paraId="57AD426D">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w:t>
      </w:r>
      <w:r>
        <w:rPr>
          <w:rFonts w:hint="eastAsia" w:ascii="宋体" w:hAnsi="宋体" w:eastAsia="宋体" w:cs="宋体"/>
          <w:color w:val="auto"/>
          <w:sz w:val="24"/>
          <w:szCs w:val="24"/>
          <w:highlight w:val="none"/>
          <w:lang w:eastAsia="zh-CN"/>
        </w:rPr>
        <w:t>。</w:t>
      </w:r>
    </w:p>
    <w:p w14:paraId="0EFDE31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2EBCE4D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7C606E8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经检查我单位年初设置的《2024年消防业务经费项目支出绩效目标表》，得出如下结论：本项目已将年度绩效目标进行细化为绩效指标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87.5</w:t>
      </w:r>
      <w:r>
        <w:rPr>
          <w:rFonts w:hint="eastAsia" w:ascii="宋体" w:hAnsi="宋体" w:eastAsia="宋体" w:cs="宋体"/>
          <w:color w:val="000000"/>
          <w:sz w:val="24"/>
          <w:szCs w:val="24"/>
          <w:highlight w:val="none"/>
        </w:rPr>
        <w:t>%，量化率达70.0%以上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657188C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该《2024年消防业务经费项目绩效目标申报表》中，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“保障消防员数量</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保障公务车用车辆”</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val="en-US" w:eastAsia="zh-CN"/>
        </w:rPr>
        <w:t>项目完成时间、资金支付及时率</w:t>
      </w:r>
      <w:r>
        <w:rPr>
          <w:rFonts w:hint="eastAsia" w:ascii="宋体" w:hAnsi="宋体" w:eastAsia="宋体" w:cs="宋体"/>
          <w:color w:val="000000"/>
          <w:sz w:val="24"/>
          <w:szCs w:val="24"/>
          <w:highlight w:val="none"/>
        </w:rPr>
        <w:t>”。已设置的绩效目标具备明确性、可衡量性、可实现性、相关性、时限性。</w:t>
      </w:r>
    </w:p>
    <w:p w14:paraId="76D3B24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7C705449">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14296EF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保障41名消防员业务经费，保障11辆公务用车正常运行</w:t>
      </w:r>
      <w:r>
        <w:rPr>
          <w:rFonts w:hint="eastAsia" w:ascii="宋体" w:hAnsi="宋体" w:eastAsia="宋体" w:cs="宋体"/>
          <w:color w:val="000000"/>
          <w:sz w:val="24"/>
          <w:szCs w:val="24"/>
          <w:highlight w:val="none"/>
          <w:lang w:eastAsia="zh-CN"/>
        </w:rPr>
        <w:t>，有效提升了消防员素质，增强消防队伍战斗力，持续增强群众火灾防范意识，收益消防员满意度达到</w:t>
      </w:r>
      <w:r>
        <w:rPr>
          <w:rFonts w:hint="eastAsia" w:ascii="宋体" w:hAnsi="宋体" w:eastAsia="宋体" w:cs="宋体"/>
          <w:color w:val="000000"/>
          <w:sz w:val="24"/>
          <w:szCs w:val="24"/>
          <w:highlight w:val="none"/>
          <w:lang w:val="en-US" w:eastAsia="zh-CN"/>
        </w:rPr>
        <w:t>95%以上，</w:t>
      </w:r>
      <w:r>
        <w:rPr>
          <w:rFonts w:hint="eastAsia" w:ascii="宋体" w:hAnsi="宋体" w:eastAsia="宋体" w:cs="宋体"/>
          <w:color w:val="000000"/>
          <w:sz w:val="24"/>
          <w:szCs w:val="24"/>
          <w:highlight w:val="none"/>
          <w:lang w:eastAsia="zh-CN"/>
        </w:rPr>
        <w:t>预算申请与《</w:t>
      </w:r>
      <w:r>
        <w:rPr>
          <w:rFonts w:hint="eastAsia" w:ascii="宋体" w:hAnsi="宋体" w:eastAsia="宋体" w:cs="宋体"/>
          <w:color w:val="000000"/>
          <w:sz w:val="24"/>
          <w:szCs w:val="24"/>
          <w:highlight w:val="none"/>
          <w:lang w:val="en-US" w:eastAsia="zh-CN"/>
        </w:rPr>
        <w:t>2024年消防业务经费</w:t>
      </w:r>
      <w:r>
        <w:rPr>
          <w:rFonts w:hint="eastAsia" w:ascii="宋体" w:hAnsi="宋体" w:eastAsia="宋体" w:cs="宋体"/>
          <w:color w:val="000000"/>
          <w:sz w:val="24"/>
          <w:szCs w:val="24"/>
          <w:highlight w:val="none"/>
          <w:lang w:eastAsia="zh-CN"/>
        </w:rPr>
        <w:t>项目实施方案》中涉及的项目内容匹配；</w:t>
      </w:r>
    </w:p>
    <w:p w14:paraId="325FE4B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本项目预算申请资金</w:t>
      </w:r>
      <w:r>
        <w:rPr>
          <w:rFonts w:hint="eastAsia" w:ascii="宋体" w:hAnsi="宋体" w:eastAsia="宋体" w:cs="宋体"/>
          <w:color w:val="000000"/>
          <w:sz w:val="24"/>
          <w:szCs w:val="24"/>
          <w:highlight w:val="none"/>
          <w:lang w:val="en-US" w:eastAsia="zh-CN"/>
        </w:rPr>
        <w:t>144</w:t>
      </w:r>
      <w:r>
        <w:rPr>
          <w:rFonts w:hint="eastAsia" w:ascii="宋体" w:hAnsi="宋体" w:eastAsia="宋体" w:cs="宋体"/>
          <w:color w:val="000000"/>
          <w:sz w:val="24"/>
          <w:szCs w:val="24"/>
          <w:highlight w:val="none"/>
          <w:lang w:eastAsia="zh-CN"/>
        </w:rPr>
        <w:t>万元，我单位在预算申请中严格按照项目实施内容及测算标准进行核算，其中：办公费用</w:t>
      </w:r>
      <w:r>
        <w:rPr>
          <w:rFonts w:hint="eastAsia" w:ascii="宋体" w:hAnsi="宋体" w:eastAsia="宋体" w:cs="宋体"/>
          <w:color w:val="000000"/>
          <w:sz w:val="24"/>
          <w:szCs w:val="24"/>
          <w:highlight w:val="none"/>
          <w:lang w:val="en-US" w:eastAsia="zh-CN"/>
        </w:rPr>
        <w:t>16</w:t>
      </w:r>
      <w:r>
        <w:rPr>
          <w:rFonts w:hint="eastAsia" w:ascii="宋体" w:hAnsi="宋体" w:eastAsia="宋体" w:cs="宋体"/>
          <w:color w:val="000000"/>
          <w:sz w:val="24"/>
          <w:szCs w:val="24"/>
          <w:highlight w:val="none"/>
          <w:lang w:eastAsia="zh-CN"/>
        </w:rPr>
        <w:t>万元、差旅费用</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万元、电费用</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万元、印刷费</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lang w:eastAsia="zh-CN"/>
        </w:rPr>
        <w:t>万元、手续费</w:t>
      </w:r>
      <w:r>
        <w:rPr>
          <w:rFonts w:hint="eastAsia" w:ascii="宋体" w:hAnsi="宋体" w:eastAsia="宋体" w:cs="宋体"/>
          <w:color w:val="000000"/>
          <w:sz w:val="24"/>
          <w:szCs w:val="24"/>
          <w:highlight w:val="none"/>
          <w:lang w:val="en-US" w:eastAsia="zh-CN"/>
        </w:rPr>
        <w:t>0.25</w:t>
      </w:r>
      <w:r>
        <w:rPr>
          <w:rFonts w:hint="eastAsia" w:ascii="宋体" w:hAnsi="宋体" w:eastAsia="宋体" w:cs="宋体"/>
          <w:color w:val="000000"/>
          <w:sz w:val="24"/>
          <w:szCs w:val="24"/>
          <w:highlight w:val="none"/>
          <w:lang w:eastAsia="zh-CN"/>
        </w:rPr>
        <w:t>万元、邮电费</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lang w:eastAsia="zh-CN"/>
        </w:rPr>
        <w:t>万元、取暖费</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lang w:eastAsia="zh-CN"/>
        </w:rPr>
        <w:t>万元、办公设备购置</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lang w:eastAsia="zh-CN"/>
        </w:rPr>
        <w:t>万元、水费</w:t>
      </w:r>
      <w:r>
        <w:rPr>
          <w:rFonts w:hint="eastAsia" w:ascii="宋体" w:hAnsi="宋体" w:eastAsia="宋体" w:cs="宋体"/>
          <w:color w:val="000000"/>
          <w:sz w:val="24"/>
          <w:szCs w:val="24"/>
          <w:highlight w:val="none"/>
          <w:lang w:val="en-US" w:eastAsia="zh-CN"/>
        </w:rPr>
        <w:t>1.5</w:t>
      </w:r>
      <w:r>
        <w:rPr>
          <w:rFonts w:hint="eastAsia" w:ascii="宋体" w:hAnsi="宋体" w:eastAsia="宋体" w:cs="宋体"/>
          <w:color w:val="000000"/>
          <w:sz w:val="24"/>
          <w:szCs w:val="24"/>
          <w:highlight w:val="none"/>
          <w:lang w:eastAsia="zh-CN"/>
        </w:rPr>
        <w:t>万元、维修费</w:t>
      </w:r>
      <w:r>
        <w:rPr>
          <w:rFonts w:hint="eastAsia" w:ascii="宋体" w:hAnsi="宋体" w:eastAsia="宋体" w:cs="宋体"/>
          <w:color w:val="000000"/>
          <w:sz w:val="24"/>
          <w:szCs w:val="24"/>
          <w:highlight w:val="none"/>
          <w:lang w:val="en-US" w:eastAsia="zh-CN"/>
        </w:rPr>
        <w:t>44.25</w:t>
      </w:r>
      <w:r>
        <w:rPr>
          <w:rFonts w:hint="eastAsia" w:ascii="宋体" w:hAnsi="宋体" w:eastAsia="宋体" w:cs="宋体"/>
          <w:color w:val="000000"/>
          <w:sz w:val="24"/>
          <w:szCs w:val="24"/>
          <w:highlight w:val="none"/>
          <w:lang w:eastAsia="zh-CN"/>
        </w:rPr>
        <w:t>万元、专用燃料费</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万元、其他商品和服务支出</w:t>
      </w:r>
      <w:r>
        <w:rPr>
          <w:rFonts w:hint="eastAsia" w:ascii="宋体" w:hAnsi="宋体" w:eastAsia="宋体" w:cs="宋体"/>
          <w:color w:val="000000"/>
          <w:sz w:val="24"/>
          <w:szCs w:val="24"/>
          <w:highlight w:val="none"/>
          <w:lang w:val="en-US" w:eastAsia="zh-CN"/>
        </w:rPr>
        <w:t>22</w:t>
      </w:r>
      <w:r>
        <w:rPr>
          <w:rFonts w:hint="eastAsia" w:ascii="宋体" w:hAnsi="宋体" w:eastAsia="宋体" w:cs="宋体"/>
          <w:color w:val="000000"/>
          <w:sz w:val="24"/>
          <w:szCs w:val="24"/>
          <w:highlight w:val="none"/>
          <w:lang w:eastAsia="zh-CN"/>
        </w:rPr>
        <w:t>万元、物业管理费</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lang w:eastAsia="zh-CN"/>
        </w:rPr>
        <w:t>万元、培训费</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万元。预算确定资金量与实际工作任务相匹配。本项目预算额度测算依据充分，严格按照标准编制，预算确定资金量与实际工作任务相匹配。</w:t>
      </w:r>
    </w:p>
    <w:p w14:paraId="074D3F9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2B777EA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0B39975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w:t>
      </w:r>
      <w:r>
        <w:rPr>
          <w:rFonts w:hint="eastAsia" w:ascii="宋体" w:hAnsi="宋体" w:eastAsia="宋体" w:cs="宋体"/>
          <w:color w:val="000000"/>
          <w:sz w:val="24"/>
          <w:szCs w:val="24"/>
          <w:highlight w:val="none"/>
          <w:lang w:val="en-US" w:eastAsia="zh-CN"/>
        </w:rPr>
        <w:t>2024年</w:t>
      </w:r>
      <w:r>
        <w:rPr>
          <w:rFonts w:hint="eastAsia" w:ascii="宋体" w:hAnsi="宋体" w:eastAsia="宋体" w:cs="宋体"/>
          <w:color w:val="000000"/>
          <w:sz w:val="24"/>
          <w:szCs w:val="24"/>
          <w:highlight w:val="none"/>
          <w:lang w:eastAsia="zh-CN"/>
        </w:rPr>
        <w:t>消防业务经费</w:t>
      </w:r>
      <w:r>
        <w:rPr>
          <w:rFonts w:hint="eastAsia" w:ascii="宋体" w:hAnsi="宋体" w:eastAsia="宋体" w:cs="宋体"/>
          <w:color w:val="000000"/>
          <w:sz w:val="24"/>
          <w:szCs w:val="24"/>
          <w:highlight w:val="none"/>
        </w:rPr>
        <w:t>的请示》和《</w:t>
      </w:r>
      <w:r>
        <w:rPr>
          <w:rFonts w:hint="eastAsia" w:ascii="宋体" w:hAnsi="宋体" w:eastAsia="宋体" w:cs="宋体"/>
          <w:color w:val="000000"/>
          <w:sz w:val="24"/>
          <w:szCs w:val="24"/>
          <w:highlight w:val="none"/>
          <w:lang w:val="en-US" w:eastAsia="zh-CN"/>
        </w:rPr>
        <w:t>2024年消防业务经费</w:t>
      </w:r>
      <w:r>
        <w:rPr>
          <w:rFonts w:hint="eastAsia" w:ascii="宋体" w:hAnsi="宋体" w:eastAsia="宋体" w:cs="宋体"/>
          <w:color w:val="000000"/>
          <w:sz w:val="24"/>
          <w:szCs w:val="24"/>
          <w:highlight w:val="none"/>
        </w:rPr>
        <w:t>项目实施方案》为依据进行资金分配，预算资金分配依据充分。本项目实际到位资金</w:t>
      </w:r>
      <w:r>
        <w:rPr>
          <w:rFonts w:hint="eastAsia" w:ascii="宋体" w:hAnsi="宋体" w:eastAsia="宋体" w:cs="宋体"/>
          <w:color w:val="000000"/>
          <w:sz w:val="24"/>
          <w:szCs w:val="24"/>
          <w:highlight w:val="none"/>
          <w:lang w:val="en-US" w:eastAsia="zh-CN"/>
        </w:rPr>
        <w:t>144</w:t>
      </w:r>
      <w:r>
        <w:rPr>
          <w:rFonts w:hint="eastAsia" w:ascii="宋体" w:hAnsi="宋体" w:eastAsia="宋体" w:cs="宋体"/>
          <w:color w:val="000000"/>
          <w:sz w:val="24"/>
          <w:szCs w:val="24"/>
          <w:highlight w:val="none"/>
        </w:rPr>
        <w:t>万元，资金分配额度合理，与我单位实际需求相适应。资金分配与实际相适应</w:t>
      </w:r>
      <w:r>
        <w:rPr>
          <w:rFonts w:hint="eastAsia" w:ascii="宋体" w:hAnsi="宋体" w:eastAsia="宋体" w:cs="宋体"/>
          <w:color w:val="000000"/>
          <w:sz w:val="24"/>
          <w:szCs w:val="24"/>
          <w:highlight w:val="none"/>
          <w:lang w:eastAsia="zh-CN"/>
        </w:rPr>
        <w:t>。</w:t>
      </w:r>
    </w:p>
    <w:p w14:paraId="6F82204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465D11AB">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016ED68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项目过程类指标包括资金管理和组织实施两方面的内容，由5个三级指标构成，权重分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41E1727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4832EF7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w:t>
      </w:r>
      <w:r>
        <w:rPr>
          <w:rFonts w:hint="eastAsia" w:ascii="宋体" w:hAnsi="宋体" w:eastAsia="宋体" w:cs="宋体"/>
          <w:color w:val="000000"/>
          <w:sz w:val="24"/>
          <w:szCs w:val="24"/>
          <w:highlight w:val="none"/>
          <w:lang w:val="en-US" w:eastAsia="zh-CN"/>
        </w:rPr>
        <w:t>144</w:t>
      </w:r>
      <w:r>
        <w:rPr>
          <w:rFonts w:hint="eastAsia" w:ascii="宋体" w:hAnsi="宋体" w:eastAsia="宋体" w:cs="宋体"/>
          <w:color w:val="000000"/>
          <w:sz w:val="24"/>
          <w:szCs w:val="24"/>
          <w:highlight w:val="none"/>
        </w:rPr>
        <w:t>万元，其中：财政安排资金</w:t>
      </w:r>
      <w:r>
        <w:rPr>
          <w:rFonts w:hint="eastAsia" w:ascii="宋体" w:hAnsi="宋体" w:eastAsia="宋体" w:cs="宋体"/>
          <w:color w:val="000000"/>
          <w:sz w:val="24"/>
          <w:szCs w:val="24"/>
          <w:highlight w:val="none"/>
          <w:lang w:val="en-US" w:eastAsia="zh-CN"/>
        </w:rPr>
        <w:t>144</w:t>
      </w:r>
      <w:r>
        <w:rPr>
          <w:rFonts w:hint="eastAsia" w:ascii="宋体" w:hAnsi="宋体" w:eastAsia="宋体" w:cs="宋体"/>
          <w:color w:val="000000"/>
          <w:sz w:val="24"/>
          <w:szCs w:val="24"/>
          <w:highlight w:val="none"/>
        </w:rPr>
        <w:t>万元，实际到位资金</w:t>
      </w:r>
      <w:r>
        <w:rPr>
          <w:rFonts w:hint="eastAsia" w:ascii="宋体" w:hAnsi="宋体" w:eastAsia="宋体" w:cs="宋体"/>
          <w:color w:val="000000"/>
          <w:sz w:val="24"/>
          <w:szCs w:val="24"/>
          <w:highlight w:val="none"/>
          <w:lang w:val="en-US" w:eastAsia="zh-CN"/>
        </w:rPr>
        <w:t>144</w:t>
      </w:r>
      <w:r>
        <w:rPr>
          <w:rFonts w:hint="eastAsia" w:ascii="宋体" w:hAnsi="宋体" w:eastAsia="宋体" w:cs="宋体"/>
          <w:color w:val="000000"/>
          <w:sz w:val="24"/>
          <w:szCs w:val="24"/>
          <w:highlight w:val="none"/>
        </w:rPr>
        <w:t>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70649E2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778B8718">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7750EFC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本项目实际支出资金</w:t>
      </w:r>
      <w:r>
        <w:rPr>
          <w:rFonts w:hint="eastAsia" w:ascii="宋体" w:hAnsi="宋体" w:eastAsia="宋体" w:cs="宋体"/>
          <w:color w:val="000000"/>
          <w:sz w:val="24"/>
          <w:szCs w:val="24"/>
          <w:highlight w:val="none"/>
          <w:lang w:val="en-US" w:eastAsia="zh-CN"/>
        </w:rPr>
        <w:t>144</w:t>
      </w:r>
      <w:r>
        <w:rPr>
          <w:rFonts w:hint="eastAsia" w:ascii="宋体" w:hAnsi="宋体" w:eastAsia="宋体" w:cs="宋体"/>
          <w:color w:val="000000"/>
          <w:sz w:val="24"/>
          <w:szCs w:val="24"/>
          <w:highlight w:val="none"/>
        </w:rPr>
        <w:t>万元，预算执行率=（实际支出资金/实际到位资金）×100.0%=</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rPr>
        <w:t>预算编制较为详细，项目资金支出总体能够按照预算执行</w:t>
      </w:r>
      <w:r>
        <w:rPr>
          <w:rFonts w:hint="eastAsia" w:ascii="宋体" w:hAnsi="宋体" w:eastAsia="宋体" w:cs="宋体"/>
          <w:color w:val="000000"/>
          <w:sz w:val="24"/>
          <w:szCs w:val="24"/>
          <w:highlight w:val="none"/>
          <w:lang w:eastAsia="zh-CN"/>
        </w:rPr>
        <w:t>。</w:t>
      </w:r>
    </w:p>
    <w:p w14:paraId="5EB2118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75331326">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2A38871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通过检查项目资金申请文件、</w:t>
      </w:r>
      <w:r>
        <w:rPr>
          <w:rFonts w:hint="eastAsia" w:ascii="宋体" w:hAnsi="宋体" w:eastAsia="宋体" w:cs="宋体"/>
          <w:color w:val="000000"/>
          <w:sz w:val="24"/>
          <w:szCs w:val="24"/>
          <w:highlight w:val="none"/>
          <w:lang w:val="en-US" w:eastAsia="zh-CN"/>
        </w:rPr>
        <w:t>国库支付凭证</w:t>
      </w:r>
      <w:r>
        <w:rPr>
          <w:rFonts w:hint="eastAsia" w:ascii="宋体" w:hAnsi="宋体" w:eastAsia="宋体" w:cs="宋体"/>
          <w:color w:val="000000"/>
          <w:sz w:val="24"/>
          <w:szCs w:val="24"/>
          <w:highlight w:val="none"/>
        </w:rPr>
        <w:t>等财务</w:t>
      </w:r>
      <w:r>
        <w:rPr>
          <w:rFonts w:hint="eastAsia" w:ascii="宋体" w:hAnsi="宋体" w:eastAsia="宋体" w:cs="宋体"/>
          <w:color w:val="000000"/>
          <w:sz w:val="24"/>
          <w:szCs w:val="24"/>
          <w:highlight w:val="none"/>
          <w:lang w:val="en-US" w:eastAsia="zh-CN"/>
        </w:rPr>
        <w:t>资料</w:t>
      </w:r>
      <w:r>
        <w:rPr>
          <w:rFonts w:hint="eastAsia" w:ascii="宋体" w:hAnsi="宋体" w:eastAsia="宋体" w:cs="宋体"/>
          <w:color w:val="000000"/>
          <w:sz w:val="24"/>
          <w:szCs w:val="24"/>
          <w:highlight w:val="none"/>
        </w:rPr>
        <w:t>，得出本项目资金支出符合国家财经法规、《政府会计制度》《</w:t>
      </w:r>
      <w:r>
        <w:rPr>
          <w:rFonts w:hint="eastAsia" w:ascii="宋体" w:hAnsi="宋体" w:eastAsia="宋体" w:cs="宋体"/>
          <w:color w:val="000000"/>
          <w:sz w:val="24"/>
          <w:szCs w:val="24"/>
          <w:highlight w:val="none"/>
          <w:lang w:eastAsia="zh-CN"/>
        </w:rPr>
        <w:t>洛浦县消防救援大队</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洛浦县消防救援大队</w:t>
      </w:r>
      <w:r>
        <w:rPr>
          <w:rFonts w:hint="eastAsia" w:ascii="宋体" w:hAnsi="宋体" w:eastAsia="宋体" w:cs="宋体"/>
          <w:color w:val="000000"/>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000000"/>
          <w:sz w:val="24"/>
          <w:szCs w:val="24"/>
          <w:highlight w:val="none"/>
          <w:lang w:val="en-US" w:eastAsia="zh-CN"/>
        </w:rPr>
        <w:t>我单位</w:t>
      </w:r>
      <w:r>
        <w:rPr>
          <w:rFonts w:hint="eastAsia" w:ascii="宋体" w:hAnsi="宋体" w:eastAsia="宋体" w:cs="宋体"/>
          <w:color w:val="000000"/>
          <w:sz w:val="24"/>
          <w:szCs w:val="24"/>
          <w:highlight w:val="none"/>
        </w:rPr>
        <w:t>制定了相关的制度和管理规定对经费使用进行规范管理，财务制度健全、执行严格</w:t>
      </w:r>
      <w:r>
        <w:rPr>
          <w:rFonts w:hint="eastAsia" w:ascii="宋体" w:hAnsi="宋体" w:eastAsia="宋体" w:cs="宋体"/>
          <w:color w:val="000000"/>
          <w:sz w:val="24"/>
          <w:szCs w:val="24"/>
          <w:highlight w:val="none"/>
          <w:lang w:eastAsia="zh-CN"/>
        </w:rPr>
        <w:t>。</w:t>
      </w:r>
    </w:p>
    <w:p w14:paraId="2408C4F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3708CC2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675A233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我单位已制定《</w:t>
      </w:r>
      <w:r>
        <w:rPr>
          <w:rFonts w:hint="eastAsia" w:ascii="宋体" w:hAnsi="宋体" w:eastAsia="宋体" w:cs="宋体"/>
          <w:color w:val="000000"/>
          <w:sz w:val="24"/>
          <w:szCs w:val="24"/>
          <w:highlight w:val="none"/>
          <w:lang w:eastAsia="zh-CN"/>
        </w:rPr>
        <w:t>洛浦县消防救援大队</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洛浦县消防救援大队</w:t>
      </w:r>
      <w:r>
        <w:rPr>
          <w:rFonts w:hint="eastAsia" w:ascii="宋体" w:hAnsi="宋体" w:eastAsia="宋体" w:cs="宋体"/>
          <w:color w:val="000000"/>
          <w:sz w:val="24"/>
          <w:szCs w:val="24"/>
          <w:highlight w:val="none"/>
        </w:rPr>
        <w:t>收支业务管理制度》《</w:t>
      </w:r>
      <w:r>
        <w:rPr>
          <w:rFonts w:hint="eastAsia" w:ascii="宋体" w:hAnsi="宋体" w:eastAsia="宋体" w:cs="宋体"/>
          <w:color w:val="000000"/>
          <w:sz w:val="24"/>
          <w:szCs w:val="24"/>
          <w:highlight w:val="none"/>
          <w:lang w:eastAsia="zh-CN"/>
        </w:rPr>
        <w:t>洛浦县消防救援大队</w:t>
      </w:r>
      <w:r>
        <w:rPr>
          <w:rFonts w:hint="eastAsia" w:ascii="宋体" w:hAnsi="宋体" w:eastAsia="宋体" w:cs="宋体"/>
          <w:color w:val="000000"/>
          <w:sz w:val="24"/>
          <w:szCs w:val="24"/>
          <w:highlight w:val="none"/>
        </w:rPr>
        <w:t>政府采购业务管理制度》《</w:t>
      </w:r>
      <w:r>
        <w:rPr>
          <w:rFonts w:hint="eastAsia" w:ascii="宋体" w:hAnsi="宋体" w:eastAsia="宋体" w:cs="宋体"/>
          <w:color w:val="000000"/>
          <w:sz w:val="24"/>
          <w:szCs w:val="24"/>
          <w:highlight w:val="none"/>
          <w:lang w:eastAsia="zh-CN"/>
        </w:rPr>
        <w:t>洛浦县消防救援大队</w:t>
      </w:r>
      <w:r>
        <w:rPr>
          <w:rFonts w:hint="eastAsia" w:ascii="宋体" w:hAnsi="宋体" w:eastAsia="宋体" w:cs="宋体"/>
          <w:color w:val="000000"/>
          <w:sz w:val="24"/>
          <w:szCs w:val="24"/>
          <w:highlight w:val="none"/>
        </w:rPr>
        <w:t>合同管理制度》，</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rPr>
        <w:t>制度均符合行政事业单位内控管理要求，财务和业务管理制度合法、合规、完整，本项目执行符合上述制度规定。</w:t>
      </w:r>
    </w:p>
    <w:p w14:paraId="3B59E84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4C637ED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0DCCA0F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①该项目的实施符合《专项资金管理办法》《项资金收支业务管理制度》《政府采购业务管理制度》《</w:t>
      </w:r>
      <w:r>
        <w:rPr>
          <w:rFonts w:hint="eastAsia" w:ascii="宋体" w:hAnsi="宋体" w:eastAsia="宋体" w:cs="宋体"/>
          <w:color w:val="000000"/>
          <w:sz w:val="24"/>
          <w:szCs w:val="24"/>
          <w:highlight w:val="none"/>
          <w:lang w:eastAsia="zh-CN"/>
        </w:rPr>
        <w:t>洛浦县消防救援大队</w:t>
      </w:r>
      <w:r>
        <w:rPr>
          <w:rFonts w:hint="eastAsia" w:ascii="宋体" w:hAnsi="宋体" w:eastAsia="宋体" w:cs="宋体"/>
          <w:color w:val="000000"/>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3624D72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②经现场查证项目合同书、验收评审表、财务支付凭证等资料齐全并及时归档。</w:t>
      </w:r>
    </w:p>
    <w:p w14:paraId="5E860EB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③该项目是否存在调整，调整手续是否齐全，如未调整，则填“该项目实施过程中不存在调整事项”。</w:t>
      </w:r>
    </w:p>
    <w:p w14:paraId="230BFBB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000000"/>
          <w:sz w:val="24"/>
          <w:szCs w:val="24"/>
          <w:highlight w:val="none"/>
          <w:lang w:val="en-US" w:eastAsia="zh-CN"/>
        </w:rPr>
        <w:t>2024年消防业务经费</w:t>
      </w:r>
      <w:r>
        <w:rPr>
          <w:rFonts w:hint="eastAsia" w:ascii="宋体" w:hAnsi="宋体" w:eastAsia="宋体" w:cs="宋体"/>
          <w:color w:val="000000"/>
          <w:sz w:val="24"/>
          <w:szCs w:val="24"/>
          <w:highlight w:val="none"/>
        </w:rPr>
        <w:t>项目工作领导小组，由</w:t>
      </w:r>
      <w:r>
        <w:rPr>
          <w:rFonts w:hint="eastAsia" w:ascii="宋体" w:hAnsi="宋体" w:eastAsia="宋体" w:cs="宋体"/>
          <w:color w:val="000000"/>
          <w:sz w:val="24"/>
          <w:szCs w:val="24"/>
          <w:highlight w:val="none"/>
          <w:lang w:eastAsia="zh-CN"/>
        </w:rPr>
        <w:t>李恒</w:t>
      </w:r>
      <w:r>
        <w:rPr>
          <w:rFonts w:hint="eastAsia" w:ascii="宋体" w:hAnsi="宋体" w:eastAsia="宋体" w:cs="宋体"/>
          <w:color w:val="000000"/>
          <w:sz w:val="24"/>
          <w:szCs w:val="24"/>
          <w:highlight w:val="none"/>
        </w:rPr>
        <w:t>任组长，负责项目的组织工作；</w:t>
      </w:r>
      <w:r>
        <w:rPr>
          <w:rFonts w:hint="eastAsia" w:ascii="宋体" w:hAnsi="宋体" w:eastAsia="宋体" w:cs="宋体"/>
          <w:color w:val="000000"/>
          <w:sz w:val="24"/>
          <w:szCs w:val="24"/>
          <w:highlight w:val="none"/>
          <w:lang w:eastAsia="zh-CN"/>
        </w:rPr>
        <w:t>张跃</w:t>
      </w:r>
      <w:r>
        <w:rPr>
          <w:rFonts w:hint="eastAsia" w:ascii="宋体" w:hAnsi="宋体" w:eastAsia="宋体" w:cs="宋体"/>
          <w:color w:val="000000"/>
          <w:sz w:val="24"/>
          <w:szCs w:val="24"/>
          <w:highlight w:val="none"/>
        </w:rPr>
        <w:t>任副组长，负责项目的实施工作；组员包括：</w:t>
      </w:r>
      <w:r>
        <w:rPr>
          <w:rFonts w:hint="eastAsia" w:ascii="宋体" w:hAnsi="宋体" w:eastAsia="宋体" w:cs="宋体"/>
          <w:color w:val="000000"/>
          <w:sz w:val="24"/>
          <w:szCs w:val="24"/>
          <w:highlight w:val="none"/>
          <w:lang w:eastAsia="zh-CN"/>
        </w:rPr>
        <w:t>于朝亮</w:t>
      </w:r>
      <w:r>
        <w:rPr>
          <w:rFonts w:hint="eastAsia" w:ascii="宋体" w:hAnsi="宋体" w:eastAsia="宋体" w:cs="宋体"/>
          <w:color w:val="000000"/>
          <w:sz w:val="24"/>
          <w:szCs w:val="24"/>
          <w:highlight w:val="none"/>
        </w:rPr>
        <w:t>和</w:t>
      </w:r>
      <w:r>
        <w:rPr>
          <w:rFonts w:hint="eastAsia" w:ascii="宋体" w:hAnsi="宋体" w:eastAsia="宋体" w:cs="宋体"/>
          <w:color w:val="000000"/>
          <w:sz w:val="24"/>
          <w:szCs w:val="24"/>
          <w:highlight w:val="none"/>
          <w:lang w:eastAsia="zh-CN"/>
        </w:rPr>
        <w:t>阿卜杜拉</w:t>
      </w:r>
      <w:r>
        <w:rPr>
          <w:rFonts w:hint="eastAsia" w:ascii="宋体" w:hAnsi="宋体" w:eastAsia="宋体" w:cs="宋体"/>
          <w:color w:val="000000"/>
          <w:sz w:val="24"/>
          <w:szCs w:val="24"/>
          <w:highlight w:val="none"/>
        </w:rPr>
        <w:t>，主要负责项目监督管理、验收以及资金核拨等工作。</w:t>
      </w:r>
    </w:p>
    <w:p w14:paraId="391FB05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3F01947A">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7DEBBE2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39.88</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99.7</w:t>
      </w:r>
      <w:r>
        <w:rPr>
          <w:rFonts w:hint="eastAsia" w:ascii="宋体" w:hAnsi="宋体" w:eastAsia="宋体" w:cs="宋体"/>
          <w:color w:val="auto"/>
          <w:sz w:val="24"/>
          <w:szCs w:val="24"/>
          <w:highlight w:val="none"/>
        </w:rPr>
        <w:t>%。</w:t>
      </w:r>
    </w:p>
    <w:p w14:paraId="2AC86618">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2F89A37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保障消防员数量，预期指标值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41人，实际完成值</w:t>
      </w:r>
      <w:r>
        <w:rPr>
          <w:rFonts w:hint="eastAsia" w:ascii="宋体" w:hAnsi="宋体" w:eastAsia="宋体" w:cs="宋体"/>
          <w:color w:val="000000"/>
          <w:sz w:val="24"/>
          <w:szCs w:val="24"/>
          <w:highlight w:val="none"/>
          <w:lang w:val="en-US" w:eastAsia="zh-CN"/>
        </w:rPr>
        <w:t>40人</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97.56%</w:t>
      </w:r>
      <w:r>
        <w:rPr>
          <w:rFonts w:hint="eastAsia" w:ascii="宋体" w:hAnsi="宋体" w:eastAsia="宋体" w:cs="宋体"/>
          <w:color w:val="000000"/>
          <w:sz w:val="24"/>
          <w:szCs w:val="24"/>
          <w:highlight w:val="none"/>
        </w:rPr>
        <w:t>，与预期目标一致，根据评分标准，该指标扣分，得</w:t>
      </w:r>
      <w:r>
        <w:rPr>
          <w:rFonts w:hint="eastAsia" w:ascii="宋体" w:hAnsi="宋体" w:eastAsia="宋体" w:cs="宋体"/>
          <w:color w:val="000000"/>
          <w:sz w:val="24"/>
          <w:szCs w:val="24"/>
          <w:highlight w:val="none"/>
          <w:lang w:val="en-US" w:eastAsia="zh-CN"/>
        </w:rPr>
        <w:t>4.88</w:t>
      </w:r>
      <w:r>
        <w:rPr>
          <w:rFonts w:hint="eastAsia" w:ascii="宋体" w:hAnsi="宋体" w:eastAsia="宋体" w:cs="宋体"/>
          <w:color w:val="000000"/>
          <w:sz w:val="24"/>
          <w:szCs w:val="24"/>
          <w:highlight w:val="none"/>
        </w:rPr>
        <w:t>分。</w:t>
      </w:r>
    </w:p>
    <w:p w14:paraId="3A11E29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保障公务车用车辆数量，预期指标值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11辆，实际完成值11辆，指标完成率为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1B52190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9.88</w:t>
      </w:r>
      <w:r>
        <w:rPr>
          <w:rFonts w:hint="eastAsia" w:ascii="宋体" w:hAnsi="宋体" w:eastAsia="宋体" w:cs="宋体"/>
          <w:color w:val="auto"/>
          <w:sz w:val="24"/>
          <w:szCs w:val="24"/>
          <w:highlight w:val="none"/>
        </w:rPr>
        <w:t>分。</w:t>
      </w:r>
    </w:p>
    <w:p w14:paraId="3F37686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01D33CB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5EA1E0C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469BB34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696691E9">
      <w:pPr>
        <w:pStyle w:val="11"/>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项目完成时间，预期指标值2024年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月，实际完成值2024年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1A52EBC7">
      <w:pPr>
        <w:pStyle w:val="11"/>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资金支付及时率，预期指标值</w:t>
      </w:r>
      <w:r>
        <w:rPr>
          <w:rFonts w:hint="eastAsia" w:ascii="宋体" w:hAnsi="宋体" w:eastAsia="宋体" w:cs="宋体"/>
          <w:b w:val="0"/>
          <w:color w:val="000000"/>
          <w:sz w:val="24"/>
          <w:szCs w:val="24"/>
          <w:highlight w:val="none"/>
          <w:lang w:val="en-US" w:eastAsia="zh-CN"/>
        </w:rPr>
        <w:t>等于</w:t>
      </w:r>
      <w:r>
        <w:rPr>
          <w:rFonts w:hint="eastAsia" w:ascii="宋体" w:hAnsi="宋体" w:eastAsia="宋体" w:cs="宋体"/>
          <w:b w:val="0"/>
          <w:color w:val="000000"/>
          <w:sz w:val="24"/>
          <w:szCs w:val="24"/>
          <w:highlight w:val="none"/>
        </w:rPr>
        <w:t>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，实际完成值100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，指标完成率100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6E469122">
      <w:pPr>
        <w:pStyle w:val="11"/>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合计得10分。</w:t>
      </w:r>
    </w:p>
    <w:p w14:paraId="61A8DAB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399BD01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2024年消防业务费，预期指标值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144万元，实际完成值为144万元，指标完成率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4A4D5340">
      <w:pPr>
        <w:pStyle w:val="11"/>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合计得10分。</w:t>
      </w:r>
    </w:p>
    <w:p w14:paraId="64C6232F">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18A0026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个三级指标构成，权重分为2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分，实际得分2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分，得分率为100%。</w:t>
      </w:r>
      <w:bookmarkEnd w:id="11"/>
    </w:p>
    <w:p w14:paraId="557B434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62EC0A6F">
      <w:pPr>
        <w:pStyle w:val="11"/>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提高消防员素质，预期指标值为</w:t>
      </w:r>
      <w:r>
        <w:rPr>
          <w:rFonts w:hint="eastAsia" w:ascii="宋体" w:hAnsi="宋体" w:eastAsia="宋体" w:cs="宋体"/>
          <w:b w:val="0"/>
          <w:bCs w:val="0"/>
          <w:color w:val="000000"/>
          <w:sz w:val="24"/>
          <w:szCs w:val="24"/>
          <w:highlight w:val="none"/>
          <w:lang w:val="en-US" w:eastAsia="zh-CN"/>
        </w:rPr>
        <w:t>有效提高</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有效提高</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54CB207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00A1CDCE">
      <w:pPr>
        <w:pStyle w:val="11"/>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716E227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1ED94F96">
      <w:pPr>
        <w:pStyle w:val="11"/>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4B94170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5DF0EF17">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受益消防员满意度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793FFCCB">
      <w:pPr>
        <w:pStyle w:val="11"/>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6893565F">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24CFE1FE">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本项目年初预算资金总额为144万元，全年预算数为144万元，全年执行数为144万元，预算执行率为100%。</w:t>
      </w:r>
    </w:p>
    <w:p w14:paraId="6DF23FD2">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本项目共设置三级指标数量8个，满分指标数量7个，扣分指标数量1个，经分析计算所有三级指标完成率得出，本项目总体完成率为99.98%。</w:t>
      </w:r>
    </w:p>
    <w:p w14:paraId="7DE9783D">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综上所述本项目预算执行率与总体完成率之间的偏差为0.02%。</w:t>
      </w:r>
    </w:p>
    <w:p w14:paraId="4EC3DF13">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rPr>
      </w:pPr>
      <w:bookmarkStart w:id="12" w:name="_Toc68364673"/>
      <w:r>
        <w:rPr>
          <w:rFonts w:hint="eastAsia" w:ascii="宋体" w:hAnsi="宋体" w:eastAsia="宋体" w:cs="宋体"/>
          <w:color w:val="auto"/>
          <w:sz w:val="24"/>
          <w:szCs w:val="24"/>
        </w:rPr>
        <w:t>六、主要经验及做法、存在的问题及原因分析</w:t>
      </w:r>
    </w:p>
    <w:p w14:paraId="62A2CAD4">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color w:val="auto"/>
          <w:sz w:val="24"/>
          <w:szCs w:val="24"/>
        </w:rPr>
        <w:t>（一）主要经验及做法</w:t>
      </w:r>
      <w:bookmarkEnd w:id="12"/>
    </w:p>
    <w:p w14:paraId="101C527A">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一是本项目能够严格按照《2024年消防业务经费项目实施方案》执行，项目执行情况较好。明确专项资金的管理部门，提高使用效率。</w:t>
      </w:r>
    </w:p>
    <w:p w14:paraId="666E9035">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二是加强组织领导，本项目绩效评价工作，有主要领导亲自挂帅，分管领导具体负责，从项目到资金，均能够很好的执行。</w:t>
      </w:r>
    </w:p>
    <w:p w14:paraId="6ED2A717">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三是加强沟通协调，我单位及时向领导汇报项目建设进度，加强与施工单位的沟通，确保项目按期完成。</w:t>
      </w:r>
    </w:p>
    <w:p w14:paraId="705DA425">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四是财务处严格负责专项资金的银行开户、划拨、审核、支付，资金预算、决算的编制，负责专项资金使用的审批、监督与审查，以及各项专用资金的汇总与分析。</w:t>
      </w:r>
    </w:p>
    <w:p w14:paraId="0B8F51A3">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bookmarkStart w:id="13" w:name="_Toc68364674"/>
      <w:r>
        <w:rPr>
          <w:rFonts w:hint="eastAsia" w:ascii="宋体" w:hAnsi="宋体" w:eastAsia="宋体" w:cs="宋体"/>
          <w:sz w:val="24"/>
          <w:szCs w:val="24"/>
        </w:rPr>
        <w:t>（二）存在问题及原因分析</w:t>
      </w:r>
      <w:bookmarkEnd w:id="13"/>
    </w:p>
    <w:p w14:paraId="5669071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1.项目资金管理环节：</w:t>
      </w:r>
    </w:p>
    <w:p w14:paraId="0EE3839F">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专项资金使用的基础预算不够精确、科学。目前我单位所使用的是部门预算和细化预算的方法，使得财政专项资金的预算存在一定的主观性和随意性，缺乏一定的科学性、合理性，在一定程度上导致了财务和业务不能很好的接轨，从而影响了单位资金的良好运转。</w:t>
      </w:r>
    </w:p>
    <w:p w14:paraId="7F250A6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2.项目管理环节：</w:t>
      </w:r>
    </w:p>
    <w:p w14:paraId="31004E70">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缺少相应的监督管理体系，处罚力度不能达到应有的目的。负责监督与控制相关人员不能很好的对专项资金进行有效的控制与管理，从而致使整个过程中出现许多不利于该单位树立良好的形象行为。此外，各管理科室由于缺乏相关的高技术人才，对项目开展的监督难以深入开展，使得监督和管理都只是停留于表面形式，很难达到预期目的。</w:t>
      </w:r>
    </w:p>
    <w:p w14:paraId="33C77AD6">
      <w:pPr>
        <w:pStyle w:val="47"/>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项目绩效管理环节</w:t>
      </w:r>
    </w:p>
    <w:p w14:paraId="47941F31">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项目绩效目标相关性、合理性、规范性不足。部分项目虽设置较多指标，但指标与项目相关性较低或无关部分项目指标存在目标值设置过低、权重失衡等不符合实际的问题。</w:t>
      </w:r>
    </w:p>
    <w:p w14:paraId="49434486">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lang w:val="en-US" w:eastAsia="zh-CN"/>
        </w:rPr>
      </w:pPr>
      <w:bookmarkStart w:id="14" w:name="_Toc68364675"/>
      <w:r>
        <w:rPr>
          <w:rFonts w:hint="eastAsia" w:ascii="黑体" w:hAnsi="黑体" w:eastAsia="黑体" w:cs="黑体"/>
          <w:b/>
          <w:bCs/>
          <w:color w:val="000000"/>
          <w:sz w:val="24"/>
          <w:szCs w:val="24"/>
          <w:highlight w:val="none"/>
        </w:rPr>
        <w:t>七、有关建议</w:t>
      </w:r>
      <w:bookmarkEnd w:id="14"/>
    </w:p>
    <w:p w14:paraId="598A9A5C">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一）加强单位的预算管理程度。对于预算管理，首先要做的是明确财务科室的基本职能，建立一支专业化程度高的预算管理队伍；对整个科室的从业人员进行严格的培训，培养其良好的职业道德和提高其专业技术，以更好的适应于财务相关的工作。其次是要改革财务预算的方式方法，摒弃原有的低效率、低质量的预算方法，积极吸取先进、科学、有效的预算方法，并结合自身的特点，在不断的探索中发展出一套符合与该单位自身的预算方法，切实提高预算编制的科学性和精确性。</w:t>
      </w:r>
    </w:p>
    <w:p w14:paraId="08562DBE">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（二）建立健全的监督管理体系，并且完善相应的体制。单位内部应该设立独立的内部控制、内部审核以及内部监督等部门，使其工作独立于其他科室，从而能够对其他部门进行有效的监督、控制。</w:t>
      </w:r>
    </w:p>
    <w:p w14:paraId="508CD7B6">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三）提升单位主体责任意识，强化全过程预算绩效管理。全面强化实施预算绩效管理的力度，统筹协调做好项目全过程预算绩效管理。应根据项目年度实施计划，合理编制绩效目标及指标，完整、客观地评价项目投入的产出和效益；应对标年初预算及设定目标，及时开展绩效运行监控，对因客观原因导致难以继续实施的内容，按程序办理预算调整，对未按期实现的工作计划及目标积极分析原因并改进，确保目标高质高效完成；进一步提高对评价工作的重视程度，完整、准确填写自评报告，对绩效指标完成值与目标值偏差较大、执行率偏低等问题的原因进行深入分析并提出具有针对性、建设性、可操作性的应对措施，同时视情可开展其他形式的评价，对项目实施效益进行全面评估；应对评价中发现的问题紧抓整改，举一反三、查漏补缺，推进项目和政策绩效管理迭代优化，进一步提升预算绩效管理工作质量。</w:t>
      </w:r>
    </w:p>
    <w:p w14:paraId="3A41A161">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sz w:val="24"/>
          <w:szCs w:val="24"/>
        </w:rPr>
      </w:pPr>
      <w:bookmarkStart w:id="15" w:name="_Toc68364676"/>
      <w:r>
        <w:rPr>
          <w:rFonts w:hint="eastAsia" w:ascii="宋体" w:hAnsi="宋体" w:eastAsia="宋体" w:cs="宋体"/>
          <w:sz w:val="24"/>
          <w:szCs w:val="24"/>
        </w:rPr>
        <w:t>八、其他需要说明的问题</w:t>
      </w:r>
      <w:bookmarkEnd w:id="15"/>
    </w:p>
    <w:p w14:paraId="5DC3F81B">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7E5C7DCD">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p>
    <w:p w14:paraId="7F9AAC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附件1：2024年消防业务经费项目绩效评价指标体系</w:t>
      </w:r>
    </w:p>
    <w:p w14:paraId="0CA8159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附件2：2024年消防业务经费项目项目综合得分表</w:t>
      </w:r>
    </w:p>
    <w:p w14:paraId="7E3E901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附件3：满意度调查问分析情况</w:t>
      </w:r>
    </w:p>
    <w:p w14:paraId="0CD0087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3289D0B8">
      <w:pPr>
        <w:pStyle w:val="11"/>
        <w:ind w:left="0" w:leftChars="0" w:firstLine="0" w:firstLineChars="0"/>
        <w:jc w:val="both"/>
        <w:rPr>
          <w:rFonts w:hint="eastAsia" w:ascii="宋体" w:hAnsi="宋体" w:eastAsia="宋体" w:cs="宋体"/>
          <w:sz w:val="24"/>
          <w:szCs w:val="24"/>
        </w:rPr>
      </w:pPr>
    </w:p>
    <w:p w14:paraId="4CA7E530">
      <w:pPr>
        <w:pStyle w:val="11"/>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5"/>
        <w:gridCol w:w="435"/>
        <w:gridCol w:w="612"/>
        <w:gridCol w:w="598"/>
        <w:gridCol w:w="666"/>
        <w:gridCol w:w="840"/>
        <w:gridCol w:w="2650"/>
        <w:gridCol w:w="1118"/>
        <w:gridCol w:w="4270"/>
        <w:gridCol w:w="952"/>
        <w:gridCol w:w="532"/>
      </w:tblGrid>
      <w:tr w14:paraId="494B5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0" w:type="pct"/>
            <w:tcBorders>
              <w:top w:val="nil"/>
              <w:left w:val="nil"/>
              <w:bottom w:val="nil"/>
              <w:right w:val="nil"/>
            </w:tcBorders>
            <w:noWrap/>
            <w:vAlign w:val="center"/>
          </w:tcPr>
          <w:p w14:paraId="6BA7DCF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附件1：</w:t>
            </w:r>
          </w:p>
        </w:tc>
        <w:tc>
          <w:tcPr>
            <w:tcW w:w="163" w:type="pct"/>
            <w:tcBorders>
              <w:top w:val="nil"/>
              <w:left w:val="nil"/>
              <w:bottom w:val="nil"/>
              <w:right w:val="nil"/>
            </w:tcBorders>
            <w:noWrap/>
            <w:vAlign w:val="center"/>
          </w:tcPr>
          <w:p w14:paraId="2D7887DE">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229" w:type="pct"/>
            <w:tcBorders>
              <w:top w:val="nil"/>
              <w:left w:val="nil"/>
              <w:bottom w:val="nil"/>
              <w:right w:val="nil"/>
            </w:tcBorders>
            <w:noWrap/>
            <w:vAlign w:val="center"/>
          </w:tcPr>
          <w:p w14:paraId="5B486E68">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224" w:type="pct"/>
            <w:tcBorders>
              <w:top w:val="nil"/>
              <w:left w:val="nil"/>
              <w:bottom w:val="nil"/>
              <w:right w:val="nil"/>
            </w:tcBorders>
            <w:noWrap/>
            <w:vAlign w:val="center"/>
          </w:tcPr>
          <w:p w14:paraId="3A286043">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249" w:type="pct"/>
            <w:tcBorders>
              <w:top w:val="nil"/>
              <w:left w:val="nil"/>
              <w:bottom w:val="nil"/>
              <w:right w:val="nil"/>
            </w:tcBorders>
            <w:noWrap/>
            <w:vAlign w:val="center"/>
          </w:tcPr>
          <w:p w14:paraId="01BA49F9">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314" w:type="pct"/>
            <w:tcBorders>
              <w:top w:val="nil"/>
              <w:left w:val="nil"/>
              <w:bottom w:val="nil"/>
              <w:right w:val="nil"/>
            </w:tcBorders>
            <w:noWrap/>
            <w:vAlign w:val="center"/>
          </w:tcPr>
          <w:p w14:paraId="74DA487A">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991" w:type="pct"/>
            <w:tcBorders>
              <w:top w:val="nil"/>
              <w:left w:val="nil"/>
              <w:bottom w:val="nil"/>
              <w:right w:val="nil"/>
            </w:tcBorders>
            <w:noWrap/>
            <w:vAlign w:val="center"/>
          </w:tcPr>
          <w:p w14:paraId="5C4ACFE4">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18"/>
                <w:szCs w:val="18"/>
                <w:u w:val="none"/>
              </w:rPr>
            </w:pPr>
          </w:p>
        </w:tc>
        <w:tc>
          <w:tcPr>
            <w:tcW w:w="418" w:type="pct"/>
            <w:tcBorders>
              <w:top w:val="nil"/>
              <w:left w:val="nil"/>
              <w:bottom w:val="nil"/>
              <w:right w:val="nil"/>
            </w:tcBorders>
            <w:noWrap/>
            <w:vAlign w:val="center"/>
          </w:tcPr>
          <w:p w14:paraId="12AB28BE">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1597" w:type="pct"/>
            <w:tcBorders>
              <w:top w:val="nil"/>
              <w:left w:val="nil"/>
              <w:bottom w:val="nil"/>
              <w:right w:val="nil"/>
            </w:tcBorders>
            <w:noWrap/>
            <w:vAlign w:val="center"/>
          </w:tcPr>
          <w:p w14:paraId="17BBD83F">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noWrap/>
            <w:vAlign w:val="center"/>
          </w:tcPr>
          <w:p w14:paraId="7F0D7EF0">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194" w:type="pct"/>
            <w:tcBorders>
              <w:top w:val="nil"/>
              <w:left w:val="nil"/>
              <w:bottom w:val="nil"/>
              <w:right w:val="nil"/>
            </w:tcBorders>
            <w:noWrap/>
            <w:vAlign w:val="center"/>
          </w:tcPr>
          <w:p w14:paraId="4C7F47C0">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r>
      <w:tr w14:paraId="633E7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2FD027E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FF0000"/>
                <w:sz w:val="18"/>
                <w:szCs w:val="18"/>
                <w:u w:val="none"/>
              </w:rPr>
            </w:pPr>
            <w:r>
              <w:rPr>
                <w:rStyle w:val="60"/>
                <w:rFonts w:hint="eastAsia" w:ascii="宋体" w:hAnsi="宋体" w:eastAsia="宋体" w:cs="宋体"/>
                <w:sz w:val="28"/>
                <w:szCs w:val="28"/>
                <w:lang w:val="en-US" w:eastAsia="zh-CN"/>
              </w:rPr>
              <w:t>2024年消防业务经费项目绩效评价指标体系综合评分表</w:t>
            </w:r>
          </w:p>
        </w:tc>
      </w:tr>
      <w:tr w14:paraId="146F4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60" w:type="pct"/>
            <w:tcBorders>
              <w:top w:val="single" w:color="auto" w:sz="4" w:space="0"/>
              <w:left w:val="single" w:color="auto" w:sz="4" w:space="0"/>
              <w:bottom w:val="single" w:color="auto" w:sz="4" w:space="0"/>
              <w:right w:val="single" w:color="auto" w:sz="4" w:space="0"/>
            </w:tcBorders>
            <w:noWrap w:val="0"/>
            <w:vAlign w:val="center"/>
          </w:tcPr>
          <w:p w14:paraId="40E92C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163" w:type="pct"/>
            <w:tcBorders>
              <w:top w:val="single" w:color="auto" w:sz="4" w:space="0"/>
              <w:left w:val="single" w:color="auto" w:sz="4" w:space="0"/>
              <w:bottom w:val="single" w:color="auto" w:sz="4" w:space="0"/>
              <w:right w:val="single" w:color="auto" w:sz="4" w:space="0"/>
            </w:tcBorders>
            <w:noWrap w:val="0"/>
            <w:vAlign w:val="center"/>
          </w:tcPr>
          <w:p w14:paraId="7D9717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29" w:type="pct"/>
            <w:tcBorders>
              <w:top w:val="single" w:color="auto" w:sz="4" w:space="0"/>
              <w:left w:val="single" w:color="auto" w:sz="4" w:space="0"/>
              <w:bottom w:val="single" w:color="auto" w:sz="4" w:space="0"/>
              <w:right w:val="single" w:color="auto" w:sz="4" w:space="0"/>
            </w:tcBorders>
            <w:noWrap w:val="0"/>
            <w:vAlign w:val="center"/>
          </w:tcPr>
          <w:p w14:paraId="2E1F17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386BB6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040AD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6F6099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389A1C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B61F9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2F8EE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3E4EB7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23E7AA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52BC0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5" w:hRule="atLeast"/>
        </w:trPr>
        <w:tc>
          <w:tcPr>
            <w:tcW w:w="260" w:type="pct"/>
            <w:vMerge w:val="restart"/>
            <w:tcBorders>
              <w:top w:val="single" w:color="auto" w:sz="4" w:space="0"/>
              <w:left w:val="single" w:color="auto" w:sz="4" w:space="0"/>
              <w:bottom w:val="single" w:color="auto" w:sz="4" w:space="0"/>
              <w:right w:val="single" w:color="auto" w:sz="4" w:space="0"/>
            </w:tcBorders>
            <w:noWrap w:val="0"/>
            <w:vAlign w:val="center"/>
          </w:tcPr>
          <w:p w14:paraId="37EC34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项目决策</w:t>
            </w:r>
          </w:p>
        </w:tc>
        <w:tc>
          <w:tcPr>
            <w:tcW w:w="163" w:type="pct"/>
            <w:vMerge w:val="restart"/>
            <w:tcBorders>
              <w:top w:val="single" w:color="auto" w:sz="4" w:space="0"/>
              <w:left w:val="single" w:color="auto" w:sz="4" w:space="0"/>
              <w:bottom w:val="single" w:color="auto" w:sz="4" w:space="0"/>
              <w:right w:val="single" w:color="auto" w:sz="4" w:space="0"/>
            </w:tcBorders>
            <w:noWrap w:val="0"/>
            <w:vAlign w:val="center"/>
          </w:tcPr>
          <w:p w14:paraId="0F2724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229" w:type="pct"/>
            <w:vMerge w:val="restart"/>
            <w:tcBorders>
              <w:top w:val="single" w:color="auto" w:sz="4" w:space="0"/>
              <w:left w:val="single" w:color="auto" w:sz="4" w:space="0"/>
              <w:bottom w:val="single" w:color="auto" w:sz="4" w:space="0"/>
              <w:right w:val="single" w:color="auto" w:sz="4" w:space="0"/>
            </w:tcBorders>
            <w:noWrap w:val="0"/>
            <w:vAlign w:val="center"/>
          </w:tcPr>
          <w:p w14:paraId="4FC3E1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0E8BF9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16530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7D589E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024FC2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7E363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EDE43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0D6852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1FA769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6A2534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6E8602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6DDE1F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3428A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6C9DC2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228F1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14:paraId="79A674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3" w:type="pct"/>
            <w:vMerge w:val="continue"/>
            <w:tcBorders>
              <w:top w:val="single" w:color="auto" w:sz="4" w:space="0"/>
              <w:left w:val="single" w:color="auto" w:sz="4" w:space="0"/>
              <w:bottom w:val="single" w:color="auto" w:sz="4" w:space="0"/>
              <w:right w:val="single" w:color="auto" w:sz="4" w:space="0"/>
            </w:tcBorders>
            <w:noWrap w:val="0"/>
            <w:vAlign w:val="center"/>
          </w:tcPr>
          <w:p w14:paraId="43A9F9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9" w:type="pct"/>
            <w:vMerge w:val="continue"/>
            <w:tcBorders>
              <w:top w:val="single" w:color="auto" w:sz="4" w:space="0"/>
              <w:left w:val="single" w:color="auto" w:sz="4" w:space="0"/>
              <w:bottom w:val="single" w:color="auto" w:sz="4" w:space="0"/>
              <w:right w:val="single" w:color="auto" w:sz="4" w:space="0"/>
            </w:tcBorders>
            <w:noWrap w:val="0"/>
            <w:vAlign w:val="center"/>
          </w:tcPr>
          <w:p w14:paraId="5B0854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561C7D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344681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2FB9CD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23BD96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CFADE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F5F81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09B86A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7C610F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39B9D5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5E745C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6B1D1A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75593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14:paraId="701E21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3" w:type="pct"/>
            <w:vMerge w:val="continue"/>
            <w:tcBorders>
              <w:top w:val="single" w:color="auto" w:sz="4" w:space="0"/>
              <w:left w:val="single" w:color="auto" w:sz="4" w:space="0"/>
              <w:bottom w:val="single" w:color="auto" w:sz="4" w:space="0"/>
              <w:right w:val="single" w:color="auto" w:sz="4" w:space="0"/>
            </w:tcBorders>
            <w:noWrap w:val="0"/>
            <w:vAlign w:val="center"/>
          </w:tcPr>
          <w:p w14:paraId="5BFEA1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9" w:type="pct"/>
            <w:vMerge w:val="restart"/>
            <w:tcBorders>
              <w:top w:val="single" w:color="auto" w:sz="4" w:space="0"/>
              <w:left w:val="single" w:color="auto" w:sz="4" w:space="0"/>
              <w:bottom w:val="single" w:color="auto" w:sz="4" w:space="0"/>
              <w:right w:val="single" w:color="auto" w:sz="4" w:space="0"/>
            </w:tcBorders>
            <w:noWrap w:val="0"/>
            <w:vAlign w:val="center"/>
          </w:tcPr>
          <w:p w14:paraId="554B4D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0306EF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3F095C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15AFB8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07F93D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6C10E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E9172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20FCCD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563E84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051030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6BD0F9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75C5EE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7B3E65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227BC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14:paraId="6C0630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3" w:type="pct"/>
            <w:vMerge w:val="continue"/>
            <w:tcBorders>
              <w:top w:val="single" w:color="auto" w:sz="4" w:space="0"/>
              <w:left w:val="single" w:color="auto" w:sz="4" w:space="0"/>
              <w:bottom w:val="single" w:color="auto" w:sz="4" w:space="0"/>
              <w:right w:val="single" w:color="auto" w:sz="4" w:space="0"/>
            </w:tcBorders>
            <w:noWrap w:val="0"/>
            <w:vAlign w:val="center"/>
          </w:tcPr>
          <w:p w14:paraId="4233C2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9" w:type="pct"/>
            <w:vMerge w:val="continue"/>
            <w:tcBorders>
              <w:top w:val="single" w:color="auto" w:sz="4" w:space="0"/>
              <w:left w:val="single" w:color="auto" w:sz="4" w:space="0"/>
              <w:bottom w:val="single" w:color="auto" w:sz="4" w:space="0"/>
              <w:right w:val="single" w:color="auto" w:sz="4" w:space="0"/>
            </w:tcBorders>
            <w:noWrap w:val="0"/>
            <w:vAlign w:val="center"/>
          </w:tcPr>
          <w:p w14:paraId="6007A8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1D83B8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064915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4F9BA0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294CA7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18A60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64C48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32196E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5EBEB9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4614FC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57E0FA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4985F3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4594A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14:paraId="357E92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3" w:type="pct"/>
            <w:vMerge w:val="continue"/>
            <w:tcBorders>
              <w:top w:val="single" w:color="auto" w:sz="4" w:space="0"/>
              <w:left w:val="single" w:color="auto" w:sz="4" w:space="0"/>
              <w:bottom w:val="single" w:color="auto" w:sz="4" w:space="0"/>
              <w:right w:val="single" w:color="auto" w:sz="4" w:space="0"/>
            </w:tcBorders>
            <w:noWrap w:val="0"/>
            <w:vAlign w:val="center"/>
          </w:tcPr>
          <w:p w14:paraId="5A7313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9" w:type="pct"/>
            <w:vMerge w:val="restart"/>
            <w:tcBorders>
              <w:top w:val="single" w:color="auto" w:sz="4" w:space="0"/>
              <w:left w:val="single" w:color="auto" w:sz="4" w:space="0"/>
              <w:bottom w:val="single" w:color="auto" w:sz="4" w:space="0"/>
              <w:right w:val="single" w:color="auto" w:sz="4" w:space="0"/>
            </w:tcBorders>
            <w:noWrap w:val="0"/>
            <w:vAlign w:val="center"/>
          </w:tcPr>
          <w:p w14:paraId="570E6F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40819A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43089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6FD284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1E1BED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0DEC8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3C79B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4039CD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339B51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12CD51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7A8BD7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7E387F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31C431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1F8E7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14:paraId="446912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3" w:type="pct"/>
            <w:vMerge w:val="continue"/>
            <w:tcBorders>
              <w:top w:val="single" w:color="auto" w:sz="4" w:space="0"/>
              <w:left w:val="single" w:color="auto" w:sz="4" w:space="0"/>
              <w:bottom w:val="single" w:color="auto" w:sz="4" w:space="0"/>
              <w:right w:val="single" w:color="auto" w:sz="4" w:space="0"/>
            </w:tcBorders>
            <w:noWrap w:val="0"/>
            <w:vAlign w:val="center"/>
          </w:tcPr>
          <w:p w14:paraId="62D581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9" w:type="pct"/>
            <w:vMerge w:val="continue"/>
            <w:tcBorders>
              <w:top w:val="single" w:color="auto" w:sz="4" w:space="0"/>
              <w:left w:val="single" w:color="auto" w:sz="4" w:space="0"/>
              <w:bottom w:val="single" w:color="auto" w:sz="4" w:space="0"/>
              <w:right w:val="single" w:color="auto" w:sz="4" w:space="0"/>
            </w:tcBorders>
            <w:noWrap w:val="0"/>
            <w:vAlign w:val="center"/>
          </w:tcPr>
          <w:p w14:paraId="7E5336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690EF8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2555C0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597E8A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4F112D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021D1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DBED2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413643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794BA2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53FBD7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3A1005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6EE6D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0" w:type="pct"/>
            <w:vMerge w:val="restart"/>
            <w:tcBorders>
              <w:top w:val="single" w:color="auto" w:sz="4" w:space="0"/>
              <w:left w:val="single" w:color="auto" w:sz="4" w:space="0"/>
              <w:bottom w:val="single" w:color="auto" w:sz="4" w:space="0"/>
              <w:right w:val="single" w:color="auto" w:sz="4" w:space="0"/>
            </w:tcBorders>
            <w:noWrap w:val="0"/>
            <w:vAlign w:val="center"/>
          </w:tcPr>
          <w:p w14:paraId="215B64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项目过程</w:t>
            </w:r>
          </w:p>
        </w:tc>
        <w:tc>
          <w:tcPr>
            <w:tcW w:w="163" w:type="pct"/>
            <w:vMerge w:val="restart"/>
            <w:tcBorders>
              <w:top w:val="single" w:color="auto" w:sz="4" w:space="0"/>
              <w:left w:val="single" w:color="auto" w:sz="4" w:space="0"/>
              <w:bottom w:val="single" w:color="auto" w:sz="4" w:space="0"/>
              <w:right w:val="single" w:color="auto" w:sz="4" w:space="0"/>
            </w:tcBorders>
            <w:noWrap w:val="0"/>
            <w:vAlign w:val="center"/>
          </w:tcPr>
          <w:p w14:paraId="06E295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229" w:type="pct"/>
            <w:vMerge w:val="restart"/>
            <w:tcBorders>
              <w:top w:val="single" w:color="auto" w:sz="4" w:space="0"/>
              <w:left w:val="single" w:color="auto" w:sz="4" w:space="0"/>
              <w:bottom w:val="single" w:color="auto" w:sz="4" w:space="0"/>
              <w:right w:val="single" w:color="auto" w:sz="4" w:space="0"/>
            </w:tcBorders>
            <w:noWrap w:val="0"/>
            <w:vAlign w:val="center"/>
          </w:tcPr>
          <w:p w14:paraId="53C6C0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005E99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74C1F8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63824D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0FCB7E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2A9BD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74752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4CFFA6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21A292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0CC0A9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238ED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14:paraId="5B4F96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3" w:type="pct"/>
            <w:vMerge w:val="continue"/>
            <w:tcBorders>
              <w:top w:val="single" w:color="auto" w:sz="4" w:space="0"/>
              <w:left w:val="single" w:color="auto" w:sz="4" w:space="0"/>
              <w:bottom w:val="single" w:color="auto" w:sz="4" w:space="0"/>
              <w:right w:val="single" w:color="auto" w:sz="4" w:space="0"/>
            </w:tcBorders>
            <w:noWrap w:val="0"/>
            <w:vAlign w:val="center"/>
          </w:tcPr>
          <w:p w14:paraId="49BEDF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9" w:type="pct"/>
            <w:vMerge w:val="continue"/>
            <w:tcBorders>
              <w:top w:val="single" w:color="auto" w:sz="4" w:space="0"/>
              <w:left w:val="single" w:color="auto" w:sz="4" w:space="0"/>
              <w:bottom w:val="single" w:color="auto" w:sz="4" w:space="0"/>
              <w:right w:val="single" w:color="auto" w:sz="4" w:space="0"/>
            </w:tcBorders>
            <w:noWrap w:val="0"/>
            <w:vAlign w:val="center"/>
          </w:tcPr>
          <w:p w14:paraId="70B768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5B0748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15541C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42BDBB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1617DF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599B2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5E262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6AF759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F8E72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30ED55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48C28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14:paraId="1E5909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3" w:type="pct"/>
            <w:vMerge w:val="continue"/>
            <w:tcBorders>
              <w:top w:val="single" w:color="auto" w:sz="4" w:space="0"/>
              <w:left w:val="single" w:color="auto" w:sz="4" w:space="0"/>
              <w:bottom w:val="single" w:color="auto" w:sz="4" w:space="0"/>
              <w:right w:val="single" w:color="auto" w:sz="4" w:space="0"/>
            </w:tcBorders>
            <w:noWrap w:val="0"/>
            <w:vAlign w:val="center"/>
          </w:tcPr>
          <w:p w14:paraId="0927AD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9" w:type="pct"/>
            <w:vMerge w:val="continue"/>
            <w:tcBorders>
              <w:top w:val="single" w:color="auto" w:sz="4" w:space="0"/>
              <w:left w:val="single" w:color="auto" w:sz="4" w:space="0"/>
              <w:bottom w:val="single" w:color="auto" w:sz="4" w:space="0"/>
              <w:right w:val="single" w:color="auto" w:sz="4" w:space="0"/>
            </w:tcBorders>
            <w:noWrap w:val="0"/>
            <w:vAlign w:val="center"/>
          </w:tcPr>
          <w:p w14:paraId="0994C9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079C81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3839F5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2A3B74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36330E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5449E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7801E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378A31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64454F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4F2E3F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32F87C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58E3F9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2514AD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6FC7B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14:paraId="46B7D0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3" w:type="pct"/>
            <w:vMerge w:val="continue"/>
            <w:tcBorders>
              <w:top w:val="single" w:color="auto" w:sz="4" w:space="0"/>
              <w:left w:val="single" w:color="auto" w:sz="4" w:space="0"/>
              <w:bottom w:val="single" w:color="auto" w:sz="4" w:space="0"/>
              <w:right w:val="single" w:color="auto" w:sz="4" w:space="0"/>
            </w:tcBorders>
            <w:noWrap w:val="0"/>
            <w:vAlign w:val="center"/>
          </w:tcPr>
          <w:p w14:paraId="71E47A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9" w:type="pct"/>
            <w:vMerge w:val="restart"/>
            <w:tcBorders>
              <w:top w:val="single" w:color="auto" w:sz="4" w:space="0"/>
              <w:left w:val="single" w:color="auto" w:sz="4" w:space="0"/>
              <w:bottom w:val="single" w:color="auto" w:sz="4" w:space="0"/>
              <w:right w:val="single" w:color="auto" w:sz="4" w:space="0"/>
            </w:tcBorders>
            <w:noWrap w:val="0"/>
            <w:vAlign w:val="center"/>
          </w:tcPr>
          <w:p w14:paraId="0BBE43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2CAD70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E98EB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35FF11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4AD1E6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A71FD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31396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3A3198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2EAD5E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20E5C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6ABD63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44AAE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14:paraId="7545AA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3" w:type="pct"/>
            <w:vMerge w:val="continue"/>
            <w:tcBorders>
              <w:top w:val="single" w:color="auto" w:sz="4" w:space="0"/>
              <w:left w:val="single" w:color="auto" w:sz="4" w:space="0"/>
              <w:bottom w:val="single" w:color="auto" w:sz="4" w:space="0"/>
              <w:right w:val="single" w:color="auto" w:sz="4" w:space="0"/>
            </w:tcBorders>
            <w:noWrap w:val="0"/>
            <w:vAlign w:val="center"/>
          </w:tcPr>
          <w:p w14:paraId="63F3FB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9" w:type="pct"/>
            <w:vMerge w:val="continue"/>
            <w:tcBorders>
              <w:top w:val="single" w:color="auto" w:sz="4" w:space="0"/>
              <w:left w:val="single" w:color="auto" w:sz="4" w:space="0"/>
              <w:bottom w:val="single" w:color="auto" w:sz="4" w:space="0"/>
              <w:right w:val="single" w:color="auto" w:sz="4" w:space="0"/>
            </w:tcBorders>
            <w:noWrap w:val="0"/>
            <w:vAlign w:val="center"/>
          </w:tcPr>
          <w:p w14:paraId="23B2E7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6B62D1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0FF7FE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5D6011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4D4CF0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D53C8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86D3D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5F1D5B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0DE6EA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5C1820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28BDCA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2AF257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4F8BB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60" w:type="pct"/>
            <w:vMerge w:val="restart"/>
            <w:tcBorders>
              <w:top w:val="single" w:color="auto" w:sz="4" w:space="0"/>
              <w:left w:val="single" w:color="auto" w:sz="4" w:space="0"/>
              <w:right w:val="single" w:color="auto" w:sz="4" w:space="0"/>
            </w:tcBorders>
            <w:noWrap w:val="0"/>
            <w:vAlign w:val="center"/>
          </w:tcPr>
          <w:p w14:paraId="333CD7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项目产出</w:t>
            </w:r>
          </w:p>
        </w:tc>
        <w:tc>
          <w:tcPr>
            <w:tcW w:w="163" w:type="pct"/>
            <w:vMerge w:val="restart"/>
            <w:tcBorders>
              <w:top w:val="single" w:color="auto" w:sz="4" w:space="0"/>
              <w:left w:val="single" w:color="auto" w:sz="4" w:space="0"/>
              <w:right w:val="single" w:color="auto" w:sz="4" w:space="0"/>
            </w:tcBorders>
            <w:noWrap w:val="0"/>
            <w:vAlign w:val="center"/>
          </w:tcPr>
          <w:p w14:paraId="1208FE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229" w:type="pct"/>
            <w:vMerge w:val="restart"/>
            <w:tcBorders>
              <w:top w:val="single" w:color="auto" w:sz="4" w:space="0"/>
              <w:left w:val="single" w:color="auto" w:sz="4" w:space="0"/>
              <w:right w:val="single" w:color="auto" w:sz="4" w:space="0"/>
            </w:tcBorders>
            <w:noWrap w:val="0"/>
            <w:vAlign w:val="center"/>
          </w:tcPr>
          <w:p w14:paraId="331CC5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224" w:type="pct"/>
            <w:vMerge w:val="restart"/>
            <w:tcBorders>
              <w:top w:val="single" w:color="auto" w:sz="4" w:space="0"/>
              <w:left w:val="single" w:color="auto" w:sz="4" w:space="0"/>
              <w:right w:val="single" w:color="auto" w:sz="4" w:space="0"/>
            </w:tcBorders>
            <w:noWrap w:val="0"/>
            <w:vAlign w:val="center"/>
          </w:tcPr>
          <w:p w14:paraId="102FF1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vMerge w:val="restart"/>
            <w:tcBorders>
              <w:top w:val="single" w:color="auto" w:sz="4" w:space="0"/>
              <w:left w:val="single" w:color="auto" w:sz="4" w:space="0"/>
              <w:right w:val="single" w:color="auto" w:sz="4" w:space="0"/>
            </w:tcBorders>
            <w:noWrap w:val="0"/>
            <w:vAlign w:val="center"/>
          </w:tcPr>
          <w:p w14:paraId="48072E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501356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63CD2B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保障消防员数量</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0FDDB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&gt;=41人</w:t>
            </w:r>
          </w:p>
        </w:tc>
        <w:tc>
          <w:tcPr>
            <w:tcW w:w="1597" w:type="pct"/>
            <w:vMerge w:val="restart"/>
            <w:tcBorders>
              <w:top w:val="single" w:color="auto" w:sz="4" w:space="0"/>
              <w:left w:val="single" w:color="auto" w:sz="4" w:space="0"/>
              <w:right w:val="single" w:color="auto" w:sz="4" w:space="0"/>
            </w:tcBorders>
            <w:noWrap w:val="0"/>
            <w:vAlign w:val="center"/>
          </w:tcPr>
          <w:p w14:paraId="2F5C26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E4E21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40人</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3B5117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4.88</w:t>
            </w:r>
          </w:p>
        </w:tc>
      </w:tr>
      <w:tr w14:paraId="41320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60" w:type="pct"/>
            <w:vMerge w:val="continue"/>
            <w:tcBorders>
              <w:left w:val="single" w:color="auto" w:sz="4" w:space="0"/>
              <w:bottom w:val="single" w:color="auto" w:sz="4" w:space="0"/>
              <w:right w:val="single" w:color="auto" w:sz="4" w:space="0"/>
            </w:tcBorders>
            <w:noWrap w:val="0"/>
            <w:vAlign w:val="center"/>
          </w:tcPr>
          <w:p w14:paraId="49EECF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63" w:type="pct"/>
            <w:vMerge w:val="continue"/>
            <w:tcBorders>
              <w:left w:val="single" w:color="auto" w:sz="4" w:space="0"/>
              <w:bottom w:val="single" w:color="auto" w:sz="4" w:space="0"/>
              <w:right w:val="single" w:color="auto" w:sz="4" w:space="0"/>
            </w:tcBorders>
            <w:noWrap w:val="0"/>
            <w:vAlign w:val="center"/>
          </w:tcPr>
          <w:p w14:paraId="34B03F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29" w:type="pct"/>
            <w:vMerge w:val="continue"/>
            <w:tcBorders>
              <w:left w:val="single" w:color="auto" w:sz="4" w:space="0"/>
              <w:bottom w:val="single" w:color="auto" w:sz="4" w:space="0"/>
              <w:right w:val="single" w:color="auto" w:sz="4" w:space="0"/>
            </w:tcBorders>
            <w:noWrap w:val="0"/>
            <w:vAlign w:val="center"/>
          </w:tcPr>
          <w:p w14:paraId="644C2A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24" w:type="pct"/>
            <w:vMerge w:val="continue"/>
            <w:tcBorders>
              <w:left w:val="single" w:color="auto" w:sz="4" w:space="0"/>
              <w:bottom w:val="single" w:color="auto" w:sz="4" w:space="0"/>
              <w:right w:val="single" w:color="auto" w:sz="4" w:space="0"/>
            </w:tcBorders>
            <w:noWrap w:val="0"/>
            <w:vAlign w:val="center"/>
          </w:tcPr>
          <w:p w14:paraId="04BF65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49" w:type="pct"/>
            <w:vMerge w:val="continue"/>
            <w:tcBorders>
              <w:left w:val="single" w:color="auto" w:sz="4" w:space="0"/>
              <w:bottom w:val="single" w:color="auto" w:sz="4" w:space="0"/>
              <w:right w:val="single" w:color="auto" w:sz="4" w:space="0"/>
            </w:tcBorders>
            <w:noWrap w:val="0"/>
            <w:vAlign w:val="center"/>
          </w:tcPr>
          <w:p w14:paraId="218B8D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314" w:type="pct"/>
            <w:tcBorders>
              <w:top w:val="single" w:color="auto" w:sz="4" w:space="0"/>
              <w:left w:val="single" w:color="auto" w:sz="4" w:space="0"/>
              <w:bottom w:val="single" w:color="auto" w:sz="4" w:space="0"/>
              <w:right w:val="single" w:color="auto" w:sz="4" w:space="0"/>
            </w:tcBorders>
            <w:noWrap w:val="0"/>
            <w:vAlign w:val="center"/>
          </w:tcPr>
          <w:p w14:paraId="0E3A38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5518C3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保障公务车用车辆数量</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3D8D5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&gt;=11辆</w:t>
            </w:r>
          </w:p>
        </w:tc>
        <w:tc>
          <w:tcPr>
            <w:tcW w:w="1597" w:type="pct"/>
            <w:vMerge w:val="continue"/>
            <w:tcBorders>
              <w:left w:val="single" w:color="auto" w:sz="4" w:space="0"/>
              <w:bottom w:val="single" w:color="auto" w:sz="4" w:space="0"/>
              <w:right w:val="single" w:color="auto" w:sz="4" w:space="0"/>
            </w:tcBorders>
            <w:noWrap w:val="0"/>
            <w:vAlign w:val="center"/>
          </w:tcPr>
          <w:p w14:paraId="1D9E7F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56" w:type="pct"/>
            <w:tcBorders>
              <w:top w:val="single" w:color="auto" w:sz="4" w:space="0"/>
              <w:left w:val="single" w:color="auto" w:sz="4" w:space="0"/>
              <w:bottom w:val="single" w:color="auto" w:sz="4" w:space="0"/>
              <w:right w:val="single" w:color="auto" w:sz="4" w:space="0"/>
            </w:tcBorders>
            <w:noWrap w:val="0"/>
            <w:vAlign w:val="center"/>
          </w:tcPr>
          <w:p w14:paraId="7457E5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11辆</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3C36BC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264E9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14:paraId="3F5414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3" w:type="pct"/>
            <w:vMerge w:val="continue"/>
            <w:tcBorders>
              <w:top w:val="single" w:color="auto" w:sz="4" w:space="0"/>
              <w:left w:val="single" w:color="auto" w:sz="4" w:space="0"/>
              <w:bottom w:val="single" w:color="auto" w:sz="4" w:space="0"/>
              <w:right w:val="single" w:color="auto" w:sz="4" w:space="0"/>
            </w:tcBorders>
            <w:noWrap w:val="0"/>
            <w:vAlign w:val="center"/>
          </w:tcPr>
          <w:p w14:paraId="089739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9" w:type="pct"/>
            <w:tcBorders>
              <w:top w:val="single" w:color="auto" w:sz="4" w:space="0"/>
              <w:left w:val="single" w:color="auto" w:sz="4" w:space="0"/>
              <w:bottom w:val="single" w:color="auto" w:sz="4" w:space="0"/>
              <w:right w:val="single" w:color="auto" w:sz="4" w:space="0"/>
            </w:tcBorders>
            <w:noWrap w:val="0"/>
            <w:vAlign w:val="center"/>
          </w:tcPr>
          <w:p w14:paraId="091301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3C53C5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5CFC6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6FEF1A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68CE41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5B204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right w:val="single" w:color="auto" w:sz="4" w:space="0"/>
            </w:tcBorders>
            <w:noWrap w:val="0"/>
            <w:vAlign w:val="center"/>
          </w:tcPr>
          <w:p w14:paraId="1C25A0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290E40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2615FD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53C8A0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33022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14:paraId="55B9AE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3" w:type="pct"/>
            <w:vMerge w:val="continue"/>
            <w:tcBorders>
              <w:top w:val="single" w:color="auto" w:sz="4" w:space="0"/>
              <w:left w:val="single" w:color="auto" w:sz="4" w:space="0"/>
              <w:bottom w:val="single" w:color="auto" w:sz="4" w:space="0"/>
              <w:right w:val="single" w:color="auto" w:sz="4" w:space="0"/>
            </w:tcBorders>
            <w:noWrap w:val="0"/>
            <w:vAlign w:val="center"/>
          </w:tcPr>
          <w:p w14:paraId="590AC1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9" w:type="pct"/>
            <w:vMerge w:val="restart"/>
            <w:tcBorders>
              <w:top w:val="single" w:color="auto" w:sz="4" w:space="0"/>
              <w:left w:val="single" w:color="auto" w:sz="4" w:space="0"/>
              <w:right w:val="single" w:color="auto" w:sz="4" w:space="0"/>
            </w:tcBorders>
            <w:noWrap w:val="0"/>
            <w:vAlign w:val="center"/>
          </w:tcPr>
          <w:p w14:paraId="6D770C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224" w:type="pct"/>
            <w:vMerge w:val="restart"/>
            <w:tcBorders>
              <w:top w:val="single" w:color="auto" w:sz="4" w:space="0"/>
              <w:left w:val="single" w:color="auto" w:sz="4" w:space="0"/>
              <w:right w:val="single" w:color="auto" w:sz="4" w:space="0"/>
            </w:tcBorders>
            <w:noWrap w:val="0"/>
            <w:vAlign w:val="center"/>
          </w:tcPr>
          <w:p w14:paraId="1D6B31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vMerge w:val="restart"/>
            <w:tcBorders>
              <w:top w:val="single" w:color="auto" w:sz="4" w:space="0"/>
              <w:left w:val="single" w:color="auto" w:sz="4" w:space="0"/>
              <w:right w:val="single" w:color="auto" w:sz="4" w:space="0"/>
            </w:tcBorders>
            <w:noWrap w:val="0"/>
            <w:vAlign w:val="center"/>
          </w:tcPr>
          <w:p w14:paraId="72B8C8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494639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61D2EB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项目完成时间</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B96FB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1597" w:type="pct"/>
            <w:vMerge w:val="restart"/>
            <w:tcBorders>
              <w:top w:val="single" w:color="auto" w:sz="4" w:space="0"/>
              <w:left w:val="single" w:color="auto" w:sz="4" w:space="0"/>
              <w:right w:val="single" w:color="auto" w:sz="4" w:space="0"/>
            </w:tcBorders>
            <w:noWrap w:val="0"/>
            <w:vAlign w:val="center"/>
          </w:tcPr>
          <w:p w14:paraId="4FD9AC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0EB449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224692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63CD0E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06675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0" w:type="pct"/>
            <w:vMerge w:val="continue"/>
            <w:tcBorders>
              <w:left w:val="single" w:color="auto" w:sz="4" w:space="0"/>
              <w:bottom w:val="single" w:color="auto" w:sz="4" w:space="0"/>
              <w:right w:val="single" w:color="auto" w:sz="4" w:space="0"/>
            </w:tcBorders>
            <w:noWrap w:val="0"/>
            <w:vAlign w:val="center"/>
          </w:tcPr>
          <w:p w14:paraId="724683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63" w:type="pct"/>
            <w:vMerge w:val="continue"/>
            <w:tcBorders>
              <w:left w:val="single" w:color="auto" w:sz="4" w:space="0"/>
              <w:bottom w:val="single" w:color="auto" w:sz="4" w:space="0"/>
              <w:right w:val="single" w:color="auto" w:sz="4" w:space="0"/>
            </w:tcBorders>
            <w:noWrap w:val="0"/>
            <w:vAlign w:val="center"/>
          </w:tcPr>
          <w:p w14:paraId="36DAE0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29" w:type="pct"/>
            <w:vMerge w:val="continue"/>
            <w:tcBorders>
              <w:left w:val="single" w:color="auto" w:sz="4" w:space="0"/>
              <w:bottom w:val="single" w:color="auto" w:sz="4" w:space="0"/>
              <w:right w:val="single" w:color="auto" w:sz="4" w:space="0"/>
            </w:tcBorders>
            <w:noWrap w:val="0"/>
            <w:vAlign w:val="center"/>
          </w:tcPr>
          <w:p w14:paraId="046437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24" w:type="pct"/>
            <w:vMerge w:val="continue"/>
            <w:tcBorders>
              <w:left w:val="single" w:color="auto" w:sz="4" w:space="0"/>
              <w:bottom w:val="single" w:color="auto" w:sz="4" w:space="0"/>
              <w:right w:val="single" w:color="auto" w:sz="4" w:space="0"/>
            </w:tcBorders>
            <w:noWrap w:val="0"/>
            <w:vAlign w:val="center"/>
          </w:tcPr>
          <w:p w14:paraId="7C8C9D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49" w:type="pct"/>
            <w:vMerge w:val="continue"/>
            <w:tcBorders>
              <w:left w:val="single" w:color="auto" w:sz="4" w:space="0"/>
              <w:bottom w:val="single" w:color="auto" w:sz="4" w:space="0"/>
              <w:right w:val="single" w:color="auto" w:sz="4" w:space="0"/>
            </w:tcBorders>
            <w:noWrap w:val="0"/>
            <w:vAlign w:val="center"/>
          </w:tcPr>
          <w:p w14:paraId="6574FE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314" w:type="pct"/>
            <w:tcBorders>
              <w:top w:val="single" w:color="auto" w:sz="4" w:space="0"/>
              <w:left w:val="single" w:color="auto" w:sz="4" w:space="0"/>
              <w:bottom w:val="single" w:color="auto" w:sz="4" w:space="0"/>
              <w:right w:val="single" w:color="auto" w:sz="4" w:space="0"/>
            </w:tcBorders>
            <w:noWrap w:val="0"/>
            <w:vAlign w:val="center"/>
          </w:tcPr>
          <w:p w14:paraId="2612BE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1165BF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资金支付及时率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A0213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vMerge w:val="continue"/>
            <w:tcBorders>
              <w:left w:val="single" w:color="auto" w:sz="4" w:space="0"/>
              <w:right w:val="single" w:color="auto" w:sz="4" w:space="0"/>
            </w:tcBorders>
            <w:noWrap w:val="0"/>
            <w:vAlign w:val="center"/>
          </w:tcPr>
          <w:p w14:paraId="2EE85E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56" w:type="pct"/>
            <w:tcBorders>
              <w:top w:val="single" w:color="auto" w:sz="4" w:space="0"/>
              <w:left w:val="single" w:color="auto" w:sz="4" w:space="0"/>
              <w:bottom w:val="single" w:color="auto" w:sz="4" w:space="0"/>
              <w:right w:val="single" w:color="auto" w:sz="4" w:space="0"/>
            </w:tcBorders>
            <w:noWrap w:val="0"/>
            <w:vAlign w:val="center"/>
          </w:tcPr>
          <w:p w14:paraId="56C6C0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52EACC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3CA97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14:paraId="0B10F9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3" w:type="pct"/>
            <w:vMerge w:val="continue"/>
            <w:tcBorders>
              <w:top w:val="single" w:color="auto" w:sz="4" w:space="0"/>
              <w:left w:val="single" w:color="auto" w:sz="4" w:space="0"/>
              <w:bottom w:val="single" w:color="auto" w:sz="4" w:space="0"/>
              <w:right w:val="single" w:color="auto" w:sz="4" w:space="0"/>
            </w:tcBorders>
            <w:noWrap w:val="0"/>
            <w:vAlign w:val="center"/>
          </w:tcPr>
          <w:p w14:paraId="2D5591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9" w:type="pct"/>
            <w:tcBorders>
              <w:top w:val="single" w:color="auto" w:sz="4" w:space="0"/>
              <w:left w:val="single" w:color="auto" w:sz="4" w:space="0"/>
              <w:bottom w:val="single" w:color="auto" w:sz="4" w:space="0"/>
              <w:right w:val="single" w:color="auto" w:sz="4" w:space="0"/>
            </w:tcBorders>
            <w:noWrap w:val="0"/>
            <w:vAlign w:val="center"/>
          </w:tcPr>
          <w:p w14:paraId="0EF68A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5CF325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37BDC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325963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3D8ADB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2024年消防业务经费</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915B0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≤144万元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0DEDE4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D54C2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144万元</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2B234C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48D3E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0" w:type="pct"/>
            <w:vMerge w:val="restart"/>
            <w:tcBorders>
              <w:top w:val="single" w:color="auto" w:sz="4" w:space="0"/>
              <w:left w:val="single" w:color="auto" w:sz="4" w:space="0"/>
              <w:bottom w:val="single" w:color="auto" w:sz="4" w:space="0"/>
              <w:right w:val="single" w:color="auto" w:sz="4" w:space="0"/>
            </w:tcBorders>
            <w:noWrap w:val="0"/>
            <w:vAlign w:val="center"/>
          </w:tcPr>
          <w:p w14:paraId="71EC55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163" w:type="pct"/>
            <w:vMerge w:val="restart"/>
            <w:tcBorders>
              <w:top w:val="single" w:color="auto" w:sz="4" w:space="0"/>
              <w:left w:val="single" w:color="auto" w:sz="4" w:space="0"/>
              <w:bottom w:val="single" w:color="auto" w:sz="4" w:space="0"/>
              <w:right w:val="single" w:color="auto" w:sz="4" w:space="0"/>
            </w:tcBorders>
            <w:noWrap w:val="0"/>
            <w:vAlign w:val="center"/>
          </w:tcPr>
          <w:p w14:paraId="1635A8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229" w:type="pct"/>
            <w:vMerge w:val="restart"/>
            <w:tcBorders>
              <w:top w:val="single" w:color="auto" w:sz="4" w:space="0"/>
              <w:left w:val="single" w:color="auto" w:sz="4" w:space="0"/>
              <w:bottom w:val="single" w:color="auto" w:sz="4" w:space="0"/>
              <w:right w:val="single" w:color="auto" w:sz="4" w:space="0"/>
            </w:tcBorders>
            <w:noWrap w:val="0"/>
            <w:vAlign w:val="center"/>
          </w:tcPr>
          <w:p w14:paraId="444EEC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0D6596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3F85D1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519DD9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54FBE1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有效提高消防员能力素质</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F1B98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有效提高</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3C6E0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904D7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有效提高</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146110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r>
      <w:tr w14:paraId="6B39B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14:paraId="37EF6A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3" w:type="pct"/>
            <w:vMerge w:val="continue"/>
            <w:tcBorders>
              <w:top w:val="single" w:color="auto" w:sz="4" w:space="0"/>
              <w:left w:val="single" w:color="auto" w:sz="4" w:space="0"/>
              <w:bottom w:val="single" w:color="auto" w:sz="4" w:space="0"/>
              <w:right w:val="single" w:color="auto" w:sz="4" w:space="0"/>
            </w:tcBorders>
            <w:noWrap w:val="0"/>
            <w:vAlign w:val="center"/>
          </w:tcPr>
          <w:p w14:paraId="00196B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9" w:type="pct"/>
            <w:vMerge w:val="continue"/>
            <w:tcBorders>
              <w:top w:val="single" w:color="auto" w:sz="4" w:space="0"/>
              <w:left w:val="single" w:color="auto" w:sz="4" w:space="0"/>
              <w:bottom w:val="single" w:color="auto" w:sz="4" w:space="0"/>
              <w:right w:val="single" w:color="auto" w:sz="4" w:space="0"/>
            </w:tcBorders>
            <w:noWrap w:val="0"/>
            <w:vAlign w:val="center"/>
          </w:tcPr>
          <w:p w14:paraId="11C60C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0EEC8A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0E9DF1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202065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72E105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受益消防员满意度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E24F2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≥95%</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904D0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2DEF32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94" w:type="pct"/>
            <w:tcBorders>
              <w:top w:val="single" w:color="auto" w:sz="4" w:space="0"/>
              <w:left w:val="single" w:color="auto" w:sz="4" w:space="0"/>
              <w:bottom w:val="single" w:color="auto" w:sz="4" w:space="0"/>
              <w:right w:val="single" w:color="auto" w:sz="4" w:space="0"/>
            </w:tcBorders>
            <w:noWrap w:val="0"/>
            <w:vAlign w:val="center"/>
          </w:tcPr>
          <w:p w14:paraId="1DFF72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74310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60" w:type="pct"/>
            <w:tcBorders>
              <w:top w:val="single" w:color="auto" w:sz="4" w:space="0"/>
              <w:left w:val="single" w:color="auto" w:sz="4" w:space="0"/>
              <w:bottom w:val="single" w:color="auto" w:sz="4" w:space="0"/>
              <w:right w:val="single" w:color="auto" w:sz="4" w:space="0"/>
            </w:tcBorders>
            <w:noWrap w:val="0"/>
            <w:vAlign w:val="center"/>
          </w:tcPr>
          <w:p w14:paraId="5E5494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总分</w:t>
            </w:r>
          </w:p>
        </w:tc>
        <w:tc>
          <w:tcPr>
            <w:tcW w:w="163" w:type="pct"/>
            <w:tcBorders>
              <w:top w:val="single" w:color="auto" w:sz="4" w:space="0"/>
              <w:left w:val="single" w:color="auto" w:sz="4" w:space="0"/>
              <w:bottom w:val="single" w:color="auto" w:sz="4" w:space="0"/>
              <w:right w:val="single" w:color="auto" w:sz="4" w:space="0"/>
            </w:tcBorders>
            <w:noWrap w:val="0"/>
            <w:vAlign w:val="center"/>
          </w:tcPr>
          <w:p w14:paraId="5A5BD8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29" w:type="pct"/>
            <w:tcBorders>
              <w:top w:val="single" w:color="auto" w:sz="4" w:space="0"/>
              <w:left w:val="single" w:color="auto" w:sz="4" w:space="0"/>
              <w:bottom w:val="single" w:color="auto" w:sz="4" w:space="0"/>
              <w:right w:val="single" w:color="auto" w:sz="4" w:space="0"/>
            </w:tcBorders>
            <w:noWrap w:val="0"/>
            <w:vAlign w:val="center"/>
          </w:tcPr>
          <w:p w14:paraId="6A6882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tcBorders>
              <w:top w:val="single" w:color="auto" w:sz="4" w:space="0"/>
              <w:left w:val="single" w:color="auto" w:sz="4" w:space="0"/>
              <w:bottom w:val="single" w:color="auto" w:sz="4" w:space="0"/>
              <w:right w:val="single" w:color="auto" w:sz="4" w:space="0"/>
            </w:tcBorders>
            <w:noWrap w:val="0"/>
            <w:vAlign w:val="center"/>
          </w:tcPr>
          <w:p w14:paraId="0E8D1E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2E3B6F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14" w:type="pct"/>
            <w:tcBorders>
              <w:top w:val="single" w:color="auto" w:sz="4" w:space="0"/>
              <w:left w:val="single" w:color="auto" w:sz="4" w:space="0"/>
              <w:bottom w:val="single" w:color="auto" w:sz="4" w:space="0"/>
              <w:right w:val="single" w:color="auto" w:sz="4" w:space="0"/>
            </w:tcBorders>
            <w:noWrap w:val="0"/>
            <w:vAlign w:val="center"/>
          </w:tcPr>
          <w:p w14:paraId="28A6D8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301CE1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18" w:type="pct"/>
            <w:tcBorders>
              <w:top w:val="single" w:color="auto" w:sz="4" w:space="0"/>
              <w:left w:val="single" w:color="auto" w:sz="4" w:space="0"/>
              <w:bottom w:val="single" w:color="auto" w:sz="4" w:space="0"/>
              <w:right w:val="single" w:color="auto" w:sz="4" w:space="0"/>
            </w:tcBorders>
            <w:noWrap w:val="0"/>
            <w:vAlign w:val="center"/>
          </w:tcPr>
          <w:p w14:paraId="692B0B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63123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56" w:type="pct"/>
            <w:tcBorders>
              <w:top w:val="single" w:color="auto" w:sz="4" w:space="0"/>
              <w:left w:val="single" w:color="auto" w:sz="4" w:space="0"/>
              <w:bottom w:val="single" w:color="auto" w:sz="4" w:space="0"/>
              <w:right w:val="single" w:color="auto" w:sz="4" w:space="0"/>
            </w:tcBorders>
            <w:noWrap w:val="0"/>
            <w:vAlign w:val="center"/>
          </w:tcPr>
          <w:p w14:paraId="1E3A78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4" w:type="pct"/>
            <w:tcBorders>
              <w:top w:val="single" w:color="auto" w:sz="4" w:space="0"/>
              <w:left w:val="single" w:color="auto" w:sz="4" w:space="0"/>
              <w:bottom w:val="single" w:color="auto" w:sz="4" w:space="0"/>
              <w:right w:val="single" w:color="auto" w:sz="4" w:space="0"/>
            </w:tcBorders>
            <w:noWrap w:val="0"/>
            <w:vAlign w:val="center"/>
          </w:tcPr>
          <w:p w14:paraId="0EBF8C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99.8</w:t>
            </w:r>
          </w:p>
        </w:tc>
      </w:tr>
    </w:tbl>
    <w:p w14:paraId="6EB55C7A">
      <w:pPr>
        <w:pStyle w:val="11"/>
        <w:rPr>
          <w:rFonts w:hint="eastAsia" w:ascii="宋体" w:hAnsi="宋体" w:eastAsia="宋体" w:cs="宋体"/>
          <w:sz w:val="24"/>
          <w:szCs w:val="24"/>
          <w:lang w:eastAsia="zh-CN"/>
        </w:rPr>
      </w:pPr>
    </w:p>
    <w:p w14:paraId="7C35CF18">
      <w:pPr>
        <w:pStyle w:val="11"/>
        <w:rPr>
          <w:rFonts w:hint="eastAsia" w:ascii="宋体" w:hAnsi="宋体" w:eastAsia="宋体" w:cs="宋体"/>
          <w:sz w:val="24"/>
          <w:szCs w:val="24"/>
          <w:lang w:eastAsia="zh-CN"/>
        </w:rPr>
      </w:pPr>
    </w:p>
    <w:p w14:paraId="357BD6F2">
      <w:pPr>
        <w:pStyle w:val="11"/>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5"/>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351"/>
        <w:gridCol w:w="1429"/>
      </w:tblGrid>
      <w:tr w14:paraId="1FF3B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520EE1F3">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495FFDCE">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211D371E">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75B5F968">
            <w:pPr>
              <w:rPr>
                <w:rFonts w:hint="eastAsia" w:ascii="宋体" w:hAnsi="宋体" w:eastAsia="宋体" w:cs="宋体"/>
                <w:i w:val="0"/>
                <w:iCs w:val="0"/>
                <w:color w:val="000000"/>
                <w:sz w:val="22"/>
                <w:szCs w:val="22"/>
                <w:u w:val="none"/>
              </w:rPr>
            </w:pPr>
          </w:p>
        </w:tc>
        <w:tc>
          <w:tcPr>
            <w:tcW w:w="3351" w:type="dxa"/>
            <w:tcBorders>
              <w:top w:val="nil"/>
              <w:left w:val="nil"/>
              <w:bottom w:val="nil"/>
              <w:right w:val="nil"/>
            </w:tcBorders>
            <w:noWrap/>
            <w:vAlign w:val="center"/>
          </w:tcPr>
          <w:p w14:paraId="240BEFA7">
            <w:pPr>
              <w:rPr>
                <w:rFonts w:hint="eastAsia" w:ascii="宋体" w:hAnsi="宋体" w:eastAsia="宋体" w:cs="宋体"/>
                <w:i w:val="0"/>
                <w:iCs w:val="0"/>
                <w:color w:val="000000"/>
                <w:sz w:val="22"/>
                <w:szCs w:val="22"/>
                <w:u w:val="none"/>
              </w:rPr>
            </w:pPr>
          </w:p>
        </w:tc>
        <w:tc>
          <w:tcPr>
            <w:tcW w:w="1429" w:type="dxa"/>
            <w:tcBorders>
              <w:top w:val="nil"/>
              <w:left w:val="nil"/>
              <w:bottom w:val="nil"/>
              <w:right w:val="nil"/>
            </w:tcBorders>
            <w:noWrap/>
            <w:vAlign w:val="center"/>
          </w:tcPr>
          <w:p w14:paraId="4DACDB2A">
            <w:pPr>
              <w:rPr>
                <w:rFonts w:hint="eastAsia" w:ascii="宋体" w:hAnsi="宋体" w:eastAsia="宋体" w:cs="宋体"/>
                <w:i w:val="0"/>
                <w:iCs w:val="0"/>
                <w:color w:val="000000"/>
                <w:sz w:val="22"/>
                <w:szCs w:val="22"/>
                <w:u w:val="none"/>
              </w:rPr>
            </w:pPr>
          </w:p>
        </w:tc>
      </w:tr>
      <w:tr w14:paraId="3A4D2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697731CC">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kern w:val="0"/>
                <w:sz w:val="36"/>
                <w:szCs w:val="36"/>
                <w:u w:val="none"/>
                <w:lang w:val="en-US" w:eastAsia="zh-CN"/>
              </w:rPr>
              <w:t>2024年消防业务经费项目综合得分表</w:t>
            </w:r>
          </w:p>
        </w:tc>
      </w:tr>
      <w:tr w14:paraId="6FF76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DAD4935">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2439E45">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338B52">
            <w:pPr>
              <w:keepNext w:val="0"/>
              <w:keepLines w:val="0"/>
              <w:widowControl/>
              <w:suppressLineNumbers w:val="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780A8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335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2DCB631">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42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7405C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1465B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3FA47AF">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3F792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285D7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E84C9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351" w:type="dxa"/>
            <w:tcBorders>
              <w:top w:val="single" w:color="auto" w:sz="4" w:space="0"/>
              <w:left w:val="single" w:color="auto" w:sz="4" w:space="0"/>
              <w:bottom w:val="single" w:color="auto" w:sz="4" w:space="0"/>
              <w:right w:val="single" w:color="auto" w:sz="4" w:space="0"/>
            </w:tcBorders>
            <w:noWrap w:val="0"/>
            <w:vAlign w:val="center"/>
          </w:tcPr>
          <w:p w14:paraId="048B8B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429" w:type="dxa"/>
            <w:tcBorders>
              <w:top w:val="single" w:color="auto" w:sz="4" w:space="0"/>
              <w:left w:val="single" w:color="auto" w:sz="4" w:space="0"/>
              <w:bottom w:val="single" w:color="auto" w:sz="4" w:space="0"/>
              <w:right w:val="single" w:color="auto" w:sz="4" w:space="0"/>
            </w:tcBorders>
            <w:noWrap w:val="0"/>
            <w:vAlign w:val="center"/>
          </w:tcPr>
          <w:p w14:paraId="46FB33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5BECD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0C5504D">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68AFBF">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4082D6">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141263">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39.88</w:t>
            </w:r>
          </w:p>
        </w:tc>
        <w:tc>
          <w:tcPr>
            <w:tcW w:w="335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92C39C">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25.00</w:t>
            </w:r>
          </w:p>
        </w:tc>
        <w:tc>
          <w:tcPr>
            <w:tcW w:w="1429" w:type="dxa"/>
            <w:tcBorders>
              <w:top w:val="single" w:color="auto" w:sz="4" w:space="0"/>
              <w:left w:val="single" w:color="auto" w:sz="4" w:space="0"/>
              <w:bottom w:val="single" w:color="auto" w:sz="4" w:space="0"/>
              <w:right w:val="single" w:color="auto" w:sz="4" w:space="0"/>
            </w:tcBorders>
            <w:noWrap w:val="0"/>
            <w:vAlign w:val="center"/>
          </w:tcPr>
          <w:p w14:paraId="111045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99.98</w:t>
            </w:r>
          </w:p>
        </w:tc>
      </w:tr>
      <w:tr w14:paraId="62CD5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6C48869">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9D6EF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88EC9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D0C45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99.7%</w:t>
            </w:r>
          </w:p>
        </w:tc>
        <w:tc>
          <w:tcPr>
            <w:tcW w:w="3351" w:type="dxa"/>
            <w:tcBorders>
              <w:top w:val="single" w:color="auto" w:sz="4" w:space="0"/>
              <w:left w:val="single" w:color="auto" w:sz="4" w:space="0"/>
              <w:bottom w:val="single" w:color="auto" w:sz="4" w:space="0"/>
              <w:right w:val="single" w:color="auto" w:sz="4" w:space="0"/>
            </w:tcBorders>
            <w:noWrap w:val="0"/>
            <w:vAlign w:val="center"/>
          </w:tcPr>
          <w:p w14:paraId="2A5710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1429" w:type="dxa"/>
            <w:tcBorders>
              <w:top w:val="single" w:color="auto" w:sz="4" w:space="0"/>
              <w:left w:val="single" w:color="auto" w:sz="4" w:space="0"/>
              <w:bottom w:val="single" w:color="auto" w:sz="4" w:space="0"/>
              <w:right w:val="single" w:color="auto" w:sz="4" w:space="0"/>
            </w:tcBorders>
            <w:noWrap w:val="0"/>
            <w:vAlign w:val="center"/>
          </w:tcPr>
          <w:p w14:paraId="59D644B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99.98%</w:t>
            </w:r>
          </w:p>
        </w:tc>
      </w:tr>
    </w:tbl>
    <w:p w14:paraId="4DABEB27">
      <w:pPr>
        <w:pStyle w:val="11"/>
        <w:ind w:left="0" w:leftChars="0" w:firstLine="0" w:firstLineChars="0"/>
        <w:jc w:val="both"/>
        <w:rPr>
          <w:rFonts w:hint="default" w:ascii="宋体" w:hAnsi="宋体" w:eastAsia="宋体" w:cs="宋体"/>
          <w:sz w:val="24"/>
          <w:szCs w:val="24"/>
          <w:lang w:val="en-US" w:eastAsia="zh-CN"/>
        </w:rPr>
      </w:pPr>
    </w:p>
    <w:p w14:paraId="6663F585">
      <w:pPr>
        <w:pStyle w:val="11"/>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3EBEC93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5FFEA63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2024年消防业务经费项目满意度调查问卷分析报告</w:t>
      </w:r>
    </w:p>
    <w:p w14:paraId="3ABAA05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color w:val="auto"/>
          <w:sz w:val="28"/>
          <w:szCs w:val="28"/>
          <w:highlight w:val="none"/>
        </w:rPr>
      </w:pPr>
    </w:p>
    <w:p w14:paraId="5639EF5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6A2EFEF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一、该问卷调查从2025年3月1日开始至2025年3月15日结束，调查问卷共设置3道题目。</w:t>
      </w:r>
    </w:p>
    <w:p w14:paraId="19B72C7E">
      <w:pPr>
        <w:pStyle w:val="11"/>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702114D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eastAsia="zh-CN"/>
        </w:rPr>
        <w:t>洛浦县消防救援大队</w:t>
      </w:r>
      <w:r>
        <w:rPr>
          <w:rFonts w:hint="eastAsia" w:ascii="宋体" w:hAnsi="宋体" w:eastAsia="宋体" w:cs="宋体"/>
          <w:color w:val="000000"/>
          <w:sz w:val="24"/>
          <w:szCs w:val="24"/>
          <w:highlight w:val="none"/>
          <w:lang w:val="en-US" w:eastAsia="zh-CN"/>
        </w:rPr>
        <w:t>消防员</w:t>
      </w:r>
      <w:r>
        <w:rPr>
          <w:rFonts w:hint="eastAsia" w:ascii="宋体" w:hAnsi="宋体" w:eastAsia="宋体" w:cs="宋体"/>
          <w:color w:val="000000"/>
          <w:sz w:val="24"/>
          <w:szCs w:val="24"/>
          <w:highlight w:val="none"/>
        </w:rPr>
        <w:t>。</w:t>
      </w:r>
    </w:p>
    <w:p w14:paraId="49687FF7">
      <w:pPr>
        <w:pStyle w:val="11"/>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108D9E0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①您对2024年消防业务经费项目的提高消防员素质是否满意?</w:t>
      </w:r>
    </w:p>
    <w:p w14:paraId="284D8A5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有效提高提高一般未提高</w:t>
      </w:r>
    </w:p>
    <w:p w14:paraId="1FD19FE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②您对2024年消防业务经费项目的收益消防员满意度是否满意？</w:t>
      </w:r>
    </w:p>
    <w:p w14:paraId="5C46CED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非常满意满意一般不满意</w:t>
      </w:r>
    </w:p>
    <w:p w14:paraId="78EDF84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③总的来说，您对目前2024年消防业务经费项目实施后的整体满意程度如何？</w:t>
      </w:r>
    </w:p>
    <w:p w14:paraId="06914BB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非常满意满意一般不满意</w:t>
      </w:r>
    </w:p>
    <w:p w14:paraId="6992FB10">
      <w:pPr>
        <w:pStyle w:val="11"/>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5722571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0D800AC4">
      <w:pPr>
        <w:pStyle w:val="11"/>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1E77554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51D6E617">
      <w:pPr>
        <w:pStyle w:val="11"/>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20C954C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56D8942A">
      <w:pPr>
        <w:pStyle w:val="11"/>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41E2BAC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1911E48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2280C33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00F435B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04F757E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74F13C3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2024年消防业务经费项目针对受益人员发放30份调查问卷，最终统计受益人群满意度为100%。</w:t>
      </w:r>
    </w:p>
    <w:p w14:paraId="2397179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5EF3540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洛浦县消防救援大队</w:t>
      </w:r>
    </w:p>
    <w:p w14:paraId="032C70D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2025年3月20日</w:t>
      </w:r>
    </w:p>
    <w:p w14:paraId="18697A7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A60B0">
    <w:pPr>
      <w:pStyle w:val="17"/>
      <w:ind w:firstLine="36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5CD00C49">
                <w:pPr>
                  <w:pStyle w:val="17"/>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12075">
    <w:pPr>
      <w:pStyle w:val="18"/>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77D70B52"/>
    <w:rsid w:val="79D34F8C"/>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uiPriority="39" w:semiHidden="0" w:name="toc 4"/>
    <w:lsdException w:qFormat="1" w:uiPriority="39" w:semiHidden="0" w:name="toc 5"/>
    <w:lsdException w:uiPriority="39" w:semiHidden="0" w:name="toc 6"/>
    <w:lsdException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5"/>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7">
    <w:name w:val="heading 3"/>
    <w:basedOn w:val="1"/>
    <w:next w:val="1"/>
    <w:link w:val="36"/>
    <w:qFormat/>
    <w:uiPriority w:val="9"/>
    <w:pPr>
      <w:keepNext/>
      <w:keepLines/>
      <w:spacing w:before="260" w:after="260" w:line="416" w:lineRule="auto"/>
      <w:jc w:val="left"/>
      <w:outlineLvl w:val="2"/>
    </w:pPr>
    <w:rPr>
      <w:rFonts w:cs="Times New Roman"/>
      <w:bCs/>
      <w:kern w:val="0"/>
      <w:szCs w:val="32"/>
    </w:rPr>
  </w:style>
  <w:style w:type="paragraph" w:styleId="8">
    <w:name w:val="heading 4"/>
    <w:basedOn w:val="1"/>
    <w:next w:val="1"/>
    <w:link w:val="37"/>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7">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2">
    <w:name w:val="List"/>
    <w:basedOn w:val="1"/>
    <w:qFormat/>
    <w:uiPriority w:val="0"/>
    <w:pPr>
      <w:ind w:left="200" w:hanging="200" w:hangingChars="200"/>
      <w:contextualSpacing/>
    </w:pPr>
  </w:style>
  <w:style w:type="paragraph" w:styleId="4">
    <w:name w:val="Body Text First Indent 2"/>
    <w:basedOn w:val="5"/>
    <w:link w:val="34"/>
    <w:unhideWhenUsed/>
    <w:uiPriority w:val="0"/>
    <w:pPr>
      <w:ind w:firstLine="420"/>
    </w:pPr>
  </w:style>
  <w:style w:type="paragraph" w:styleId="5">
    <w:name w:val="Body Text Indent"/>
    <w:basedOn w:val="1"/>
    <w:link w:val="33"/>
    <w:unhideWhenUsed/>
    <w:uiPriority w:val="99"/>
    <w:pPr>
      <w:spacing w:after="120"/>
      <w:ind w:left="420" w:leftChars="200"/>
    </w:pPr>
    <w:rPr>
      <w:rFonts w:cs="Times New Roman"/>
      <w:kern w:val="0"/>
      <w:szCs w:val="20"/>
    </w:rPr>
  </w:style>
  <w:style w:type="paragraph" w:styleId="9">
    <w:name w:val="toc 7"/>
    <w:basedOn w:val="1"/>
    <w:next w:val="1"/>
    <w:unhideWhenUsed/>
    <w:uiPriority w:val="39"/>
    <w:pPr>
      <w:ind w:left="1680"/>
      <w:jc w:val="left"/>
    </w:pPr>
    <w:rPr>
      <w:rFonts w:ascii="Calibri" w:hAnsi="Calibri" w:cs="Calibri"/>
      <w:sz w:val="18"/>
      <w:szCs w:val="18"/>
    </w:rPr>
  </w:style>
  <w:style w:type="paragraph" w:styleId="10">
    <w:name w:val="Document Map"/>
    <w:basedOn w:val="1"/>
    <w:link w:val="38"/>
    <w:unhideWhenUsed/>
    <w:qFormat/>
    <w:uiPriority w:val="99"/>
    <w:rPr>
      <w:rFonts w:ascii="宋体" w:eastAsia="宋体" w:cs="Times New Roman"/>
      <w:kern w:val="0"/>
      <w:sz w:val="18"/>
      <w:szCs w:val="18"/>
    </w:rPr>
  </w:style>
  <w:style w:type="paragraph" w:styleId="11">
    <w:name w:val="Body Text"/>
    <w:basedOn w:val="1"/>
    <w:next w:val="12"/>
    <w:qFormat/>
    <w:uiPriority w:val="0"/>
    <w:pPr>
      <w:spacing w:before="240" w:after="240" w:line="360" w:lineRule="auto"/>
      <w:jc w:val="center"/>
    </w:pPr>
    <w:rPr>
      <w:b/>
      <w:sz w:val="44"/>
    </w:rPr>
  </w:style>
  <w:style w:type="paragraph" w:styleId="12">
    <w:name w:val="Body Text 2"/>
    <w:basedOn w:val="1"/>
    <w:qFormat/>
    <w:uiPriority w:val="0"/>
    <w:pPr>
      <w:spacing w:after="120" w:line="480" w:lineRule="auto"/>
    </w:pPr>
    <w:rPr>
      <w:rFonts w:ascii="Times New Roman" w:hAnsi="Times New Roman" w:eastAsia="宋体"/>
    </w:rPr>
  </w:style>
  <w:style w:type="paragraph" w:styleId="13">
    <w:name w:val="toc 5"/>
    <w:basedOn w:val="1"/>
    <w:next w:val="1"/>
    <w:unhideWhenUsed/>
    <w:qFormat/>
    <w:uiPriority w:val="39"/>
    <w:pPr>
      <w:ind w:left="1120"/>
      <w:jc w:val="left"/>
    </w:pPr>
    <w:rPr>
      <w:rFonts w:ascii="Calibri" w:hAnsi="Calibri" w:cs="Calibri"/>
      <w:sz w:val="18"/>
      <w:szCs w:val="18"/>
    </w:rPr>
  </w:style>
  <w:style w:type="paragraph" w:styleId="14">
    <w:name w:val="toc 3"/>
    <w:basedOn w:val="1"/>
    <w:next w:val="1"/>
    <w:unhideWhenUsed/>
    <w:qFormat/>
    <w:uiPriority w:val="39"/>
    <w:pPr>
      <w:ind w:left="560"/>
      <w:jc w:val="left"/>
    </w:pPr>
    <w:rPr>
      <w:rFonts w:ascii="Calibri" w:hAnsi="Calibri" w:cs="Calibri"/>
      <w:i/>
      <w:iCs/>
      <w:sz w:val="20"/>
      <w:szCs w:val="20"/>
    </w:rPr>
  </w:style>
  <w:style w:type="paragraph" w:styleId="15">
    <w:name w:val="toc 8"/>
    <w:basedOn w:val="1"/>
    <w:next w:val="1"/>
    <w:unhideWhenUsed/>
    <w:qFormat/>
    <w:uiPriority w:val="39"/>
    <w:pPr>
      <w:ind w:left="1960"/>
      <w:jc w:val="left"/>
    </w:pPr>
    <w:rPr>
      <w:rFonts w:ascii="Calibri" w:hAnsi="Calibri" w:cs="Calibri"/>
      <w:sz w:val="18"/>
      <w:szCs w:val="18"/>
    </w:rPr>
  </w:style>
  <w:style w:type="paragraph" w:styleId="16">
    <w:name w:val="Balloon Text"/>
    <w:basedOn w:val="1"/>
    <w:link w:val="40"/>
    <w:unhideWhenUsed/>
    <w:uiPriority w:val="99"/>
    <w:rPr>
      <w:rFonts w:cs="Times New Roman"/>
      <w:kern w:val="0"/>
      <w:sz w:val="18"/>
      <w:szCs w:val="18"/>
    </w:rPr>
  </w:style>
  <w:style w:type="paragraph" w:styleId="17">
    <w:name w:val="footer"/>
    <w:basedOn w:val="1"/>
    <w:link w:val="41"/>
    <w:unhideWhenUsed/>
    <w:qFormat/>
    <w:uiPriority w:val="99"/>
    <w:pPr>
      <w:tabs>
        <w:tab w:val="center" w:pos="4153"/>
        <w:tab w:val="right" w:pos="8306"/>
      </w:tabs>
      <w:snapToGrid w:val="0"/>
      <w:jc w:val="left"/>
    </w:pPr>
    <w:rPr>
      <w:rFonts w:cs="Times New Roman"/>
      <w:kern w:val="0"/>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9">
    <w:name w:val="toc 1"/>
    <w:basedOn w:val="1"/>
    <w:next w:val="1"/>
    <w:unhideWhenUsed/>
    <w:qFormat/>
    <w:uiPriority w:val="39"/>
    <w:pPr>
      <w:spacing w:before="120" w:after="120"/>
      <w:jc w:val="left"/>
    </w:pPr>
    <w:rPr>
      <w:rFonts w:ascii="Calibri" w:hAnsi="Calibri" w:cs="Calibri"/>
      <w:b/>
      <w:bCs/>
      <w:caps/>
      <w:sz w:val="20"/>
      <w:szCs w:val="20"/>
    </w:rPr>
  </w:style>
  <w:style w:type="paragraph" w:styleId="20">
    <w:name w:val="toc 4"/>
    <w:basedOn w:val="1"/>
    <w:next w:val="1"/>
    <w:unhideWhenUsed/>
    <w:uiPriority w:val="39"/>
    <w:pPr>
      <w:ind w:left="840"/>
      <w:jc w:val="left"/>
    </w:pPr>
    <w:rPr>
      <w:rFonts w:ascii="Calibri" w:hAnsi="Calibri" w:cs="Calibri"/>
      <w:sz w:val="18"/>
      <w:szCs w:val="18"/>
    </w:rPr>
  </w:style>
  <w:style w:type="paragraph" w:styleId="21">
    <w:name w:val="toc 6"/>
    <w:basedOn w:val="1"/>
    <w:next w:val="1"/>
    <w:unhideWhenUsed/>
    <w:uiPriority w:val="39"/>
    <w:pPr>
      <w:ind w:left="1400"/>
      <w:jc w:val="left"/>
    </w:pPr>
    <w:rPr>
      <w:rFonts w:ascii="Calibri" w:hAnsi="Calibri" w:cs="Calibri"/>
      <w:sz w:val="18"/>
      <w:szCs w:val="18"/>
    </w:rPr>
  </w:style>
  <w:style w:type="paragraph" w:styleId="22">
    <w:name w:val="toc 2"/>
    <w:basedOn w:val="1"/>
    <w:next w:val="1"/>
    <w:unhideWhenUsed/>
    <w:uiPriority w:val="39"/>
    <w:pPr>
      <w:ind w:left="280"/>
      <w:jc w:val="left"/>
    </w:pPr>
    <w:rPr>
      <w:rFonts w:ascii="Calibri" w:hAnsi="Calibri" w:cs="Calibri"/>
      <w:smallCaps/>
      <w:sz w:val="20"/>
      <w:szCs w:val="20"/>
    </w:rPr>
  </w:style>
  <w:style w:type="paragraph" w:styleId="23">
    <w:name w:val="toc 9"/>
    <w:basedOn w:val="1"/>
    <w:next w:val="1"/>
    <w:unhideWhenUsed/>
    <w:qFormat/>
    <w:uiPriority w:val="39"/>
    <w:pPr>
      <w:ind w:left="2240"/>
      <w:jc w:val="left"/>
    </w:pPr>
    <w:rPr>
      <w:rFonts w:ascii="Calibri" w:hAnsi="Calibri" w:cs="Calibri"/>
      <w:sz w:val="18"/>
      <w:szCs w:val="18"/>
    </w:rPr>
  </w:style>
  <w:style w:type="paragraph" w:styleId="24">
    <w:name w:val="Title"/>
    <w:basedOn w:val="1"/>
    <w:next w:val="1"/>
    <w:link w:val="43"/>
    <w:qFormat/>
    <w:uiPriority w:val="10"/>
    <w:pPr>
      <w:spacing w:before="240" w:after="60"/>
      <w:jc w:val="center"/>
      <w:outlineLvl w:val="0"/>
    </w:pPr>
    <w:rPr>
      <w:rFonts w:ascii="Cambria" w:hAnsi="Cambria" w:eastAsia="宋体" w:cs="Times New Roman"/>
      <w:b/>
      <w:bCs/>
      <w:sz w:val="32"/>
      <w:szCs w:val="32"/>
    </w:rPr>
  </w:style>
  <w:style w:type="table" w:styleId="26">
    <w:name w:val="Table Grid"/>
    <w:basedOn w:val="2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unhideWhenUsed/>
    <w:qFormat/>
    <w:uiPriority w:val="99"/>
    <w:rPr>
      <w:color w:val="0000FF"/>
      <w:u w:val="single"/>
    </w:rPr>
  </w:style>
  <w:style w:type="paragraph" w:customStyle="1" w:styleId="29">
    <w:name w:val="Comment Text"/>
    <w:basedOn w:val="1"/>
    <w:link w:val="39"/>
    <w:unhideWhenUsed/>
    <w:qFormat/>
    <w:uiPriority w:val="99"/>
    <w:rPr>
      <w:rFonts w:cs="Times New Roman"/>
      <w:kern w:val="0"/>
      <w:sz w:val="20"/>
      <w:szCs w:val="20"/>
    </w:rPr>
  </w:style>
  <w:style w:type="paragraph" w:customStyle="1" w:styleId="30">
    <w:name w:val="Comment Subject"/>
    <w:basedOn w:val="29"/>
    <w:next w:val="29"/>
    <w:link w:val="44"/>
    <w:unhideWhenUsed/>
    <w:qFormat/>
    <w:uiPriority w:val="99"/>
    <w:rPr>
      <w:b/>
      <w:bCs/>
    </w:rPr>
  </w:style>
  <w:style w:type="character" w:customStyle="1" w:styleId="31">
    <w:name w:val="Comment Reference"/>
    <w:unhideWhenUsed/>
    <w:qFormat/>
    <w:uiPriority w:val="99"/>
    <w:rPr>
      <w:sz w:val="16"/>
      <w:szCs w:val="16"/>
    </w:rPr>
  </w:style>
  <w:style w:type="character" w:customStyle="1" w:styleId="32">
    <w:name w:val="标题 1 Char"/>
    <w:link w:val="3"/>
    <w:qFormat/>
    <w:uiPriority w:val="9"/>
    <w:rPr>
      <w:rFonts w:ascii="Times New Roman" w:hAnsi="Times New Roman" w:eastAsia="仿宋_GB2312" w:cs="Times New Roman"/>
      <w:b/>
      <w:bCs/>
      <w:kern w:val="44"/>
      <w:sz w:val="32"/>
      <w:szCs w:val="44"/>
    </w:rPr>
  </w:style>
  <w:style w:type="character" w:customStyle="1" w:styleId="33">
    <w:name w:val="正文文本缩进 Char"/>
    <w:link w:val="5"/>
    <w:semiHidden/>
    <w:qFormat/>
    <w:uiPriority w:val="99"/>
    <w:rPr>
      <w:rFonts w:ascii="Calibri" w:hAnsi="Calibri" w:eastAsia="仿宋_GB2312" w:cs="黑体"/>
      <w:sz w:val="28"/>
    </w:rPr>
  </w:style>
  <w:style w:type="character" w:customStyle="1" w:styleId="34">
    <w:name w:val="正文首行缩进 2 Char"/>
    <w:link w:val="4"/>
    <w:qFormat/>
    <w:uiPriority w:val="0"/>
    <w:rPr>
      <w:rFonts w:ascii="Calibri" w:hAnsi="Calibri" w:eastAsia="仿宋_GB2312" w:cs="黑体"/>
      <w:sz w:val="28"/>
    </w:rPr>
  </w:style>
  <w:style w:type="character" w:customStyle="1" w:styleId="35">
    <w:name w:val="标题 2 Char"/>
    <w:link w:val="6"/>
    <w:qFormat/>
    <w:uiPriority w:val="0"/>
    <w:rPr>
      <w:rFonts w:ascii="Cambria" w:hAnsi="Cambria" w:eastAsia="仿宋_GB2312" w:cs="Times New Roman"/>
      <w:b/>
      <w:bCs/>
      <w:kern w:val="0"/>
      <w:sz w:val="30"/>
      <w:szCs w:val="32"/>
    </w:rPr>
  </w:style>
  <w:style w:type="character" w:customStyle="1" w:styleId="36">
    <w:name w:val="标题 3 Char"/>
    <w:link w:val="7"/>
    <w:qFormat/>
    <w:uiPriority w:val="9"/>
    <w:rPr>
      <w:rFonts w:ascii="Calibri" w:hAnsi="Calibri" w:eastAsia="仿宋_GB2312" w:cs="黑体"/>
      <w:bCs/>
      <w:sz w:val="28"/>
      <w:szCs w:val="32"/>
    </w:rPr>
  </w:style>
  <w:style w:type="character" w:customStyle="1" w:styleId="37">
    <w:name w:val="标题 4 Char"/>
    <w:link w:val="8"/>
    <w:semiHidden/>
    <w:qFormat/>
    <w:uiPriority w:val="9"/>
    <w:rPr>
      <w:rFonts w:ascii="Cambria" w:hAnsi="Cambria" w:eastAsia="宋体" w:cs="Times New Roman"/>
      <w:b/>
      <w:bCs/>
      <w:sz w:val="28"/>
      <w:szCs w:val="28"/>
    </w:rPr>
  </w:style>
  <w:style w:type="character" w:customStyle="1" w:styleId="38">
    <w:name w:val="文档结构图 Char"/>
    <w:link w:val="10"/>
    <w:semiHidden/>
    <w:qFormat/>
    <w:uiPriority w:val="99"/>
    <w:rPr>
      <w:rFonts w:ascii="宋体" w:hAnsi="Calibri" w:eastAsia="宋体" w:cs="黑体"/>
      <w:sz w:val="18"/>
      <w:szCs w:val="18"/>
    </w:rPr>
  </w:style>
  <w:style w:type="character" w:customStyle="1" w:styleId="39">
    <w:name w:val="批注文字 Char"/>
    <w:link w:val="29"/>
    <w:semiHidden/>
    <w:qFormat/>
    <w:uiPriority w:val="99"/>
    <w:rPr>
      <w:rFonts w:ascii="Calibri" w:hAnsi="Calibri" w:eastAsia="仿宋_GB2312" w:cs="黑体"/>
      <w:sz w:val="20"/>
      <w:szCs w:val="20"/>
    </w:rPr>
  </w:style>
  <w:style w:type="character" w:customStyle="1" w:styleId="40">
    <w:name w:val="批注框文本 Char"/>
    <w:link w:val="16"/>
    <w:semiHidden/>
    <w:qFormat/>
    <w:uiPriority w:val="99"/>
    <w:rPr>
      <w:rFonts w:ascii="Calibri" w:hAnsi="Calibri" w:eastAsia="仿宋_GB2312" w:cs="黑体"/>
      <w:sz w:val="18"/>
      <w:szCs w:val="18"/>
    </w:rPr>
  </w:style>
  <w:style w:type="character" w:customStyle="1" w:styleId="41">
    <w:name w:val="页脚 Char"/>
    <w:link w:val="17"/>
    <w:qFormat/>
    <w:uiPriority w:val="99"/>
    <w:rPr>
      <w:rFonts w:ascii="Calibri" w:hAnsi="Calibri" w:eastAsia="仿宋_GB2312" w:cs="黑体"/>
      <w:sz w:val="18"/>
      <w:szCs w:val="18"/>
    </w:rPr>
  </w:style>
  <w:style w:type="character" w:customStyle="1" w:styleId="42">
    <w:name w:val="页眉 Char"/>
    <w:link w:val="18"/>
    <w:qFormat/>
    <w:uiPriority w:val="99"/>
    <w:rPr>
      <w:rFonts w:ascii="Calibri" w:hAnsi="Calibri" w:eastAsia="仿宋_GB2312" w:cs="黑体"/>
      <w:sz w:val="18"/>
      <w:szCs w:val="18"/>
    </w:rPr>
  </w:style>
  <w:style w:type="character" w:customStyle="1" w:styleId="43">
    <w:name w:val="标题 Char"/>
    <w:link w:val="24"/>
    <w:qFormat/>
    <w:uiPriority w:val="10"/>
    <w:rPr>
      <w:rFonts w:ascii="Cambria" w:hAnsi="Cambria"/>
      <w:b/>
      <w:bCs/>
      <w:kern w:val="2"/>
      <w:sz w:val="32"/>
      <w:szCs w:val="32"/>
    </w:rPr>
  </w:style>
  <w:style w:type="character" w:customStyle="1" w:styleId="44">
    <w:name w:val="批注主题 Char"/>
    <w:link w:val="30"/>
    <w:semiHidden/>
    <w:qFormat/>
    <w:uiPriority w:val="99"/>
    <w:rPr>
      <w:rFonts w:ascii="Calibri" w:hAnsi="Calibri" w:eastAsia="仿宋_GB2312" w:cs="黑体"/>
      <w:b/>
      <w:bCs/>
      <w:sz w:val="20"/>
      <w:szCs w:val="20"/>
    </w:rPr>
  </w:style>
  <w:style w:type="character" w:customStyle="1" w:styleId="45">
    <w:name w:val="闻政-正文一级标题 Char"/>
    <w:link w:val="46"/>
    <w:qFormat/>
    <w:uiPriority w:val="3"/>
    <w:rPr>
      <w:rFonts w:ascii="黑体" w:hAnsi="黑体" w:eastAsia="黑体"/>
      <w:bCs/>
      <w:sz w:val="32"/>
      <w:szCs w:val="32"/>
    </w:rPr>
  </w:style>
  <w:style w:type="paragraph" w:customStyle="1" w:styleId="46">
    <w:name w:val="闻政-正文一级标题"/>
    <w:basedOn w:val="7"/>
    <w:next w:val="47"/>
    <w:link w:val="45"/>
    <w:qFormat/>
    <w:uiPriority w:val="3"/>
    <w:pPr>
      <w:spacing w:before="120" w:after="60" w:line="500" w:lineRule="exact"/>
      <w:ind w:firstLine="0" w:firstLineChars="0"/>
      <w:outlineLvl w:val="0"/>
    </w:pPr>
    <w:rPr>
      <w:rFonts w:ascii="黑体" w:hAnsi="黑体" w:eastAsia="黑体"/>
      <w:sz w:val="32"/>
    </w:rPr>
  </w:style>
  <w:style w:type="paragraph" w:customStyle="1" w:styleId="47">
    <w:name w:val="闻政-正文段落文字"/>
    <w:basedOn w:val="1"/>
    <w:link w:val="48"/>
    <w:qFormat/>
    <w:uiPriority w:val="3"/>
    <w:pPr>
      <w:spacing w:line="500" w:lineRule="exact"/>
      <w:ind w:firstLine="200"/>
    </w:pPr>
    <w:rPr>
      <w:rFonts w:ascii="Times New Roman" w:hAnsi="Times New Roman" w:cs="Times New Roman"/>
      <w:kern w:val="0"/>
      <w:szCs w:val="28"/>
    </w:rPr>
  </w:style>
  <w:style w:type="character" w:customStyle="1" w:styleId="48">
    <w:name w:val="闻政-正文段落文字 Char"/>
    <w:link w:val="47"/>
    <w:qFormat/>
    <w:uiPriority w:val="3"/>
    <w:rPr>
      <w:rFonts w:ascii="Times New Roman" w:hAnsi="Times New Roman" w:eastAsia="仿宋_GB2312"/>
      <w:sz w:val="28"/>
      <w:szCs w:val="28"/>
    </w:rPr>
  </w:style>
  <w:style w:type="character" w:customStyle="1" w:styleId="49">
    <w:name w:val="闻政-正文二级标题 Char"/>
    <w:link w:val="50"/>
    <w:qFormat/>
    <w:uiPriority w:val="3"/>
    <w:rPr>
      <w:rFonts w:ascii="Times New Roman" w:hAnsi="Times New Roman" w:eastAsia="仿宋_GB2312"/>
      <w:b/>
      <w:bCs/>
      <w:sz w:val="28"/>
      <w:szCs w:val="32"/>
    </w:rPr>
  </w:style>
  <w:style w:type="paragraph" w:customStyle="1" w:styleId="50">
    <w:name w:val="闻政-正文二级标题"/>
    <w:basedOn w:val="6"/>
    <w:next w:val="47"/>
    <w:link w:val="49"/>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11"/>
    <w:qFormat/>
    <w:uiPriority w:val="0"/>
    <w:rPr>
      <w:rFonts w:hint="eastAsia" w:ascii="方正仿宋_GBK" w:hAnsi="方正仿宋_GBK" w:eastAsia="方正仿宋_GBK" w:cs="方正仿宋_GBK"/>
      <w:color w:val="000000"/>
      <w:sz w:val="24"/>
      <w:szCs w:val="24"/>
      <w:u w:val="none"/>
    </w:rPr>
  </w:style>
  <w:style w:type="character" w:customStyle="1" w:styleId="52">
    <w:name w:val="52"/>
    <w:qFormat/>
    <w:uiPriority w:val="0"/>
    <w:rPr>
      <w:b/>
      <w:bCs/>
      <w:smallCaps/>
      <w:color w:val="C0504D"/>
      <w:spacing w:val="5"/>
      <w:u w:val="single"/>
    </w:rPr>
  </w:style>
  <w:style w:type="character" w:customStyle="1" w:styleId="53">
    <w:name w:val="闻政-正文三级标题 Char"/>
    <w:link w:val="54"/>
    <w:qFormat/>
    <w:uiPriority w:val="3"/>
    <w:rPr>
      <w:rFonts w:ascii="Times New Roman" w:hAnsi="Times New Roman" w:eastAsia="仿宋_GB2312"/>
      <w:b/>
      <w:snapToGrid w:val="0"/>
      <w:sz w:val="28"/>
      <w:szCs w:val="28"/>
    </w:rPr>
  </w:style>
  <w:style w:type="paragraph" w:customStyle="1" w:styleId="54">
    <w:name w:val="闻政-正文三级标题"/>
    <w:basedOn w:val="1"/>
    <w:next w:val="47"/>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font21"/>
    <w:qFormat/>
    <w:uiPriority w:val="0"/>
    <w:rPr>
      <w:rFonts w:hint="default" w:ascii="Times New Roman" w:hAnsi="Times New Roman" w:cs="Times New Roman"/>
      <w:color w:val="000000"/>
      <w:sz w:val="24"/>
      <w:szCs w:val="24"/>
      <w:u w:val="none"/>
    </w:rPr>
  </w:style>
  <w:style w:type="character" w:customStyle="1" w:styleId="56">
    <w:name w:val="无间隔 Char"/>
    <w:link w:val="57"/>
    <w:qFormat/>
    <w:uiPriority w:val="1"/>
    <w:rPr>
      <w:rFonts w:eastAsia="仿宋_GB2312" w:cs="黑体"/>
      <w:kern w:val="2"/>
      <w:sz w:val="28"/>
      <w:szCs w:val="22"/>
      <w:lang w:val="en-US" w:eastAsia="zh-CN" w:bidi="ar-SA"/>
    </w:rPr>
  </w:style>
  <w:style w:type="paragraph" w:styleId="57">
    <w:name w:val="No Spacing"/>
    <w:link w:val="56"/>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8">
    <w:name w:val="List Paragraph"/>
    <w:basedOn w:val="1"/>
    <w:qFormat/>
    <w:uiPriority w:val="34"/>
    <w:pPr>
      <w:ind w:firstLine="420"/>
    </w:pPr>
  </w:style>
  <w:style w:type="paragraph" w:customStyle="1" w:styleId="59">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60">
    <w:name w:val="font71"/>
    <w:basedOn w:val="27"/>
    <w:qFormat/>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5DFB5505796B4534BD712BA08B4441A2_13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afe2a-c515-48a5-be0d-79d13102a02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4515</Words>
  <Characters>4721</Characters>
  <Lines>44</Lines>
  <Paragraphs>12</Paragraphs>
  <TotalTime>4</TotalTime>
  <ScaleCrop>false</ScaleCrop>
  <LinksUpToDate>false</LinksUpToDate>
  <CharactersWithSpaces>4721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2025-10-10T09:51:36Z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5DFB5505796B4534BD712BA08B4441A2_13</vt:lpwstr>
  </property>
  <property fmtid="{D5CDD505-2E9C-101B-9397-08002B2CF9AE}" pid="4" name="KSOTemplateDocerSaveRecord">
    <vt:lpwstr>eyJoZGlkIjoiMGIxZTI3ODM4ZmVjOGE5NDFiYmE3OTRiMjQ5OTEyNzIiLCJ1c2VySWQiOiIzNzI2MDMzNTYifQ==</vt:lpwstr>
  </property>
</Properties>
</file>