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9F0B92">
      <w:bookmarkStart w:id="20" w:name="_GoBack"/>
      <w:bookmarkEnd w:id="20"/>
    </w:p>
    <w:p w14:paraId="23A9ECC7">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kern w:val="0"/>
          <w:sz w:val="32"/>
          <w:szCs w:val="32"/>
          <w:lang w:val="en-US" w:eastAsia="zh-CN" w:bidi="en-US"/>
        </w:rPr>
      </w:pPr>
    </w:p>
    <w:p w14:paraId="7DE10C3D">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和田地区洛浦县2019年中央纺织服装专项资金</w:t>
      </w:r>
    </w:p>
    <w:p w14:paraId="0450CBE9">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运费补贴项目支出绩效评价报告</w:t>
      </w:r>
    </w:p>
    <w:p w14:paraId="46601B89">
      <w:pPr>
        <w:pStyle w:val="6"/>
        <w:ind w:left="0" w:leftChars="0" w:firstLine="0" w:firstLineChars="0"/>
        <w:jc w:val="center"/>
        <w:rPr>
          <w:rFonts w:hint="eastAsia" w:ascii="黑体" w:hAnsi="黑体" w:eastAsia="黑体" w:cs="黑体"/>
          <w:b/>
          <w:bCs w:val="0"/>
          <w:color w:val="000000"/>
          <w:sz w:val="28"/>
          <w:szCs w:val="28"/>
          <w:highlight w:val="none"/>
          <w:lang w:eastAsia="zh-CN"/>
        </w:rPr>
      </w:pPr>
      <w:r>
        <w:rPr>
          <w:rFonts w:hint="eastAsia" w:ascii="黑体" w:hAnsi="黑体" w:eastAsia="黑体" w:cs="黑体"/>
          <w:b/>
          <w:bCs w:val="0"/>
          <w:color w:val="000000"/>
          <w:sz w:val="28"/>
          <w:szCs w:val="28"/>
          <w:highlight w:val="none"/>
          <w:lang w:eastAsia="zh-CN"/>
        </w:rPr>
        <w:t>（</w:t>
      </w:r>
      <w:r>
        <w:rPr>
          <w:rFonts w:hint="eastAsia" w:ascii="黑体" w:hAnsi="黑体" w:eastAsia="黑体" w:cs="黑体"/>
          <w:b/>
          <w:bCs w:val="0"/>
          <w:color w:val="000000"/>
          <w:sz w:val="28"/>
          <w:szCs w:val="28"/>
          <w:highlight w:val="none"/>
          <w:lang w:val="en-US" w:eastAsia="zh-CN"/>
        </w:rPr>
        <w:t>2024年度</w:t>
      </w:r>
      <w:r>
        <w:rPr>
          <w:rFonts w:hint="eastAsia" w:ascii="黑体" w:hAnsi="黑体" w:eastAsia="黑体" w:cs="黑体"/>
          <w:b/>
          <w:bCs w:val="0"/>
          <w:color w:val="000000"/>
          <w:sz w:val="28"/>
          <w:szCs w:val="28"/>
          <w:highlight w:val="none"/>
          <w:lang w:eastAsia="zh-CN"/>
        </w:rPr>
        <w:t>）</w:t>
      </w:r>
    </w:p>
    <w:p w14:paraId="215BFDF9">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2027A3E3">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398F9F52">
      <w:pPr>
        <w:pStyle w:val="6"/>
        <w:rPr>
          <w:rFonts w:hint="eastAsia" w:eastAsia="方正仿宋_GBK" w:cs="方正仿宋_GBK"/>
          <w:b/>
          <w:kern w:val="0"/>
          <w:sz w:val="32"/>
          <w:szCs w:val="32"/>
          <w:lang w:bidi="en-US"/>
        </w:rPr>
      </w:pPr>
    </w:p>
    <w:p w14:paraId="429EB192">
      <w:pPr>
        <w:rPr>
          <w:rFonts w:hint="eastAsia" w:eastAsia="方正仿宋_GBK" w:cs="方正仿宋_GBK"/>
          <w:b/>
          <w:kern w:val="0"/>
          <w:sz w:val="32"/>
          <w:szCs w:val="32"/>
          <w:lang w:bidi="en-US"/>
        </w:rPr>
      </w:pPr>
    </w:p>
    <w:p w14:paraId="37A7D524">
      <w:pPr>
        <w:pStyle w:val="6"/>
        <w:rPr>
          <w:rFonts w:hint="eastAsia"/>
        </w:rPr>
      </w:pPr>
    </w:p>
    <w:p w14:paraId="6B2CF2F5">
      <w:pPr>
        <w:pStyle w:val="6"/>
        <w:pageBreakBefore w:val="0"/>
        <w:widowControl w:val="0"/>
        <w:kinsoku/>
        <w:wordWrap/>
        <w:topLinePunct w:val="0"/>
        <w:autoSpaceDE/>
        <w:autoSpaceDN/>
        <w:bidi w:val="0"/>
        <w:spacing w:before="0" w:after="0" w:line="560" w:lineRule="exact"/>
        <w:ind w:left="0" w:leftChars="0" w:firstLine="643"/>
        <w:textAlignment w:val="auto"/>
        <w:rPr>
          <w:rFonts w:hint="eastAsia" w:eastAsia="方正仿宋_GBK" w:cs="方正仿宋_GBK"/>
          <w:b/>
          <w:sz w:val="32"/>
          <w:lang w:bidi="en-US"/>
        </w:rPr>
      </w:pPr>
    </w:p>
    <w:p w14:paraId="7D88E554">
      <w:pPr>
        <w:pageBreakBefore w:val="0"/>
        <w:widowControl w:val="0"/>
        <w:kinsoku/>
        <w:wordWrap/>
        <w:topLinePunct w:val="0"/>
        <w:autoSpaceDE/>
        <w:autoSpaceDN/>
        <w:bidi w:val="0"/>
        <w:spacing w:line="560" w:lineRule="exact"/>
        <w:ind w:left="0" w:leftChars="0" w:firstLine="560"/>
        <w:textAlignment w:val="auto"/>
        <w:rPr>
          <w:rFonts w:hint="eastAsia"/>
        </w:rPr>
      </w:pPr>
    </w:p>
    <w:p w14:paraId="2493D844">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kern w:val="0"/>
          <w:sz w:val="32"/>
          <w:szCs w:val="32"/>
          <w:lang w:bidi="en-US"/>
        </w:rPr>
      </w:pPr>
    </w:p>
    <w:p w14:paraId="14BB0611">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val="en-US" w:eastAsia="zh-CN" w:bidi="en-US"/>
        </w:rPr>
      </w:pPr>
      <w:r>
        <w:rPr>
          <w:rFonts w:hint="eastAsia" w:ascii="宋体" w:hAnsi="宋体" w:eastAsia="宋体" w:cs="宋体"/>
          <w:b/>
          <w:bCs/>
          <w:color w:val="000000"/>
          <w:kern w:val="0"/>
          <w:sz w:val="28"/>
          <w:szCs w:val="28"/>
          <w:highlight w:val="none"/>
          <w:lang w:bidi="en-US"/>
        </w:rPr>
        <w:t>项目名称：</w:t>
      </w:r>
      <w:r>
        <w:rPr>
          <w:rFonts w:hint="eastAsia" w:ascii="宋体" w:hAnsi="宋体" w:eastAsia="宋体" w:cs="宋体"/>
          <w:b/>
          <w:bCs/>
          <w:color w:val="000000"/>
          <w:kern w:val="0"/>
          <w:sz w:val="28"/>
          <w:szCs w:val="28"/>
          <w:highlight w:val="none"/>
          <w:lang w:val="en-US" w:eastAsia="zh-CN" w:bidi="en-US"/>
        </w:rPr>
        <w:t>2019年中央纺织服装专项资金运费补贴项目</w:t>
      </w:r>
    </w:p>
    <w:p w14:paraId="7D647884">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val="en-US" w:eastAsia="zh-CN" w:bidi="en-US"/>
        </w:rPr>
      </w:pPr>
      <w:r>
        <w:rPr>
          <w:rFonts w:hint="eastAsia" w:ascii="宋体" w:hAnsi="宋体" w:eastAsia="宋体" w:cs="宋体"/>
          <w:b/>
          <w:bCs/>
          <w:color w:val="000000"/>
          <w:kern w:val="0"/>
          <w:sz w:val="28"/>
          <w:szCs w:val="28"/>
          <w:highlight w:val="none"/>
          <w:lang w:bidi="en-US"/>
        </w:rPr>
        <w:t>项目单位：</w:t>
      </w:r>
      <w:r>
        <w:rPr>
          <w:rFonts w:hint="eastAsia" w:ascii="宋体" w:hAnsi="宋体" w:eastAsia="宋体" w:cs="宋体"/>
          <w:b/>
          <w:bCs/>
          <w:color w:val="000000"/>
          <w:kern w:val="0"/>
          <w:sz w:val="28"/>
          <w:szCs w:val="28"/>
          <w:highlight w:val="none"/>
          <w:lang w:val="en-US" w:eastAsia="zh-CN" w:bidi="en-US"/>
        </w:rPr>
        <w:t>洛浦县商务和工业信息化局</w:t>
      </w:r>
    </w:p>
    <w:p w14:paraId="2AAAFF11">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主管部门：</w:t>
      </w:r>
      <w:r>
        <w:rPr>
          <w:rFonts w:hint="eastAsia" w:ascii="宋体" w:hAnsi="宋体" w:eastAsia="宋体" w:cs="宋体"/>
          <w:b/>
          <w:bCs/>
          <w:color w:val="000000"/>
          <w:kern w:val="0"/>
          <w:sz w:val="28"/>
          <w:szCs w:val="28"/>
          <w:highlight w:val="none"/>
          <w:lang w:val="en-US" w:eastAsia="zh-CN" w:bidi="en-US"/>
        </w:rPr>
        <w:t>洛浦县商务和工业信息化局</w:t>
      </w:r>
      <w:r>
        <w:rPr>
          <w:rFonts w:hint="eastAsia" w:ascii="宋体" w:hAnsi="宋体" w:eastAsia="宋体" w:cs="宋体"/>
          <w:b/>
          <w:bCs/>
          <w:color w:val="000000"/>
          <w:kern w:val="0"/>
          <w:sz w:val="28"/>
          <w:szCs w:val="28"/>
          <w:highlight w:val="none"/>
          <w:lang w:bidi="en-US"/>
        </w:rPr>
        <w:t>（本级）</w:t>
      </w:r>
    </w:p>
    <w:p w14:paraId="4805684C">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val="en-US" w:eastAsia="zh-CN" w:bidi="en-US"/>
        </w:rPr>
      </w:pPr>
      <w:r>
        <w:rPr>
          <w:rFonts w:hint="eastAsia" w:ascii="宋体" w:hAnsi="宋体" w:eastAsia="宋体" w:cs="宋体"/>
          <w:b/>
          <w:bCs/>
          <w:color w:val="000000"/>
          <w:kern w:val="0"/>
          <w:sz w:val="28"/>
          <w:szCs w:val="28"/>
          <w:highlight w:val="none"/>
          <w:lang w:bidi="en-US"/>
        </w:rPr>
        <w:t>项目负责人：</w:t>
      </w:r>
      <w:r>
        <w:rPr>
          <w:rFonts w:hint="eastAsia" w:ascii="宋体" w:hAnsi="宋体" w:eastAsia="宋体" w:cs="宋体"/>
          <w:b/>
          <w:bCs/>
          <w:color w:val="000000"/>
          <w:kern w:val="0"/>
          <w:sz w:val="28"/>
          <w:szCs w:val="28"/>
          <w:highlight w:val="none"/>
          <w:lang w:val="en-US" w:eastAsia="zh-CN" w:bidi="en-US"/>
        </w:rPr>
        <w:t>李军宏</w:t>
      </w:r>
    </w:p>
    <w:p w14:paraId="5D16AC93">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填报时间：</w:t>
      </w:r>
      <w:r>
        <w:rPr>
          <w:rFonts w:hint="eastAsia" w:ascii="宋体" w:hAnsi="宋体" w:eastAsia="宋体" w:cs="宋体"/>
          <w:b/>
          <w:bCs/>
          <w:color w:val="000000"/>
          <w:kern w:val="0"/>
          <w:sz w:val="28"/>
          <w:szCs w:val="28"/>
          <w:highlight w:val="none"/>
          <w:lang w:val="en-US" w:eastAsia="zh-CN" w:bidi="en-US"/>
        </w:rPr>
        <w:t>2025年3月25</w:t>
      </w:r>
      <w:r>
        <w:rPr>
          <w:rFonts w:hint="eastAsia" w:ascii="宋体" w:hAnsi="宋体" w:eastAsia="宋体" w:cs="宋体"/>
          <w:b/>
          <w:bCs/>
          <w:color w:val="000000"/>
          <w:kern w:val="0"/>
          <w:sz w:val="28"/>
          <w:szCs w:val="28"/>
          <w:highlight w:val="none"/>
          <w:lang w:bidi="en-US"/>
        </w:rPr>
        <w:t>日</w:t>
      </w:r>
    </w:p>
    <w:p w14:paraId="11DAC255">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b/>
          <w:kern w:val="0"/>
          <w:sz w:val="28"/>
          <w:szCs w:val="28"/>
          <w:lang w:bidi="en-US"/>
        </w:rPr>
      </w:pPr>
    </w:p>
    <w:p w14:paraId="5562592C">
      <w:pPr>
        <w:pStyle w:val="4"/>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480" w:firstLineChars="200"/>
        <w:jc w:val="both"/>
        <w:textAlignment w:val="auto"/>
        <w:rPr>
          <w:rFonts w:hint="eastAsia" w:ascii="黑体" w:hAnsi="黑体" w:eastAsia="黑体" w:cs="黑体"/>
          <w:color w:val="000000"/>
          <w:sz w:val="24"/>
          <w:szCs w:val="24"/>
          <w:highlight w:val="none"/>
        </w:rPr>
      </w:pPr>
      <w:r>
        <w:rPr>
          <w:rFonts w:hint="eastAsia" w:ascii="黑体" w:hAnsi="黑体" w:eastAsia="黑体" w:cs="黑体"/>
          <w:color w:val="000000"/>
          <w:sz w:val="24"/>
          <w:szCs w:val="24"/>
          <w:highlight w:val="none"/>
          <w:lang w:val="en-US" w:eastAsia="zh-CN"/>
        </w:rPr>
        <w:t>一、</w:t>
      </w:r>
      <w:r>
        <w:rPr>
          <w:rFonts w:hint="eastAsia" w:ascii="黑体" w:hAnsi="黑体" w:eastAsia="黑体" w:cs="黑体"/>
          <w:color w:val="000000"/>
          <w:sz w:val="24"/>
          <w:szCs w:val="24"/>
          <w:highlight w:val="none"/>
        </w:rPr>
        <w:t>基本情况</w:t>
      </w:r>
    </w:p>
    <w:p w14:paraId="42C7261B">
      <w:pPr>
        <w:pStyle w:val="48"/>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bookmarkStart w:id="0" w:name="_Toc68364658"/>
      <w:r>
        <w:rPr>
          <w:rFonts w:hint="eastAsia" w:ascii="宋体" w:hAnsi="宋体" w:eastAsia="宋体" w:cs="宋体"/>
          <w:color w:val="000000"/>
          <w:sz w:val="24"/>
          <w:szCs w:val="24"/>
          <w:highlight w:val="none"/>
          <w:lang w:eastAsia="zh-CN"/>
        </w:rPr>
        <w:t>（一）</w:t>
      </w:r>
      <w:r>
        <w:rPr>
          <w:rFonts w:hint="eastAsia" w:ascii="宋体" w:hAnsi="宋体" w:eastAsia="宋体" w:cs="宋体"/>
          <w:color w:val="000000"/>
          <w:sz w:val="24"/>
          <w:szCs w:val="24"/>
          <w:highlight w:val="none"/>
        </w:rPr>
        <w:t>项目概况</w:t>
      </w:r>
      <w:bookmarkEnd w:id="0"/>
    </w:p>
    <w:p w14:paraId="4162033B">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1.项目背景</w:t>
      </w:r>
    </w:p>
    <w:p w14:paraId="54350067">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为</w:t>
      </w:r>
      <w:r>
        <w:rPr>
          <w:rFonts w:hint="eastAsia" w:ascii="宋体" w:hAnsi="宋体" w:eastAsia="宋体" w:cs="宋体"/>
          <w:sz w:val="24"/>
          <w:szCs w:val="24"/>
          <w:highlight w:val="none"/>
          <w:lang w:val="en-US" w:eastAsia="zh-CN"/>
        </w:rPr>
        <w:t xml:space="preserve">促进南疆四地州纺织服装等劳动密集型企业发展安排此项目。 </w:t>
      </w:r>
    </w:p>
    <w:p w14:paraId="2DC5C647">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2.</w:t>
      </w:r>
      <w:r>
        <w:rPr>
          <w:rFonts w:hint="eastAsia" w:ascii="宋体" w:hAnsi="宋体" w:eastAsia="宋体" w:cs="宋体"/>
          <w:b/>
          <w:bCs/>
          <w:color w:val="000000"/>
          <w:sz w:val="24"/>
          <w:szCs w:val="24"/>
          <w:highlight w:val="none"/>
        </w:rPr>
        <w:t>主要内容及实施情况</w:t>
      </w:r>
    </w:p>
    <w:p w14:paraId="3CC2242A">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1）主要内容</w:t>
      </w:r>
    </w:p>
    <w:p w14:paraId="1588E071">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补贴3家纺织服装企业运输和用电，补贴运输棉纱标准800元/吨，纺织服装企业运费给予4%补贴、企业用电补贴标准0.03元/千瓦时，贷款贴息给予50%补贴。通过项目实施，降低企业经营成本，促进纺织服装企业健康发展。</w:t>
      </w:r>
    </w:p>
    <w:p w14:paraId="26C21D4D">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（2）实施情况</w:t>
      </w:r>
    </w:p>
    <w:p w14:paraId="04562E2D">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1）项目实施主体</w:t>
      </w:r>
    </w:p>
    <w:p w14:paraId="0350AB5B">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本项目主管部门为洛浦县商务和工业信息化局，实施单位为洛浦县商务和工业信息化局。</w:t>
      </w:r>
    </w:p>
    <w:p w14:paraId="66CFD3D5">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2）项目实施时间</w:t>
      </w:r>
    </w:p>
    <w:p w14:paraId="3C8D44AE">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2024年1月-2024年12月</w:t>
      </w:r>
    </w:p>
    <w:p w14:paraId="6FD60064">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3）项目实施情况</w:t>
      </w:r>
    </w:p>
    <w:p w14:paraId="51C878CB">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本</w:t>
      </w:r>
      <w:r>
        <w:rPr>
          <w:rFonts w:hint="eastAsia" w:ascii="宋体" w:hAnsi="宋体" w:eastAsia="宋体" w:cs="宋体"/>
          <w:sz w:val="24"/>
          <w:szCs w:val="24"/>
          <w:highlight w:val="none"/>
          <w:lang w:val="en-US" w:eastAsia="zh-CN"/>
        </w:rPr>
        <w:t>项目</w:t>
      </w:r>
      <w:r>
        <w:rPr>
          <w:rFonts w:hint="default" w:ascii="宋体" w:hAnsi="宋体" w:eastAsia="宋体" w:cs="宋体"/>
          <w:sz w:val="24"/>
          <w:szCs w:val="24"/>
          <w:highlight w:val="none"/>
          <w:lang w:val="en-US" w:eastAsia="zh-CN"/>
        </w:rPr>
        <w:t>于202</w:t>
      </w:r>
      <w:r>
        <w:rPr>
          <w:rFonts w:hint="eastAsia" w:ascii="宋体" w:hAnsi="宋体" w:eastAsia="宋体" w:cs="宋体"/>
          <w:sz w:val="24"/>
          <w:szCs w:val="24"/>
          <w:highlight w:val="none"/>
          <w:lang w:val="en-US" w:eastAsia="zh-CN"/>
        </w:rPr>
        <w:t>4</w:t>
      </w:r>
      <w:r>
        <w:rPr>
          <w:rFonts w:hint="default" w:ascii="宋体" w:hAnsi="宋体" w:eastAsia="宋体" w:cs="宋体"/>
          <w:sz w:val="24"/>
          <w:szCs w:val="24"/>
          <w:highlight w:val="none"/>
          <w:lang w:val="en-US" w:eastAsia="zh-CN"/>
        </w:rPr>
        <w:t>年12月</w:t>
      </w:r>
      <w:r>
        <w:rPr>
          <w:rFonts w:hint="eastAsia" w:ascii="宋体" w:hAnsi="宋体" w:eastAsia="宋体" w:cs="宋体"/>
          <w:sz w:val="24"/>
          <w:szCs w:val="24"/>
          <w:highlight w:val="none"/>
          <w:lang w:val="en-US" w:eastAsia="zh-CN"/>
        </w:rPr>
        <w:t>31</w:t>
      </w:r>
      <w:r>
        <w:rPr>
          <w:rFonts w:hint="default" w:ascii="宋体" w:hAnsi="宋体" w:eastAsia="宋体" w:cs="宋体"/>
          <w:sz w:val="24"/>
          <w:szCs w:val="24"/>
          <w:highlight w:val="none"/>
          <w:lang w:val="en-US" w:eastAsia="zh-CN"/>
        </w:rPr>
        <w:t>日前全部完工。</w:t>
      </w:r>
    </w:p>
    <w:p w14:paraId="5D261D70">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本项</w:t>
      </w:r>
      <w:r>
        <w:rPr>
          <w:rFonts w:hint="eastAsia" w:ascii="宋体" w:hAnsi="宋体" w:eastAsia="宋体" w:cs="宋体"/>
          <w:sz w:val="24"/>
          <w:szCs w:val="24"/>
          <w:highlight w:val="none"/>
          <w:lang w:val="en-US" w:eastAsia="zh-CN"/>
        </w:rPr>
        <w:t>目根据《关于调整优化自治区棉花及纺织服装产业政策的通知》（新政办发【2024】16号）文件，补贴标准进行实施。</w:t>
      </w:r>
    </w:p>
    <w:p w14:paraId="62E73CAA">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rPr>
        <w:t>.资金投入和使用情况</w:t>
      </w:r>
    </w:p>
    <w:p w14:paraId="112B8795">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（1）项目资金安排</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rPr>
        <w:t>投入情况</w:t>
      </w:r>
    </w:p>
    <w:p w14:paraId="7FBFA7D8">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本项目预算安排总额为</w:t>
      </w:r>
      <w:r>
        <w:rPr>
          <w:rFonts w:hint="eastAsia" w:ascii="宋体" w:hAnsi="宋体" w:eastAsia="宋体" w:cs="宋体"/>
          <w:color w:val="000000"/>
          <w:sz w:val="24"/>
          <w:szCs w:val="24"/>
          <w:highlight w:val="none"/>
          <w:lang w:val="en-US" w:eastAsia="zh-CN"/>
        </w:rPr>
        <w:t>235.85</w:t>
      </w:r>
      <w:r>
        <w:rPr>
          <w:rFonts w:hint="eastAsia" w:ascii="宋体" w:hAnsi="宋体" w:eastAsia="宋体" w:cs="宋体"/>
          <w:color w:val="000000"/>
          <w:sz w:val="24"/>
          <w:szCs w:val="24"/>
          <w:highlight w:val="none"/>
        </w:rPr>
        <w:t>万元，资金来源为</w:t>
      </w:r>
      <w:r>
        <w:rPr>
          <w:rFonts w:hint="eastAsia" w:ascii="宋体" w:hAnsi="宋体" w:eastAsia="宋体" w:cs="宋体"/>
          <w:color w:val="000000"/>
          <w:sz w:val="24"/>
          <w:szCs w:val="24"/>
          <w:highlight w:val="none"/>
          <w:lang w:val="en-US" w:eastAsia="zh-CN"/>
        </w:rPr>
        <w:t>存量</w:t>
      </w:r>
      <w:r>
        <w:rPr>
          <w:rFonts w:hint="eastAsia" w:ascii="宋体" w:hAnsi="宋体" w:eastAsia="宋体" w:cs="宋体"/>
          <w:color w:val="000000"/>
          <w:sz w:val="24"/>
          <w:szCs w:val="24"/>
          <w:highlight w:val="none"/>
        </w:rPr>
        <w:t>资金，其中：财政资金</w:t>
      </w:r>
      <w:r>
        <w:rPr>
          <w:rFonts w:hint="eastAsia" w:ascii="宋体" w:hAnsi="宋体" w:eastAsia="宋体" w:cs="宋体"/>
          <w:color w:val="000000"/>
          <w:sz w:val="24"/>
          <w:szCs w:val="24"/>
          <w:highlight w:val="none"/>
          <w:lang w:val="en-US" w:eastAsia="zh-CN"/>
        </w:rPr>
        <w:t>235.85</w:t>
      </w:r>
      <w:r>
        <w:rPr>
          <w:rFonts w:hint="eastAsia" w:ascii="宋体" w:hAnsi="宋体" w:eastAsia="宋体" w:cs="宋体"/>
          <w:color w:val="000000"/>
          <w:sz w:val="24"/>
          <w:szCs w:val="24"/>
          <w:highlight w:val="none"/>
        </w:rPr>
        <w:t>万元，其他资金</w:t>
      </w:r>
      <w:r>
        <w:rPr>
          <w:rFonts w:hint="eastAsia" w:ascii="宋体" w:hAnsi="宋体" w:eastAsia="宋体" w:cs="宋体"/>
          <w:color w:val="000000"/>
          <w:sz w:val="24"/>
          <w:szCs w:val="24"/>
          <w:highlight w:val="none"/>
          <w:lang w:val="en-US" w:eastAsia="zh-CN"/>
        </w:rPr>
        <w:t>0</w:t>
      </w:r>
      <w:r>
        <w:rPr>
          <w:rFonts w:hint="eastAsia" w:ascii="宋体" w:hAnsi="宋体" w:eastAsia="宋体" w:cs="宋体"/>
          <w:color w:val="000000"/>
          <w:sz w:val="24"/>
          <w:szCs w:val="24"/>
          <w:highlight w:val="none"/>
        </w:rPr>
        <w:t>万元，202</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年实际收到预算资金</w:t>
      </w:r>
      <w:r>
        <w:rPr>
          <w:rFonts w:hint="eastAsia" w:ascii="宋体" w:hAnsi="宋体" w:eastAsia="宋体" w:cs="宋体"/>
          <w:color w:val="000000"/>
          <w:sz w:val="24"/>
          <w:szCs w:val="24"/>
          <w:highlight w:val="none"/>
          <w:lang w:val="en-US" w:eastAsia="zh-CN"/>
        </w:rPr>
        <w:t>235.85</w:t>
      </w:r>
      <w:r>
        <w:rPr>
          <w:rFonts w:hint="eastAsia" w:ascii="宋体" w:hAnsi="宋体" w:eastAsia="宋体" w:cs="宋体"/>
          <w:color w:val="000000"/>
          <w:sz w:val="24"/>
          <w:szCs w:val="24"/>
          <w:highlight w:val="none"/>
        </w:rPr>
        <w:t>万元，预算资金到位率为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w:t>
      </w:r>
    </w:p>
    <w:p w14:paraId="4DBD7681">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bookmarkStart w:id="1" w:name="_Toc68364659"/>
      <w:r>
        <w:rPr>
          <w:rFonts w:hint="eastAsia" w:ascii="宋体" w:hAnsi="宋体" w:eastAsia="宋体" w:cs="宋体"/>
          <w:b w:val="0"/>
          <w:bCs w:val="0"/>
          <w:color w:val="000000"/>
          <w:sz w:val="24"/>
          <w:szCs w:val="24"/>
          <w:highlight w:val="none"/>
        </w:rPr>
        <w:t>（2）项目资金实际使用情况分析</w:t>
      </w:r>
    </w:p>
    <w:p w14:paraId="5758ED8B">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本项目实际支付资金</w:t>
      </w:r>
      <w:r>
        <w:rPr>
          <w:rFonts w:hint="eastAsia" w:ascii="宋体" w:hAnsi="宋体" w:eastAsia="宋体" w:cs="宋体"/>
          <w:color w:val="000000"/>
          <w:sz w:val="24"/>
          <w:szCs w:val="24"/>
          <w:highlight w:val="none"/>
          <w:lang w:val="en-US" w:eastAsia="zh-CN"/>
        </w:rPr>
        <w:t>235.85</w:t>
      </w:r>
      <w:r>
        <w:rPr>
          <w:rFonts w:hint="eastAsia" w:ascii="宋体" w:hAnsi="宋体" w:eastAsia="宋体" w:cs="宋体"/>
          <w:color w:val="000000"/>
          <w:sz w:val="24"/>
          <w:szCs w:val="24"/>
          <w:highlight w:val="none"/>
        </w:rPr>
        <w:t>万元，预算执行率</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%。本项目资金主要用于</w:t>
      </w:r>
      <w:r>
        <w:rPr>
          <w:rFonts w:hint="eastAsia" w:ascii="宋体" w:hAnsi="宋体" w:eastAsia="宋体" w:cs="宋体"/>
          <w:color w:val="000000"/>
          <w:sz w:val="24"/>
          <w:szCs w:val="24"/>
          <w:highlight w:val="none"/>
          <w:lang w:val="en-US" w:eastAsia="zh-CN"/>
        </w:rPr>
        <w:t>纺织服装企业给予运费及电费补贴。</w:t>
      </w:r>
    </w:p>
    <w:p w14:paraId="21861DBE">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（二）项目绩效目标</w:t>
      </w:r>
      <w:bookmarkEnd w:id="1"/>
    </w:p>
    <w:p w14:paraId="0BFB0A34">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项目绩效目标包括项目总</w:t>
      </w:r>
      <w:r>
        <w:rPr>
          <w:rFonts w:hint="eastAsia" w:ascii="宋体" w:hAnsi="宋体" w:eastAsia="宋体" w:cs="宋体"/>
          <w:color w:val="000000"/>
          <w:sz w:val="24"/>
          <w:szCs w:val="24"/>
          <w:highlight w:val="none"/>
          <w:lang w:val="en-US" w:eastAsia="zh-CN"/>
        </w:rPr>
        <w:t>体</w:t>
      </w:r>
      <w:r>
        <w:rPr>
          <w:rFonts w:hint="eastAsia" w:ascii="宋体" w:hAnsi="宋体" w:eastAsia="宋体" w:cs="宋体"/>
          <w:color w:val="000000"/>
          <w:sz w:val="24"/>
          <w:szCs w:val="24"/>
          <w:highlight w:val="none"/>
        </w:rPr>
        <w:t>目标和阶段性目标。</w:t>
      </w:r>
    </w:p>
    <w:p w14:paraId="589E10DF">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1.总</w:t>
      </w:r>
      <w:r>
        <w:rPr>
          <w:rFonts w:hint="eastAsia" w:ascii="宋体" w:hAnsi="宋体" w:eastAsia="宋体" w:cs="宋体"/>
          <w:b/>
          <w:bCs/>
          <w:sz w:val="24"/>
          <w:szCs w:val="24"/>
          <w:lang w:val="en-US" w:eastAsia="zh-CN"/>
        </w:rPr>
        <w:t>体</w:t>
      </w:r>
      <w:r>
        <w:rPr>
          <w:rFonts w:hint="eastAsia" w:ascii="宋体" w:hAnsi="宋体" w:eastAsia="宋体" w:cs="宋体"/>
          <w:b/>
          <w:bCs/>
          <w:sz w:val="24"/>
          <w:szCs w:val="24"/>
        </w:rPr>
        <w:t>目标</w:t>
      </w:r>
    </w:p>
    <w:p w14:paraId="617508D0">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2019年中央纺织服装专项资金（第二批）运费补贴》（和地财建【2019】178号）文件实施此项目，项目主要内容为：补贴3家纺织服装企业运输和用电，补贴运输棉纱标准800元/吨，纺织服装企业运费给予4%补贴、企业用电补贴标准0.03元/千瓦时，贷款贴息给予50%补贴。通过项目实施，降低企业经营成本，促进纺织服装企业健康发展。</w:t>
      </w:r>
    </w:p>
    <w:p w14:paraId="35C3CBF9">
      <w:pPr>
        <w:pStyle w:val="45"/>
        <w:pageBreakBefore w:val="0"/>
        <w:widowControl w:val="0"/>
        <w:numPr>
          <w:ilvl w:val="0"/>
          <w:numId w:val="1"/>
        </w:numPr>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阶段性目标</w:t>
      </w:r>
    </w:p>
    <w:p w14:paraId="31386DED">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rPr>
      </w:pPr>
      <w:bookmarkStart w:id="2" w:name="_Toc68364660"/>
      <w:r>
        <w:rPr>
          <w:rFonts w:hint="eastAsia" w:ascii="宋体" w:hAnsi="宋体" w:eastAsia="宋体" w:cs="宋体"/>
          <w:color w:val="000000"/>
          <w:sz w:val="24"/>
          <w:szCs w:val="24"/>
          <w:highlight w:val="none"/>
          <w:lang w:val="en-US" w:eastAsia="zh-CN"/>
        </w:rPr>
        <w:t>我</w:t>
      </w:r>
      <w:r>
        <w:rPr>
          <w:rFonts w:hint="eastAsia" w:ascii="宋体" w:hAnsi="宋体" w:eastAsia="宋体" w:cs="宋体"/>
          <w:color w:val="000000"/>
          <w:sz w:val="24"/>
          <w:szCs w:val="24"/>
          <w:highlight w:val="none"/>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0A8DB4AE">
      <w:pPr>
        <w:pStyle w:val="45"/>
        <w:pageBreakBefore w:val="0"/>
        <w:widowControl w:val="0"/>
        <w:numPr>
          <w:ilvl w:val="0"/>
          <w:numId w:val="2"/>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产出指标</w:t>
      </w:r>
    </w:p>
    <w:p w14:paraId="1CA83DB1">
      <w:pPr>
        <w:pStyle w:val="45"/>
        <w:pageBreakBefore w:val="0"/>
        <w:widowControl w:val="0"/>
        <w:numPr>
          <w:ilvl w:val="0"/>
          <w:numId w:val="3"/>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数量指标:</w:t>
      </w:r>
    </w:p>
    <w:p w14:paraId="020B7AF6">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：补贴纺织服装企业数量</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w:t>
      </w:r>
      <w:r>
        <w:rPr>
          <w:rFonts w:hint="eastAsia" w:ascii="宋体" w:hAnsi="宋体" w:eastAsia="宋体" w:cs="宋体"/>
          <w:color w:val="auto"/>
          <w:sz w:val="24"/>
          <w:szCs w:val="24"/>
          <w:lang w:val="en-US" w:eastAsia="zh-CN"/>
        </w:rPr>
        <w:t>≥3家</w:t>
      </w:r>
      <w:r>
        <w:rPr>
          <w:rFonts w:hint="eastAsia" w:ascii="宋体" w:hAnsi="宋体" w:eastAsia="宋体" w:cs="宋体"/>
          <w:color w:val="auto"/>
          <w:sz w:val="24"/>
          <w:szCs w:val="24"/>
        </w:rPr>
        <w:t>；</w:t>
      </w:r>
    </w:p>
    <w:p w14:paraId="16F77DEC">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2）质量指标：</w:t>
      </w:r>
    </w:p>
    <w:p w14:paraId="2AA2A9CA">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：资金使用合规率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6AC60DB9">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3）时效</w:t>
      </w:r>
      <w:r>
        <w:rPr>
          <w:rFonts w:hint="eastAsia" w:ascii="宋体" w:hAnsi="宋体" w:eastAsia="宋体" w:cs="宋体"/>
          <w:color w:val="auto"/>
          <w:sz w:val="24"/>
          <w:szCs w:val="24"/>
          <w:lang w:val="en-US" w:eastAsia="zh-CN"/>
        </w:rPr>
        <w:t>指标</w:t>
      </w:r>
      <w:r>
        <w:rPr>
          <w:rFonts w:hint="eastAsia" w:ascii="宋体" w:hAnsi="宋体" w:eastAsia="宋体" w:cs="宋体"/>
          <w:color w:val="auto"/>
          <w:sz w:val="24"/>
          <w:szCs w:val="24"/>
        </w:rPr>
        <w:t>：</w:t>
      </w:r>
    </w:p>
    <w:p w14:paraId="29D8C5B2">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指标1：项目完成时间</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val="en-US" w:eastAsia="zh-CN"/>
        </w:rPr>
        <w:t>2024年12月</w:t>
      </w:r>
    </w:p>
    <w:p w14:paraId="32D52954">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指标2：资金支付及时率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6A6E923F">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（2）成本指标：</w:t>
      </w:r>
    </w:p>
    <w:p w14:paraId="109D4141">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1）经济成本指标</w:t>
      </w:r>
    </w:p>
    <w:p w14:paraId="3223325F">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指标1：项目总投资，预期指标值≤235.85万元；</w:t>
      </w:r>
    </w:p>
    <w:p w14:paraId="1FBDF7CC">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2）社会成本指标：</w:t>
      </w:r>
    </w:p>
    <w:p w14:paraId="3A3381D2">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该项目无社会成本指标；</w:t>
      </w:r>
    </w:p>
    <w:p w14:paraId="2EA0CFEE">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3）生态成本指标;</w:t>
      </w:r>
    </w:p>
    <w:p w14:paraId="75DA9D40">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该项目无生态成本指标；</w:t>
      </w:r>
    </w:p>
    <w:p w14:paraId="4E5B07B5">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（3）效益指标</w:t>
      </w:r>
    </w:p>
    <w:p w14:paraId="763D7F7F">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1）经济效益指标：</w:t>
      </w:r>
    </w:p>
    <w:p w14:paraId="73CA75EC">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该项目无经济效益指标；</w:t>
      </w:r>
    </w:p>
    <w:p w14:paraId="703EA234">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2）社会效益指标：</w:t>
      </w:r>
    </w:p>
    <w:p w14:paraId="0CD6D95E">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指标1：促进纺织服装企业健康发展，预期指标值为有效促进；</w:t>
      </w:r>
    </w:p>
    <w:p w14:paraId="51C50532">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3）生态效益指标：</w:t>
      </w:r>
    </w:p>
    <w:p w14:paraId="1B174EE8">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该项目无生态效益指标；</w:t>
      </w:r>
    </w:p>
    <w:p w14:paraId="57B80B85">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（4）服务对象满意度指标：</w:t>
      </w:r>
    </w:p>
    <w:p w14:paraId="52633BEB">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指标1：受益企业满意度，预期指标值≥95%。</w:t>
      </w:r>
    </w:p>
    <w:p w14:paraId="224A15A4">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二、绩效评价工作开展情况</w:t>
      </w:r>
      <w:bookmarkEnd w:id="2"/>
    </w:p>
    <w:p w14:paraId="6ABA813B">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3" w:name="_Toc68364661"/>
      <w:r>
        <w:rPr>
          <w:rFonts w:hint="eastAsia" w:ascii="宋体" w:hAnsi="宋体" w:eastAsia="宋体" w:cs="宋体"/>
          <w:sz w:val="24"/>
          <w:szCs w:val="24"/>
        </w:rPr>
        <w:t>（一）绩效评价目的、对象和范围</w:t>
      </w:r>
      <w:bookmarkEnd w:id="3"/>
    </w:p>
    <w:p w14:paraId="65807A19">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绩效评价目的</w:t>
      </w:r>
    </w:p>
    <w:p w14:paraId="2061E606">
      <w:pPr>
        <w:pageBreakBefore w:val="0"/>
        <w:widowControl w:val="0"/>
        <w:kinsoku/>
        <w:wordWrap/>
        <w:topLinePunct w:val="0"/>
        <w:autoSpaceDE/>
        <w:autoSpaceDN/>
        <w:bidi w:val="0"/>
        <w:spacing w:line="56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本次绩效评价遵循财政部《项目支出绩效评价管理办法》（财预〔2020〕10号）《自治区财政支出绩效评价管理暂行办法》（新财预〔2018〕189号）</w:t>
      </w:r>
      <w:r>
        <w:rPr>
          <w:rFonts w:hint="eastAsia" w:ascii="宋体" w:hAnsi="宋体" w:eastAsia="宋体" w:cs="宋体"/>
          <w:sz w:val="24"/>
          <w:szCs w:val="24"/>
          <w:lang w:val="en-US" w:eastAsia="zh-CN"/>
        </w:rPr>
        <w:t>及</w:t>
      </w:r>
      <w:r>
        <w:rPr>
          <w:rFonts w:hint="eastAsia" w:ascii="宋体" w:hAnsi="宋体" w:eastAsia="宋体" w:cs="宋体"/>
          <w:sz w:val="24"/>
          <w:szCs w:val="24"/>
        </w:rPr>
        <w:t>自治区财政厅《关于印发〈自治区项目支出绩效目标设置指引〉的通知》（新财预〔2022〕42号）等相关政策文件与规定，对</w:t>
      </w:r>
      <w:r>
        <w:rPr>
          <w:rFonts w:hint="eastAsia" w:ascii="宋体" w:hAnsi="宋体" w:eastAsia="宋体" w:cs="宋体"/>
          <w:sz w:val="24"/>
          <w:szCs w:val="24"/>
          <w:lang w:val="en-US" w:eastAsia="zh-CN"/>
        </w:rPr>
        <w:t>2019年中央纺织服装专项资金运费补贴项目</w:t>
      </w:r>
      <w:r>
        <w:rPr>
          <w:rFonts w:hint="eastAsia" w:ascii="宋体" w:hAnsi="宋体" w:eastAsia="宋体" w:cs="宋体"/>
          <w:sz w:val="24"/>
          <w:szCs w:val="24"/>
        </w:rPr>
        <w:t>开展本次部门项目支出绩效评价工作。全面了解</w:t>
      </w:r>
      <w:r>
        <w:rPr>
          <w:rFonts w:hint="eastAsia" w:ascii="宋体" w:hAnsi="宋体" w:eastAsia="宋体" w:cs="宋体"/>
          <w:sz w:val="24"/>
          <w:szCs w:val="24"/>
          <w:lang w:val="en-US" w:eastAsia="zh-CN"/>
        </w:rPr>
        <w:t>2019年中央纺织服装专项资金运费补贴项目</w:t>
      </w:r>
      <w:r>
        <w:rPr>
          <w:rFonts w:hint="eastAsia" w:ascii="宋体" w:hAnsi="宋体" w:eastAsia="宋体" w:cs="宋体"/>
          <w:sz w:val="24"/>
          <w:szCs w:val="24"/>
        </w:rPr>
        <w:t>项目预算编制合理性、资金使用合规性、项目管理的规范性、项目目标的实现情况、服务对象的满意度等项目实施前期、过程及</w:t>
      </w:r>
      <w:r>
        <w:rPr>
          <w:rFonts w:hint="eastAsia" w:ascii="宋体" w:hAnsi="宋体" w:eastAsia="宋体" w:cs="宋体"/>
          <w:sz w:val="24"/>
          <w:szCs w:val="24"/>
          <w:lang w:val="en-US" w:eastAsia="zh-CN"/>
        </w:rPr>
        <w:t>实施</w:t>
      </w:r>
      <w:r>
        <w:rPr>
          <w:rFonts w:hint="eastAsia" w:ascii="宋体" w:hAnsi="宋体" w:eastAsia="宋体" w:cs="宋体"/>
          <w:sz w:val="24"/>
          <w:szCs w:val="24"/>
        </w:rPr>
        <w:t>效果</w:t>
      </w:r>
      <w:r>
        <w:rPr>
          <w:rFonts w:hint="eastAsia" w:ascii="宋体" w:hAnsi="宋体" w:eastAsia="宋体" w:cs="宋体"/>
          <w:sz w:val="24"/>
          <w:szCs w:val="24"/>
          <w:lang w:val="en-US" w:eastAsia="zh-CN"/>
        </w:rPr>
        <w:t>情况。</w:t>
      </w:r>
    </w:p>
    <w:p w14:paraId="38433CD0">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2A8EAF83">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3E771150">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方正仿宋_GBK" w:hAnsi="方正仿宋_GBK" w:eastAsia="方正仿宋_GBK" w:cs="方正仿宋_GBK"/>
          <w:b/>
          <w:bCs/>
          <w:color w:val="auto"/>
          <w:sz w:val="32"/>
          <w:szCs w:val="32"/>
          <w:highlight w:val="none"/>
        </w:rPr>
      </w:pPr>
      <w:r>
        <w:rPr>
          <w:rFonts w:hint="eastAsia" w:ascii="宋体" w:hAnsi="宋体" w:eastAsia="宋体" w:cs="宋体"/>
          <w:sz w:val="24"/>
          <w:szCs w:val="24"/>
          <w:lang w:val="en-US" w:eastAsia="zh-CN"/>
        </w:rPr>
        <w:t>同时，通过部门项目支出绩效评价，可促进本单位发现预算项目管理中的问题、总结经验、改进工作，以提高</w:t>
      </w:r>
      <w:r>
        <w:rPr>
          <w:rFonts w:hint="eastAsia" w:ascii="宋体" w:hAnsi="宋体" w:eastAsia="宋体" w:cs="宋体"/>
          <w:sz w:val="24"/>
          <w:szCs w:val="24"/>
        </w:rPr>
        <w:t>财政预算资金使用的效率及效益。</w:t>
      </w:r>
    </w:p>
    <w:p w14:paraId="675E057C">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 绩效评价对象</w:t>
      </w:r>
    </w:p>
    <w:p w14:paraId="566F09E3">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sz w:val="24"/>
          <w:szCs w:val="24"/>
          <w:lang w:val="en-US" w:eastAsia="zh-CN"/>
        </w:rPr>
        <w:t>2019年中央纺织服装专项资金运费补贴项目</w:t>
      </w:r>
      <w:r>
        <w:rPr>
          <w:rFonts w:hint="eastAsia" w:ascii="宋体" w:hAnsi="宋体" w:eastAsia="宋体" w:cs="宋体"/>
          <w:color w:val="auto"/>
          <w:sz w:val="24"/>
          <w:szCs w:val="24"/>
          <w:highlight w:val="none"/>
        </w:rPr>
        <w:t>项目为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2EE2387C">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3. 绩效评价范围</w:t>
      </w:r>
    </w:p>
    <w:p w14:paraId="0CA89248">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本次绩效评价主要围绕</w:t>
      </w:r>
      <w:r>
        <w:rPr>
          <w:rFonts w:hint="eastAsia" w:ascii="宋体" w:hAnsi="宋体" w:eastAsia="宋体" w:cs="宋体"/>
          <w:color w:val="000000"/>
          <w:sz w:val="24"/>
          <w:szCs w:val="24"/>
          <w:highlight w:val="none"/>
          <w:lang w:val="en-US" w:eastAsia="zh-CN"/>
        </w:rPr>
        <w:t>2019年中央纺织服装专项资金运费补贴项目</w:t>
      </w:r>
      <w:r>
        <w:rPr>
          <w:rFonts w:hint="eastAsia" w:ascii="宋体" w:hAnsi="宋体" w:eastAsia="宋体" w:cs="宋体"/>
          <w:color w:val="000000"/>
          <w:sz w:val="24"/>
          <w:szCs w:val="24"/>
          <w:highlight w:val="none"/>
        </w:rPr>
        <w:t>决策、项目资金管理、项目实施过程管理，以及项目实施所带来的产出和效果等内容，进行综合评价。范围涵盖项目总体绩效目标、各项绩效指标完成情况以及预算执行情况</w:t>
      </w:r>
      <w:bookmarkStart w:id="4" w:name="_Toc68364662"/>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覆盖预算资金支出项目的所有内容进行评价。</w:t>
      </w:r>
    </w:p>
    <w:p w14:paraId="7A902155">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（二）绩效评价原则、评价指标体系、评价方法评价标准</w:t>
      </w:r>
      <w:bookmarkEnd w:id="4"/>
    </w:p>
    <w:p w14:paraId="79DB08FE">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绩效评价原则</w:t>
      </w:r>
    </w:p>
    <w:p w14:paraId="12410A4D">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sz w:val="24"/>
          <w:szCs w:val="24"/>
        </w:rPr>
      </w:pPr>
      <w:r>
        <w:rPr>
          <w:rFonts w:hint="eastAsia" w:ascii="宋体" w:hAnsi="宋体" w:eastAsia="宋体" w:cs="宋体"/>
          <w:sz w:val="24"/>
          <w:szCs w:val="24"/>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1605AD87">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（1）科学公正。绩效评价应当运用科学合理的方法，按照规范的程序，对项目绩效进行客观、公正的反映。</w:t>
      </w:r>
    </w:p>
    <w:p w14:paraId="3D82BBC2">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26B4BE95">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（3）激励约束。绩效评价结果应与预算安排、政策调整、改进管理实质性挂钩，体现奖优罚劣和激励相容导向，有效要安排、低效要压减、无效要问责。</w:t>
      </w:r>
    </w:p>
    <w:p w14:paraId="491F3085">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（4）公开透明。绩效评价结果应依法依规公开，并自觉接受社会监督。</w:t>
      </w:r>
    </w:p>
    <w:p w14:paraId="642AE15F">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根据以上原则，绩效评价应遵循如下要求:</w:t>
      </w:r>
    </w:p>
    <w:p w14:paraId="35FABF9B">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1）在数据采集时，采取客观数据，主管部门审查、社会中介组织复查，与问卷调查相结合的形式，以保证各项指标的真实性。</w:t>
      </w:r>
    </w:p>
    <w:p w14:paraId="01B08B0E">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2）保证评价结果的真实性、公正性，提高评价报告的公信力。</w:t>
      </w:r>
    </w:p>
    <w:p w14:paraId="0AA5AF68">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3）绩</w:t>
      </w:r>
      <w:r>
        <w:rPr>
          <w:rFonts w:hint="eastAsia" w:ascii="宋体" w:hAnsi="宋体" w:eastAsia="宋体" w:cs="宋体"/>
          <w:color w:val="000000"/>
          <w:sz w:val="24"/>
          <w:szCs w:val="24"/>
          <w:highlight w:val="none"/>
          <w:lang w:val="en-US" w:eastAsia="zh-CN"/>
        </w:rPr>
        <w:t>效</w:t>
      </w:r>
      <w:r>
        <w:rPr>
          <w:rFonts w:hint="eastAsia" w:ascii="宋体" w:hAnsi="宋体" w:eastAsia="宋体" w:cs="宋体"/>
          <w:color w:val="000000"/>
          <w:sz w:val="24"/>
          <w:szCs w:val="24"/>
          <w:highlight w:val="none"/>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1D4D5774">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2. 绩效评价指标体系</w:t>
      </w:r>
    </w:p>
    <w:p w14:paraId="19C2B2A8">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sz w:val="24"/>
          <w:szCs w:val="24"/>
        </w:rPr>
      </w:pPr>
      <w:r>
        <w:rPr>
          <w:rFonts w:hint="eastAsia" w:ascii="宋体" w:hAnsi="宋体" w:eastAsia="宋体" w:cs="宋体"/>
          <w:sz w:val="24"/>
          <w:szCs w:val="24"/>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sz w:val="24"/>
          <w:szCs w:val="24"/>
          <w:lang w:val="en-US" w:eastAsia="zh-CN"/>
        </w:rPr>
        <w:t>2</w:t>
      </w:r>
      <w:r>
        <w:rPr>
          <w:rFonts w:hint="eastAsia" w:ascii="宋体" w:hAnsi="宋体" w:eastAsia="宋体" w:cs="宋体"/>
          <w:sz w:val="24"/>
          <w:szCs w:val="24"/>
        </w:rPr>
        <w:t>个二级指标。项目绩效评价体系</w:t>
      </w:r>
      <w:r>
        <w:rPr>
          <w:rFonts w:hint="eastAsia" w:ascii="宋体" w:hAnsi="宋体" w:eastAsia="宋体" w:cs="宋体"/>
          <w:sz w:val="24"/>
          <w:szCs w:val="24"/>
          <w:lang w:eastAsia="zh-CN"/>
        </w:rPr>
        <w:t>。</w:t>
      </w:r>
      <w:r>
        <w:rPr>
          <w:rFonts w:hint="eastAsia" w:ascii="宋体" w:hAnsi="宋体" w:eastAsia="宋体" w:cs="宋体"/>
          <w:sz w:val="24"/>
          <w:szCs w:val="24"/>
        </w:rPr>
        <w:t>详细指标体系见“附件1：项目支出绩效评价体系”。</w:t>
      </w:r>
    </w:p>
    <w:p w14:paraId="07824632">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3. 绩效评价方法</w:t>
      </w:r>
    </w:p>
    <w:p w14:paraId="77A4C57D">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0CE1E53C">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具体</w:t>
      </w:r>
      <w:r>
        <w:rPr>
          <w:rFonts w:hint="eastAsia" w:ascii="宋体" w:hAnsi="宋体" w:eastAsia="宋体" w:cs="宋体"/>
          <w:b w:val="0"/>
          <w:bCs/>
          <w:sz w:val="24"/>
          <w:szCs w:val="24"/>
        </w:rPr>
        <w:t>评价方法的应用如下:</w:t>
      </w:r>
    </w:p>
    <w:p w14:paraId="7BA39781">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立项依据充分性：比较法、文献法，查找法律法规政策以及规划，对比实际执行内容和政策支持内容是否匹配。</w:t>
      </w:r>
    </w:p>
    <w:p w14:paraId="04163D07">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立项程序规范性：比较法、文献法，查找相关项目设立的政策和文件要求，对比分析实际执行程序是否按照政策及文件要求执行，分析立项程序的规范性。</w:t>
      </w:r>
    </w:p>
    <w:p w14:paraId="3EDBE456">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绩效目标合理性：比较法，对比分析年初编制项目支出绩效目标表与项目内容的相关性、资金的匹配性等。</w:t>
      </w:r>
    </w:p>
    <w:p w14:paraId="01FB8208">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绩效指标明确性：比较法，比较分析年初编制项目支出绩效目标表是否符合双七原则，是否可衡量。</w:t>
      </w:r>
    </w:p>
    <w:p w14:paraId="7736A077">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预算编制科学性</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成本效益分析法</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分析在产出一定的情况下，成本取值是否有依据，是否经过询价，是否按照市场最低成本编制。</w:t>
      </w:r>
    </w:p>
    <w:p w14:paraId="02B62744">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lang w:eastAsia="zh-CN"/>
        </w:rPr>
      </w:pPr>
      <w:r>
        <w:rPr>
          <w:rFonts w:hint="eastAsia" w:ascii="宋体" w:hAnsi="宋体" w:eastAsia="宋体" w:cs="宋体"/>
          <w:b w:val="0"/>
          <w:bCs/>
          <w:sz w:val="24"/>
          <w:szCs w:val="24"/>
        </w:rPr>
        <w:t>资金分配合理性：因素分析法，综合分析资金的分配依据是否充分，分配金额是否与项目实施单位需求金额一致</w:t>
      </w:r>
      <w:r>
        <w:rPr>
          <w:rFonts w:hint="eastAsia" w:ascii="宋体" w:hAnsi="宋体" w:eastAsia="宋体" w:cs="宋体"/>
          <w:b w:val="0"/>
          <w:bCs/>
          <w:sz w:val="24"/>
          <w:szCs w:val="24"/>
          <w:lang w:eastAsia="zh-CN"/>
        </w:rPr>
        <w:t>。</w:t>
      </w:r>
    </w:p>
    <w:p w14:paraId="3D7D1F51">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资金到位率：比较法，资金到位率预期指标值应为100%，通过实际计算，分析实际完成值和预期指标值之间的差距和原因。</w:t>
      </w:r>
    </w:p>
    <w:p w14:paraId="0FD84722">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预算执行率：比较法，预算执行率预期指标值应为100%，通过实际计算，分析实际完成值和预期指标值之间的差距和原因。</w:t>
      </w:r>
    </w:p>
    <w:p w14:paraId="0D5A09BA">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资金使用合规性：文献法、实地勘察法，一是查找资金管理办法，包括专项资金管理办法和单位自有资金管理办法；二是通过查账了解具体开支情况，是否专用专用，是否按照标准支出。</w:t>
      </w:r>
    </w:p>
    <w:p w14:paraId="4787B283">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管理制度健全性：文献法、比较法，查阅项目实施人员提供的财务和业务管理制度，将已建立的制度与现行的法律法规和政策要求进行对比，分析项目制度的合法性、合规性、完整性。</w:t>
      </w:r>
    </w:p>
    <w:p w14:paraId="6A56A6D1">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制度执行有效性：比较法，结合项目实际实施过程性文件，根据已建设的财务管理制度和项目管理制度综合分析制度执行的有效性。</w:t>
      </w:r>
    </w:p>
    <w:p w14:paraId="1E37DF7B">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71AFF22C">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定性指标：公众评判法，通过问卷及抽样调查等方式评价本项目实施后社会公众对于其实施效果的满意程度。</w:t>
      </w:r>
    </w:p>
    <w:p w14:paraId="6BFA5EDA">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4. 绩效评价标准</w:t>
      </w:r>
    </w:p>
    <w:p w14:paraId="0C97B52F">
      <w:pPr>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auto"/>
          <w:sz w:val="24"/>
          <w:szCs w:val="24"/>
        </w:rPr>
      </w:pPr>
      <w:bookmarkStart w:id="5" w:name="_Toc68364663"/>
      <w:r>
        <w:rPr>
          <w:rFonts w:hint="eastAsia" w:ascii="宋体" w:hAnsi="宋体" w:eastAsia="宋体" w:cs="宋体"/>
          <w:sz w:val="24"/>
          <w:szCs w:val="24"/>
        </w:rPr>
        <w:t>绩效评价标准通常包括计划标准、行业标准、历史标准等，用于对绩效指标完成情况进行比较、分析、评价。</w:t>
      </w:r>
      <w:r>
        <w:rPr>
          <w:rFonts w:hint="eastAsia" w:ascii="宋体" w:hAnsi="宋体" w:eastAsia="宋体" w:cs="宋体"/>
          <w:color w:val="auto"/>
          <w:sz w:val="24"/>
          <w:szCs w:val="24"/>
        </w:rPr>
        <w:t>本次评价主要采用了</w:t>
      </w:r>
      <w:r>
        <w:rPr>
          <w:rFonts w:hint="eastAsia" w:ascii="宋体" w:hAnsi="宋体" w:eastAsia="宋体" w:cs="宋体"/>
          <w:color w:val="auto"/>
          <w:sz w:val="24"/>
          <w:szCs w:val="24"/>
          <w:lang w:val="en-US" w:eastAsia="zh-CN"/>
        </w:rPr>
        <w:t>行业</w:t>
      </w:r>
      <w:r>
        <w:rPr>
          <w:rFonts w:hint="eastAsia" w:ascii="宋体" w:hAnsi="宋体" w:eastAsia="宋体" w:cs="宋体"/>
          <w:color w:val="auto"/>
          <w:sz w:val="24"/>
          <w:szCs w:val="24"/>
        </w:rPr>
        <w:t>标准。</w:t>
      </w:r>
    </w:p>
    <w:p w14:paraId="062BE13B">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sz w:val="24"/>
          <w:szCs w:val="24"/>
        </w:rPr>
      </w:pPr>
      <w:bookmarkStart w:id="6" w:name="_Toc17882"/>
      <w:bookmarkStart w:id="7" w:name="_Toc31464"/>
      <w:r>
        <w:rPr>
          <w:rFonts w:hint="eastAsia" w:ascii="宋体" w:hAnsi="宋体" w:eastAsia="宋体" w:cs="宋体"/>
          <w:b/>
          <w:bCs/>
          <w:sz w:val="24"/>
          <w:szCs w:val="24"/>
        </w:rPr>
        <w:t>计划标准：</w:t>
      </w:r>
      <w:r>
        <w:rPr>
          <w:rFonts w:hint="eastAsia" w:ascii="宋体" w:hAnsi="宋体" w:eastAsia="宋体" w:cs="宋体"/>
          <w:sz w:val="24"/>
          <w:szCs w:val="24"/>
        </w:rPr>
        <w:t>指以预先制定的目标、计划、预算、定额等作为评价标准。</w:t>
      </w:r>
      <w:bookmarkEnd w:id="6"/>
      <w:bookmarkEnd w:id="7"/>
    </w:p>
    <w:p w14:paraId="2A40717C">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sz w:val="24"/>
          <w:szCs w:val="24"/>
        </w:rPr>
      </w:pPr>
      <w:bookmarkStart w:id="8" w:name="_Toc5633"/>
      <w:bookmarkStart w:id="9" w:name="_Toc2318"/>
      <w:r>
        <w:rPr>
          <w:rFonts w:hint="eastAsia" w:ascii="宋体" w:hAnsi="宋体" w:eastAsia="宋体" w:cs="宋体"/>
          <w:b/>
          <w:bCs/>
          <w:sz w:val="24"/>
          <w:szCs w:val="24"/>
        </w:rPr>
        <w:t>行业标准：</w:t>
      </w:r>
      <w:r>
        <w:rPr>
          <w:rFonts w:hint="eastAsia" w:ascii="宋体" w:hAnsi="宋体" w:eastAsia="宋体" w:cs="宋体"/>
          <w:sz w:val="24"/>
          <w:szCs w:val="24"/>
        </w:rPr>
        <w:t>指参照国家公布的行业指标数据制定的评价标准。</w:t>
      </w:r>
      <w:bookmarkEnd w:id="8"/>
      <w:bookmarkEnd w:id="9"/>
    </w:p>
    <w:p w14:paraId="0666CCC4">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sz w:val="24"/>
          <w:szCs w:val="24"/>
        </w:rPr>
      </w:pPr>
      <w:bookmarkStart w:id="10" w:name="_Toc430"/>
      <w:bookmarkStart w:id="11" w:name="_Toc16028"/>
      <w:r>
        <w:rPr>
          <w:rFonts w:hint="eastAsia" w:ascii="宋体" w:hAnsi="宋体" w:eastAsia="宋体" w:cs="宋体"/>
          <w:b/>
          <w:bCs/>
          <w:sz w:val="24"/>
          <w:szCs w:val="24"/>
        </w:rPr>
        <w:t>历史标准：</w:t>
      </w:r>
      <w:r>
        <w:rPr>
          <w:rFonts w:hint="eastAsia" w:ascii="宋体" w:hAnsi="宋体" w:eastAsia="宋体" w:cs="宋体"/>
          <w:sz w:val="24"/>
          <w:szCs w:val="24"/>
        </w:rPr>
        <w:t>指参照历史数据制定的评价标准，为体现绩效改进的原则，在可实现的条件下应当确定相对较高的评价标准。</w:t>
      </w:r>
      <w:bookmarkEnd w:id="10"/>
      <w:bookmarkEnd w:id="11"/>
    </w:p>
    <w:p w14:paraId="4F1965E2">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（三）绩效评价工作过程</w:t>
      </w:r>
      <w:bookmarkEnd w:id="5"/>
    </w:p>
    <w:p w14:paraId="2AD389E0">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bookmarkStart w:id="12" w:name="_Toc68364664"/>
      <w:r>
        <w:rPr>
          <w:rFonts w:hint="eastAsia" w:ascii="宋体" w:hAnsi="宋体" w:eastAsia="宋体" w:cs="宋体"/>
          <w:b/>
          <w:bCs/>
          <w:color w:val="000000"/>
          <w:sz w:val="24"/>
          <w:szCs w:val="24"/>
          <w:highlight w:val="none"/>
        </w:rPr>
        <w:t>1.前期准备</w:t>
      </w:r>
    </w:p>
    <w:p w14:paraId="42D5A44D">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我</w:t>
      </w:r>
      <w:r>
        <w:rPr>
          <w:rFonts w:hint="eastAsia" w:ascii="宋体" w:hAnsi="宋体" w:eastAsia="宋体" w:cs="宋体"/>
          <w:color w:val="auto"/>
          <w:sz w:val="24"/>
          <w:szCs w:val="24"/>
        </w:rPr>
        <w:t>单位于</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日，确定绩</w:t>
      </w:r>
      <w:r>
        <w:rPr>
          <w:rFonts w:hint="eastAsia" w:ascii="宋体" w:hAnsi="宋体" w:eastAsia="宋体" w:cs="宋体"/>
          <w:sz w:val="24"/>
          <w:szCs w:val="24"/>
        </w:rPr>
        <w:t>效评价工作小组，正式开始前期准备工作，通过对评价对象前期调研，确定了评价的目的、方法以及评价的原则，根据项目的内容和特征制定了评价指标体系及评价标准。绩效评价工作小组人员名单及分工如下：</w:t>
      </w:r>
    </w:p>
    <w:p w14:paraId="65B067FB">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林鹏</w:t>
      </w:r>
      <w:r>
        <w:rPr>
          <w:rFonts w:hint="eastAsia" w:ascii="宋体" w:hAnsi="宋体" w:eastAsia="宋体" w:cs="宋体"/>
          <w:color w:val="auto"/>
          <w:sz w:val="24"/>
          <w:szCs w:val="24"/>
        </w:rPr>
        <w:t>（评价小组组长）：主要负责</w:t>
      </w:r>
      <w:r>
        <w:rPr>
          <w:rFonts w:hint="eastAsia" w:ascii="宋体" w:hAnsi="宋体" w:eastAsia="宋体" w:cs="宋体"/>
          <w:color w:val="auto"/>
          <w:sz w:val="24"/>
          <w:szCs w:val="24"/>
          <w:lang w:val="en-US" w:eastAsia="zh-CN"/>
        </w:rPr>
        <w:t>评价全盘工作。</w:t>
      </w:r>
    </w:p>
    <w:p w14:paraId="24E94D2B">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周崎</w:t>
      </w:r>
      <w:r>
        <w:rPr>
          <w:rFonts w:hint="eastAsia" w:ascii="宋体" w:hAnsi="宋体" w:eastAsia="宋体" w:cs="宋体"/>
          <w:color w:val="auto"/>
          <w:sz w:val="24"/>
          <w:szCs w:val="24"/>
        </w:rPr>
        <w:t>（评价小组组员）：主要负责</w:t>
      </w:r>
      <w:r>
        <w:rPr>
          <w:rFonts w:hint="eastAsia" w:ascii="宋体" w:hAnsi="宋体" w:eastAsia="宋体" w:cs="宋体"/>
          <w:color w:val="auto"/>
          <w:sz w:val="24"/>
          <w:szCs w:val="24"/>
          <w:lang w:val="en-US" w:eastAsia="zh-CN"/>
        </w:rPr>
        <w:t>项目资料审核收集工作。</w:t>
      </w:r>
    </w:p>
    <w:p w14:paraId="67A00AAA">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夏热帕提·艾合麦提</w:t>
      </w:r>
      <w:r>
        <w:rPr>
          <w:rFonts w:hint="eastAsia" w:ascii="宋体" w:hAnsi="宋体" w:eastAsia="宋体" w:cs="宋体"/>
          <w:color w:val="auto"/>
          <w:sz w:val="24"/>
          <w:szCs w:val="24"/>
        </w:rPr>
        <w:t>（评价小组组员）：主要负责</w:t>
      </w:r>
      <w:r>
        <w:rPr>
          <w:rFonts w:hint="eastAsia" w:ascii="宋体" w:hAnsi="宋体" w:eastAsia="宋体" w:cs="宋体"/>
          <w:color w:val="auto"/>
          <w:sz w:val="24"/>
          <w:szCs w:val="24"/>
          <w:lang w:val="en-US" w:eastAsia="zh-CN"/>
        </w:rPr>
        <w:t>资金支付工作</w:t>
      </w:r>
      <w:r>
        <w:rPr>
          <w:rFonts w:hint="eastAsia" w:ascii="宋体" w:hAnsi="宋体" w:eastAsia="宋体" w:cs="宋体"/>
          <w:color w:val="auto"/>
          <w:sz w:val="24"/>
          <w:szCs w:val="24"/>
        </w:rPr>
        <w:t>。</w:t>
      </w:r>
    </w:p>
    <w:p w14:paraId="766BB5AD">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2.组织实施</w:t>
      </w:r>
    </w:p>
    <w:p w14:paraId="7A2CE643">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25</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日，评价工作进</w:t>
      </w:r>
      <w:r>
        <w:rPr>
          <w:rFonts w:hint="eastAsia" w:ascii="宋体" w:hAnsi="宋体" w:eastAsia="宋体" w:cs="宋体"/>
          <w:sz w:val="24"/>
          <w:szCs w:val="24"/>
        </w:rPr>
        <w:t>入实施阶段。在数据采集方面，评价小组整理单位前期提交的资料，与项目实施负责人沟通，了解资金的内容、操作流程、管理机制、资金使用方向等情况并采集信息，了解项目设置背景及资金使用等情况。</w:t>
      </w:r>
    </w:p>
    <w:p w14:paraId="429D8C6C">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3.分析评价</w:t>
      </w:r>
    </w:p>
    <w:p w14:paraId="1C92DF4B">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日，评价小组</w:t>
      </w:r>
      <w:r>
        <w:rPr>
          <w:rFonts w:hint="eastAsia" w:ascii="宋体" w:hAnsi="宋体" w:eastAsia="宋体" w:cs="宋体"/>
          <w:sz w:val="24"/>
          <w:szCs w:val="24"/>
        </w:rPr>
        <w:t>按照绩效评价的原则和规范，对取得的资料进行审查核实，对采集的数据进行分析，按照绩效评价指标评分表逐项进行打分、分析、汇总各方评价结果。</w:t>
      </w:r>
    </w:p>
    <w:p w14:paraId="1DA4A0B5">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4.撰写与提交评价报告</w:t>
      </w:r>
    </w:p>
    <w:p w14:paraId="25A596AB">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sz w:val="24"/>
          <w:szCs w:val="24"/>
          <w:highlight w:val="none"/>
        </w:rPr>
        <w:t>撰写绩效评价报告，按照新疆</w:t>
      </w:r>
      <w:r>
        <w:rPr>
          <w:rFonts w:hint="eastAsia" w:ascii="宋体" w:hAnsi="宋体" w:eastAsia="宋体" w:cs="宋体"/>
          <w:sz w:val="24"/>
          <w:szCs w:val="24"/>
          <w:highlight w:val="none"/>
          <w:lang w:eastAsia="zh-CN"/>
        </w:rPr>
        <w:t>维吾尔自治区财政绩效管理信息系统</w:t>
      </w:r>
      <w:r>
        <w:rPr>
          <w:rFonts w:hint="eastAsia" w:ascii="宋体" w:hAnsi="宋体" w:eastAsia="宋体" w:cs="宋体"/>
          <w:sz w:val="24"/>
          <w:szCs w:val="24"/>
          <w:highlight w:val="none"/>
        </w:rPr>
        <w:t>绩效评价模块中统一格式和文本框架撰写绩效评价报告并提交审核。</w:t>
      </w:r>
    </w:p>
    <w:p w14:paraId="1FC888C4">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5.问题整改</w:t>
      </w:r>
    </w:p>
    <w:p w14:paraId="2219B4D0">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76FC780E">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6.档案整理</w:t>
      </w:r>
    </w:p>
    <w:p w14:paraId="2F7C6DAA">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建立和落实档案管理制度，将项目相关资料存档，包括但不限于：评价项目基本情况和相关文件、评价实施方案、项目支付资料等相关档案。</w:t>
      </w:r>
    </w:p>
    <w:p w14:paraId="6FD81B79">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三、综合评价情况及评价结论</w:t>
      </w:r>
      <w:bookmarkEnd w:id="12"/>
    </w:p>
    <w:p w14:paraId="159415F3">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3" w:name="_Toc68364665"/>
      <w:r>
        <w:rPr>
          <w:rFonts w:hint="eastAsia" w:ascii="宋体" w:hAnsi="宋体" w:eastAsia="宋体" w:cs="宋体"/>
          <w:sz w:val="24"/>
          <w:szCs w:val="24"/>
        </w:rPr>
        <w:t>（一）综合评价情况</w:t>
      </w:r>
      <w:bookmarkEnd w:id="13"/>
    </w:p>
    <w:p w14:paraId="0EC9C2A2">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bookmarkStart w:id="14" w:name="_Toc68364666"/>
      <w:r>
        <w:rPr>
          <w:rFonts w:hint="eastAsia" w:ascii="宋体" w:hAnsi="宋体" w:eastAsia="宋体" w:cs="宋体"/>
          <w:sz w:val="24"/>
          <w:szCs w:val="24"/>
        </w:rPr>
        <w:t>通过实施</w:t>
      </w:r>
      <w:r>
        <w:rPr>
          <w:rFonts w:hint="eastAsia" w:ascii="宋体" w:hAnsi="宋体" w:eastAsia="宋体" w:cs="宋体"/>
          <w:sz w:val="24"/>
          <w:szCs w:val="24"/>
          <w:lang w:val="en-US" w:eastAsia="zh-CN"/>
        </w:rPr>
        <w:t>2019年中央纺织服装专项资金运费补贴项目</w:t>
      </w:r>
      <w:r>
        <w:rPr>
          <w:rFonts w:hint="eastAsia" w:ascii="宋体" w:hAnsi="宋体" w:eastAsia="宋体" w:cs="宋体"/>
          <w:sz w:val="24"/>
          <w:szCs w:val="24"/>
        </w:rPr>
        <w:t>项目产生</w:t>
      </w:r>
      <w:r>
        <w:rPr>
          <w:rFonts w:hint="eastAsia" w:ascii="宋体" w:hAnsi="宋体" w:eastAsia="宋体" w:cs="宋体"/>
          <w:sz w:val="24"/>
          <w:szCs w:val="24"/>
          <w:lang w:val="en-US" w:eastAsia="zh-CN"/>
        </w:rPr>
        <w:t>有效促进纺织服装企业健康发展效益。项目实施主要通过项目决策、项目过程、项目产出以及项目效益</w:t>
      </w:r>
      <w:r>
        <w:rPr>
          <w:rFonts w:hint="eastAsia" w:ascii="宋体" w:hAnsi="宋体" w:eastAsia="宋体" w:cs="宋体"/>
          <w:sz w:val="24"/>
          <w:szCs w:val="24"/>
        </w:rPr>
        <w:t>等方面进行评价，其中：</w:t>
      </w:r>
    </w:p>
    <w:p w14:paraId="36C61BBC">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项目决策：该项目主要通过《2019年中央纺织服装专项资金（第二批）运费补贴》（和地财建【2019】178号）文件立项，项目实施符合</w:t>
      </w:r>
      <w:r>
        <w:rPr>
          <w:rFonts w:hint="eastAsia" w:ascii="宋体" w:hAnsi="宋体" w:eastAsia="宋体" w:cs="宋体"/>
          <w:sz w:val="24"/>
          <w:szCs w:val="24"/>
          <w:lang w:val="en-US" w:eastAsia="zh-CN"/>
        </w:rPr>
        <w:t>纺织服装企业专项补助资金扶持</w:t>
      </w:r>
      <w:r>
        <w:rPr>
          <w:rFonts w:hint="eastAsia" w:ascii="宋体" w:hAnsi="宋体" w:eastAsia="宋体" w:cs="宋体"/>
          <w:sz w:val="24"/>
          <w:szCs w:val="24"/>
        </w:rPr>
        <w:t xml:space="preserve">要求，项目立项依据充分，立项程序规范。 </w:t>
      </w:r>
    </w:p>
    <w:p w14:paraId="34F7B025">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项目过程：目预算安排</w:t>
      </w:r>
      <w:r>
        <w:rPr>
          <w:rFonts w:hint="eastAsia" w:ascii="宋体" w:hAnsi="宋体" w:eastAsia="宋体" w:cs="宋体"/>
          <w:sz w:val="24"/>
          <w:szCs w:val="24"/>
          <w:lang w:val="en-US" w:eastAsia="zh-CN"/>
        </w:rPr>
        <w:t>2019年中央纺织服装专项资金运费补贴项目235.85</w:t>
      </w:r>
      <w:r>
        <w:rPr>
          <w:rFonts w:hint="eastAsia" w:ascii="宋体" w:hAnsi="宋体" w:eastAsia="宋体" w:cs="宋体"/>
          <w:sz w:val="24"/>
          <w:szCs w:val="24"/>
        </w:rPr>
        <w:t>万元，实际支出</w:t>
      </w:r>
      <w:r>
        <w:rPr>
          <w:rFonts w:hint="eastAsia" w:ascii="宋体" w:hAnsi="宋体" w:eastAsia="宋体" w:cs="宋体"/>
          <w:sz w:val="24"/>
          <w:szCs w:val="24"/>
          <w:lang w:val="en-US" w:eastAsia="zh-CN"/>
        </w:rPr>
        <w:t>235.85</w:t>
      </w:r>
      <w:r>
        <w:rPr>
          <w:rFonts w:hint="eastAsia" w:ascii="宋体" w:hAnsi="宋体" w:eastAsia="宋体" w:cs="宋体"/>
          <w:sz w:val="24"/>
          <w:szCs w:val="24"/>
        </w:rPr>
        <w:t>万元，预算执行率</w:t>
      </w:r>
      <w:r>
        <w:rPr>
          <w:rFonts w:hint="eastAsia" w:ascii="宋体" w:hAnsi="宋体" w:eastAsia="宋体" w:cs="宋体"/>
          <w:sz w:val="24"/>
          <w:szCs w:val="24"/>
          <w:lang w:val="en-US" w:eastAsia="zh-CN"/>
        </w:rPr>
        <w:t>100</w:t>
      </w:r>
      <w:r>
        <w:rPr>
          <w:rFonts w:hint="eastAsia" w:ascii="宋体" w:hAnsi="宋体" w:eastAsia="宋体" w:cs="宋体"/>
          <w:sz w:val="24"/>
          <w:szCs w:val="24"/>
        </w:rPr>
        <w:t>%。项目资金使用合规，项目财务管理制度健全，财务监控到位，所有资金支付均按照国库集中支付制度严格执行，现有项目管理制度执行情况良好。</w:t>
      </w:r>
    </w:p>
    <w:p w14:paraId="3DBA0317">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项目产出：</w:t>
      </w:r>
      <w:r>
        <w:rPr>
          <w:rFonts w:hint="eastAsia" w:ascii="宋体" w:hAnsi="宋体" w:eastAsia="宋体" w:cs="宋体"/>
          <w:sz w:val="24"/>
          <w:szCs w:val="24"/>
          <w:lang w:eastAsia="zh-CN"/>
        </w:rPr>
        <w:t>截止2024年12月，</w:t>
      </w:r>
      <w:r>
        <w:rPr>
          <w:rFonts w:hint="eastAsia" w:ascii="宋体" w:hAnsi="宋体" w:eastAsia="宋体" w:cs="宋体"/>
          <w:color w:val="auto"/>
          <w:sz w:val="24"/>
          <w:szCs w:val="24"/>
          <w:highlight w:val="none"/>
          <w:lang w:eastAsia="zh-CN"/>
        </w:rPr>
        <w:t>该项目实际完成</w:t>
      </w:r>
      <w:r>
        <w:rPr>
          <w:rFonts w:hint="eastAsia" w:ascii="宋体" w:hAnsi="宋体" w:eastAsia="宋体" w:cs="宋体"/>
          <w:sz w:val="24"/>
          <w:szCs w:val="24"/>
          <w:lang w:eastAsia="zh-CN"/>
        </w:rPr>
        <w:t>给予2家企业补贴</w:t>
      </w:r>
      <w:r>
        <w:rPr>
          <w:rFonts w:hint="eastAsia" w:ascii="宋体" w:hAnsi="宋体" w:eastAsia="宋体" w:cs="宋体"/>
          <w:sz w:val="24"/>
          <w:szCs w:val="24"/>
          <w:lang w:val="en-US" w:eastAsia="zh-CN"/>
        </w:rPr>
        <w:t>。</w:t>
      </w:r>
    </w:p>
    <w:p w14:paraId="66994DCF">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项目效益：通过项目实施降低纺织服装企业经营成本，促进纺织服装企业健康发展</w:t>
      </w:r>
      <w:r>
        <w:rPr>
          <w:rFonts w:hint="eastAsia" w:ascii="宋体" w:hAnsi="宋体" w:eastAsia="宋体" w:cs="宋体"/>
          <w:sz w:val="24"/>
          <w:szCs w:val="24"/>
          <w:lang w:val="en-US" w:eastAsia="zh-CN"/>
        </w:rPr>
        <w:t>。</w:t>
      </w:r>
    </w:p>
    <w:p w14:paraId="1935EC22">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（二）综合评价结论</w:t>
      </w:r>
    </w:p>
    <w:p w14:paraId="2DB007F2">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黑体" w:hAnsi="黑体" w:eastAsia="黑体" w:cs="黑体"/>
          <w:sz w:val="24"/>
          <w:szCs w:val="24"/>
        </w:rPr>
      </w:pPr>
      <w:r>
        <w:rPr>
          <w:rFonts w:hint="eastAsia" w:ascii="宋体" w:hAnsi="宋体" w:eastAsia="宋体" w:cs="宋体"/>
          <w:color w:val="auto"/>
          <w:sz w:val="24"/>
          <w:szCs w:val="24"/>
        </w:rPr>
        <w:t>依据《中共中央国务院关于全面实施预算绩效管理的意见》《项目支出绩效评价管理办法》（财预〔2020〕10号）文件，绩效评价总分设置为100分，划分为四档：90（含）-100分为“优”、80（含）-90分为“良”、70（含）-80分为“中”、70分以下为“差”。经对</w:t>
      </w:r>
      <w:r>
        <w:rPr>
          <w:rFonts w:hint="eastAsia" w:ascii="宋体" w:hAnsi="宋体" w:eastAsia="宋体" w:cs="宋体"/>
          <w:color w:val="auto"/>
          <w:sz w:val="24"/>
          <w:szCs w:val="24"/>
          <w:lang w:val="en-US" w:eastAsia="zh-CN"/>
        </w:rPr>
        <w:t>2019年中央纺织服装专项资金运费补贴项目</w:t>
      </w:r>
      <w:r>
        <w:rPr>
          <w:rFonts w:hint="eastAsia" w:ascii="宋体" w:hAnsi="宋体" w:eastAsia="宋体" w:cs="宋体"/>
          <w:color w:val="auto"/>
          <w:sz w:val="24"/>
          <w:szCs w:val="24"/>
        </w:rPr>
        <w:t>进行客观评价，最终评分结果：评价总分</w:t>
      </w:r>
      <w:r>
        <w:rPr>
          <w:rFonts w:hint="eastAsia" w:ascii="宋体" w:hAnsi="宋体" w:eastAsia="宋体" w:cs="宋体"/>
          <w:color w:val="auto"/>
          <w:sz w:val="24"/>
          <w:szCs w:val="24"/>
          <w:lang w:val="en-US" w:eastAsia="zh-CN"/>
        </w:rPr>
        <w:t>96.68</w:t>
      </w:r>
      <w:r>
        <w:rPr>
          <w:rFonts w:hint="eastAsia" w:ascii="宋体" w:hAnsi="宋体" w:eastAsia="宋体" w:cs="宋体"/>
          <w:color w:val="auto"/>
          <w:sz w:val="24"/>
          <w:szCs w:val="24"/>
        </w:rPr>
        <w:t>分，绩效等级为“</w:t>
      </w:r>
      <w:r>
        <w:rPr>
          <w:rFonts w:hint="eastAsia" w:ascii="宋体" w:hAnsi="宋体" w:eastAsia="宋体" w:cs="宋体"/>
          <w:color w:val="auto"/>
          <w:sz w:val="24"/>
          <w:szCs w:val="24"/>
          <w:lang w:val="en-US" w:eastAsia="zh-CN"/>
        </w:rPr>
        <w:t>优</w:t>
      </w:r>
      <w:r>
        <w:rPr>
          <w:rFonts w:hint="eastAsia" w:ascii="宋体" w:hAnsi="宋体" w:eastAsia="宋体" w:cs="宋体"/>
          <w:color w:val="auto"/>
          <w:sz w:val="24"/>
          <w:szCs w:val="24"/>
        </w:rPr>
        <w:t>”。</w:t>
      </w:r>
      <w:bookmarkEnd w:id="14"/>
      <w:bookmarkStart w:id="15" w:name="_Toc68364667"/>
    </w:p>
    <w:p w14:paraId="47B4D11D">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四、绩效评价指标分析</w:t>
      </w:r>
      <w:bookmarkEnd w:id="15"/>
    </w:p>
    <w:p w14:paraId="13B475D2">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6" w:name="_Toc68364668"/>
      <w:r>
        <w:rPr>
          <w:rFonts w:hint="eastAsia" w:ascii="宋体" w:hAnsi="宋体" w:eastAsia="宋体" w:cs="宋体"/>
          <w:sz w:val="24"/>
          <w:szCs w:val="24"/>
        </w:rPr>
        <w:t>（一）项目决策情况</w:t>
      </w:r>
    </w:p>
    <w:p w14:paraId="7CF32B17">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项目决策类指标包括项目立项、绩效目标和资金投入三方面的内容，由6个三级指标构成，权重分为</w:t>
      </w:r>
      <w:r>
        <w:rPr>
          <w:rFonts w:hint="eastAsia" w:ascii="宋体" w:hAnsi="宋体" w:eastAsia="宋体" w:cs="宋体"/>
          <w:color w:val="auto"/>
          <w:sz w:val="24"/>
          <w:szCs w:val="24"/>
          <w:lang w:val="en-US" w:eastAsia="zh-CN"/>
        </w:rPr>
        <w:t>23</w:t>
      </w:r>
      <w:r>
        <w:rPr>
          <w:rFonts w:hint="eastAsia" w:ascii="宋体" w:hAnsi="宋体" w:eastAsia="宋体" w:cs="宋体"/>
          <w:color w:val="auto"/>
          <w:sz w:val="24"/>
          <w:szCs w:val="24"/>
        </w:rPr>
        <w:t>分，实际得分</w:t>
      </w:r>
      <w:r>
        <w:rPr>
          <w:rFonts w:hint="eastAsia" w:ascii="宋体" w:hAnsi="宋体" w:eastAsia="宋体" w:cs="宋体"/>
          <w:color w:val="auto"/>
          <w:sz w:val="24"/>
          <w:szCs w:val="24"/>
          <w:lang w:val="en-US" w:eastAsia="zh-CN"/>
        </w:rPr>
        <w:t>23</w:t>
      </w:r>
      <w:r>
        <w:rPr>
          <w:rFonts w:hint="eastAsia" w:ascii="宋体" w:hAnsi="宋体" w:eastAsia="宋体" w:cs="宋体"/>
          <w:color w:val="auto"/>
          <w:sz w:val="24"/>
          <w:szCs w:val="24"/>
        </w:rPr>
        <w:t>分，得分率为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74E11326">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1.</w:t>
      </w:r>
      <w:r>
        <w:rPr>
          <w:rFonts w:hint="eastAsia" w:ascii="宋体" w:hAnsi="宋体" w:eastAsia="宋体" w:cs="宋体"/>
          <w:b/>
          <w:bCs/>
          <w:color w:val="000000"/>
          <w:sz w:val="24"/>
          <w:szCs w:val="24"/>
          <w:highlight w:val="none"/>
        </w:rPr>
        <w:t>立项依据充分性</w:t>
      </w:r>
    </w:p>
    <w:p w14:paraId="79133669">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本项目立项符合</w:t>
      </w:r>
      <w:r>
        <w:rPr>
          <w:rFonts w:hint="eastAsia" w:ascii="宋体" w:hAnsi="宋体" w:eastAsia="宋体" w:cs="宋体"/>
          <w:color w:val="auto"/>
          <w:sz w:val="24"/>
          <w:szCs w:val="24"/>
          <w:lang w:val="en-US" w:eastAsia="zh-CN"/>
        </w:rPr>
        <w:t>新疆维吾尔自治区任免政府办公厅</w:t>
      </w:r>
      <w:r>
        <w:rPr>
          <w:rFonts w:hint="eastAsia" w:ascii="宋体" w:hAnsi="宋体" w:eastAsia="宋体" w:cs="宋体"/>
          <w:color w:val="auto"/>
          <w:sz w:val="24"/>
          <w:szCs w:val="24"/>
        </w:rPr>
        <w:t>颁发的《</w:t>
      </w:r>
      <w:r>
        <w:rPr>
          <w:rFonts w:hint="eastAsia" w:ascii="宋体" w:hAnsi="宋体" w:eastAsia="宋体" w:cs="宋体"/>
          <w:color w:val="auto"/>
          <w:sz w:val="24"/>
          <w:szCs w:val="24"/>
          <w:lang w:val="en-US" w:eastAsia="zh-CN"/>
        </w:rPr>
        <w:t>关于调整优化自治区棉花及纺织服装产业政策的通知》（新政办发【2024】16号）文件</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相关内容</w:t>
      </w:r>
      <w:r>
        <w:rPr>
          <w:rFonts w:hint="eastAsia" w:ascii="宋体" w:hAnsi="宋体" w:eastAsia="宋体" w:cs="宋体"/>
          <w:color w:val="auto"/>
          <w:sz w:val="24"/>
          <w:szCs w:val="24"/>
        </w:rPr>
        <w:t>；本项目立项符合《</w:t>
      </w:r>
      <w:r>
        <w:rPr>
          <w:rFonts w:hint="eastAsia" w:ascii="宋体" w:hAnsi="宋体" w:eastAsia="宋体" w:cs="宋体"/>
          <w:color w:val="auto"/>
          <w:sz w:val="24"/>
          <w:szCs w:val="24"/>
          <w:lang w:val="en-US" w:eastAsia="zh-CN"/>
        </w:rPr>
        <w:t>纺织产品出疆运费补贴</w:t>
      </w:r>
      <w:r>
        <w:rPr>
          <w:rFonts w:hint="eastAsia" w:ascii="宋体" w:hAnsi="宋体" w:eastAsia="宋体" w:cs="宋体"/>
          <w:color w:val="auto"/>
          <w:sz w:val="24"/>
          <w:szCs w:val="24"/>
        </w:rPr>
        <w:t>》中：“</w:t>
      </w:r>
      <w:r>
        <w:rPr>
          <w:rFonts w:hint="eastAsia" w:ascii="宋体" w:hAnsi="宋体" w:eastAsia="宋体" w:cs="宋体"/>
          <w:color w:val="auto"/>
          <w:sz w:val="24"/>
          <w:szCs w:val="24"/>
          <w:lang w:val="en-US" w:eastAsia="zh-CN"/>
        </w:rPr>
        <w:t>第一条</w:t>
      </w:r>
      <w:r>
        <w:rPr>
          <w:rFonts w:hint="eastAsia" w:ascii="宋体" w:hAnsi="宋体" w:eastAsia="宋体" w:cs="宋体"/>
          <w:color w:val="auto"/>
          <w:sz w:val="24"/>
          <w:szCs w:val="24"/>
        </w:rPr>
        <w:t>”内容</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服装等产品销售和设计补贴</w:t>
      </w:r>
      <w:r>
        <w:rPr>
          <w:rFonts w:hint="eastAsia" w:ascii="宋体" w:hAnsi="宋体" w:eastAsia="宋体" w:cs="宋体"/>
          <w:color w:val="auto"/>
          <w:sz w:val="24"/>
          <w:szCs w:val="24"/>
        </w:rPr>
        <w:t>》中：“</w:t>
      </w:r>
      <w:r>
        <w:rPr>
          <w:rFonts w:hint="eastAsia" w:ascii="宋体" w:hAnsi="宋体" w:eastAsia="宋体" w:cs="宋体"/>
          <w:color w:val="auto"/>
          <w:sz w:val="24"/>
          <w:szCs w:val="24"/>
          <w:lang w:val="en-US" w:eastAsia="zh-CN"/>
        </w:rPr>
        <w:t>第一条</w:t>
      </w:r>
      <w:r>
        <w:rPr>
          <w:rFonts w:hint="eastAsia" w:ascii="宋体" w:hAnsi="宋体" w:eastAsia="宋体" w:cs="宋体"/>
          <w:color w:val="auto"/>
          <w:sz w:val="24"/>
          <w:szCs w:val="24"/>
        </w:rPr>
        <w:t>”内容</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企业生产用电补贴</w:t>
      </w:r>
      <w:r>
        <w:rPr>
          <w:rFonts w:hint="eastAsia" w:ascii="宋体" w:hAnsi="宋体" w:eastAsia="宋体" w:cs="宋体"/>
          <w:color w:val="auto"/>
          <w:sz w:val="24"/>
          <w:szCs w:val="24"/>
        </w:rPr>
        <w:t>》，符合行业发展规划和政策要求；本项目立项符合《</w:t>
      </w:r>
      <w:r>
        <w:rPr>
          <w:rFonts w:hint="eastAsia" w:ascii="宋体" w:hAnsi="宋体" w:eastAsia="宋体" w:cs="宋体"/>
          <w:color w:val="auto"/>
          <w:sz w:val="24"/>
          <w:szCs w:val="24"/>
          <w:lang w:val="en-US" w:eastAsia="zh-CN"/>
        </w:rPr>
        <w:t>洛浦县商务和工业信息化局</w:t>
      </w:r>
      <w:r>
        <w:rPr>
          <w:rFonts w:hint="eastAsia" w:ascii="宋体" w:hAnsi="宋体" w:eastAsia="宋体" w:cs="宋体"/>
          <w:color w:val="auto"/>
          <w:sz w:val="24"/>
          <w:szCs w:val="24"/>
        </w:rPr>
        <w:t>单位配置内设机构和人员编制规定》中职责范围中的“</w:t>
      </w:r>
      <w:r>
        <w:rPr>
          <w:rFonts w:hint="eastAsia" w:ascii="宋体" w:hAnsi="宋体" w:eastAsia="宋体" w:cs="宋体"/>
          <w:color w:val="auto"/>
          <w:sz w:val="24"/>
          <w:szCs w:val="24"/>
          <w:lang w:val="en-US" w:eastAsia="zh-CN"/>
        </w:rPr>
        <w:t>第十八条</w:t>
      </w:r>
      <w:r>
        <w:rPr>
          <w:rFonts w:hint="eastAsia" w:ascii="宋体" w:hAnsi="宋体" w:eastAsia="宋体" w:cs="宋体"/>
          <w:color w:val="auto"/>
          <w:sz w:val="24"/>
          <w:szCs w:val="24"/>
        </w:rPr>
        <w:t>”，属于我单位履职所需；根据《财政资金直接支付申请书》，本项目资金性质为“公共财政预算”功能分类为“</w:t>
      </w:r>
      <w:r>
        <w:rPr>
          <w:rFonts w:hint="eastAsia" w:ascii="宋体" w:hAnsi="宋体" w:eastAsia="宋体" w:cs="宋体"/>
          <w:color w:val="auto"/>
          <w:sz w:val="24"/>
          <w:szCs w:val="24"/>
          <w:lang w:val="en-US" w:eastAsia="zh-CN"/>
        </w:rPr>
        <w:t>2150204</w:t>
      </w:r>
      <w:r>
        <w:rPr>
          <w:rFonts w:hint="eastAsia" w:ascii="宋体" w:hAnsi="宋体" w:eastAsia="宋体" w:cs="宋体"/>
          <w:color w:val="auto"/>
          <w:sz w:val="24"/>
          <w:szCs w:val="24"/>
        </w:rPr>
        <w:t>”经济分类为“</w:t>
      </w:r>
      <w:r>
        <w:rPr>
          <w:rFonts w:hint="eastAsia" w:ascii="宋体" w:hAnsi="宋体" w:eastAsia="宋体" w:cs="宋体"/>
          <w:color w:val="auto"/>
          <w:sz w:val="24"/>
          <w:szCs w:val="24"/>
          <w:lang w:val="en-US" w:eastAsia="zh-CN"/>
        </w:rPr>
        <w:t>31204</w:t>
      </w:r>
      <w:r>
        <w:rPr>
          <w:rFonts w:hint="eastAsia" w:ascii="宋体" w:hAnsi="宋体" w:eastAsia="宋体" w:cs="宋体"/>
          <w:color w:val="auto"/>
          <w:sz w:val="24"/>
          <w:szCs w:val="24"/>
        </w:rPr>
        <w:t>”属于公共财政支持范围，符合中央、地方事权支出责任划分原则；经检查我单位财政应用平台指标，本项目不存在重复。</w:t>
      </w:r>
    </w:p>
    <w:p w14:paraId="616211F3">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综上所述，本指标满分为</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分，根据评分标准得</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分，本项目立项依据充分。</w:t>
      </w:r>
    </w:p>
    <w:p w14:paraId="0C1D43EB">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2.立项程序规范性</w:t>
      </w:r>
    </w:p>
    <w:p w14:paraId="58690B80">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本项目</w:t>
      </w:r>
      <w:r>
        <w:rPr>
          <w:rFonts w:hint="eastAsia" w:ascii="宋体" w:hAnsi="宋体" w:eastAsia="宋体" w:cs="宋体"/>
          <w:color w:val="000000"/>
          <w:sz w:val="24"/>
          <w:szCs w:val="24"/>
          <w:highlight w:val="none"/>
          <w:lang w:val="en-US" w:eastAsia="zh-CN"/>
        </w:rPr>
        <w:t>2019年中央纺织服装专项资金运费补贴项目</w:t>
      </w:r>
      <w:r>
        <w:rPr>
          <w:rFonts w:hint="eastAsia" w:ascii="宋体" w:hAnsi="宋体" w:eastAsia="宋体" w:cs="宋体"/>
          <w:color w:val="000000"/>
          <w:sz w:val="24"/>
          <w:szCs w:val="24"/>
          <w:highlight w:val="none"/>
        </w:rPr>
        <w:t>，项目立项过程中产生的文件均符合相关要求。本项目为</w:t>
      </w:r>
      <w:r>
        <w:rPr>
          <w:rFonts w:hint="eastAsia" w:ascii="宋体" w:hAnsi="宋体" w:eastAsia="宋体" w:cs="宋体"/>
          <w:color w:val="000000"/>
          <w:sz w:val="24"/>
          <w:szCs w:val="24"/>
          <w:highlight w:val="none"/>
          <w:lang w:val="en-US" w:eastAsia="zh-CN"/>
        </w:rPr>
        <w:t>企业补贴</w:t>
      </w:r>
      <w:r>
        <w:rPr>
          <w:rFonts w:hint="eastAsia" w:ascii="宋体" w:hAnsi="宋体" w:eastAsia="宋体" w:cs="宋体"/>
          <w:color w:val="000000"/>
          <w:sz w:val="24"/>
          <w:szCs w:val="24"/>
          <w:highlight w:val="none"/>
        </w:rPr>
        <w:t>类项目，属于经常性项目，项目预算金额为</w:t>
      </w:r>
      <w:r>
        <w:rPr>
          <w:rFonts w:hint="eastAsia" w:ascii="宋体" w:hAnsi="宋体" w:eastAsia="宋体" w:cs="宋体"/>
          <w:color w:val="000000"/>
          <w:sz w:val="24"/>
          <w:szCs w:val="24"/>
          <w:highlight w:val="none"/>
          <w:lang w:val="en-US" w:eastAsia="zh-CN"/>
        </w:rPr>
        <w:t>235.85</w:t>
      </w:r>
      <w:r>
        <w:rPr>
          <w:rFonts w:hint="eastAsia" w:ascii="宋体" w:hAnsi="宋体" w:eastAsia="宋体" w:cs="宋体"/>
          <w:color w:val="000000"/>
          <w:sz w:val="24"/>
          <w:szCs w:val="24"/>
          <w:highlight w:val="none"/>
        </w:rPr>
        <w:t>万元，不涉及事前绩效评估和风险评估，</w:t>
      </w:r>
      <w:r>
        <w:rPr>
          <w:rFonts w:hint="eastAsia" w:ascii="宋体" w:hAnsi="宋体" w:eastAsia="宋体" w:cs="宋体"/>
          <w:color w:val="000000"/>
          <w:sz w:val="24"/>
          <w:szCs w:val="24"/>
          <w:highlight w:val="none"/>
          <w:lang w:val="en-US" w:eastAsia="zh-CN"/>
        </w:rPr>
        <w:t>根据相关文件内容，编制实施方案。</w:t>
      </w:r>
    </w:p>
    <w:p w14:paraId="61923B42">
      <w:pPr>
        <w:pStyle w:val="45"/>
        <w:keepNext w:val="0"/>
        <w:keepLines w:val="0"/>
        <w:pageBreakBefore w:val="0"/>
        <w:widowControl w:val="0"/>
        <w:kinsoku/>
        <w:wordWrap/>
        <w:overflowPunct/>
        <w:topLinePunct w:val="0"/>
        <w:autoSpaceDE/>
        <w:autoSpaceDN/>
        <w:bidi w:val="0"/>
        <w:adjustRightInd/>
        <w:snapToGrid/>
        <w:spacing w:line="360" w:lineRule="auto"/>
        <w:ind w:left="476" w:leftChars="170" w:firstLine="0" w:firstLineChars="0"/>
        <w:textAlignment w:val="auto"/>
        <w:outlineLvl w:val="2"/>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综上所述，本指标满分为3分，根据评分标准得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分，本项目立项程序合规。</w:t>
      </w:r>
    </w:p>
    <w:p w14:paraId="535587EF">
      <w:pPr>
        <w:pStyle w:val="45"/>
        <w:keepNext w:val="0"/>
        <w:keepLines w:val="0"/>
        <w:pageBreakBefore w:val="0"/>
        <w:widowControl w:val="0"/>
        <w:kinsoku/>
        <w:wordWrap/>
        <w:overflowPunct/>
        <w:topLinePunct w:val="0"/>
        <w:autoSpaceDE/>
        <w:autoSpaceDN/>
        <w:bidi w:val="0"/>
        <w:adjustRightInd/>
        <w:snapToGrid/>
        <w:spacing w:line="360" w:lineRule="auto"/>
        <w:ind w:left="476" w:leftChars="170" w:firstLine="0" w:firstLineChars="0"/>
        <w:textAlignment w:val="auto"/>
        <w:outlineLvl w:val="2"/>
        <w:rPr>
          <w:rFonts w:hint="eastAsia" w:ascii="宋体" w:hAnsi="宋体" w:eastAsia="宋体" w:cs="宋体"/>
          <w:sz w:val="24"/>
          <w:szCs w:val="24"/>
        </w:rPr>
      </w:pPr>
      <w:r>
        <w:rPr>
          <w:rFonts w:hint="eastAsia" w:ascii="宋体" w:hAnsi="宋体" w:eastAsia="宋体" w:cs="宋体"/>
          <w:b/>
          <w:bCs/>
          <w:color w:val="000000"/>
          <w:sz w:val="24"/>
          <w:szCs w:val="24"/>
          <w:highlight w:val="none"/>
          <w:lang w:val="en-US" w:eastAsia="zh-CN"/>
        </w:rPr>
        <w:t>3.绩效目标合理性</w:t>
      </w:r>
    </w:p>
    <w:p w14:paraId="3C3E8C2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该项目年初设定绩效目标主要内容为：补贴3家纺织服装企业运输和用电，补贴运输棉纱标准800元/吨，纺织服装企业运费给予4%补贴、企业用电补贴标准0.03元/千瓦时，贷款贴息给予50%补贴。通过项目实施，降低企业经营成本，促进纺织服装企业健康发展。</w:t>
      </w:r>
    </w:p>
    <w:p w14:paraId="64DB1076">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绩效目标合理</w:t>
      </w:r>
      <w:r>
        <w:rPr>
          <w:rFonts w:hint="eastAsia" w:ascii="宋体" w:hAnsi="宋体" w:eastAsia="宋体" w:cs="宋体"/>
          <w:color w:val="000000"/>
          <w:sz w:val="24"/>
          <w:szCs w:val="24"/>
          <w:highlight w:val="none"/>
        </w:rPr>
        <w:t>。</w:t>
      </w:r>
    </w:p>
    <w:p w14:paraId="45FD033F">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4.绩效指标明确性</w:t>
      </w:r>
    </w:p>
    <w:p w14:paraId="731543D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经检查我单位年初设置的《2019年中央纺织服装专项资金运费补贴项目支出绩效目标表》，得出如下结论：本项目已将年度绩效目标进行细化为绩效指标体系，共设置一级指标4个，二级指标6个，三级指标7个，定量指标6个，定性指标1个，指标量化率为85.71%，量化率达70.0%以上，将项目绩效目标细化分解为具体的绩效指标。</w:t>
      </w:r>
    </w:p>
    <w:p w14:paraId="6024ABC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该《2019年中央纺织服装专项资金运费补贴项目绩效目标申报表》中，</w:t>
      </w:r>
      <w:r>
        <w:rPr>
          <w:rFonts w:hint="eastAsia" w:ascii="宋体" w:hAnsi="宋体" w:eastAsia="宋体" w:cs="宋体"/>
          <w:color w:val="000000"/>
          <w:sz w:val="24"/>
          <w:szCs w:val="24"/>
          <w:highlight w:val="none"/>
          <w:lang w:val="en-US" w:eastAsia="zh-CN"/>
        </w:rPr>
        <w:t>已设置</w:t>
      </w:r>
      <w:r>
        <w:rPr>
          <w:rFonts w:hint="eastAsia" w:ascii="宋体" w:hAnsi="宋体" w:eastAsia="宋体" w:cs="宋体"/>
          <w:color w:val="000000"/>
          <w:sz w:val="24"/>
          <w:szCs w:val="24"/>
          <w:highlight w:val="none"/>
        </w:rPr>
        <w:t>数量指标</w:t>
      </w:r>
      <w:r>
        <w:rPr>
          <w:rFonts w:hint="eastAsia" w:ascii="宋体" w:hAnsi="宋体" w:eastAsia="宋体" w:cs="宋体"/>
          <w:color w:val="auto"/>
          <w:sz w:val="24"/>
          <w:szCs w:val="24"/>
          <w:highlight w:val="none"/>
          <w:lang w:val="en-US" w:eastAsia="zh-CN"/>
        </w:rPr>
        <w:t>“补贴纺织服装企业数量”，三级指标的年度指标值与年度绩效目标中任务数一致，已设置时效指标“项目完成时间、资金支付及时率”。已设置的绩效目标具备明确性、可衡量性、可实现性、相关性、时限性。</w:t>
      </w:r>
    </w:p>
    <w:p w14:paraId="7CE148C7">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绩效目标明确</w:t>
      </w:r>
      <w:r>
        <w:rPr>
          <w:rFonts w:hint="eastAsia" w:ascii="宋体" w:hAnsi="宋体" w:eastAsia="宋体" w:cs="宋体"/>
          <w:color w:val="000000"/>
          <w:sz w:val="24"/>
          <w:szCs w:val="24"/>
          <w:highlight w:val="none"/>
        </w:rPr>
        <w:t>。</w:t>
      </w:r>
    </w:p>
    <w:p w14:paraId="286821B3">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5.预算编制科学性</w:t>
      </w:r>
    </w:p>
    <w:p w14:paraId="44F0F79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000000"/>
          <w:sz w:val="24"/>
          <w:szCs w:val="24"/>
          <w:highlight w:val="none"/>
          <w:lang w:eastAsia="zh-CN"/>
        </w:rPr>
        <w:t>该</w:t>
      </w:r>
      <w:r>
        <w:rPr>
          <w:rFonts w:hint="eastAsia" w:ascii="宋体" w:hAnsi="宋体" w:eastAsia="宋体" w:cs="宋体"/>
          <w:color w:val="000000"/>
          <w:sz w:val="24"/>
          <w:szCs w:val="24"/>
          <w:highlight w:val="none"/>
        </w:rPr>
        <w:t>项目预算编制较科学且经过论证；预算申请内容为</w:t>
      </w:r>
      <w:r>
        <w:rPr>
          <w:rFonts w:hint="eastAsia" w:ascii="宋体" w:hAnsi="宋体" w:eastAsia="宋体" w:cs="宋体"/>
          <w:color w:val="000000"/>
          <w:sz w:val="24"/>
          <w:szCs w:val="24"/>
          <w:highlight w:val="none"/>
          <w:lang w:eastAsia="zh-CN"/>
        </w:rPr>
        <w:t>：补贴3家纺织服装企业运输和用电，补贴运输棉纱标准800元/吨，纺织服装企业运费给予4%补贴、企业用电补贴标准0.03元/千瓦时，贷款贴息给予50%补贴，</w:t>
      </w:r>
      <w:r>
        <w:rPr>
          <w:rFonts w:hint="eastAsia" w:ascii="宋体" w:hAnsi="宋体" w:eastAsia="宋体" w:cs="宋体"/>
          <w:color w:val="auto"/>
          <w:sz w:val="24"/>
          <w:szCs w:val="24"/>
          <w:highlight w:val="none"/>
          <w:lang w:val="en-US" w:eastAsia="zh-CN"/>
        </w:rPr>
        <w:t>预算申请与《2019年中央纺织服装专项资金运费补贴项目实施方案》中涉及的项目内容匹配；</w:t>
      </w:r>
    </w:p>
    <w:p w14:paraId="3D1A2B0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项目预算申请资金235.85万元，我单位在预算申请中严格按照项目实施内容及测算标准进行核算，其中：纺织服装专项资金235.85万元。预算确定资金量与实际工作任务相匹配。本项目预算额度测算依据充分，严格按照标准编制，预算确定资金量与实际工作任务相匹配。</w:t>
      </w:r>
    </w:p>
    <w:p w14:paraId="7F9E8A80">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预算编制科学</w:t>
      </w:r>
      <w:r>
        <w:rPr>
          <w:rFonts w:hint="eastAsia" w:ascii="宋体" w:hAnsi="宋体" w:eastAsia="宋体" w:cs="宋体"/>
          <w:color w:val="000000"/>
          <w:sz w:val="24"/>
          <w:szCs w:val="24"/>
          <w:highlight w:val="none"/>
        </w:rPr>
        <w:t>。</w:t>
      </w:r>
    </w:p>
    <w:p w14:paraId="48D66438">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6.资金分配合理性</w:t>
      </w:r>
    </w:p>
    <w:p w14:paraId="2678BF18">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本项目实际分配资金以《关于申请</w:t>
      </w:r>
      <w:r>
        <w:rPr>
          <w:rFonts w:hint="eastAsia" w:ascii="宋体" w:hAnsi="宋体" w:eastAsia="宋体" w:cs="宋体"/>
          <w:color w:val="000000"/>
          <w:sz w:val="24"/>
          <w:szCs w:val="24"/>
          <w:highlight w:val="none"/>
          <w:lang w:val="en-US" w:eastAsia="zh-CN"/>
        </w:rPr>
        <w:t>纺织服装专项资金</w:t>
      </w:r>
      <w:r>
        <w:rPr>
          <w:rFonts w:hint="eastAsia" w:ascii="宋体" w:hAnsi="宋体" w:eastAsia="宋体" w:cs="宋体"/>
          <w:color w:val="000000"/>
          <w:sz w:val="24"/>
          <w:szCs w:val="24"/>
          <w:highlight w:val="none"/>
        </w:rPr>
        <w:t>项目资金的请示》和《</w:t>
      </w:r>
      <w:r>
        <w:rPr>
          <w:rFonts w:hint="eastAsia" w:ascii="宋体" w:hAnsi="宋体" w:eastAsia="宋体" w:cs="宋体"/>
          <w:color w:val="000000"/>
          <w:sz w:val="24"/>
          <w:szCs w:val="24"/>
          <w:highlight w:val="none"/>
          <w:lang w:val="en-US" w:eastAsia="zh-CN"/>
        </w:rPr>
        <w:t>纺织服装专项资金</w:t>
      </w:r>
      <w:r>
        <w:rPr>
          <w:rFonts w:hint="eastAsia" w:ascii="宋体" w:hAnsi="宋体" w:eastAsia="宋体" w:cs="宋体"/>
          <w:color w:val="000000"/>
          <w:sz w:val="24"/>
          <w:szCs w:val="24"/>
          <w:highlight w:val="none"/>
        </w:rPr>
        <w:t>项目实施方案》为依据进行资金分配，预算资金分配依据充分。根据《2019年中央纺织服装专项资金（第二批）运费补贴》（和地财建【2019】178号），本项目实际到位资金</w:t>
      </w:r>
      <w:r>
        <w:rPr>
          <w:rFonts w:hint="eastAsia" w:ascii="宋体" w:hAnsi="宋体" w:eastAsia="宋体" w:cs="宋体"/>
          <w:color w:val="000000"/>
          <w:sz w:val="24"/>
          <w:szCs w:val="24"/>
          <w:highlight w:val="none"/>
          <w:lang w:val="en-US" w:eastAsia="zh-CN"/>
        </w:rPr>
        <w:t>235.85</w:t>
      </w:r>
      <w:r>
        <w:rPr>
          <w:rFonts w:hint="eastAsia" w:ascii="宋体" w:hAnsi="宋体" w:eastAsia="宋体" w:cs="宋体"/>
          <w:color w:val="000000"/>
          <w:sz w:val="24"/>
          <w:szCs w:val="24"/>
          <w:highlight w:val="none"/>
        </w:rPr>
        <w:t>万元，资金分配额度合理，与我单位实际需求相适应。资金分配与实际相适应</w:t>
      </w:r>
      <w:r>
        <w:rPr>
          <w:rFonts w:hint="eastAsia" w:ascii="宋体" w:hAnsi="宋体" w:eastAsia="宋体" w:cs="宋体"/>
          <w:color w:val="000000"/>
          <w:sz w:val="24"/>
          <w:szCs w:val="24"/>
          <w:highlight w:val="none"/>
          <w:lang w:eastAsia="zh-CN"/>
        </w:rPr>
        <w:t>。</w:t>
      </w:r>
    </w:p>
    <w:p w14:paraId="252DB256">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资金分配合理</w:t>
      </w:r>
      <w:r>
        <w:rPr>
          <w:rFonts w:hint="eastAsia" w:ascii="宋体" w:hAnsi="宋体" w:eastAsia="宋体" w:cs="宋体"/>
          <w:color w:val="000000"/>
          <w:sz w:val="24"/>
          <w:szCs w:val="24"/>
          <w:highlight w:val="none"/>
        </w:rPr>
        <w:t>。</w:t>
      </w:r>
    </w:p>
    <w:p w14:paraId="3CDB899D">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（二）项目过程情况</w:t>
      </w:r>
    </w:p>
    <w:p w14:paraId="494BB27C">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项目过程类指标包括资金管理和组织实施两方面的内容，由 5个三级指标构成，权重分为</w:t>
      </w:r>
      <w:r>
        <w:rPr>
          <w:rFonts w:hint="eastAsia" w:ascii="宋体" w:hAnsi="宋体" w:eastAsia="宋体" w:cs="宋体"/>
          <w:color w:val="000000"/>
          <w:sz w:val="24"/>
          <w:szCs w:val="24"/>
          <w:highlight w:val="none"/>
          <w:lang w:val="en-US" w:eastAsia="zh-CN"/>
        </w:rPr>
        <w:t>12</w:t>
      </w:r>
      <w:r>
        <w:rPr>
          <w:rFonts w:hint="eastAsia" w:ascii="宋体" w:hAnsi="宋体" w:eastAsia="宋体" w:cs="宋体"/>
          <w:color w:val="000000"/>
          <w:sz w:val="24"/>
          <w:szCs w:val="24"/>
          <w:highlight w:val="none"/>
        </w:rPr>
        <w:t>分，实际得分</w:t>
      </w:r>
      <w:r>
        <w:rPr>
          <w:rFonts w:hint="eastAsia" w:ascii="宋体" w:hAnsi="宋体" w:eastAsia="宋体" w:cs="宋体"/>
          <w:color w:val="000000"/>
          <w:sz w:val="24"/>
          <w:szCs w:val="24"/>
          <w:highlight w:val="none"/>
          <w:lang w:val="en-US" w:eastAsia="zh-CN"/>
        </w:rPr>
        <w:t>12</w:t>
      </w:r>
      <w:r>
        <w:rPr>
          <w:rFonts w:hint="eastAsia" w:ascii="宋体" w:hAnsi="宋体" w:eastAsia="宋体" w:cs="宋体"/>
          <w:color w:val="000000"/>
          <w:sz w:val="24"/>
          <w:szCs w:val="24"/>
          <w:highlight w:val="none"/>
        </w:rPr>
        <w:t>分，得分率为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w:t>
      </w:r>
    </w:p>
    <w:p w14:paraId="2405CBAD">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1.资金到位率：</w:t>
      </w:r>
    </w:p>
    <w:p w14:paraId="0B29594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本项目预算资金为235.85万元，其中：财政安排资金235.85万元，其他资金</w:t>
      </w:r>
      <w:r>
        <w:rPr>
          <w:rFonts w:hint="eastAsia" w:ascii="宋体" w:hAnsi="宋体" w:eastAsia="宋体" w:cs="宋体"/>
          <w:color w:val="000000"/>
          <w:sz w:val="24"/>
          <w:szCs w:val="24"/>
          <w:highlight w:val="none"/>
          <w:lang w:val="en-US" w:eastAsia="zh-CN"/>
        </w:rPr>
        <w:t>0</w:t>
      </w:r>
      <w:r>
        <w:rPr>
          <w:rFonts w:hint="eastAsia" w:ascii="宋体" w:hAnsi="宋体" w:eastAsia="宋体" w:cs="宋体"/>
          <w:color w:val="000000"/>
          <w:sz w:val="24"/>
          <w:szCs w:val="24"/>
          <w:highlight w:val="none"/>
        </w:rPr>
        <w:t>万元，实际到位资金235.85万元，资金到位率</w:t>
      </w:r>
      <w:r>
        <w:rPr>
          <w:rFonts w:hint="eastAsia" w:ascii="宋体" w:hAnsi="宋体" w:eastAsia="宋体" w:cs="宋体"/>
          <w:color w:val="000000"/>
          <w:sz w:val="24"/>
          <w:szCs w:val="24"/>
          <w:highlight w:val="none"/>
          <w:lang w:val="en-US" w:eastAsia="zh-CN"/>
        </w:rPr>
        <w:t>100%；通过分析可知，该项目</w:t>
      </w:r>
      <w:r>
        <w:rPr>
          <w:rFonts w:hint="eastAsia" w:ascii="宋体" w:hAnsi="宋体" w:eastAsia="宋体" w:cs="宋体"/>
          <w:color w:val="000000"/>
          <w:sz w:val="24"/>
          <w:szCs w:val="24"/>
          <w:highlight w:val="none"/>
        </w:rPr>
        <w:t>财政资金足额拨付到位，能够及时足额</w:t>
      </w:r>
      <w:r>
        <w:rPr>
          <w:rFonts w:hint="eastAsia" w:ascii="宋体" w:hAnsi="宋体" w:eastAsia="宋体" w:cs="宋体"/>
          <w:color w:val="000000"/>
          <w:sz w:val="24"/>
          <w:szCs w:val="24"/>
          <w:highlight w:val="none"/>
          <w:lang w:val="en-US" w:eastAsia="zh-CN"/>
        </w:rPr>
        <w:t>支付</w:t>
      </w:r>
      <w:r>
        <w:rPr>
          <w:rFonts w:hint="eastAsia" w:ascii="宋体" w:hAnsi="宋体" w:eastAsia="宋体" w:cs="宋体"/>
          <w:color w:val="000000"/>
          <w:sz w:val="24"/>
          <w:szCs w:val="24"/>
          <w:highlight w:val="none"/>
        </w:rPr>
        <w:t>给</w:t>
      </w:r>
      <w:r>
        <w:rPr>
          <w:rFonts w:hint="eastAsia" w:ascii="宋体" w:hAnsi="宋体" w:eastAsia="宋体" w:cs="宋体"/>
          <w:color w:val="000000"/>
          <w:sz w:val="24"/>
          <w:szCs w:val="24"/>
          <w:highlight w:val="none"/>
          <w:lang w:val="en-US" w:eastAsia="zh-CN"/>
        </w:rPr>
        <w:t>实施</w:t>
      </w:r>
      <w:r>
        <w:rPr>
          <w:rFonts w:hint="eastAsia" w:ascii="宋体" w:hAnsi="宋体" w:eastAsia="宋体" w:cs="宋体"/>
          <w:color w:val="000000"/>
          <w:sz w:val="24"/>
          <w:szCs w:val="24"/>
          <w:highlight w:val="none"/>
        </w:rPr>
        <w:t>单位</w:t>
      </w:r>
      <w:r>
        <w:rPr>
          <w:rFonts w:hint="eastAsia" w:ascii="宋体" w:hAnsi="宋体" w:eastAsia="宋体" w:cs="宋体"/>
          <w:color w:val="000000"/>
          <w:sz w:val="24"/>
          <w:szCs w:val="24"/>
          <w:highlight w:val="none"/>
          <w:lang w:eastAsia="zh-CN"/>
        </w:rPr>
        <w:t>。</w:t>
      </w:r>
    </w:p>
    <w:p w14:paraId="665DF88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 xml:space="preserve">分。 </w:t>
      </w:r>
      <w:r>
        <w:rPr>
          <w:rFonts w:hint="eastAsia" w:ascii="宋体" w:hAnsi="宋体" w:eastAsia="宋体" w:cs="宋体"/>
          <w:b w:val="0"/>
          <w:bCs w:val="0"/>
          <w:color w:val="auto"/>
          <w:sz w:val="24"/>
          <w:szCs w:val="24"/>
          <w:highlight w:val="none"/>
        </w:rPr>
        <w:t xml:space="preserve">  </w:t>
      </w:r>
    </w:p>
    <w:p w14:paraId="3EBCBA12">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2.预算执行率：</w:t>
      </w:r>
    </w:p>
    <w:p w14:paraId="5AB1CF8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本项目实际支出资金</w:t>
      </w:r>
      <w:r>
        <w:rPr>
          <w:rFonts w:hint="eastAsia" w:ascii="宋体" w:hAnsi="宋体" w:eastAsia="宋体" w:cs="宋体"/>
          <w:color w:val="000000"/>
          <w:sz w:val="24"/>
          <w:szCs w:val="24"/>
          <w:highlight w:val="none"/>
          <w:lang w:val="en-US" w:eastAsia="zh-CN"/>
        </w:rPr>
        <w:t>235.85</w:t>
      </w:r>
      <w:r>
        <w:rPr>
          <w:rFonts w:hint="eastAsia" w:ascii="宋体" w:hAnsi="宋体" w:eastAsia="宋体" w:cs="宋体"/>
          <w:color w:val="000000"/>
          <w:sz w:val="24"/>
          <w:szCs w:val="24"/>
          <w:highlight w:val="none"/>
        </w:rPr>
        <w:t>万元，预算执行率=（实际支出资金/实际到位资金）×100.0%=</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通过分析可知，该项目</w:t>
      </w:r>
      <w:r>
        <w:rPr>
          <w:rFonts w:hint="eastAsia" w:ascii="宋体" w:hAnsi="宋体" w:eastAsia="宋体" w:cs="宋体"/>
          <w:color w:val="000000"/>
          <w:sz w:val="24"/>
          <w:szCs w:val="24"/>
          <w:highlight w:val="none"/>
        </w:rPr>
        <w:t>预算编制较为详细，项目资金支出总体能够按照预算执行</w:t>
      </w:r>
      <w:r>
        <w:rPr>
          <w:rFonts w:hint="eastAsia" w:ascii="宋体" w:hAnsi="宋体" w:eastAsia="宋体" w:cs="宋体"/>
          <w:color w:val="000000"/>
          <w:sz w:val="24"/>
          <w:szCs w:val="24"/>
          <w:highlight w:val="none"/>
          <w:lang w:eastAsia="zh-CN"/>
        </w:rPr>
        <w:t>。</w:t>
      </w:r>
    </w:p>
    <w:p w14:paraId="7885D19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w:t>
      </w:r>
    </w:p>
    <w:p w14:paraId="1C73BD41">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3.资金使用合规性：</w:t>
      </w:r>
    </w:p>
    <w:p w14:paraId="1A3BC88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通过检查项目资金申请文件、</w:t>
      </w:r>
      <w:r>
        <w:rPr>
          <w:rFonts w:hint="eastAsia" w:ascii="宋体" w:hAnsi="宋体" w:eastAsia="宋体" w:cs="宋体"/>
          <w:color w:val="000000"/>
          <w:sz w:val="24"/>
          <w:szCs w:val="24"/>
          <w:highlight w:val="none"/>
          <w:lang w:val="en-US" w:eastAsia="zh-CN"/>
        </w:rPr>
        <w:t>国库支付凭证</w:t>
      </w:r>
      <w:r>
        <w:rPr>
          <w:rFonts w:hint="eastAsia" w:ascii="宋体" w:hAnsi="宋体" w:eastAsia="宋体" w:cs="宋体"/>
          <w:color w:val="000000"/>
          <w:sz w:val="24"/>
          <w:szCs w:val="24"/>
          <w:highlight w:val="none"/>
        </w:rPr>
        <w:t>等财务</w:t>
      </w:r>
      <w:r>
        <w:rPr>
          <w:rFonts w:hint="eastAsia" w:ascii="宋体" w:hAnsi="宋体" w:eastAsia="宋体" w:cs="宋体"/>
          <w:color w:val="000000"/>
          <w:sz w:val="24"/>
          <w:szCs w:val="24"/>
          <w:highlight w:val="none"/>
          <w:lang w:val="en-US" w:eastAsia="zh-CN"/>
        </w:rPr>
        <w:t>资料</w:t>
      </w:r>
      <w:r>
        <w:rPr>
          <w:rFonts w:hint="eastAsia" w:ascii="宋体" w:hAnsi="宋体" w:eastAsia="宋体" w:cs="宋体"/>
          <w:color w:val="000000"/>
          <w:sz w:val="24"/>
          <w:szCs w:val="24"/>
          <w:highlight w:val="none"/>
        </w:rPr>
        <w:t>，得出本项目资金支出符合国家财经法规、《政府会计制度》《</w:t>
      </w:r>
      <w:r>
        <w:rPr>
          <w:rFonts w:hint="eastAsia" w:ascii="宋体" w:hAnsi="宋体" w:eastAsia="宋体" w:cs="宋体"/>
          <w:color w:val="000000"/>
          <w:sz w:val="24"/>
          <w:szCs w:val="24"/>
          <w:highlight w:val="none"/>
          <w:lang w:val="en-US" w:eastAsia="zh-CN"/>
        </w:rPr>
        <w:t>洛浦县商工局</w:t>
      </w:r>
      <w:r>
        <w:rPr>
          <w:rFonts w:hint="eastAsia" w:ascii="宋体" w:hAnsi="宋体" w:eastAsia="宋体" w:cs="宋体"/>
          <w:color w:val="000000"/>
          <w:sz w:val="24"/>
          <w:szCs w:val="24"/>
          <w:highlight w:val="none"/>
        </w:rPr>
        <w:t>资金管理办法》《</w:t>
      </w:r>
      <w:r>
        <w:rPr>
          <w:rFonts w:hint="eastAsia" w:ascii="宋体" w:hAnsi="宋体" w:eastAsia="宋体" w:cs="宋体"/>
          <w:color w:val="000000"/>
          <w:sz w:val="24"/>
          <w:szCs w:val="24"/>
          <w:highlight w:val="none"/>
          <w:lang w:val="en-US" w:eastAsia="zh-CN"/>
        </w:rPr>
        <w:t>纺织服装</w:t>
      </w:r>
      <w:r>
        <w:rPr>
          <w:rFonts w:hint="eastAsia" w:ascii="宋体" w:hAnsi="宋体" w:eastAsia="宋体" w:cs="宋体"/>
          <w:color w:val="000000"/>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color w:val="000000"/>
          <w:sz w:val="24"/>
          <w:szCs w:val="24"/>
          <w:highlight w:val="none"/>
          <w:lang w:val="en-US" w:eastAsia="zh-CN"/>
        </w:rPr>
        <w:t>我单位</w:t>
      </w:r>
      <w:r>
        <w:rPr>
          <w:rFonts w:hint="eastAsia" w:ascii="宋体" w:hAnsi="宋体" w:eastAsia="宋体" w:cs="宋体"/>
          <w:color w:val="000000"/>
          <w:sz w:val="24"/>
          <w:szCs w:val="24"/>
          <w:highlight w:val="none"/>
        </w:rPr>
        <w:t>制定了相关的制度和管理规定对经费使用进行规范管理，财务制度健全、执行严格</w:t>
      </w:r>
      <w:r>
        <w:rPr>
          <w:rFonts w:hint="eastAsia" w:ascii="宋体" w:hAnsi="宋体" w:eastAsia="宋体" w:cs="宋体"/>
          <w:color w:val="000000"/>
          <w:sz w:val="24"/>
          <w:szCs w:val="24"/>
          <w:highlight w:val="none"/>
          <w:lang w:eastAsia="zh-CN"/>
        </w:rPr>
        <w:t>。</w:t>
      </w:r>
    </w:p>
    <w:p w14:paraId="29868AB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w:t>
      </w:r>
    </w:p>
    <w:p w14:paraId="39BEFB7A">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4.管理制度健全性：</w:t>
      </w:r>
    </w:p>
    <w:p w14:paraId="2A70337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我单位已制定《</w:t>
      </w:r>
      <w:r>
        <w:rPr>
          <w:rFonts w:hint="eastAsia" w:ascii="宋体" w:hAnsi="宋体" w:eastAsia="宋体" w:cs="宋体"/>
          <w:color w:val="000000"/>
          <w:sz w:val="24"/>
          <w:szCs w:val="24"/>
          <w:highlight w:val="none"/>
          <w:lang w:val="en-US" w:eastAsia="zh-CN"/>
        </w:rPr>
        <w:t>纺织服装专项</w:t>
      </w:r>
      <w:r>
        <w:rPr>
          <w:rFonts w:hint="eastAsia" w:ascii="宋体" w:hAnsi="宋体" w:eastAsia="宋体" w:cs="宋体"/>
          <w:color w:val="000000"/>
          <w:sz w:val="24"/>
          <w:szCs w:val="24"/>
          <w:highlight w:val="none"/>
        </w:rPr>
        <w:t>资金管理办法》《</w:t>
      </w:r>
      <w:r>
        <w:rPr>
          <w:rFonts w:hint="eastAsia" w:ascii="宋体" w:hAnsi="宋体" w:eastAsia="宋体" w:cs="宋体"/>
          <w:color w:val="000000"/>
          <w:sz w:val="24"/>
          <w:szCs w:val="24"/>
          <w:highlight w:val="none"/>
          <w:lang w:val="en-US" w:eastAsia="zh-CN"/>
        </w:rPr>
        <w:t>预算</w:t>
      </w:r>
      <w:r>
        <w:rPr>
          <w:rFonts w:hint="eastAsia" w:ascii="宋体" w:hAnsi="宋体" w:eastAsia="宋体" w:cs="宋体"/>
          <w:color w:val="000000"/>
          <w:sz w:val="24"/>
          <w:szCs w:val="24"/>
          <w:highlight w:val="none"/>
        </w:rPr>
        <w:t>收支业务管理制度》，</w:t>
      </w:r>
      <w:r>
        <w:rPr>
          <w:rFonts w:hint="eastAsia" w:ascii="宋体" w:hAnsi="宋体" w:eastAsia="宋体" w:cs="宋体"/>
          <w:color w:val="000000"/>
          <w:sz w:val="24"/>
          <w:szCs w:val="24"/>
          <w:highlight w:val="none"/>
          <w:lang w:val="en-US" w:eastAsia="zh-CN"/>
        </w:rPr>
        <w:t>相关</w:t>
      </w:r>
      <w:r>
        <w:rPr>
          <w:rFonts w:hint="eastAsia" w:ascii="宋体" w:hAnsi="宋体" w:eastAsia="宋体" w:cs="宋体"/>
          <w:color w:val="000000"/>
          <w:sz w:val="24"/>
          <w:szCs w:val="24"/>
          <w:highlight w:val="none"/>
        </w:rPr>
        <w:t>制度均符合行政事业单位内控管理要求，财务和业务管理制度合法、合规、完整，本项目执行符合上述制度规定。</w:t>
      </w:r>
    </w:p>
    <w:p w14:paraId="57CA11D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w:t>
      </w:r>
    </w:p>
    <w:p w14:paraId="309E8668">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5.制度执行有效性：</w:t>
      </w:r>
    </w:p>
    <w:p w14:paraId="6E47FF1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①该项目的实施符合《</w:t>
      </w:r>
      <w:r>
        <w:rPr>
          <w:rFonts w:hint="eastAsia" w:ascii="宋体" w:hAnsi="宋体" w:eastAsia="宋体" w:cs="宋体"/>
          <w:color w:val="000000"/>
          <w:sz w:val="24"/>
          <w:szCs w:val="24"/>
          <w:highlight w:val="none"/>
          <w:lang w:val="en-US" w:eastAsia="zh-CN"/>
        </w:rPr>
        <w:t>纺织服装</w:t>
      </w:r>
      <w:r>
        <w:rPr>
          <w:rFonts w:hint="eastAsia" w:ascii="宋体" w:hAnsi="宋体" w:eastAsia="宋体" w:cs="宋体"/>
          <w:color w:val="000000"/>
          <w:sz w:val="24"/>
          <w:szCs w:val="24"/>
          <w:highlight w:val="none"/>
        </w:rPr>
        <w:t>专项资金管理办法》《</w:t>
      </w:r>
      <w:r>
        <w:rPr>
          <w:rFonts w:hint="eastAsia" w:ascii="宋体" w:hAnsi="宋体" w:eastAsia="宋体" w:cs="宋体"/>
          <w:color w:val="000000"/>
          <w:sz w:val="24"/>
          <w:szCs w:val="24"/>
          <w:highlight w:val="none"/>
          <w:lang w:val="en-US" w:eastAsia="zh-CN"/>
        </w:rPr>
        <w:t>专项资金</w:t>
      </w:r>
      <w:r>
        <w:rPr>
          <w:rFonts w:hint="eastAsia" w:ascii="宋体" w:hAnsi="宋体" w:eastAsia="宋体" w:cs="宋体"/>
          <w:color w:val="000000"/>
          <w:sz w:val="24"/>
          <w:szCs w:val="24"/>
          <w:highlight w:val="none"/>
        </w:rPr>
        <w:t>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536F7E4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②经现场查证项目合同书、验收评审表、财务支付凭证等资料齐全并及时归档。</w:t>
      </w:r>
    </w:p>
    <w:p w14:paraId="1DB719F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③该项目是否存在调整，调整手续是否齐全，如未调整，则填“该项目实施过程中不存在调整事项”。</w:t>
      </w:r>
    </w:p>
    <w:p w14:paraId="24750E1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2019年中央纺织服装专项资金运费补贴项目项目工作领导小组，由</w:t>
      </w:r>
      <w:r>
        <w:rPr>
          <w:rFonts w:hint="eastAsia" w:ascii="宋体" w:hAnsi="宋体" w:eastAsia="宋体" w:cs="宋体"/>
          <w:color w:val="000000"/>
          <w:sz w:val="24"/>
          <w:szCs w:val="24"/>
          <w:highlight w:val="none"/>
          <w:lang w:val="en-US" w:eastAsia="zh-CN"/>
        </w:rPr>
        <w:t>林鹏</w:t>
      </w:r>
      <w:r>
        <w:rPr>
          <w:rFonts w:hint="eastAsia" w:ascii="宋体" w:hAnsi="宋体" w:eastAsia="宋体" w:cs="宋体"/>
          <w:color w:val="000000"/>
          <w:sz w:val="24"/>
          <w:szCs w:val="24"/>
          <w:highlight w:val="none"/>
        </w:rPr>
        <w:t>任组长，负责项目的组织工作；组员包括：</w:t>
      </w:r>
      <w:r>
        <w:rPr>
          <w:rFonts w:hint="eastAsia" w:ascii="宋体" w:hAnsi="宋体" w:eastAsia="宋体" w:cs="宋体"/>
          <w:color w:val="000000"/>
          <w:sz w:val="24"/>
          <w:szCs w:val="24"/>
          <w:highlight w:val="none"/>
          <w:lang w:val="en-US" w:eastAsia="zh-CN"/>
        </w:rPr>
        <w:t>周琦</w:t>
      </w:r>
      <w:r>
        <w:rPr>
          <w:rFonts w:hint="eastAsia" w:ascii="宋体" w:hAnsi="宋体" w:eastAsia="宋体" w:cs="宋体"/>
          <w:color w:val="000000"/>
          <w:sz w:val="24"/>
          <w:szCs w:val="24"/>
          <w:highlight w:val="none"/>
        </w:rPr>
        <w:t>和</w:t>
      </w:r>
      <w:r>
        <w:rPr>
          <w:rFonts w:hint="eastAsia" w:ascii="宋体" w:hAnsi="宋体" w:eastAsia="宋体" w:cs="宋体"/>
          <w:color w:val="000000"/>
          <w:sz w:val="24"/>
          <w:szCs w:val="24"/>
          <w:highlight w:val="none"/>
          <w:lang w:val="en-US" w:eastAsia="zh-CN"/>
        </w:rPr>
        <w:t>夏热帕提·艾合买提</w:t>
      </w:r>
      <w:r>
        <w:rPr>
          <w:rFonts w:hint="eastAsia" w:ascii="宋体" w:hAnsi="宋体" w:eastAsia="宋体" w:cs="宋体"/>
          <w:color w:val="000000"/>
          <w:sz w:val="24"/>
          <w:szCs w:val="24"/>
          <w:highlight w:val="none"/>
        </w:rPr>
        <w:t>，主要负责项目监督管理、验收以及资金核拨等工作。</w:t>
      </w:r>
    </w:p>
    <w:p w14:paraId="7B91E66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w:t>
      </w:r>
    </w:p>
    <w:p w14:paraId="16041CB0">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79D44121">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个三级指标构成，权重分为4</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36.67</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91.68</w:t>
      </w:r>
      <w:r>
        <w:rPr>
          <w:rFonts w:hint="eastAsia" w:ascii="宋体" w:hAnsi="宋体" w:eastAsia="宋体" w:cs="宋体"/>
          <w:color w:val="auto"/>
          <w:sz w:val="24"/>
          <w:szCs w:val="24"/>
          <w:highlight w:val="none"/>
        </w:rPr>
        <w:t>%。</w:t>
      </w:r>
    </w:p>
    <w:p w14:paraId="0EA2B4A1">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1.对于“产出数量”</w:t>
      </w:r>
    </w:p>
    <w:p w14:paraId="1F18A15A">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补贴纺织服装企业数量</w:t>
      </w:r>
      <w:r>
        <w:rPr>
          <w:rFonts w:hint="eastAsia" w:ascii="宋体" w:hAnsi="宋体" w:eastAsia="宋体" w:cs="宋体"/>
          <w:color w:val="auto"/>
          <w:sz w:val="24"/>
          <w:szCs w:val="24"/>
          <w:highlight w:val="none"/>
        </w:rPr>
        <w:t>，预期指标值</w:t>
      </w:r>
      <w:r>
        <w:rPr>
          <w:rFonts w:hint="eastAsia" w:ascii="宋体" w:hAnsi="宋体" w:eastAsia="宋体" w:cs="宋体"/>
          <w:color w:val="auto"/>
          <w:sz w:val="24"/>
          <w:szCs w:val="24"/>
          <w:highlight w:val="none"/>
          <w:lang w:val="en-US" w:eastAsia="zh-CN"/>
        </w:rPr>
        <w:t>大于等于3家</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2家</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66.67%</w:t>
      </w:r>
      <w:r>
        <w:rPr>
          <w:rFonts w:hint="eastAsia" w:ascii="宋体" w:hAnsi="宋体" w:eastAsia="宋体" w:cs="宋体"/>
          <w:color w:val="auto"/>
          <w:sz w:val="24"/>
          <w:szCs w:val="24"/>
          <w:highlight w:val="none"/>
        </w:rPr>
        <w:t>，与预期目标一致，根据评分标准，该指标扣分，得</w:t>
      </w:r>
      <w:r>
        <w:rPr>
          <w:rFonts w:hint="eastAsia" w:ascii="宋体" w:hAnsi="宋体" w:eastAsia="宋体" w:cs="宋体"/>
          <w:color w:val="auto"/>
          <w:sz w:val="24"/>
          <w:szCs w:val="24"/>
          <w:highlight w:val="none"/>
          <w:lang w:val="en-US" w:eastAsia="zh-CN"/>
        </w:rPr>
        <w:t>6.67</w:t>
      </w:r>
      <w:r>
        <w:rPr>
          <w:rFonts w:hint="eastAsia" w:ascii="宋体" w:hAnsi="宋体" w:eastAsia="宋体" w:cs="宋体"/>
          <w:color w:val="auto"/>
          <w:sz w:val="24"/>
          <w:szCs w:val="24"/>
          <w:highlight w:val="none"/>
        </w:rPr>
        <w:t>分。</w:t>
      </w:r>
    </w:p>
    <w:p w14:paraId="08CC2730">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w:t>
      </w:r>
      <w:r>
        <w:rPr>
          <w:rFonts w:hint="eastAsia" w:ascii="宋体" w:hAnsi="宋体" w:eastAsia="宋体" w:cs="宋体"/>
          <w:color w:val="auto"/>
          <w:sz w:val="24"/>
          <w:szCs w:val="24"/>
          <w:highlight w:val="none"/>
          <w:lang w:val="en-US" w:eastAsia="zh-CN"/>
        </w:rPr>
        <w:t>6.67</w:t>
      </w:r>
      <w:r>
        <w:rPr>
          <w:rFonts w:hint="eastAsia" w:ascii="宋体" w:hAnsi="宋体" w:eastAsia="宋体" w:cs="宋体"/>
          <w:color w:val="auto"/>
          <w:sz w:val="24"/>
          <w:szCs w:val="24"/>
          <w:highlight w:val="none"/>
        </w:rPr>
        <w:t>分。</w:t>
      </w:r>
    </w:p>
    <w:p w14:paraId="749B6032">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2.对于“产出质量”</w:t>
      </w:r>
    </w:p>
    <w:p w14:paraId="1A787702">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资金使用合规率，预期指标值</w:t>
      </w:r>
      <w:r>
        <w:rPr>
          <w:rFonts w:hint="eastAsia" w:ascii="宋体" w:hAnsi="宋体" w:eastAsia="宋体" w:cs="宋体"/>
          <w:color w:val="auto"/>
          <w:sz w:val="24"/>
          <w:szCs w:val="24"/>
          <w:highlight w:val="none"/>
          <w:lang w:val="en-US" w:eastAsia="zh-CN"/>
        </w:rPr>
        <w:t>等于100%</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4DE77330">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合计得10分。</w:t>
      </w:r>
    </w:p>
    <w:p w14:paraId="50F55A0B">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3.对于“产出时效”</w:t>
      </w:r>
    </w:p>
    <w:p w14:paraId="0F8FAFDE">
      <w:pPr>
        <w:pStyle w:val="10"/>
        <w:pageBreakBefore w:val="0"/>
        <w:widowControl w:val="0"/>
        <w:kinsoku/>
        <w:wordWrap/>
        <w:topLinePunct w:val="0"/>
        <w:autoSpaceDE/>
        <w:autoSpaceDN/>
        <w:bidi w:val="0"/>
        <w:adjustRightInd/>
        <w:snapToGrid/>
        <w:spacing w:before="0" w:after="0" w:line="360" w:lineRule="auto"/>
        <w:ind w:left="0" w:leftChars="0" w:firstLine="640"/>
        <w:jc w:val="both"/>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项目完成时间，预期指标值为</w:t>
      </w:r>
      <w:r>
        <w:rPr>
          <w:rFonts w:hint="eastAsia" w:ascii="宋体" w:hAnsi="宋体" w:eastAsia="宋体" w:cs="宋体"/>
          <w:b w:val="0"/>
          <w:color w:val="auto"/>
          <w:sz w:val="24"/>
          <w:szCs w:val="24"/>
          <w:highlight w:val="none"/>
          <w:lang w:val="en-US" w:eastAsia="zh-CN"/>
        </w:rPr>
        <w:t>2024年12月，</w:t>
      </w:r>
      <w:r>
        <w:rPr>
          <w:rFonts w:hint="eastAsia" w:ascii="宋体" w:hAnsi="宋体" w:eastAsia="宋体" w:cs="宋体"/>
          <w:b w:val="0"/>
          <w:color w:val="auto"/>
          <w:sz w:val="24"/>
          <w:szCs w:val="24"/>
          <w:highlight w:val="none"/>
        </w:rPr>
        <w:t>实际完成值为</w:t>
      </w:r>
      <w:r>
        <w:rPr>
          <w:rFonts w:hint="eastAsia" w:ascii="宋体" w:hAnsi="宋体" w:eastAsia="宋体" w:cs="宋体"/>
          <w:b w:val="0"/>
          <w:color w:val="auto"/>
          <w:sz w:val="24"/>
          <w:szCs w:val="24"/>
          <w:highlight w:val="none"/>
          <w:lang w:val="en-US" w:eastAsia="zh-CN"/>
        </w:rPr>
        <w:t>2024年12月</w:t>
      </w:r>
      <w:r>
        <w:rPr>
          <w:rFonts w:hint="eastAsia" w:ascii="宋体" w:hAnsi="宋体" w:eastAsia="宋体" w:cs="宋体"/>
          <w:b w:val="0"/>
          <w:color w:val="auto"/>
          <w:sz w:val="24"/>
          <w:szCs w:val="24"/>
          <w:highlight w:val="none"/>
        </w:rPr>
        <w:t>，指标完成率为</w:t>
      </w:r>
      <w:r>
        <w:rPr>
          <w:rFonts w:hint="eastAsia" w:ascii="宋体" w:hAnsi="宋体" w:eastAsia="宋体" w:cs="宋体"/>
          <w:b w:val="0"/>
          <w:color w:val="auto"/>
          <w:sz w:val="24"/>
          <w:szCs w:val="24"/>
          <w:highlight w:val="none"/>
          <w:lang w:val="en-US" w:eastAsia="zh-CN"/>
        </w:rPr>
        <w:t>100%</w:t>
      </w:r>
      <w:r>
        <w:rPr>
          <w:rFonts w:hint="eastAsia" w:ascii="宋体" w:hAnsi="宋体" w:eastAsia="宋体" w:cs="宋体"/>
          <w:b w:val="0"/>
          <w:color w:val="auto"/>
          <w:sz w:val="24"/>
          <w:szCs w:val="24"/>
          <w:highlight w:val="none"/>
        </w:rPr>
        <w:t>，与预期目标一致，根据评分标准，该指标不扣分，</w:t>
      </w:r>
      <w:r>
        <w:rPr>
          <w:rFonts w:hint="eastAsia" w:ascii="宋体" w:hAnsi="宋体" w:eastAsia="宋体" w:cs="宋体"/>
          <w:b w:val="0"/>
          <w:bCs/>
          <w:color w:val="auto"/>
          <w:sz w:val="24"/>
          <w:szCs w:val="24"/>
          <w:highlight w:val="none"/>
        </w:rPr>
        <w:t>得</w:t>
      </w:r>
      <w:r>
        <w:rPr>
          <w:rFonts w:hint="eastAsia" w:ascii="宋体" w:hAnsi="宋体" w:eastAsia="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rPr>
        <w:t>分</w:t>
      </w:r>
      <w:r>
        <w:rPr>
          <w:rFonts w:hint="eastAsia" w:ascii="宋体" w:hAnsi="宋体" w:eastAsia="宋体" w:cs="宋体"/>
          <w:b w:val="0"/>
          <w:color w:val="auto"/>
          <w:sz w:val="24"/>
          <w:szCs w:val="24"/>
          <w:highlight w:val="none"/>
        </w:rPr>
        <w:t>。</w:t>
      </w:r>
    </w:p>
    <w:p w14:paraId="0DC11382">
      <w:pPr>
        <w:pStyle w:val="10"/>
        <w:pageBreakBefore w:val="0"/>
        <w:widowControl w:val="0"/>
        <w:kinsoku/>
        <w:wordWrap/>
        <w:topLinePunct w:val="0"/>
        <w:autoSpaceDE/>
        <w:autoSpaceDN/>
        <w:bidi w:val="0"/>
        <w:adjustRightInd/>
        <w:snapToGrid/>
        <w:spacing w:before="0" w:after="0" w:line="360" w:lineRule="auto"/>
        <w:ind w:left="0" w:leftChars="0" w:firstLine="64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资金支付及时率，预期指标值</w:t>
      </w:r>
      <w:r>
        <w:rPr>
          <w:rFonts w:hint="eastAsia" w:ascii="宋体" w:hAnsi="宋体" w:eastAsia="宋体" w:cs="宋体"/>
          <w:b w:val="0"/>
          <w:bCs/>
          <w:color w:val="auto"/>
          <w:sz w:val="24"/>
          <w:szCs w:val="24"/>
          <w:highlight w:val="none"/>
          <w:lang w:val="en-US" w:eastAsia="zh-CN"/>
        </w:rPr>
        <w:t>等于100%</w:t>
      </w:r>
      <w:r>
        <w:rPr>
          <w:rFonts w:hint="eastAsia" w:ascii="宋体" w:hAnsi="宋体" w:eastAsia="宋体" w:cs="宋体"/>
          <w:b w:val="0"/>
          <w:bCs/>
          <w:color w:val="auto"/>
          <w:sz w:val="24"/>
          <w:szCs w:val="24"/>
          <w:highlight w:val="none"/>
        </w:rPr>
        <w:t>，实际完成值为</w:t>
      </w:r>
      <w:r>
        <w:rPr>
          <w:rFonts w:hint="eastAsia" w:ascii="宋体" w:hAnsi="宋体" w:eastAsia="宋体" w:cs="宋体"/>
          <w:b w:val="0"/>
          <w:bCs/>
          <w:color w:val="auto"/>
          <w:sz w:val="24"/>
          <w:szCs w:val="24"/>
          <w:highlight w:val="none"/>
          <w:lang w:val="en-US" w:eastAsia="zh-CN"/>
        </w:rPr>
        <w:t>100%</w:t>
      </w:r>
      <w:r>
        <w:rPr>
          <w:rFonts w:hint="eastAsia" w:ascii="宋体" w:hAnsi="宋体" w:eastAsia="宋体" w:cs="宋体"/>
          <w:b w:val="0"/>
          <w:bCs/>
          <w:color w:val="auto"/>
          <w:sz w:val="24"/>
          <w:szCs w:val="24"/>
          <w:highlight w:val="none"/>
        </w:rPr>
        <w:t>，指标完成率为</w:t>
      </w:r>
      <w:r>
        <w:rPr>
          <w:rFonts w:hint="eastAsia" w:ascii="宋体" w:hAnsi="宋体" w:eastAsia="宋体" w:cs="宋体"/>
          <w:b w:val="0"/>
          <w:bCs/>
          <w:color w:val="auto"/>
          <w:sz w:val="24"/>
          <w:szCs w:val="24"/>
          <w:highlight w:val="none"/>
          <w:lang w:val="en-US" w:eastAsia="zh-CN"/>
        </w:rPr>
        <w:t>100%</w:t>
      </w:r>
      <w:r>
        <w:rPr>
          <w:rFonts w:hint="eastAsia" w:ascii="宋体" w:hAnsi="宋体" w:eastAsia="宋体" w:cs="宋体"/>
          <w:b w:val="0"/>
          <w:bCs/>
          <w:color w:val="auto"/>
          <w:sz w:val="24"/>
          <w:szCs w:val="24"/>
          <w:highlight w:val="none"/>
        </w:rPr>
        <w:t>，与预期目标一致，根据评分标准，该指标不扣分，得</w:t>
      </w:r>
      <w:r>
        <w:rPr>
          <w:rFonts w:hint="eastAsia" w:ascii="宋体" w:hAnsi="宋体" w:eastAsia="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rPr>
        <w:t>分。</w:t>
      </w:r>
    </w:p>
    <w:p w14:paraId="4CC49649">
      <w:pPr>
        <w:pStyle w:val="10"/>
        <w:pageBreakBefore w:val="0"/>
        <w:widowControl w:val="0"/>
        <w:kinsoku/>
        <w:wordWrap/>
        <w:topLinePunct w:val="0"/>
        <w:autoSpaceDE/>
        <w:autoSpaceDN/>
        <w:bidi w:val="0"/>
        <w:adjustRightInd/>
        <w:snapToGrid/>
        <w:spacing w:before="0" w:after="0" w:line="360" w:lineRule="auto"/>
        <w:ind w:left="0" w:leftChars="0" w:firstLine="64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合计得</w:t>
      </w:r>
      <w:r>
        <w:rPr>
          <w:rFonts w:hint="eastAsia" w:ascii="宋体" w:hAnsi="宋体" w:eastAsia="宋体" w:cs="宋体"/>
          <w:b w:val="0"/>
          <w:bCs/>
          <w:color w:val="auto"/>
          <w:sz w:val="24"/>
          <w:szCs w:val="24"/>
          <w:highlight w:val="none"/>
          <w:lang w:val="en-US" w:eastAsia="zh-CN"/>
        </w:rPr>
        <w:t>10</w:t>
      </w:r>
      <w:r>
        <w:rPr>
          <w:rFonts w:hint="eastAsia" w:ascii="宋体" w:hAnsi="宋体" w:eastAsia="宋体" w:cs="宋体"/>
          <w:b w:val="0"/>
          <w:bCs/>
          <w:color w:val="auto"/>
          <w:sz w:val="24"/>
          <w:szCs w:val="24"/>
          <w:highlight w:val="none"/>
        </w:rPr>
        <w:t>分。</w:t>
      </w:r>
    </w:p>
    <w:p w14:paraId="0BC71B12">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4.对于“产出成本”</w:t>
      </w:r>
    </w:p>
    <w:p w14:paraId="5349627A">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项目总投资，预期指标值</w:t>
      </w:r>
      <w:r>
        <w:rPr>
          <w:rFonts w:hint="eastAsia" w:ascii="宋体" w:hAnsi="宋体" w:eastAsia="宋体" w:cs="宋体"/>
          <w:color w:val="auto"/>
          <w:sz w:val="24"/>
          <w:szCs w:val="24"/>
          <w:highlight w:val="none"/>
          <w:lang w:val="en-US" w:eastAsia="zh-CN"/>
        </w:rPr>
        <w:t>小于等于</w:t>
      </w:r>
      <w:r>
        <w:rPr>
          <w:rFonts w:hint="eastAsia" w:ascii="宋体" w:hAnsi="宋体" w:eastAsia="宋体" w:cs="宋体"/>
          <w:color w:val="auto"/>
          <w:sz w:val="24"/>
          <w:szCs w:val="24"/>
          <w:highlight w:val="none"/>
        </w:rPr>
        <w:t>8235.85万元，实际完成值为235.85万元，指标完成率为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47491049">
      <w:pPr>
        <w:pStyle w:val="10"/>
        <w:pageBreakBefore w:val="0"/>
        <w:widowControl w:val="0"/>
        <w:kinsoku/>
        <w:wordWrap/>
        <w:topLinePunct w:val="0"/>
        <w:autoSpaceDE/>
        <w:autoSpaceDN/>
        <w:bidi w:val="0"/>
        <w:adjustRightInd/>
        <w:snapToGrid/>
        <w:spacing w:before="0" w:after="0" w:line="360" w:lineRule="auto"/>
        <w:ind w:left="0" w:leftChars="0" w:firstLine="640"/>
        <w:jc w:val="both"/>
        <w:textAlignment w:val="auto"/>
        <w:rPr>
          <w:rFonts w:hint="eastAsia" w:ascii="宋体" w:hAnsi="宋体" w:eastAsia="宋体" w:cs="宋体"/>
          <w:color w:val="FF0000"/>
          <w:sz w:val="24"/>
          <w:szCs w:val="24"/>
          <w:highlight w:val="none"/>
        </w:rPr>
      </w:pPr>
      <w:r>
        <w:rPr>
          <w:rFonts w:hint="eastAsia" w:ascii="宋体" w:hAnsi="宋体" w:eastAsia="宋体" w:cs="宋体"/>
          <w:b w:val="0"/>
          <w:bCs/>
          <w:color w:val="auto"/>
          <w:sz w:val="24"/>
          <w:szCs w:val="24"/>
          <w:highlight w:val="none"/>
        </w:rPr>
        <w:t>合计得</w:t>
      </w:r>
      <w:r>
        <w:rPr>
          <w:rFonts w:hint="eastAsia" w:ascii="宋体" w:hAnsi="宋体" w:eastAsia="宋体" w:cs="宋体"/>
          <w:b w:val="0"/>
          <w:bCs/>
          <w:color w:val="auto"/>
          <w:sz w:val="24"/>
          <w:szCs w:val="24"/>
          <w:highlight w:val="none"/>
          <w:lang w:val="en-US" w:eastAsia="zh-CN"/>
        </w:rPr>
        <w:t>10</w:t>
      </w:r>
      <w:r>
        <w:rPr>
          <w:rFonts w:hint="eastAsia" w:ascii="宋体" w:hAnsi="宋体" w:eastAsia="宋体" w:cs="宋体"/>
          <w:b w:val="0"/>
          <w:bCs/>
          <w:color w:val="auto"/>
          <w:sz w:val="24"/>
          <w:szCs w:val="24"/>
          <w:highlight w:val="none"/>
        </w:rPr>
        <w:t>分。</w:t>
      </w:r>
    </w:p>
    <w:p w14:paraId="1C02FD0B">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（四）项目效益情况</w:t>
      </w:r>
    </w:p>
    <w:p w14:paraId="2E46F138">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项目效益类指标包括项目效益1个方面的内容，由</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个三级指标构成，权重分为</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分，实际得分2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分，得分率为100%。</w:t>
      </w:r>
      <w:bookmarkEnd w:id="16"/>
    </w:p>
    <w:p w14:paraId="5778373D">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1.对于“社会效益指标”</w:t>
      </w:r>
    </w:p>
    <w:p w14:paraId="5EDA1403">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bCs w:val="0"/>
          <w:color w:val="000000"/>
          <w:sz w:val="24"/>
          <w:szCs w:val="24"/>
          <w:highlight w:val="none"/>
        </w:rPr>
        <w:t>促进纺织服装企业健康发展，预期指标值为</w:t>
      </w:r>
      <w:r>
        <w:rPr>
          <w:rFonts w:hint="eastAsia" w:ascii="宋体" w:hAnsi="宋体" w:eastAsia="宋体" w:cs="宋体"/>
          <w:b w:val="0"/>
          <w:bCs w:val="0"/>
          <w:color w:val="000000"/>
          <w:sz w:val="24"/>
          <w:szCs w:val="24"/>
          <w:highlight w:val="none"/>
          <w:lang w:val="en-US" w:eastAsia="zh-CN"/>
        </w:rPr>
        <w:t>有效促进</w:t>
      </w:r>
      <w:r>
        <w:rPr>
          <w:rFonts w:hint="eastAsia" w:ascii="宋体" w:hAnsi="宋体" w:eastAsia="宋体" w:cs="宋体"/>
          <w:b w:val="0"/>
          <w:bCs w:val="0"/>
          <w:color w:val="000000"/>
          <w:sz w:val="24"/>
          <w:szCs w:val="24"/>
          <w:highlight w:val="none"/>
        </w:rPr>
        <w:t>，实际完成值为</w:t>
      </w:r>
      <w:r>
        <w:rPr>
          <w:rFonts w:hint="eastAsia" w:ascii="宋体" w:hAnsi="宋体" w:eastAsia="宋体" w:cs="宋体"/>
          <w:b w:val="0"/>
          <w:bCs w:val="0"/>
          <w:color w:val="000000"/>
          <w:sz w:val="24"/>
          <w:szCs w:val="24"/>
          <w:highlight w:val="none"/>
          <w:lang w:val="en-US" w:eastAsia="zh-CN"/>
        </w:rPr>
        <w:t>有效促进</w:t>
      </w:r>
      <w:r>
        <w:rPr>
          <w:rFonts w:hint="eastAsia" w:ascii="宋体" w:hAnsi="宋体" w:eastAsia="宋体" w:cs="宋体"/>
          <w:b w:val="0"/>
          <w:bCs w:val="0"/>
          <w:color w:val="000000"/>
          <w:sz w:val="24"/>
          <w:szCs w:val="24"/>
          <w:highlight w:val="none"/>
        </w:rPr>
        <w:t>，指标完成率</w:t>
      </w:r>
      <w:r>
        <w:rPr>
          <w:rFonts w:hint="eastAsia" w:ascii="宋体" w:hAnsi="宋体" w:eastAsia="宋体" w:cs="宋体"/>
          <w:b w:val="0"/>
          <w:bCs w:val="0"/>
          <w:color w:val="000000"/>
          <w:sz w:val="24"/>
          <w:szCs w:val="24"/>
          <w:highlight w:val="none"/>
          <w:lang w:val="en-US" w:eastAsia="zh-CN"/>
        </w:rPr>
        <w:t>100%</w:t>
      </w:r>
      <w:r>
        <w:rPr>
          <w:rFonts w:hint="eastAsia" w:ascii="宋体" w:hAnsi="宋体" w:eastAsia="宋体" w:cs="宋体"/>
          <w:b w:val="0"/>
          <w:bCs w:val="0"/>
          <w:color w:val="000000"/>
          <w:sz w:val="24"/>
          <w:szCs w:val="24"/>
          <w:highlight w:val="none"/>
        </w:rPr>
        <w:t>，与预期指标一致，根据评分标准，该指标不扣分，得</w:t>
      </w:r>
      <w:r>
        <w:rPr>
          <w:rFonts w:hint="eastAsia" w:ascii="宋体" w:hAnsi="宋体" w:eastAsia="宋体" w:cs="宋体"/>
          <w:b w:val="0"/>
          <w:bCs w:val="0"/>
          <w:color w:val="000000"/>
          <w:sz w:val="24"/>
          <w:szCs w:val="24"/>
          <w:highlight w:val="none"/>
          <w:lang w:val="en-US" w:eastAsia="zh-CN"/>
        </w:rPr>
        <w:t>15</w:t>
      </w:r>
      <w:r>
        <w:rPr>
          <w:rFonts w:hint="eastAsia" w:ascii="宋体" w:hAnsi="宋体" w:eastAsia="宋体" w:cs="宋体"/>
          <w:b w:val="0"/>
          <w:bCs w:val="0"/>
          <w:color w:val="000000"/>
          <w:sz w:val="24"/>
          <w:szCs w:val="24"/>
          <w:highlight w:val="none"/>
        </w:rPr>
        <w:t>分。</w:t>
      </w:r>
    </w:p>
    <w:p w14:paraId="474E6A5F">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2.对于“经济效益指标”</w:t>
      </w:r>
    </w:p>
    <w:p w14:paraId="2F05AD35">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en-US" w:eastAsia="zh-CN"/>
        </w:rPr>
        <w:t>该项目不涉及</w:t>
      </w:r>
      <w:r>
        <w:rPr>
          <w:rFonts w:hint="eastAsia" w:ascii="宋体" w:hAnsi="宋体" w:eastAsia="宋体" w:cs="宋体"/>
          <w:b w:val="0"/>
          <w:bCs w:val="0"/>
          <w:color w:val="000000"/>
          <w:sz w:val="24"/>
          <w:szCs w:val="24"/>
          <w:highlight w:val="none"/>
        </w:rPr>
        <w:t>经济效益指标</w:t>
      </w:r>
      <w:r>
        <w:rPr>
          <w:rFonts w:hint="eastAsia" w:ascii="宋体" w:hAnsi="宋体" w:eastAsia="宋体" w:cs="宋体"/>
          <w:b w:val="0"/>
          <w:bCs w:val="0"/>
          <w:color w:val="000000"/>
          <w:sz w:val="24"/>
          <w:szCs w:val="24"/>
          <w:highlight w:val="none"/>
          <w:lang w:val="en-US" w:eastAsia="zh-CN"/>
        </w:rPr>
        <w:t>。</w:t>
      </w:r>
    </w:p>
    <w:p w14:paraId="1E62B23C">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3.对于“生态效益指标”</w:t>
      </w:r>
    </w:p>
    <w:p w14:paraId="5CC3607C">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该项目不涉及生态效益指标。</w:t>
      </w:r>
    </w:p>
    <w:p w14:paraId="4F9D8A52">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4.满意度指标分析</w:t>
      </w:r>
    </w:p>
    <w:p w14:paraId="093C728A">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受益企业满意度</w:t>
      </w:r>
      <w:r>
        <w:rPr>
          <w:rFonts w:hint="eastAsia" w:ascii="宋体" w:hAnsi="宋体" w:eastAsia="宋体" w:cs="宋体"/>
          <w:color w:val="000000"/>
          <w:sz w:val="24"/>
          <w:szCs w:val="24"/>
          <w:highlight w:val="none"/>
        </w:rPr>
        <w:t>，预期指标值</w:t>
      </w:r>
      <w:r>
        <w:rPr>
          <w:rFonts w:hint="eastAsia" w:ascii="宋体" w:hAnsi="宋体" w:eastAsia="宋体" w:cs="宋体"/>
          <w:color w:val="000000"/>
          <w:sz w:val="24"/>
          <w:szCs w:val="24"/>
          <w:highlight w:val="none"/>
          <w:lang w:val="en-US" w:eastAsia="zh-CN"/>
        </w:rPr>
        <w:t>大于等于95%</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95%</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，与预期目标一致，根据评分标准，该指标不扣分,得10分。</w:t>
      </w:r>
    </w:p>
    <w:p w14:paraId="4D403216">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b w:val="0"/>
          <w:bCs/>
          <w:color w:val="000000"/>
          <w:sz w:val="24"/>
          <w:szCs w:val="24"/>
          <w:highlight w:val="none"/>
        </w:rPr>
        <w:t>合计得</w:t>
      </w:r>
      <w:r>
        <w:rPr>
          <w:rFonts w:hint="eastAsia" w:ascii="宋体" w:hAnsi="宋体" w:eastAsia="宋体" w:cs="宋体"/>
          <w:b w:val="0"/>
          <w:bCs/>
          <w:color w:val="000000"/>
          <w:sz w:val="24"/>
          <w:szCs w:val="24"/>
          <w:highlight w:val="none"/>
          <w:lang w:val="en-US" w:eastAsia="zh-CN"/>
        </w:rPr>
        <w:t>25</w:t>
      </w:r>
      <w:r>
        <w:rPr>
          <w:rFonts w:hint="eastAsia" w:ascii="宋体" w:hAnsi="宋体" w:eastAsia="宋体" w:cs="宋体"/>
          <w:b w:val="0"/>
          <w:bCs/>
          <w:color w:val="000000"/>
          <w:sz w:val="24"/>
          <w:szCs w:val="24"/>
          <w:highlight w:val="none"/>
        </w:rPr>
        <w:t>分。</w:t>
      </w:r>
    </w:p>
    <w:p w14:paraId="1675F577">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五、预算执行进度与绩效指标偏差情况</w:t>
      </w:r>
    </w:p>
    <w:p w14:paraId="282B3A7A">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本项目年初预算资金总额为</w:t>
      </w:r>
      <w:r>
        <w:rPr>
          <w:rFonts w:hint="eastAsia" w:ascii="宋体" w:hAnsi="宋体" w:eastAsia="宋体" w:cs="宋体"/>
          <w:color w:val="auto"/>
          <w:sz w:val="24"/>
          <w:szCs w:val="24"/>
          <w:lang w:val="en-US" w:eastAsia="zh-CN"/>
        </w:rPr>
        <w:t>208.36</w:t>
      </w:r>
      <w:r>
        <w:rPr>
          <w:rFonts w:hint="eastAsia" w:ascii="宋体" w:hAnsi="宋体" w:eastAsia="宋体" w:cs="宋体"/>
          <w:color w:val="auto"/>
          <w:sz w:val="24"/>
          <w:szCs w:val="24"/>
        </w:rPr>
        <w:t>万元，全年预算数为</w:t>
      </w:r>
      <w:r>
        <w:rPr>
          <w:rFonts w:hint="eastAsia" w:ascii="宋体" w:hAnsi="宋体" w:eastAsia="宋体" w:cs="宋体"/>
          <w:color w:val="auto"/>
          <w:sz w:val="24"/>
          <w:szCs w:val="24"/>
          <w:lang w:val="en-US" w:eastAsia="zh-CN"/>
        </w:rPr>
        <w:t>235.85</w:t>
      </w:r>
      <w:r>
        <w:rPr>
          <w:rFonts w:hint="eastAsia" w:ascii="宋体" w:hAnsi="宋体" w:eastAsia="宋体" w:cs="宋体"/>
          <w:color w:val="auto"/>
          <w:sz w:val="24"/>
          <w:szCs w:val="24"/>
        </w:rPr>
        <w:t>万元，全年执行数为</w:t>
      </w:r>
      <w:r>
        <w:rPr>
          <w:rFonts w:hint="eastAsia" w:ascii="宋体" w:hAnsi="宋体" w:eastAsia="宋体" w:cs="宋体"/>
          <w:color w:val="auto"/>
          <w:sz w:val="24"/>
          <w:szCs w:val="24"/>
          <w:lang w:val="en-US" w:eastAsia="zh-CN"/>
        </w:rPr>
        <w:t>235.85</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val="en-US" w:eastAsia="zh-CN"/>
        </w:rPr>
        <w:t>100%。</w:t>
      </w:r>
    </w:p>
    <w:p w14:paraId="605DC1CC">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000000"/>
          <w:sz w:val="24"/>
          <w:szCs w:val="24"/>
          <w:highlight w:val="none"/>
        </w:rPr>
        <w:t>本项目共设置三级指标数量</w:t>
      </w:r>
      <w:r>
        <w:rPr>
          <w:rFonts w:hint="eastAsia" w:ascii="宋体" w:hAnsi="宋体" w:eastAsia="宋体" w:cs="宋体"/>
          <w:color w:val="000000"/>
          <w:sz w:val="24"/>
          <w:szCs w:val="24"/>
          <w:highlight w:val="none"/>
          <w:lang w:val="en-US" w:eastAsia="zh-CN"/>
        </w:rPr>
        <w:t>7</w:t>
      </w:r>
      <w:r>
        <w:rPr>
          <w:rFonts w:hint="eastAsia" w:ascii="宋体" w:hAnsi="宋体" w:eastAsia="宋体" w:cs="宋体"/>
          <w:color w:val="000000"/>
          <w:sz w:val="24"/>
          <w:szCs w:val="24"/>
          <w:highlight w:val="none"/>
        </w:rPr>
        <w:t>个，</w:t>
      </w:r>
      <w:r>
        <w:rPr>
          <w:rFonts w:hint="eastAsia" w:ascii="宋体" w:hAnsi="宋体" w:eastAsia="宋体" w:cs="宋体"/>
          <w:color w:val="auto"/>
          <w:sz w:val="24"/>
          <w:szCs w:val="24"/>
        </w:rPr>
        <w:t>满分指标数量</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个，扣分指标数量</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个，经分析计算所有三级指标完成率得出，本项目总体完成率为</w:t>
      </w:r>
      <w:r>
        <w:rPr>
          <w:rFonts w:hint="eastAsia" w:ascii="宋体" w:hAnsi="宋体" w:eastAsia="宋体" w:cs="宋体"/>
          <w:color w:val="auto"/>
          <w:sz w:val="24"/>
          <w:szCs w:val="24"/>
          <w:lang w:val="en-US" w:eastAsia="zh-CN"/>
        </w:rPr>
        <w:t>85.71</w:t>
      </w:r>
      <w:r>
        <w:rPr>
          <w:rFonts w:hint="eastAsia" w:ascii="宋体" w:hAnsi="宋体" w:eastAsia="宋体" w:cs="宋体"/>
          <w:color w:val="auto"/>
          <w:sz w:val="24"/>
          <w:szCs w:val="24"/>
        </w:rPr>
        <w:t>%。</w:t>
      </w:r>
    </w:p>
    <w:p w14:paraId="2F938659">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综上所述本项目预算执行率与总体完成率之间的偏差为</w:t>
      </w:r>
      <w:r>
        <w:rPr>
          <w:rFonts w:hint="eastAsia" w:ascii="宋体" w:hAnsi="宋体" w:eastAsia="宋体" w:cs="宋体"/>
          <w:color w:val="auto"/>
          <w:sz w:val="24"/>
          <w:szCs w:val="24"/>
          <w:lang w:val="en-US" w:eastAsia="zh-CN"/>
        </w:rPr>
        <w:t>14.29</w:t>
      </w:r>
      <w:r>
        <w:rPr>
          <w:rFonts w:hint="eastAsia" w:ascii="宋体" w:hAnsi="宋体" w:eastAsia="宋体" w:cs="宋体"/>
          <w:color w:val="auto"/>
          <w:sz w:val="24"/>
          <w:szCs w:val="24"/>
        </w:rPr>
        <w:t>%。</w:t>
      </w:r>
    </w:p>
    <w:p w14:paraId="0BF7B683">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color w:val="000000"/>
          <w:sz w:val="24"/>
          <w:szCs w:val="24"/>
          <w:highlight w:val="none"/>
        </w:rPr>
      </w:pPr>
      <w:r>
        <w:rPr>
          <w:rFonts w:hint="eastAsia" w:ascii="黑体" w:hAnsi="黑体" w:eastAsia="黑体" w:cs="黑体"/>
          <w:b/>
          <w:bCs/>
          <w:color w:val="000000"/>
          <w:sz w:val="24"/>
          <w:szCs w:val="24"/>
          <w:highlight w:val="none"/>
        </w:rPr>
        <w:t>六、主要经验及做法、存在的问题及原因分析</w:t>
      </w:r>
    </w:p>
    <w:p w14:paraId="5EF8F016">
      <w:pPr>
        <w:pStyle w:val="48"/>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（一）主要经验及做法</w:t>
      </w:r>
    </w:p>
    <w:p w14:paraId="5BF4790F">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一是本项目能够严格按照《项目实施方案》执行，项目执行情况较好。</w:t>
      </w:r>
    </w:p>
    <w:p w14:paraId="49DF9D67">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二是加强组织领导，本项目绩效评价工作，有主要领导亲自挂帅，分管领导具体负责，从项目到资金，均能够很好的执行。</w:t>
      </w:r>
    </w:p>
    <w:p w14:paraId="748AC72D">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三是加强沟通协调，我单位及时向领导汇报项目建设进度，加强与施工单位的沟通，确保项目按期完工。</w:t>
      </w:r>
    </w:p>
    <w:p w14:paraId="3F3FF466">
      <w:pPr>
        <w:pStyle w:val="48"/>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default" w:ascii="宋体" w:hAnsi="宋体" w:eastAsia="宋体" w:cs="宋体"/>
          <w:b/>
          <w:bCs/>
          <w:color w:val="000000"/>
          <w:sz w:val="24"/>
          <w:szCs w:val="24"/>
          <w:highlight w:val="none"/>
          <w:lang w:val="en-US" w:eastAsia="zh-CN"/>
        </w:rPr>
      </w:pPr>
      <w:bookmarkStart w:id="17" w:name="_Toc68364674"/>
      <w:r>
        <w:rPr>
          <w:rFonts w:hint="eastAsia" w:ascii="宋体" w:hAnsi="宋体" w:eastAsia="宋体" w:cs="宋体"/>
          <w:b/>
          <w:bCs/>
          <w:color w:val="000000"/>
          <w:sz w:val="24"/>
          <w:szCs w:val="24"/>
          <w:highlight w:val="none"/>
        </w:rPr>
        <w:t>（二）存在问题及原因分析</w:t>
      </w:r>
      <w:bookmarkEnd w:id="17"/>
    </w:p>
    <w:p w14:paraId="4B8D8AF1">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560" w:leftChars="200"/>
        <w:jc w:val="both"/>
        <w:textAlignment w:val="auto"/>
        <w:rPr>
          <w:rFonts w:hint="eastAsia" w:ascii="宋体" w:hAnsi="宋体" w:eastAsia="宋体" w:cs="宋体"/>
          <w:b w:val="0"/>
          <w:bCs w:val="0"/>
          <w:sz w:val="24"/>
          <w:szCs w:val="24"/>
        </w:rPr>
      </w:pPr>
      <w:bookmarkStart w:id="18" w:name="_Toc68364675"/>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部门沟通协调不足，监督责任不明确。</w:t>
      </w:r>
    </w:p>
    <w:p w14:paraId="1D63E334">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560" w:left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项目资金监督和管理需进一步完善。</w:t>
      </w:r>
    </w:p>
    <w:p w14:paraId="3BF17876">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560" w:left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现场评价的工作量少，后续效益评价具体措施和方法较少。</w:t>
      </w:r>
    </w:p>
    <w:p w14:paraId="7E521FE3">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default" w:ascii="黑体" w:hAnsi="黑体" w:eastAsia="黑体" w:cs="黑体"/>
          <w:b/>
          <w:bCs/>
          <w:color w:val="000000"/>
          <w:sz w:val="24"/>
          <w:szCs w:val="24"/>
          <w:highlight w:val="none"/>
          <w:lang w:val="en-US" w:eastAsia="zh-CN"/>
        </w:rPr>
      </w:pPr>
      <w:r>
        <w:rPr>
          <w:rFonts w:hint="eastAsia" w:ascii="黑体" w:hAnsi="黑体" w:eastAsia="黑体" w:cs="黑体"/>
          <w:b/>
          <w:bCs/>
          <w:color w:val="000000"/>
          <w:sz w:val="24"/>
          <w:szCs w:val="24"/>
          <w:highlight w:val="none"/>
        </w:rPr>
        <w:t>七、有关建议</w:t>
      </w:r>
      <w:bookmarkEnd w:id="18"/>
    </w:p>
    <w:p w14:paraId="4D95CF79">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bookmarkStart w:id="19" w:name="_Toc68364676"/>
      <w:r>
        <w:rPr>
          <w:rFonts w:hint="eastAsia" w:ascii="宋体" w:hAnsi="宋体" w:eastAsia="宋体" w:cs="宋体"/>
          <w:b w:val="0"/>
          <w:bCs w:val="0"/>
          <w:color w:val="000000"/>
          <w:kern w:val="0"/>
          <w:sz w:val="24"/>
          <w:szCs w:val="24"/>
          <w:highlight w:val="none"/>
          <w:lang w:val="en-US" w:eastAsia="zh-CN" w:bidi="ar-SA"/>
        </w:rPr>
        <w:t>1.项目建设的程序进一步规范。项目前期</w:t>
      </w:r>
      <w:r>
        <w:rPr>
          <w:rFonts w:hint="eastAsia" w:ascii="宋体" w:hAnsi="宋体" w:eastAsia="宋体" w:cs="宋体"/>
          <w:color w:val="000000"/>
          <w:sz w:val="24"/>
          <w:szCs w:val="24"/>
          <w:highlight w:val="none"/>
        </w:rPr>
        <w:t>做好可行性研究报告，更加细化实施方案，严格执行资金管理办法和财政资金管理制度，严格按照项目实施方案、招投标管理办法等稳步推进工作，各部门单位根据自己项目的特点进行总结。</w:t>
      </w:r>
    </w:p>
    <w:p w14:paraId="72084B0B">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2.项目评价资料有待进一步完善。项目启动时同步做好档案的归纳与整理，及时整理、收集、汇总，健全档案资料。项目后续管理有待进一步加强和跟踪。</w:t>
      </w:r>
    </w:p>
    <w:p w14:paraId="560CF843">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3.通过绩效管理，发现实施中存在漏洞，以后加强管理，及时掌握与之相关的各类信息，减少成本，使资金效益最大化。</w:t>
      </w:r>
    </w:p>
    <w:p w14:paraId="602986C3">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4．评价工作应从项目实施方案源头抓起，评价工作和意识应贯穿项目整个过程。</w:t>
      </w:r>
    </w:p>
    <w:p w14:paraId="4E021ADB">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八、其他需要说明的问题</w:t>
      </w:r>
      <w:bookmarkEnd w:id="19"/>
    </w:p>
    <w:p w14:paraId="245D50F0">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我单位对上述项目支出绩效评价报告内反映内容的真实性、完整性负责，</w:t>
      </w:r>
      <w:r>
        <w:rPr>
          <w:rFonts w:hint="eastAsia" w:ascii="宋体" w:hAnsi="宋体" w:eastAsia="宋体" w:cs="宋体"/>
          <w:color w:val="000000"/>
          <w:sz w:val="24"/>
          <w:szCs w:val="24"/>
          <w:highlight w:val="none"/>
          <w:lang w:val="en-US" w:eastAsia="zh-CN"/>
        </w:rPr>
        <w:t>愿</w:t>
      </w:r>
      <w:r>
        <w:rPr>
          <w:rFonts w:hint="eastAsia" w:ascii="宋体" w:hAnsi="宋体" w:eastAsia="宋体" w:cs="宋体"/>
          <w:color w:val="000000"/>
          <w:sz w:val="24"/>
          <w:szCs w:val="24"/>
          <w:highlight w:val="none"/>
        </w:rPr>
        <w:t>接受上级部门及社会公众监督。</w:t>
      </w:r>
    </w:p>
    <w:p w14:paraId="0B7440E6">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p>
    <w:p w14:paraId="5AB198DB">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附件1：2019年中央纺织服装专项资金运费补贴项目绩效评价指标体系</w:t>
      </w:r>
    </w:p>
    <w:p w14:paraId="141D3F25">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附件2：2019年中央纺织服装专项资金运费补贴项目综合得分表</w:t>
      </w:r>
    </w:p>
    <w:p w14:paraId="5F5F8F02">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附件3：满意度调查问分析情况</w:t>
      </w:r>
    </w:p>
    <w:p w14:paraId="7462906F">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rPr>
      </w:pPr>
    </w:p>
    <w:p w14:paraId="0BCF5C91">
      <w:pPr>
        <w:pStyle w:val="10"/>
        <w:ind w:left="0" w:leftChars="0" w:firstLine="0" w:firstLineChars="0"/>
        <w:jc w:val="both"/>
        <w:rPr>
          <w:rFonts w:hint="eastAsia" w:ascii="宋体" w:hAnsi="宋体" w:eastAsia="宋体" w:cs="宋体"/>
          <w:sz w:val="24"/>
          <w:szCs w:val="24"/>
        </w:rPr>
      </w:pPr>
    </w:p>
    <w:p w14:paraId="6FA91542">
      <w:pPr>
        <w:pStyle w:val="10"/>
        <w:ind w:left="0" w:leftChars="0" w:firstLine="0" w:firstLineChars="0"/>
        <w:jc w:val="both"/>
        <w:rPr>
          <w:rFonts w:hint="eastAsia" w:ascii="宋体" w:hAnsi="宋体" w:eastAsia="宋体" w:cs="宋体"/>
          <w:sz w:val="24"/>
          <w:szCs w:val="24"/>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tbl>
      <w:tblPr>
        <w:tblStyle w:val="2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93"/>
        <w:gridCol w:w="545"/>
        <w:gridCol w:w="708"/>
        <w:gridCol w:w="470"/>
        <w:gridCol w:w="717"/>
        <w:gridCol w:w="527"/>
        <w:gridCol w:w="2928"/>
        <w:gridCol w:w="1118"/>
        <w:gridCol w:w="4270"/>
        <w:gridCol w:w="952"/>
        <w:gridCol w:w="540"/>
      </w:tblGrid>
      <w:tr w14:paraId="0A06F9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22" w:type="pct"/>
            <w:tcBorders>
              <w:top w:val="nil"/>
              <w:left w:val="nil"/>
              <w:bottom w:val="nil"/>
              <w:right w:val="nil"/>
            </w:tcBorders>
            <w:noWrap/>
            <w:vAlign w:val="center"/>
          </w:tcPr>
          <w:p w14:paraId="4FD066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附件1：</w:t>
            </w:r>
          </w:p>
        </w:tc>
        <w:tc>
          <w:tcPr>
            <w:tcW w:w="204" w:type="pct"/>
            <w:tcBorders>
              <w:top w:val="nil"/>
              <w:left w:val="nil"/>
              <w:bottom w:val="nil"/>
              <w:right w:val="nil"/>
            </w:tcBorders>
            <w:noWrap/>
            <w:vAlign w:val="center"/>
          </w:tcPr>
          <w:p w14:paraId="320D4A4C">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265" w:type="pct"/>
            <w:tcBorders>
              <w:top w:val="nil"/>
              <w:left w:val="nil"/>
              <w:bottom w:val="nil"/>
              <w:right w:val="nil"/>
            </w:tcBorders>
            <w:noWrap/>
            <w:vAlign w:val="center"/>
          </w:tcPr>
          <w:p w14:paraId="6D054B1E">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176" w:type="pct"/>
            <w:tcBorders>
              <w:top w:val="nil"/>
              <w:left w:val="nil"/>
              <w:bottom w:val="nil"/>
              <w:right w:val="nil"/>
            </w:tcBorders>
            <w:noWrap/>
            <w:vAlign w:val="center"/>
          </w:tcPr>
          <w:p w14:paraId="503E4089">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268" w:type="pct"/>
            <w:tcBorders>
              <w:top w:val="nil"/>
              <w:left w:val="nil"/>
              <w:bottom w:val="nil"/>
              <w:right w:val="nil"/>
            </w:tcBorders>
            <w:noWrap/>
            <w:vAlign w:val="center"/>
          </w:tcPr>
          <w:p w14:paraId="4FB1744B">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197" w:type="pct"/>
            <w:tcBorders>
              <w:top w:val="nil"/>
              <w:left w:val="nil"/>
              <w:bottom w:val="nil"/>
              <w:right w:val="nil"/>
            </w:tcBorders>
            <w:noWrap/>
            <w:vAlign w:val="center"/>
          </w:tcPr>
          <w:p w14:paraId="435C73B9">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1095" w:type="pct"/>
            <w:tcBorders>
              <w:top w:val="nil"/>
              <w:left w:val="nil"/>
              <w:bottom w:val="nil"/>
              <w:right w:val="nil"/>
            </w:tcBorders>
            <w:noWrap/>
            <w:vAlign w:val="center"/>
          </w:tcPr>
          <w:p w14:paraId="3C3F69E3">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highlight w:val="none"/>
                <w:u w:val="none"/>
              </w:rPr>
            </w:pPr>
          </w:p>
        </w:tc>
        <w:tc>
          <w:tcPr>
            <w:tcW w:w="418" w:type="pct"/>
            <w:tcBorders>
              <w:top w:val="nil"/>
              <w:left w:val="nil"/>
              <w:bottom w:val="nil"/>
              <w:right w:val="nil"/>
            </w:tcBorders>
            <w:noWrap/>
            <w:vAlign w:val="center"/>
          </w:tcPr>
          <w:p w14:paraId="038F375B">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1597" w:type="pct"/>
            <w:tcBorders>
              <w:top w:val="nil"/>
              <w:left w:val="nil"/>
              <w:bottom w:val="nil"/>
              <w:right w:val="nil"/>
            </w:tcBorders>
            <w:noWrap/>
            <w:vAlign w:val="center"/>
          </w:tcPr>
          <w:p w14:paraId="41FE45CF">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356" w:type="pct"/>
            <w:tcBorders>
              <w:top w:val="nil"/>
              <w:left w:val="nil"/>
              <w:bottom w:val="nil"/>
              <w:right w:val="nil"/>
            </w:tcBorders>
            <w:noWrap/>
            <w:vAlign w:val="center"/>
          </w:tcPr>
          <w:p w14:paraId="7DC171F3">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197" w:type="pct"/>
            <w:tcBorders>
              <w:top w:val="nil"/>
              <w:left w:val="nil"/>
              <w:bottom w:val="nil"/>
              <w:right w:val="nil"/>
            </w:tcBorders>
            <w:noWrap/>
            <w:vAlign w:val="center"/>
          </w:tcPr>
          <w:p w14:paraId="1E2EE9F0">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r>
      <w:tr w14:paraId="1A9654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000" w:type="pct"/>
            <w:gridSpan w:val="11"/>
            <w:tcBorders>
              <w:top w:val="nil"/>
              <w:left w:val="nil"/>
              <w:bottom w:val="nil"/>
              <w:right w:val="nil"/>
            </w:tcBorders>
            <w:noWrap w:val="0"/>
            <w:vAlign w:val="center"/>
          </w:tcPr>
          <w:p w14:paraId="1770D1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4"/>
                <w:szCs w:val="24"/>
                <w:highlight w:val="none"/>
                <w:u w:val="none"/>
                <w:lang w:val="en-US" w:eastAsia="zh-CN"/>
              </w:rPr>
              <w:t>2019年中央纺织服装专项资金运费补贴项目</w:t>
            </w:r>
            <w:r>
              <w:rPr>
                <w:rStyle w:val="58"/>
                <w:rFonts w:hint="eastAsia" w:ascii="宋体" w:hAnsi="宋体" w:eastAsia="宋体" w:cs="宋体"/>
                <w:color w:val="000000"/>
                <w:sz w:val="24"/>
                <w:szCs w:val="24"/>
                <w:highlight w:val="none"/>
                <w:lang w:val="en-US" w:eastAsia="zh-CN"/>
              </w:rPr>
              <w:t>绩效评价指标体系综合评分表</w:t>
            </w:r>
          </w:p>
        </w:tc>
      </w:tr>
      <w:tr w14:paraId="7FA525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22" w:type="pct"/>
            <w:tcBorders>
              <w:top w:val="single" w:color="auto" w:sz="4" w:space="0"/>
              <w:left w:val="single" w:color="auto" w:sz="4" w:space="0"/>
              <w:bottom w:val="single" w:color="auto" w:sz="4" w:space="0"/>
              <w:right w:val="single" w:color="auto" w:sz="4" w:space="0"/>
            </w:tcBorders>
            <w:noWrap w:val="0"/>
            <w:vAlign w:val="center"/>
          </w:tcPr>
          <w:p w14:paraId="77C190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一级指标</w:t>
            </w:r>
          </w:p>
        </w:tc>
        <w:tc>
          <w:tcPr>
            <w:tcW w:w="204" w:type="pct"/>
            <w:tcBorders>
              <w:top w:val="single" w:color="auto" w:sz="4" w:space="0"/>
              <w:left w:val="single" w:color="auto" w:sz="4" w:space="0"/>
              <w:bottom w:val="single" w:color="auto" w:sz="4" w:space="0"/>
              <w:right w:val="single" w:color="auto" w:sz="4" w:space="0"/>
            </w:tcBorders>
            <w:noWrap w:val="0"/>
            <w:vAlign w:val="center"/>
          </w:tcPr>
          <w:p w14:paraId="0A3AE8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分值</w:t>
            </w:r>
          </w:p>
        </w:tc>
        <w:tc>
          <w:tcPr>
            <w:tcW w:w="265" w:type="pct"/>
            <w:tcBorders>
              <w:top w:val="single" w:color="auto" w:sz="4" w:space="0"/>
              <w:left w:val="single" w:color="auto" w:sz="4" w:space="0"/>
              <w:bottom w:val="single" w:color="auto" w:sz="4" w:space="0"/>
              <w:right w:val="single" w:color="auto" w:sz="4" w:space="0"/>
            </w:tcBorders>
            <w:noWrap w:val="0"/>
            <w:vAlign w:val="center"/>
          </w:tcPr>
          <w:p w14:paraId="55E925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二级指标</w:t>
            </w:r>
          </w:p>
        </w:tc>
        <w:tc>
          <w:tcPr>
            <w:tcW w:w="176" w:type="pct"/>
            <w:tcBorders>
              <w:top w:val="single" w:color="auto" w:sz="4" w:space="0"/>
              <w:left w:val="single" w:color="auto" w:sz="4" w:space="0"/>
              <w:bottom w:val="single" w:color="auto" w:sz="4" w:space="0"/>
              <w:right w:val="single" w:color="auto" w:sz="4" w:space="0"/>
            </w:tcBorders>
            <w:noWrap w:val="0"/>
            <w:vAlign w:val="center"/>
          </w:tcPr>
          <w:p w14:paraId="1CDD57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分值</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1CAB25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三级指标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645256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分值</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514E4C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指标解释</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69F6375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标杆值</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7D2531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评分标准</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5C0FC09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完成值</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67201B7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得分</w:t>
            </w:r>
          </w:p>
        </w:tc>
      </w:tr>
      <w:tr w14:paraId="3C74E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restart"/>
            <w:tcBorders>
              <w:top w:val="single" w:color="auto" w:sz="4" w:space="0"/>
              <w:left w:val="single" w:color="auto" w:sz="4" w:space="0"/>
              <w:bottom w:val="single" w:color="auto" w:sz="4" w:space="0"/>
              <w:right w:val="single" w:color="auto" w:sz="4" w:space="0"/>
            </w:tcBorders>
            <w:noWrap w:val="0"/>
            <w:vAlign w:val="center"/>
          </w:tcPr>
          <w:p w14:paraId="1280F52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项目决策</w:t>
            </w:r>
          </w:p>
        </w:tc>
        <w:tc>
          <w:tcPr>
            <w:tcW w:w="204" w:type="pct"/>
            <w:vMerge w:val="restart"/>
            <w:tcBorders>
              <w:top w:val="single" w:color="auto" w:sz="4" w:space="0"/>
              <w:left w:val="single" w:color="auto" w:sz="4" w:space="0"/>
              <w:bottom w:val="single" w:color="auto" w:sz="4" w:space="0"/>
              <w:right w:val="single" w:color="auto" w:sz="4" w:space="0"/>
            </w:tcBorders>
            <w:noWrap w:val="0"/>
            <w:vAlign w:val="center"/>
          </w:tcPr>
          <w:p w14:paraId="329EBC2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23</w:t>
            </w: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6CBA7B9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项目立项</w:t>
            </w:r>
          </w:p>
        </w:tc>
        <w:tc>
          <w:tcPr>
            <w:tcW w:w="176" w:type="pct"/>
            <w:vMerge w:val="restart"/>
            <w:tcBorders>
              <w:top w:val="single" w:color="auto" w:sz="4" w:space="0"/>
              <w:left w:val="single" w:color="auto" w:sz="4" w:space="0"/>
              <w:bottom w:val="single" w:color="auto" w:sz="4" w:space="0"/>
              <w:right w:val="single" w:color="auto" w:sz="4" w:space="0"/>
            </w:tcBorders>
            <w:noWrap w:val="0"/>
            <w:vAlign w:val="center"/>
          </w:tcPr>
          <w:p w14:paraId="42A2D7A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1DB6F8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立项依据充分性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5B5395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245433E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项目立项是否符合法律法规、相关政策、发展规划以及部门职责，用以反映和考核项目立项依据情况。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7ABDA94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充分</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636A0A0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①项目立项是否符合国家法律法规、国民经济发展规划和相关政策；</w:t>
            </w:r>
          </w:p>
          <w:p w14:paraId="68E4F74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②项目立项是否符合行业发展规划和政策要求；</w:t>
            </w:r>
          </w:p>
          <w:p w14:paraId="70D586B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③项目立项是否与部门职责范围相符，属于部门履职所需；</w:t>
            </w:r>
          </w:p>
          <w:p w14:paraId="32BBBF6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④项目是否属于公共财政支持范围，是否符合中央、地方事权支出责任划分原则；</w:t>
            </w:r>
          </w:p>
          <w:p w14:paraId="21B4276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⑤项目是否与相关部门同类项目或部门内部相关项目重复。</w:t>
            </w:r>
          </w:p>
          <w:p w14:paraId="7199E0E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以上每条要素占权重分的20%，每有一条不符合，扣除对应权重分，扣完为止。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42AC4B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充分</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2FDBE49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w:t>
            </w:r>
          </w:p>
        </w:tc>
      </w:tr>
      <w:tr w14:paraId="253ADD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2113833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7E657FF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6E49512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76" w:type="pct"/>
            <w:vMerge w:val="continue"/>
            <w:tcBorders>
              <w:top w:val="single" w:color="auto" w:sz="4" w:space="0"/>
              <w:left w:val="single" w:color="auto" w:sz="4" w:space="0"/>
              <w:bottom w:val="single" w:color="auto" w:sz="4" w:space="0"/>
              <w:right w:val="single" w:color="auto" w:sz="4" w:space="0"/>
            </w:tcBorders>
            <w:noWrap w:val="0"/>
            <w:vAlign w:val="center"/>
          </w:tcPr>
          <w:p w14:paraId="16A51FF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66061A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立项程序规范性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69F5D3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314203A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项目申请、设立过程是否符合相关要求，用以反映和考核项目立项的规范情况。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0E6F87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规范</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367E55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①项目是否按照规定的程序申请设立；</w:t>
            </w:r>
          </w:p>
          <w:p w14:paraId="3E2DC5F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②审批文件、材料是否符合相关要求；</w:t>
            </w:r>
          </w:p>
          <w:p w14:paraId="61654B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③事前是否已经过必要的可行性研究、专家论证、风险评估、绩效评估、集体决策。</w:t>
            </w:r>
          </w:p>
          <w:p w14:paraId="2EF550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①②③齐全得权重分的100%，缺①扣权重分的40%，缺②扣权重分的30%，缺③扣权重分的30%。</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3DAE2A0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规范</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2B2898F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r w14:paraId="48FA6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99"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5B6831F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0FBB341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36B808B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绩效目标</w:t>
            </w:r>
          </w:p>
        </w:tc>
        <w:tc>
          <w:tcPr>
            <w:tcW w:w="176" w:type="pct"/>
            <w:vMerge w:val="restart"/>
            <w:tcBorders>
              <w:top w:val="single" w:color="auto" w:sz="4" w:space="0"/>
              <w:left w:val="single" w:color="auto" w:sz="4" w:space="0"/>
              <w:bottom w:val="single" w:color="auto" w:sz="4" w:space="0"/>
              <w:right w:val="single" w:color="auto" w:sz="4" w:space="0"/>
            </w:tcBorders>
            <w:noWrap w:val="0"/>
            <w:vAlign w:val="center"/>
          </w:tcPr>
          <w:p w14:paraId="6D0D8F2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7510DCB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绩效目标合理性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10201F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52DC421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项目所设定的绩效目标是否依据充分，是否符合客观实际，用以反映和考核项目绩效目标与项目实施的相符情况。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580597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合理</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31249C1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①项目是否有绩效目标；</w:t>
            </w:r>
          </w:p>
          <w:p w14:paraId="5F7E42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②项目绩效目标与实际工作内容是否具有相关性；</w:t>
            </w:r>
          </w:p>
          <w:p w14:paraId="0F20EA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③项目预期产出效益和效果是否符合正常的业绩水平；</w:t>
            </w:r>
          </w:p>
          <w:p w14:paraId="3387EB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④是否与预算确定的项目投资额或资金量相匹配。</w:t>
            </w:r>
          </w:p>
          <w:p w14:paraId="7FCE98F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6031A7A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合理</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6933077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r>
      <w:tr w14:paraId="5A251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320F3EC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42C80EC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2F2870F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76" w:type="pct"/>
            <w:vMerge w:val="continue"/>
            <w:tcBorders>
              <w:top w:val="single" w:color="auto" w:sz="4" w:space="0"/>
              <w:left w:val="single" w:color="auto" w:sz="4" w:space="0"/>
              <w:bottom w:val="single" w:color="auto" w:sz="4" w:space="0"/>
              <w:right w:val="single" w:color="auto" w:sz="4" w:space="0"/>
            </w:tcBorders>
            <w:noWrap w:val="0"/>
            <w:vAlign w:val="center"/>
          </w:tcPr>
          <w:p w14:paraId="5405A8F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1B2420A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绩效指标明确性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760331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23E3690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依据绩效目标设定的绩效指标是否清晰、细化、可衡量等，用以反映和考核项目绩效目标的明细化情况。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6A0564F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明确</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2C0B01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①是否将项目绩效目标细化分解为具体的绩效指标；</w:t>
            </w:r>
          </w:p>
          <w:p w14:paraId="0234496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②是否通过清晰、可衡量的指标值予以体现；</w:t>
            </w:r>
          </w:p>
          <w:p w14:paraId="50970A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③是否与项目目标任务数或计划数相对应。</w:t>
            </w:r>
          </w:p>
          <w:p w14:paraId="1C9CF4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①②③齐全得权重分的100%，缺①扣权重分的20%，缺②扣权重分的50%，缺③扣权重分的30%。</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40AC150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明确</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53B0413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r>
      <w:tr w14:paraId="3B12A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6"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720F377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083ED62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111C85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资金投入</w:t>
            </w:r>
          </w:p>
        </w:tc>
        <w:tc>
          <w:tcPr>
            <w:tcW w:w="176" w:type="pct"/>
            <w:vMerge w:val="restart"/>
            <w:tcBorders>
              <w:top w:val="single" w:color="auto" w:sz="4" w:space="0"/>
              <w:left w:val="single" w:color="auto" w:sz="4" w:space="0"/>
              <w:bottom w:val="single" w:color="auto" w:sz="4" w:space="0"/>
              <w:right w:val="single" w:color="auto" w:sz="4" w:space="0"/>
            </w:tcBorders>
            <w:noWrap w:val="0"/>
            <w:vAlign w:val="center"/>
          </w:tcPr>
          <w:p w14:paraId="7E71277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8</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1A89801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预算编制科学性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6773D0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3746B2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项目预算编制是否经过科学论证、有明确标准，资金额度与年度目标是否相适应，用以反映和考核项目预算编制的科学性、合理性情况。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506C14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科学</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4D74389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①预算编制是否经过科学论证；</w:t>
            </w:r>
          </w:p>
          <w:p w14:paraId="616C66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②预算内容与项目内容是否匹配；</w:t>
            </w:r>
          </w:p>
          <w:p w14:paraId="7340D9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③预算额度测算依据是否充分，是否按照标准编制；</w:t>
            </w:r>
          </w:p>
          <w:p w14:paraId="6E4E206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④预算确定的项目投资额或资金量是否与工作任务相匹配。</w:t>
            </w:r>
          </w:p>
          <w:p w14:paraId="07A890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26F123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科学</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61AE9AC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4</w:t>
            </w:r>
          </w:p>
        </w:tc>
      </w:tr>
      <w:tr w14:paraId="6E640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53CF0A8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4AD72E0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7B4C639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76" w:type="pct"/>
            <w:vMerge w:val="continue"/>
            <w:tcBorders>
              <w:top w:val="single" w:color="auto" w:sz="4" w:space="0"/>
              <w:left w:val="single" w:color="auto" w:sz="4" w:space="0"/>
              <w:bottom w:val="single" w:color="auto" w:sz="4" w:space="0"/>
              <w:right w:val="single" w:color="auto" w:sz="4" w:space="0"/>
            </w:tcBorders>
            <w:noWrap w:val="0"/>
            <w:vAlign w:val="center"/>
          </w:tcPr>
          <w:p w14:paraId="7536877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72BFE8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资金分配合理性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10BFC8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6434B4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项目预算资金分配是否有测算依据，与补助单位或地方实际是否相适应，用以反映和考核项目预算资金分配的科学性、合理性情况。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746D89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合理</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6E95247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①预算资金分配依据是否充分；</w:t>
            </w:r>
          </w:p>
          <w:p w14:paraId="6B339B7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②资金分配额度是否合理，与项目单位或地方实际是否相适应。</w:t>
            </w:r>
          </w:p>
          <w:p w14:paraId="168EDF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67500B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合理</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34ED4F9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4</w:t>
            </w:r>
          </w:p>
        </w:tc>
      </w:tr>
      <w:tr w14:paraId="37DD5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restart"/>
            <w:tcBorders>
              <w:top w:val="single" w:color="auto" w:sz="4" w:space="0"/>
              <w:left w:val="single" w:color="auto" w:sz="4" w:space="0"/>
              <w:bottom w:val="single" w:color="auto" w:sz="4" w:space="0"/>
              <w:right w:val="single" w:color="auto" w:sz="4" w:space="0"/>
            </w:tcBorders>
            <w:noWrap w:val="0"/>
            <w:vAlign w:val="center"/>
          </w:tcPr>
          <w:p w14:paraId="563675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项目过程</w:t>
            </w:r>
          </w:p>
        </w:tc>
        <w:tc>
          <w:tcPr>
            <w:tcW w:w="204" w:type="pct"/>
            <w:vMerge w:val="restart"/>
            <w:tcBorders>
              <w:top w:val="single" w:color="auto" w:sz="4" w:space="0"/>
              <w:left w:val="single" w:color="auto" w:sz="4" w:space="0"/>
              <w:bottom w:val="single" w:color="auto" w:sz="4" w:space="0"/>
              <w:right w:val="single" w:color="auto" w:sz="4" w:space="0"/>
            </w:tcBorders>
            <w:noWrap w:val="0"/>
            <w:vAlign w:val="center"/>
          </w:tcPr>
          <w:p w14:paraId="21A65A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12</w:t>
            </w: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357EBC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资金管理</w:t>
            </w:r>
          </w:p>
        </w:tc>
        <w:tc>
          <w:tcPr>
            <w:tcW w:w="176" w:type="pct"/>
            <w:vMerge w:val="restart"/>
            <w:tcBorders>
              <w:top w:val="single" w:color="auto" w:sz="4" w:space="0"/>
              <w:left w:val="single" w:color="auto" w:sz="4" w:space="0"/>
              <w:bottom w:val="single" w:color="auto" w:sz="4" w:space="0"/>
              <w:right w:val="single" w:color="auto" w:sz="4" w:space="0"/>
            </w:tcBorders>
            <w:noWrap w:val="0"/>
            <w:vAlign w:val="center"/>
          </w:tcPr>
          <w:p w14:paraId="476889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6</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5D12F8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资金到位率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51B061C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645B29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实际到位资金与预算资金的比率，用以反映和考核资金落实情况对项目实施的总体保障程度。</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39E9759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6427666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资金到位率=（实际到位资金/预算资金）×100%。</w:t>
            </w:r>
          </w:p>
          <w:p w14:paraId="4352EB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资金到位率=100%，得权重分满分，每降低1%，扣除5%权重分，扣完为止。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42A91B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27468CB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w:t>
            </w:r>
          </w:p>
        </w:tc>
      </w:tr>
      <w:tr w14:paraId="2B8A4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07D7843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1719B4B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3F0E333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76" w:type="pct"/>
            <w:vMerge w:val="continue"/>
            <w:tcBorders>
              <w:top w:val="single" w:color="auto" w:sz="4" w:space="0"/>
              <w:left w:val="single" w:color="auto" w:sz="4" w:space="0"/>
              <w:bottom w:val="single" w:color="auto" w:sz="4" w:space="0"/>
              <w:right w:val="single" w:color="auto" w:sz="4" w:space="0"/>
            </w:tcBorders>
            <w:noWrap w:val="0"/>
            <w:vAlign w:val="center"/>
          </w:tcPr>
          <w:p w14:paraId="606B7C2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1D08468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预算执行率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7201E5E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11DF55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项目预算资金是否按照计划执行，用以反映或考核项目预算执行情况。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1FDAAB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5EE43C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预算执行率=（实际支出资金/实际到位资金）×100%。</w:t>
            </w:r>
          </w:p>
          <w:p w14:paraId="6F5192C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预算执行率=100%，得权重分满分；若预算执行率＜100%，得分=预算执行率*分值；若执行率≤60%，则不得分。</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47FC23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和预算执行率保持一致</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55F613A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w:t>
            </w:r>
          </w:p>
        </w:tc>
      </w:tr>
      <w:tr w14:paraId="6190B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79A6E2B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054AD00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280CA0A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76" w:type="pct"/>
            <w:vMerge w:val="continue"/>
            <w:tcBorders>
              <w:top w:val="single" w:color="auto" w:sz="4" w:space="0"/>
              <w:left w:val="single" w:color="auto" w:sz="4" w:space="0"/>
              <w:bottom w:val="single" w:color="auto" w:sz="4" w:space="0"/>
              <w:right w:val="single" w:color="auto" w:sz="4" w:space="0"/>
            </w:tcBorders>
            <w:noWrap w:val="0"/>
            <w:vAlign w:val="center"/>
          </w:tcPr>
          <w:p w14:paraId="47D5474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1A88E5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资金使用合规性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0EB9A2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5686F3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项目资金使用是否符合相关的财务管理制度规定，用以反映和考核项目资金的规范运行情况。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47E720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合规</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5699EA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①否符合国家财经法规和财务管理制度以及有关专项资金管理办法的规定；</w:t>
            </w:r>
          </w:p>
          <w:p w14:paraId="688F75F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②资金的拨付是否有完整的审批程序和手续；</w:t>
            </w:r>
          </w:p>
          <w:p w14:paraId="0BBF1E8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③是否符合项目预算批复或合同规定的用途；</w:t>
            </w:r>
          </w:p>
          <w:p w14:paraId="1BA7A25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④是否存在截留、挤占、挪用、虚列支出等情况。</w:t>
            </w:r>
          </w:p>
          <w:p w14:paraId="498BF02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以上每条指标各占权重分的25%，要素①②不符合，扣除对应权重分；要素③④不符合属于重大违纪，该指标不得分。</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3214997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合规</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03FE9F2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r w14:paraId="6C568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71D1B39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2AA2ACE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7506F2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组织实施</w:t>
            </w:r>
          </w:p>
        </w:tc>
        <w:tc>
          <w:tcPr>
            <w:tcW w:w="176" w:type="pct"/>
            <w:vMerge w:val="restart"/>
            <w:tcBorders>
              <w:top w:val="single" w:color="auto" w:sz="4" w:space="0"/>
              <w:left w:val="single" w:color="auto" w:sz="4" w:space="0"/>
              <w:bottom w:val="single" w:color="auto" w:sz="4" w:space="0"/>
              <w:right w:val="single" w:color="auto" w:sz="4" w:space="0"/>
            </w:tcBorders>
            <w:noWrap w:val="0"/>
            <w:vAlign w:val="center"/>
          </w:tcPr>
          <w:p w14:paraId="1615DB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6</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1A4A07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管理制度健全性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2B7B2E9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7CC4C5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项目实施单位的财务和业务管理制度是否健全，用以反映和考核财务和业务管理制度对项目顺利实施的保障情况。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25DCC2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健全</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535B97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①是否已制定或具有相应的财务和业务管理制度；</w:t>
            </w:r>
          </w:p>
          <w:p w14:paraId="2B99A0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②财务和业务管理制度是否合法、合规、完整。</w:t>
            </w:r>
          </w:p>
          <w:p w14:paraId="0CCAD3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2D2B9FF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健全</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58095BC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r w14:paraId="05C045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7E49BA3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63192C9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5B70B5F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76" w:type="pct"/>
            <w:vMerge w:val="continue"/>
            <w:tcBorders>
              <w:top w:val="single" w:color="auto" w:sz="4" w:space="0"/>
              <w:left w:val="single" w:color="auto" w:sz="4" w:space="0"/>
              <w:bottom w:val="single" w:color="auto" w:sz="4" w:space="0"/>
              <w:right w:val="single" w:color="auto" w:sz="4" w:space="0"/>
            </w:tcBorders>
            <w:noWrap w:val="0"/>
            <w:vAlign w:val="center"/>
          </w:tcPr>
          <w:p w14:paraId="1B193F8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4F869D9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制度执行有效性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1B717E3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6EAC69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项目实施是否符合相关管理规定，用以反映和考核相关管理制度的有效执行情况。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073684C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有效</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7D13BA3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①否遵守相关法律法规和相关管理规定；</w:t>
            </w:r>
          </w:p>
          <w:p w14:paraId="7B5A997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②项目调整及支出调整手续是否完备；</w:t>
            </w:r>
          </w:p>
          <w:p w14:paraId="5CAA6E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③项目资料是否齐全并及时归档。</w:t>
            </w:r>
          </w:p>
          <w:p w14:paraId="0FF1BDB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①②③齐全得权重分的100%，缺①扣权重分的30%，缺②扣权重分的40%，缺③扣权重分的30%。</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470B493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有效</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020310F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bl>
    <w:tbl>
      <w:tblPr>
        <w:tblStyle w:val="23"/>
        <w:tblpPr w:leftFromText="180" w:rightFromText="180" w:vertAnchor="text" w:horzAnchor="page" w:tblpX="1701" w:tblpY="355"/>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85"/>
        <w:gridCol w:w="527"/>
        <w:gridCol w:w="524"/>
        <w:gridCol w:w="533"/>
        <w:gridCol w:w="648"/>
        <w:gridCol w:w="533"/>
        <w:gridCol w:w="2228"/>
        <w:gridCol w:w="1513"/>
        <w:gridCol w:w="3930"/>
        <w:gridCol w:w="1280"/>
        <w:gridCol w:w="667"/>
      </w:tblGrid>
      <w:tr w14:paraId="518CE0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68" w:type="pct"/>
            <w:vMerge w:val="restart"/>
            <w:tcBorders>
              <w:top w:val="single" w:color="auto" w:sz="4" w:space="0"/>
              <w:left w:val="single" w:color="auto" w:sz="4" w:space="0"/>
              <w:right w:val="single" w:color="auto" w:sz="4" w:space="0"/>
            </w:tcBorders>
            <w:noWrap w:val="0"/>
            <w:vAlign w:val="center"/>
          </w:tcPr>
          <w:p w14:paraId="44B28CD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项目产出</w:t>
            </w:r>
          </w:p>
        </w:tc>
        <w:tc>
          <w:tcPr>
            <w:tcW w:w="197" w:type="pct"/>
            <w:vMerge w:val="restart"/>
            <w:tcBorders>
              <w:top w:val="single" w:color="auto" w:sz="4" w:space="0"/>
              <w:left w:val="single" w:color="auto" w:sz="4" w:space="0"/>
              <w:right w:val="single" w:color="auto" w:sz="4" w:space="0"/>
            </w:tcBorders>
            <w:noWrap w:val="0"/>
            <w:vAlign w:val="center"/>
          </w:tcPr>
          <w:p w14:paraId="5195A9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40</w:t>
            </w:r>
          </w:p>
        </w:tc>
        <w:tc>
          <w:tcPr>
            <w:tcW w:w="196" w:type="pct"/>
            <w:tcBorders>
              <w:top w:val="single" w:color="auto" w:sz="4" w:space="0"/>
              <w:left w:val="single" w:color="auto" w:sz="4" w:space="0"/>
              <w:right w:val="single" w:color="auto" w:sz="4" w:space="0"/>
            </w:tcBorders>
            <w:noWrap w:val="0"/>
            <w:vAlign w:val="center"/>
          </w:tcPr>
          <w:p w14:paraId="30DB551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产出数量</w:t>
            </w:r>
          </w:p>
        </w:tc>
        <w:tc>
          <w:tcPr>
            <w:tcW w:w="199" w:type="pct"/>
            <w:tcBorders>
              <w:top w:val="single" w:color="auto" w:sz="4" w:space="0"/>
              <w:left w:val="single" w:color="auto" w:sz="4" w:space="0"/>
              <w:right w:val="single" w:color="auto" w:sz="4" w:space="0"/>
            </w:tcBorders>
            <w:noWrap w:val="0"/>
            <w:vAlign w:val="center"/>
          </w:tcPr>
          <w:p w14:paraId="44AE5DE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42" w:type="pct"/>
            <w:tcBorders>
              <w:top w:val="single" w:color="auto" w:sz="4" w:space="0"/>
              <w:left w:val="single" w:color="auto" w:sz="4" w:space="0"/>
              <w:right w:val="single" w:color="auto" w:sz="4" w:space="0"/>
            </w:tcBorders>
            <w:noWrap w:val="0"/>
            <w:vAlign w:val="center"/>
          </w:tcPr>
          <w:p w14:paraId="24E8F6E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实际完成率</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768AADD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lang w:val="en-US" w:eastAsia="zh-CN"/>
              </w:rPr>
              <w:t>1</w:t>
            </w:r>
            <w:r>
              <w:rPr>
                <w:rFonts w:hint="eastAsia" w:ascii="宋体" w:hAnsi="宋体" w:eastAsia="宋体" w:cs="宋体"/>
                <w:i w:val="0"/>
                <w:iCs w:val="0"/>
                <w:color w:val="000000"/>
                <w:sz w:val="18"/>
                <w:szCs w:val="18"/>
                <w:highlight w:val="none"/>
                <w:u w:val="none"/>
                <w:lang w:val="en-US" w:eastAsia="zh-CN"/>
              </w:rPr>
              <w:t>0</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5343F8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补贴纺织服装企业数量</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5475B42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≥3家</w:t>
            </w:r>
          </w:p>
        </w:tc>
        <w:tc>
          <w:tcPr>
            <w:tcW w:w="1468" w:type="pct"/>
            <w:tcBorders>
              <w:top w:val="single" w:color="auto" w:sz="4" w:space="0"/>
              <w:left w:val="single" w:color="auto" w:sz="4" w:space="0"/>
              <w:right w:val="single" w:color="auto" w:sz="4" w:space="0"/>
            </w:tcBorders>
            <w:noWrap w:val="0"/>
            <w:vAlign w:val="center"/>
          </w:tcPr>
          <w:p w14:paraId="3CEB372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实际完成率=（实际完成/预期完成）×100%。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①实际完成率≥100%，且偏离程度＜20%，得满分；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②实际完成率≥100%，偏离程度≥20%，得0分；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③实际完成率×100%＜100%，得分=实际完成率×指标分值。</w:t>
            </w:r>
          </w:p>
        </w:tc>
        <w:tc>
          <w:tcPr>
            <w:tcW w:w="478" w:type="pct"/>
            <w:tcBorders>
              <w:top w:val="single" w:color="auto" w:sz="4" w:space="0"/>
              <w:left w:val="single" w:color="auto" w:sz="4" w:space="0"/>
              <w:bottom w:val="single" w:color="auto" w:sz="4" w:space="0"/>
              <w:right w:val="single" w:color="auto" w:sz="4" w:space="0"/>
            </w:tcBorders>
            <w:noWrap w:val="0"/>
            <w:vAlign w:val="center"/>
          </w:tcPr>
          <w:p w14:paraId="1B412F5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w:t>
            </w:r>
            <w:r>
              <w:rPr>
                <w:rFonts w:hint="eastAsia" w:ascii="宋体" w:hAnsi="宋体" w:eastAsia="宋体" w:cs="宋体"/>
                <w:i w:val="0"/>
                <w:iCs w:val="0"/>
                <w:color w:val="000000"/>
                <w:sz w:val="18"/>
                <w:szCs w:val="18"/>
                <w:highlight w:val="none"/>
                <w:u w:val="none"/>
              </w:rPr>
              <w:t>家</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15AEE05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6.67</w:t>
            </w:r>
          </w:p>
        </w:tc>
      </w:tr>
      <w:tr w14:paraId="54B716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68" w:type="pct"/>
            <w:vMerge w:val="continue"/>
            <w:tcBorders>
              <w:top w:val="single" w:color="auto" w:sz="4" w:space="0"/>
              <w:left w:val="single" w:color="auto" w:sz="4" w:space="0"/>
              <w:bottom w:val="single" w:color="auto" w:sz="4" w:space="0"/>
              <w:right w:val="single" w:color="auto" w:sz="4" w:space="0"/>
            </w:tcBorders>
            <w:noWrap w:val="0"/>
            <w:vAlign w:val="center"/>
          </w:tcPr>
          <w:p w14:paraId="0CE5B96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5E56A4C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6" w:type="pct"/>
            <w:tcBorders>
              <w:top w:val="single" w:color="auto" w:sz="4" w:space="0"/>
              <w:left w:val="single" w:color="auto" w:sz="4" w:space="0"/>
              <w:bottom w:val="single" w:color="auto" w:sz="4" w:space="0"/>
              <w:right w:val="single" w:color="auto" w:sz="4" w:space="0"/>
            </w:tcBorders>
            <w:noWrap w:val="0"/>
            <w:vAlign w:val="center"/>
          </w:tcPr>
          <w:p w14:paraId="67C6B9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产出质量</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71A851B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42" w:type="pct"/>
            <w:tcBorders>
              <w:top w:val="single" w:color="auto" w:sz="4" w:space="0"/>
              <w:left w:val="single" w:color="auto" w:sz="4" w:space="0"/>
              <w:bottom w:val="single" w:color="auto" w:sz="4" w:space="0"/>
              <w:right w:val="single" w:color="auto" w:sz="4" w:space="0"/>
            </w:tcBorders>
            <w:noWrap w:val="0"/>
            <w:vAlign w:val="center"/>
          </w:tcPr>
          <w:p w14:paraId="58C67A8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质量达标率</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14C83AD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58BED19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资金使用合规率</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661A517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468" w:type="pct"/>
            <w:tcBorders>
              <w:top w:val="single" w:color="auto" w:sz="4" w:space="0"/>
              <w:left w:val="single" w:color="auto" w:sz="4" w:space="0"/>
              <w:right w:val="single" w:color="auto" w:sz="4" w:space="0"/>
            </w:tcBorders>
            <w:noWrap w:val="0"/>
            <w:vAlign w:val="center"/>
          </w:tcPr>
          <w:p w14:paraId="2F99CEF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若指标达到标杆值，则得100%权重分；否则，得分=（实际完成/预期完成）×100%×指标分值。</w:t>
            </w:r>
          </w:p>
          <w:p w14:paraId="75B546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若指标完成值达到标杆值，则得100%权重分；否则，不得分。</w:t>
            </w:r>
          </w:p>
        </w:tc>
        <w:tc>
          <w:tcPr>
            <w:tcW w:w="478" w:type="pct"/>
            <w:tcBorders>
              <w:top w:val="single" w:color="auto" w:sz="4" w:space="0"/>
              <w:left w:val="single" w:color="auto" w:sz="4" w:space="0"/>
              <w:bottom w:val="single" w:color="auto" w:sz="4" w:space="0"/>
              <w:right w:val="single" w:color="auto" w:sz="4" w:space="0"/>
            </w:tcBorders>
            <w:noWrap w:val="0"/>
            <w:vAlign w:val="center"/>
          </w:tcPr>
          <w:p w14:paraId="57E5BE6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3D5206B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r>
      <w:tr w14:paraId="4EC75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68" w:type="pct"/>
            <w:vMerge w:val="continue"/>
            <w:tcBorders>
              <w:top w:val="single" w:color="auto" w:sz="4" w:space="0"/>
              <w:left w:val="single" w:color="auto" w:sz="4" w:space="0"/>
              <w:bottom w:val="single" w:color="auto" w:sz="4" w:space="0"/>
              <w:right w:val="single" w:color="auto" w:sz="4" w:space="0"/>
            </w:tcBorders>
            <w:noWrap w:val="0"/>
            <w:vAlign w:val="center"/>
          </w:tcPr>
          <w:p w14:paraId="7BFE95F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741C3C3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6" w:type="pct"/>
            <w:vMerge w:val="restart"/>
            <w:tcBorders>
              <w:top w:val="single" w:color="auto" w:sz="4" w:space="0"/>
              <w:left w:val="single" w:color="auto" w:sz="4" w:space="0"/>
              <w:right w:val="single" w:color="auto" w:sz="4" w:space="0"/>
            </w:tcBorders>
            <w:noWrap w:val="0"/>
            <w:vAlign w:val="center"/>
          </w:tcPr>
          <w:p w14:paraId="5A6A075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产出时效</w:t>
            </w:r>
          </w:p>
        </w:tc>
        <w:tc>
          <w:tcPr>
            <w:tcW w:w="199" w:type="pct"/>
            <w:vMerge w:val="restart"/>
            <w:tcBorders>
              <w:top w:val="single" w:color="auto" w:sz="4" w:space="0"/>
              <w:left w:val="single" w:color="auto" w:sz="4" w:space="0"/>
              <w:right w:val="single" w:color="auto" w:sz="4" w:space="0"/>
            </w:tcBorders>
            <w:noWrap w:val="0"/>
            <w:vAlign w:val="center"/>
          </w:tcPr>
          <w:p w14:paraId="20D3AC4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42" w:type="pct"/>
            <w:vMerge w:val="restart"/>
            <w:tcBorders>
              <w:top w:val="single" w:color="auto" w:sz="4" w:space="0"/>
              <w:left w:val="single" w:color="auto" w:sz="4" w:space="0"/>
              <w:right w:val="single" w:color="auto" w:sz="4" w:space="0"/>
            </w:tcBorders>
            <w:noWrap w:val="0"/>
            <w:vAlign w:val="center"/>
          </w:tcPr>
          <w:p w14:paraId="33E8744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完成及时率</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4D96283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7FBBE5D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w:t>
            </w:r>
            <w:r>
              <w:rPr>
                <w:rFonts w:hint="eastAsia" w:ascii="宋体" w:hAnsi="宋体" w:eastAsia="宋体" w:cs="宋体"/>
                <w:i w:val="0"/>
                <w:iCs w:val="0"/>
                <w:color w:val="000000"/>
                <w:sz w:val="18"/>
                <w:szCs w:val="18"/>
                <w:highlight w:val="none"/>
                <w:u w:val="none"/>
                <w:lang w:val="en-US" w:eastAsia="zh-CN"/>
              </w:rPr>
              <w:t>完成</w:t>
            </w:r>
            <w:r>
              <w:rPr>
                <w:rFonts w:hint="eastAsia" w:ascii="宋体" w:hAnsi="宋体" w:eastAsia="宋体" w:cs="宋体"/>
                <w:i w:val="0"/>
                <w:iCs w:val="0"/>
                <w:color w:val="000000"/>
                <w:sz w:val="18"/>
                <w:szCs w:val="18"/>
                <w:highlight w:val="none"/>
                <w:u w:val="none"/>
              </w:rPr>
              <w:t>时间</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498A19C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w:t>
            </w:r>
            <w:r>
              <w:rPr>
                <w:rFonts w:hint="eastAsia" w:ascii="宋体" w:hAnsi="宋体" w:eastAsia="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年</w:t>
            </w:r>
            <w:r>
              <w:rPr>
                <w:rFonts w:hint="eastAsia" w:ascii="宋体" w:hAnsi="宋体" w:eastAsia="宋体" w:cs="宋体"/>
                <w:i w:val="0"/>
                <w:iCs w:val="0"/>
                <w:color w:val="000000"/>
                <w:sz w:val="18"/>
                <w:szCs w:val="18"/>
                <w:highlight w:val="none"/>
                <w:u w:val="none"/>
                <w:lang w:val="en-US" w:eastAsia="zh-CN"/>
              </w:rPr>
              <w:t>12</w:t>
            </w:r>
            <w:r>
              <w:rPr>
                <w:rFonts w:hint="eastAsia" w:ascii="宋体" w:hAnsi="宋体" w:eastAsia="宋体" w:cs="宋体"/>
                <w:i w:val="0"/>
                <w:iCs w:val="0"/>
                <w:color w:val="000000"/>
                <w:sz w:val="18"/>
                <w:szCs w:val="18"/>
                <w:highlight w:val="none"/>
                <w:u w:val="none"/>
              </w:rPr>
              <w:t>月</w:t>
            </w:r>
          </w:p>
        </w:tc>
        <w:tc>
          <w:tcPr>
            <w:tcW w:w="1468" w:type="pct"/>
            <w:vMerge w:val="restart"/>
            <w:tcBorders>
              <w:top w:val="single" w:color="auto" w:sz="4" w:space="0"/>
              <w:left w:val="single" w:color="auto" w:sz="4" w:space="0"/>
              <w:right w:val="single" w:color="auto" w:sz="4" w:space="0"/>
            </w:tcBorders>
            <w:noWrap w:val="0"/>
            <w:vAlign w:val="center"/>
          </w:tcPr>
          <w:p w14:paraId="7551A3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若指标完成值达到标杆值，则得100%权重分；否则，得分=（实际完成/预期完成）×100%×指标分值。</w:t>
            </w:r>
          </w:p>
          <w:p w14:paraId="3BC0C35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若在规定时间内完成，得100%权重分；若未在规定的时间内完成，得分=（1-未在规定时间内完成工作数/实际完成工作总数）×分值。</w:t>
            </w:r>
          </w:p>
        </w:tc>
        <w:tc>
          <w:tcPr>
            <w:tcW w:w="478" w:type="pct"/>
            <w:tcBorders>
              <w:top w:val="single" w:color="auto" w:sz="4" w:space="0"/>
              <w:left w:val="single" w:color="auto" w:sz="4" w:space="0"/>
              <w:bottom w:val="single" w:color="auto" w:sz="4" w:space="0"/>
              <w:right w:val="single" w:color="auto" w:sz="4" w:space="0"/>
            </w:tcBorders>
            <w:noWrap w:val="0"/>
            <w:vAlign w:val="center"/>
          </w:tcPr>
          <w:p w14:paraId="19B8AE1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w:t>
            </w:r>
            <w:r>
              <w:rPr>
                <w:rFonts w:hint="eastAsia" w:ascii="宋体" w:hAnsi="宋体" w:eastAsia="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年</w:t>
            </w:r>
            <w:r>
              <w:rPr>
                <w:rFonts w:hint="eastAsia" w:ascii="宋体" w:hAnsi="宋体" w:eastAsia="宋体" w:cs="宋体"/>
                <w:i w:val="0"/>
                <w:iCs w:val="0"/>
                <w:color w:val="000000"/>
                <w:sz w:val="18"/>
                <w:szCs w:val="18"/>
                <w:highlight w:val="none"/>
                <w:u w:val="none"/>
                <w:lang w:val="en-US" w:eastAsia="zh-CN"/>
              </w:rPr>
              <w:t>12</w:t>
            </w:r>
            <w:r>
              <w:rPr>
                <w:rFonts w:hint="eastAsia" w:ascii="宋体" w:hAnsi="宋体" w:eastAsia="宋体" w:cs="宋体"/>
                <w:i w:val="0"/>
                <w:iCs w:val="0"/>
                <w:color w:val="000000"/>
                <w:sz w:val="18"/>
                <w:szCs w:val="18"/>
                <w:highlight w:val="none"/>
                <w:u w:val="none"/>
              </w:rPr>
              <w:t>月</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07D3DE8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r>
      <w:tr w14:paraId="4BFD43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68" w:type="pct"/>
            <w:vMerge w:val="continue"/>
            <w:tcBorders>
              <w:left w:val="single" w:color="auto" w:sz="4" w:space="0"/>
              <w:bottom w:val="single" w:color="auto" w:sz="4" w:space="0"/>
              <w:right w:val="single" w:color="auto" w:sz="4" w:space="0"/>
            </w:tcBorders>
            <w:noWrap w:val="0"/>
            <w:vAlign w:val="center"/>
          </w:tcPr>
          <w:p w14:paraId="186BDBD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vMerge w:val="continue"/>
            <w:tcBorders>
              <w:left w:val="single" w:color="auto" w:sz="4" w:space="0"/>
              <w:bottom w:val="single" w:color="auto" w:sz="4" w:space="0"/>
              <w:right w:val="single" w:color="auto" w:sz="4" w:space="0"/>
            </w:tcBorders>
            <w:noWrap w:val="0"/>
            <w:vAlign w:val="center"/>
          </w:tcPr>
          <w:p w14:paraId="741AB61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6" w:type="pct"/>
            <w:vMerge w:val="continue"/>
            <w:tcBorders>
              <w:left w:val="single" w:color="auto" w:sz="4" w:space="0"/>
              <w:bottom w:val="single" w:color="auto" w:sz="4" w:space="0"/>
              <w:right w:val="single" w:color="auto" w:sz="4" w:space="0"/>
            </w:tcBorders>
            <w:noWrap w:val="0"/>
            <w:vAlign w:val="center"/>
          </w:tcPr>
          <w:p w14:paraId="251C7B0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vMerge w:val="continue"/>
            <w:tcBorders>
              <w:left w:val="single" w:color="auto" w:sz="4" w:space="0"/>
              <w:bottom w:val="single" w:color="auto" w:sz="4" w:space="0"/>
              <w:right w:val="single" w:color="auto" w:sz="4" w:space="0"/>
            </w:tcBorders>
            <w:noWrap w:val="0"/>
            <w:vAlign w:val="center"/>
          </w:tcPr>
          <w:p w14:paraId="31E3D65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42" w:type="pct"/>
            <w:vMerge w:val="continue"/>
            <w:tcBorders>
              <w:left w:val="single" w:color="auto" w:sz="4" w:space="0"/>
              <w:bottom w:val="single" w:color="auto" w:sz="4" w:space="0"/>
              <w:right w:val="single" w:color="auto" w:sz="4" w:space="0"/>
            </w:tcBorders>
            <w:noWrap w:val="0"/>
            <w:vAlign w:val="center"/>
          </w:tcPr>
          <w:p w14:paraId="3956F4D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69F14B0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6E32ADC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资金支付及时率</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76ADD87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468" w:type="pct"/>
            <w:vMerge w:val="continue"/>
            <w:tcBorders>
              <w:left w:val="single" w:color="auto" w:sz="4" w:space="0"/>
              <w:right w:val="single" w:color="auto" w:sz="4" w:space="0"/>
            </w:tcBorders>
            <w:noWrap w:val="0"/>
            <w:vAlign w:val="center"/>
          </w:tcPr>
          <w:p w14:paraId="2D0ECDA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29C8905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055CC63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r>
      <w:tr w14:paraId="2E65F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368" w:type="pct"/>
            <w:vMerge w:val="continue"/>
            <w:tcBorders>
              <w:top w:val="single" w:color="auto" w:sz="4" w:space="0"/>
              <w:left w:val="single" w:color="auto" w:sz="4" w:space="0"/>
              <w:bottom w:val="single" w:color="auto" w:sz="4" w:space="0"/>
              <w:right w:val="single" w:color="auto" w:sz="4" w:space="0"/>
            </w:tcBorders>
            <w:noWrap w:val="0"/>
            <w:vAlign w:val="center"/>
          </w:tcPr>
          <w:p w14:paraId="169DAF3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5A884EF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6" w:type="pct"/>
            <w:tcBorders>
              <w:top w:val="single" w:color="auto" w:sz="4" w:space="0"/>
              <w:left w:val="single" w:color="auto" w:sz="4" w:space="0"/>
              <w:right w:val="single" w:color="auto" w:sz="4" w:space="0"/>
            </w:tcBorders>
            <w:noWrap w:val="0"/>
            <w:vAlign w:val="center"/>
          </w:tcPr>
          <w:p w14:paraId="486549E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产出成本</w:t>
            </w:r>
          </w:p>
        </w:tc>
        <w:tc>
          <w:tcPr>
            <w:tcW w:w="199" w:type="pct"/>
            <w:tcBorders>
              <w:top w:val="single" w:color="auto" w:sz="4" w:space="0"/>
              <w:left w:val="single" w:color="auto" w:sz="4" w:space="0"/>
              <w:right w:val="single" w:color="auto" w:sz="4" w:space="0"/>
            </w:tcBorders>
            <w:noWrap w:val="0"/>
            <w:vAlign w:val="center"/>
          </w:tcPr>
          <w:p w14:paraId="598A6D7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42" w:type="pct"/>
            <w:tcBorders>
              <w:top w:val="single" w:color="auto" w:sz="4" w:space="0"/>
              <w:left w:val="single" w:color="auto" w:sz="4" w:space="0"/>
              <w:right w:val="single" w:color="auto" w:sz="4" w:space="0"/>
            </w:tcBorders>
            <w:noWrap w:val="0"/>
            <w:vAlign w:val="center"/>
          </w:tcPr>
          <w:p w14:paraId="74FD42A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成本节约率</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6DF4E80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1A19DE8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项目总投资</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6741313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≤235.85万元</w:t>
            </w:r>
          </w:p>
        </w:tc>
        <w:tc>
          <w:tcPr>
            <w:tcW w:w="1468" w:type="pct"/>
            <w:tcBorders>
              <w:top w:val="single" w:color="auto" w:sz="4" w:space="0"/>
              <w:left w:val="single" w:color="auto" w:sz="4" w:space="0"/>
              <w:right w:val="single" w:color="auto" w:sz="4" w:space="0"/>
            </w:tcBorders>
            <w:noWrap w:val="0"/>
            <w:vAlign w:val="center"/>
          </w:tcPr>
          <w:p w14:paraId="4196C3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实际完成率=（实际支付资金数/计划应支付资金数）×100%。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①实际完成率＞年度指标值，得0得分；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②实际完成率≤年度指标值，且偏离程度＜20%，得满分；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③实际完成率＜年度指标值，且偏离程度≥20%，得分=实际完成率×分值。</w:t>
            </w:r>
          </w:p>
        </w:tc>
        <w:tc>
          <w:tcPr>
            <w:tcW w:w="478" w:type="pct"/>
            <w:tcBorders>
              <w:top w:val="single" w:color="auto" w:sz="4" w:space="0"/>
              <w:left w:val="single" w:color="auto" w:sz="4" w:space="0"/>
              <w:bottom w:val="single" w:color="auto" w:sz="4" w:space="0"/>
              <w:right w:val="single" w:color="auto" w:sz="4" w:space="0"/>
            </w:tcBorders>
            <w:noWrap w:val="0"/>
            <w:vAlign w:val="center"/>
          </w:tcPr>
          <w:p w14:paraId="071ECB3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235.85万元</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7F4E371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r>
      <w:tr w14:paraId="1F8A3B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trPr>
        <w:tc>
          <w:tcPr>
            <w:tcW w:w="368" w:type="pct"/>
            <w:vMerge w:val="restart"/>
            <w:tcBorders>
              <w:top w:val="single" w:color="auto" w:sz="4" w:space="0"/>
              <w:left w:val="single" w:color="auto" w:sz="4" w:space="0"/>
              <w:bottom w:val="single" w:color="auto" w:sz="4" w:space="0"/>
              <w:right w:val="single" w:color="auto" w:sz="4" w:space="0"/>
            </w:tcBorders>
            <w:noWrap w:val="0"/>
            <w:vAlign w:val="center"/>
          </w:tcPr>
          <w:p w14:paraId="3A58819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项目效益</w:t>
            </w:r>
          </w:p>
        </w:tc>
        <w:tc>
          <w:tcPr>
            <w:tcW w:w="197" w:type="pct"/>
            <w:vMerge w:val="restart"/>
            <w:tcBorders>
              <w:top w:val="single" w:color="auto" w:sz="4" w:space="0"/>
              <w:left w:val="single" w:color="auto" w:sz="4" w:space="0"/>
              <w:bottom w:val="single" w:color="auto" w:sz="4" w:space="0"/>
              <w:right w:val="single" w:color="auto" w:sz="4" w:space="0"/>
            </w:tcBorders>
            <w:noWrap w:val="0"/>
            <w:vAlign w:val="center"/>
          </w:tcPr>
          <w:p w14:paraId="01B524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25</w:t>
            </w:r>
          </w:p>
        </w:tc>
        <w:tc>
          <w:tcPr>
            <w:tcW w:w="196" w:type="pct"/>
            <w:vMerge w:val="restart"/>
            <w:tcBorders>
              <w:top w:val="single" w:color="auto" w:sz="4" w:space="0"/>
              <w:left w:val="single" w:color="auto" w:sz="4" w:space="0"/>
              <w:bottom w:val="single" w:color="auto" w:sz="4" w:space="0"/>
              <w:right w:val="single" w:color="auto" w:sz="4" w:space="0"/>
            </w:tcBorders>
            <w:noWrap w:val="0"/>
            <w:vAlign w:val="center"/>
          </w:tcPr>
          <w:p w14:paraId="6723C6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项目效益</w:t>
            </w:r>
          </w:p>
        </w:tc>
        <w:tc>
          <w:tcPr>
            <w:tcW w:w="199" w:type="pct"/>
            <w:vMerge w:val="restart"/>
            <w:tcBorders>
              <w:top w:val="single" w:color="auto" w:sz="4" w:space="0"/>
              <w:left w:val="single" w:color="auto" w:sz="4" w:space="0"/>
              <w:bottom w:val="single" w:color="auto" w:sz="4" w:space="0"/>
              <w:right w:val="single" w:color="auto" w:sz="4" w:space="0"/>
            </w:tcBorders>
            <w:noWrap w:val="0"/>
            <w:vAlign w:val="center"/>
          </w:tcPr>
          <w:p w14:paraId="36E7C75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25</w:t>
            </w:r>
          </w:p>
        </w:tc>
        <w:tc>
          <w:tcPr>
            <w:tcW w:w="242" w:type="pct"/>
            <w:tcBorders>
              <w:top w:val="single" w:color="auto" w:sz="4" w:space="0"/>
              <w:left w:val="single" w:color="auto" w:sz="4" w:space="0"/>
              <w:bottom w:val="single" w:color="auto" w:sz="4" w:space="0"/>
              <w:right w:val="single" w:color="auto" w:sz="4" w:space="0"/>
            </w:tcBorders>
            <w:noWrap w:val="0"/>
            <w:vAlign w:val="center"/>
          </w:tcPr>
          <w:p w14:paraId="48B3F1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社会效益</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31EE22C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15</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34D33A3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促进纺织服装企业健康发展</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0389DA8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有效</w:t>
            </w:r>
            <w:r>
              <w:rPr>
                <w:rFonts w:hint="eastAsia" w:ascii="宋体" w:hAnsi="宋体" w:eastAsia="宋体" w:cs="宋体"/>
                <w:i w:val="0"/>
                <w:iCs w:val="0"/>
                <w:color w:val="000000"/>
                <w:sz w:val="18"/>
                <w:szCs w:val="18"/>
                <w:highlight w:val="none"/>
                <w:u w:val="none"/>
                <w:lang w:val="en-US" w:eastAsia="zh-CN"/>
              </w:rPr>
              <w:t>促进</w:t>
            </w:r>
          </w:p>
        </w:tc>
        <w:tc>
          <w:tcPr>
            <w:tcW w:w="1468" w:type="pct"/>
            <w:tcBorders>
              <w:top w:val="single" w:color="auto" w:sz="4" w:space="0"/>
              <w:left w:val="single" w:color="auto" w:sz="4" w:space="0"/>
              <w:bottom w:val="single" w:color="auto" w:sz="4" w:space="0"/>
              <w:right w:val="single" w:color="auto" w:sz="4" w:space="0"/>
            </w:tcBorders>
            <w:noWrap w:val="0"/>
            <w:vAlign w:val="center"/>
          </w:tcPr>
          <w:p w14:paraId="03BF344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按评判等级赋分。分为基本达成目标、部分实现目标、实现目标程度较低三个档次，并分别按照该指标对应分值区间100%-80%（含）、80%-60%（含）、60%-0%合理确定分值。</w:t>
            </w:r>
          </w:p>
        </w:tc>
        <w:tc>
          <w:tcPr>
            <w:tcW w:w="478" w:type="pct"/>
            <w:tcBorders>
              <w:top w:val="single" w:color="auto" w:sz="4" w:space="0"/>
              <w:left w:val="single" w:color="auto" w:sz="4" w:space="0"/>
              <w:bottom w:val="single" w:color="auto" w:sz="4" w:space="0"/>
              <w:right w:val="single" w:color="auto" w:sz="4" w:space="0"/>
            </w:tcBorders>
            <w:noWrap w:val="0"/>
            <w:vAlign w:val="center"/>
          </w:tcPr>
          <w:p w14:paraId="69E27D7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有效</w:t>
            </w:r>
            <w:r>
              <w:rPr>
                <w:rFonts w:hint="eastAsia" w:ascii="宋体" w:hAnsi="宋体" w:eastAsia="宋体" w:cs="宋体"/>
                <w:i w:val="0"/>
                <w:iCs w:val="0"/>
                <w:color w:val="000000"/>
                <w:sz w:val="18"/>
                <w:szCs w:val="18"/>
                <w:highlight w:val="none"/>
                <w:u w:val="none"/>
                <w:lang w:val="en-US" w:eastAsia="zh-CN"/>
              </w:rPr>
              <w:t>促进</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6077189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15</w:t>
            </w:r>
          </w:p>
        </w:tc>
      </w:tr>
      <w:tr w14:paraId="6D4BE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68" w:type="pct"/>
            <w:vMerge w:val="continue"/>
            <w:tcBorders>
              <w:top w:val="single" w:color="auto" w:sz="4" w:space="0"/>
              <w:left w:val="single" w:color="auto" w:sz="4" w:space="0"/>
              <w:bottom w:val="single" w:color="auto" w:sz="4" w:space="0"/>
              <w:right w:val="single" w:color="auto" w:sz="4" w:space="0"/>
            </w:tcBorders>
            <w:noWrap w:val="0"/>
            <w:vAlign w:val="center"/>
          </w:tcPr>
          <w:p w14:paraId="29E09DF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1475EF5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6" w:type="pct"/>
            <w:vMerge w:val="continue"/>
            <w:tcBorders>
              <w:top w:val="single" w:color="auto" w:sz="4" w:space="0"/>
              <w:left w:val="single" w:color="auto" w:sz="4" w:space="0"/>
              <w:bottom w:val="single" w:color="auto" w:sz="4" w:space="0"/>
              <w:right w:val="single" w:color="auto" w:sz="4" w:space="0"/>
            </w:tcBorders>
            <w:noWrap w:val="0"/>
            <w:vAlign w:val="center"/>
          </w:tcPr>
          <w:p w14:paraId="68D50EA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vMerge w:val="continue"/>
            <w:tcBorders>
              <w:top w:val="single" w:color="auto" w:sz="4" w:space="0"/>
              <w:left w:val="single" w:color="auto" w:sz="4" w:space="0"/>
              <w:bottom w:val="single" w:color="auto" w:sz="4" w:space="0"/>
              <w:right w:val="single" w:color="auto" w:sz="4" w:space="0"/>
            </w:tcBorders>
            <w:noWrap w:val="0"/>
            <w:vAlign w:val="center"/>
          </w:tcPr>
          <w:p w14:paraId="1C2B481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42" w:type="pct"/>
            <w:tcBorders>
              <w:top w:val="single" w:color="auto" w:sz="4" w:space="0"/>
              <w:left w:val="single" w:color="auto" w:sz="4" w:space="0"/>
              <w:bottom w:val="single" w:color="auto" w:sz="4" w:space="0"/>
              <w:right w:val="single" w:color="auto" w:sz="4" w:space="0"/>
            </w:tcBorders>
            <w:noWrap w:val="0"/>
            <w:vAlign w:val="center"/>
          </w:tcPr>
          <w:p w14:paraId="2063DFD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服务对象满意度</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1E4B4B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3B9C626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受益企业满意度</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7F53112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r>
              <w:rPr>
                <w:rFonts w:hint="eastAsia" w:ascii="宋体" w:hAnsi="宋体" w:eastAsia="宋体" w:cs="宋体"/>
                <w:i w:val="0"/>
                <w:iCs w:val="0"/>
                <w:color w:val="000000"/>
                <w:sz w:val="18"/>
                <w:szCs w:val="18"/>
                <w:highlight w:val="none"/>
                <w:u w:val="none"/>
              </w:rPr>
              <w:t>95%</w:t>
            </w:r>
          </w:p>
        </w:tc>
        <w:tc>
          <w:tcPr>
            <w:tcW w:w="1468" w:type="pct"/>
            <w:tcBorders>
              <w:top w:val="single" w:color="auto" w:sz="4" w:space="0"/>
              <w:left w:val="single" w:color="auto" w:sz="4" w:space="0"/>
              <w:bottom w:val="single" w:color="auto" w:sz="4" w:space="0"/>
              <w:right w:val="single" w:color="auto" w:sz="4" w:space="0"/>
            </w:tcBorders>
            <w:noWrap w:val="0"/>
            <w:vAlign w:val="center"/>
          </w:tcPr>
          <w:p w14:paraId="0D80B42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根据问卷调查，满意度达到标杆值，得权重分的100%；否则低于95%，得分=实际满意度*指标分值。</w:t>
            </w:r>
          </w:p>
        </w:tc>
        <w:tc>
          <w:tcPr>
            <w:tcW w:w="478" w:type="pct"/>
            <w:tcBorders>
              <w:top w:val="single" w:color="auto" w:sz="4" w:space="0"/>
              <w:left w:val="single" w:color="auto" w:sz="4" w:space="0"/>
              <w:bottom w:val="single" w:color="auto" w:sz="4" w:space="0"/>
              <w:right w:val="single" w:color="auto" w:sz="4" w:space="0"/>
            </w:tcBorders>
            <w:noWrap w:val="0"/>
            <w:vAlign w:val="center"/>
          </w:tcPr>
          <w:p w14:paraId="1573AF5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95%</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63AED69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r>
      <w:tr w14:paraId="68835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 w:hRule="atLeast"/>
        </w:trPr>
        <w:tc>
          <w:tcPr>
            <w:tcW w:w="368" w:type="pct"/>
            <w:tcBorders>
              <w:top w:val="single" w:color="auto" w:sz="4" w:space="0"/>
              <w:left w:val="single" w:color="auto" w:sz="4" w:space="0"/>
              <w:bottom w:val="single" w:color="auto" w:sz="4" w:space="0"/>
              <w:right w:val="single" w:color="auto" w:sz="4" w:space="0"/>
            </w:tcBorders>
            <w:noWrap w:val="0"/>
            <w:vAlign w:val="center"/>
          </w:tcPr>
          <w:p w14:paraId="01C1E5B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总分</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635B854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196" w:type="pct"/>
            <w:tcBorders>
              <w:top w:val="single" w:color="auto" w:sz="4" w:space="0"/>
              <w:left w:val="single" w:color="auto" w:sz="4" w:space="0"/>
              <w:bottom w:val="single" w:color="auto" w:sz="4" w:space="0"/>
              <w:right w:val="single" w:color="auto" w:sz="4" w:space="0"/>
            </w:tcBorders>
            <w:noWrap w:val="0"/>
            <w:vAlign w:val="center"/>
          </w:tcPr>
          <w:p w14:paraId="0957536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4708A5B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242" w:type="pct"/>
            <w:tcBorders>
              <w:top w:val="single" w:color="auto" w:sz="4" w:space="0"/>
              <w:left w:val="single" w:color="auto" w:sz="4" w:space="0"/>
              <w:bottom w:val="single" w:color="auto" w:sz="4" w:space="0"/>
              <w:right w:val="single" w:color="auto" w:sz="4" w:space="0"/>
            </w:tcBorders>
            <w:noWrap w:val="0"/>
            <w:vAlign w:val="center"/>
          </w:tcPr>
          <w:p w14:paraId="3048802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13BAC9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536690D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65" w:type="pct"/>
            <w:tcBorders>
              <w:top w:val="single" w:color="auto" w:sz="4" w:space="0"/>
              <w:left w:val="single" w:color="auto" w:sz="4" w:space="0"/>
              <w:bottom w:val="single" w:color="auto" w:sz="4" w:space="0"/>
              <w:right w:val="single" w:color="auto" w:sz="4" w:space="0"/>
            </w:tcBorders>
            <w:noWrap w:val="0"/>
            <w:vAlign w:val="center"/>
          </w:tcPr>
          <w:p w14:paraId="47C4FE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w:t>
            </w:r>
          </w:p>
        </w:tc>
        <w:tc>
          <w:tcPr>
            <w:tcW w:w="1468" w:type="pct"/>
            <w:tcBorders>
              <w:top w:val="single" w:color="auto" w:sz="4" w:space="0"/>
              <w:left w:val="single" w:color="auto" w:sz="4" w:space="0"/>
              <w:bottom w:val="single" w:color="auto" w:sz="4" w:space="0"/>
              <w:right w:val="single" w:color="auto" w:sz="4" w:space="0"/>
            </w:tcBorders>
            <w:noWrap w:val="0"/>
            <w:vAlign w:val="center"/>
          </w:tcPr>
          <w:p w14:paraId="6534BAEF">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4633BAF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49" w:type="pct"/>
            <w:tcBorders>
              <w:top w:val="single" w:color="auto" w:sz="4" w:space="0"/>
              <w:left w:val="single" w:color="auto" w:sz="4" w:space="0"/>
              <w:bottom w:val="single" w:color="auto" w:sz="4" w:space="0"/>
              <w:right w:val="single" w:color="auto" w:sz="4" w:space="0"/>
            </w:tcBorders>
            <w:noWrap w:val="0"/>
            <w:vAlign w:val="center"/>
          </w:tcPr>
          <w:p w14:paraId="43184EF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96.67</w:t>
            </w:r>
          </w:p>
        </w:tc>
      </w:tr>
    </w:tbl>
    <w:p w14:paraId="01E6DDE1">
      <w:pPr>
        <w:pStyle w:val="10"/>
        <w:rPr>
          <w:rFonts w:hint="eastAsia" w:ascii="宋体" w:hAnsi="宋体" w:eastAsia="宋体" w:cs="宋体"/>
          <w:sz w:val="24"/>
          <w:szCs w:val="24"/>
          <w:lang w:eastAsia="zh-CN"/>
        </w:rPr>
      </w:pPr>
    </w:p>
    <w:p w14:paraId="79E6E9CB">
      <w:pPr>
        <w:pStyle w:val="10"/>
        <w:rPr>
          <w:rFonts w:hint="eastAsia" w:ascii="宋体" w:hAnsi="宋体" w:eastAsia="宋体" w:cs="宋体"/>
          <w:sz w:val="24"/>
          <w:szCs w:val="24"/>
          <w:lang w:eastAsia="zh-CN"/>
        </w:rPr>
      </w:pPr>
    </w:p>
    <w:p w14:paraId="329F16AA">
      <w:pPr>
        <w:pStyle w:val="10"/>
        <w:ind w:left="0" w:leftChars="0"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附件2：</w:t>
      </w:r>
    </w:p>
    <w:tbl>
      <w:tblPr>
        <w:tblStyle w:val="23"/>
        <w:tblW w:w="1302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25BB0B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27547638">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22"/>
                <w:szCs w:val="22"/>
                <w:u w:val="none"/>
              </w:rPr>
            </w:pPr>
          </w:p>
        </w:tc>
        <w:tc>
          <w:tcPr>
            <w:tcW w:w="1778" w:type="dxa"/>
            <w:tcBorders>
              <w:top w:val="nil"/>
              <w:left w:val="nil"/>
              <w:bottom w:val="nil"/>
              <w:right w:val="nil"/>
            </w:tcBorders>
            <w:noWrap/>
            <w:vAlign w:val="center"/>
          </w:tcPr>
          <w:p w14:paraId="6B0F1B69">
            <w:pPr>
              <w:rPr>
                <w:rFonts w:hint="eastAsia" w:ascii="宋体" w:hAnsi="宋体" w:eastAsia="宋体" w:cs="宋体"/>
                <w:i w:val="0"/>
                <w:iCs w:val="0"/>
                <w:color w:val="000000"/>
                <w:sz w:val="22"/>
                <w:szCs w:val="22"/>
                <w:u w:val="none"/>
              </w:rPr>
            </w:pPr>
          </w:p>
        </w:tc>
        <w:tc>
          <w:tcPr>
            <w:tcW w:w="2786" w:type="dxa"/>
            <w:tcBorders>
              <w:top w:val="nil"/>
              <w:left w:val="nil"/>
              <w:bottom w:val="nil"/>
              <w:right w:val="nil"/>
            </w:tcBorders>
            <w:noWrap/>
            <w:vAlign w:val="center"/>
          </w:tcPr>
          <w:p w14:paraId="28BD1FB5">
            <w:pPr>
              <w:rPr>
                <w:rFonts w:hint="eastAsia" w:ascii="宋体" w:hAnsi="宋体" w:eastAsia="宋体" w:cs="宋体"/>
                <w:i w:val="0"/>
                <w:iCs w:val="0"/>
                <w:color w:val="000000"/>
                <w:sz w:val="22"/>
                <w:szCs w:val="22"/>
                <w:u w:val="none"/>
              </w:rPr>
            </w:pPr>
          </w:p>
        </w:tc>
        <w:tc>
          <w:tcPr>
            <w:tcW w:w="2314" w:type="dxa"/>
            <w:tcBorders>
              <w:top w:val="nil"/>
              <w:left w:val="nil"/>
              <w:bottom w:val="nil"/>
              <w:right w:val="nil"/>
            </w:tcBorders>
            <w:noWrap/>
            <w:vAlign w:val="center"/>
          </w:tcPr>
          <w:p w14:paraId="3B1596E5">
            <w:pPr>
              <w:rPr>
                <w:rFonts w:hint="eastAsia" w:ascii="宋体" w:hAnsi="宋体" w:eastAsia="宋体" w:cs="宋体"/>
                <w:i w:val="0"/>
                <w:iCs w:val="0"/>
                <w:color w:val="000000"/>
                <w:sz w:val="22"/>
                <w:szCs w:val="22"/>
                <w:u w:val="none"/>
              </w:rPr>
            </w:pPr>
          </w:p>
        </w:tc>
        <w:tc>
          <w:tcPr>
            <w:tcW w:w="3449" w:type="dxa"/>
            <w:tcBorders>
              <w:top w:val="nil"/>
              <w:left w:val="nil"/>
              <w:bottom w:val="nil"/>
              <w:right w:val="nil"/>
            </w:tcBorders>
            <w:noWrap/>
            <w:vAlign w:val="center"/>
          </w:tcPr>
          <w:p w14:paraId="7406257C">
            <w:pPr>
              <w:rPr>
                <w:rFonts w:hint="eastAsia" w:ascii="宋体" w:hAnsi="宋体" w:eastAsia="宋体" w:cs="宋体"/>
                <w:i w:val="0"/>
                <w:iCs w:val="0"/>
                <w:color w:val="000000"/>
                <w:sz w:val="22"/>
                <w:szCs w:val="22"/>
                <w:u w:val="none"/>
              </w:rPr>
            </w:pPr>
          </w:p>
        </w:tc>
        <w:tc>
          <w:tcPr>
            <w:tcW w:w="1331" w:type="dxa"/>
            <w:tcBorders>
              <w:top w:val="nil"/>
              <w:left w:val="nil"/>
              <w:bottom w:val="nil"/>
              <w:right w:val="nil"/>
            </w:tcBorders>
            <w:noWrap/>
            <w:vAlign w:val="center"/>
          </w:tcPr>
          <w:p w14:paraId="4565BFEB">
            <w:pPr>
              <w:rPr>
                <w:rFonts w:hint="eastAsia" w:ascii="宋体" w:hAnsi="宋体" w:eastAsia="宋体" w:cs="宋体"/>
                <w:i w:val="0"/>
                <w:iCs w:val="0"/>
                <w:color w:val="000000"/>
                <w:sz w:val="22"/>
                <w:szCs w:val="22"/>
                <w:u w:val="none"/>
              </w:rPr>
            </w:pPr>
          </w:p>
        </w:tc>
      </w:tr>
      <w:tr w14:paraId="65DBB7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5B15A5CA">
            <w:pPr>
              <w:keepNext w:val="0"/>
              <w:keepLines w:val="0"/>
              <w:widowControl/>
              <w:suppressLineNumbers w:val="0"/>
              <w:jc w:val="center"/>
              <w:textAlignment w:val="center"/>
              <w:rPr>
                <w:rFonts w:hint="eastAsia" w:ascii="宋体" w:hAnsi="宋体" w:eastAsia="宋体" w:cs="宋体"/>
                <w:b/>
                <w:bCs/>
                <w:i w:val="0"/>
                <w:iCs w:val="0"/>
                <w:color w:val="auto"/>
                <w:sz w:val="36"/>
                <w:szCs w:val="36"/>
                <w:u w:val="none"/>
              </w:rPr>
            </w:pPr>
            <w:r>
              <w:rPr>
                <w:rFonts w:hint="eastAsia" w:ascii="宋体" w:hAnsi="宋体" w:eastAsia="宋体" w:cs="宋体"/>
                <w:b/>
                <w:bCs/>
                <w:i w:val="0"/>
                <w:iCs w:val="0"/>
                <w:color w:val="auto"/>
                <w:kern w:val="0"/>
                <w:sz w:val="36"/>
                <w:szCs w:val="36"/>
                <w:u w:val="none"/>
                <w:lang w:val="en-US" w:eastAsia="zh-CN"/>
              </w:rPr>
              <w:t>2019年中央纺织服装专项资金运费补贴项目综合得分表</w:t>
            </w:r>
          </w:p>
        </w:tc>
      </w:tr>
      <w:tr w14:paraId="344A0F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9D5B1AE">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D1E34C5">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5C1FF3D">
            <w:pPr>
              <w:keepNext w:val="0"/>
              <w:keepLines w:val="0"/>
              <w:widowControl/>
              <w:suppressLineNumbers w:val="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BCA7E3C">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项目产出</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02EAB03">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项目效益</w:t>
            </w:r>
          </w:p>
        </w:tc>
        <w:tc>
          <w:tcPr>
            <w:tcW w:w="133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C3B2E1D">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合计</w:t>
            </w:r>
          </w:p>
        </w:tc>
      </w:tr>
      <w:tr w14:paraId="7B69C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535CF4B">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470E65E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 xml:space="preserve">23.00 </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4CE0B25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 xml:space="preserve">12.00 </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6D963A5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 xml:space="preserve">40.00 </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6BCA007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 xml:space="preserve">25.00 </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6B864297">
            <w:pPr>
              <w:keepNext w:val="0"/>
              <w:keepLines w:val="0"/>
              <w:widowControl/>
              <w:suppressLineNumbers w:val="0"/>
              <w:ind w:left="0" w:leftChars="0" w:firstLine="240" w:firstLineChars="10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 xml:space="preserve">100.00 </w:t>
            </w:r>
          </w:p>
        </w:tc>
      </w:tr>
      <w:tr w14:paraId="0203D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5B8192C">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7EA258D">
            <w:pPr>
              <w:keepNext w:val="0"/>
              <w:keepLines w:val="0"/>
              <w:widowControl/>
              <w:suppressLineNumbers w:val="0"/>
              <w:ind w:firstLine="480" w:firstLineChars="20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 xml:space="preserve">23.00 </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0B09A6E">
            <w:pPr>
              <w:keepNext w:val="0"/>
              <w:keepLines w:val="0"/>
              <w:widowControl/>
              <w:suppressLineNumbers w:val="0"/>
              <w:ind w:firstLine="480" w:firstLineChars="20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 xml:space="preserve">12.00 </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F0E34CD">
            <w:pPr>
              <w:keepNext w:val="0"/>
              <w:keepLines w:val="0"/>
              <w:widowControl/>
              <w:suppressLineNumbers w:val="0"/>
              <w:ind w:firstLine="480" w:firstLineChars="20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 xml:space="preserve">36.67 </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475DF87">
            <w:pPr>
              <w:keepNext w:val="0"/>
              <w:keepLines w:val="0"/>
              <w:widowControl/>
              <w:suppressLineNumbers w:val="0"/>
              <w:ind w:firstLine="480" w:firstLineChars="20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 xml:space="preserve">25.00 </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5BDDC3C8">
            <w:pPr>
              <w:keepNext w:val="0"/>
              <w:keepLines w:val="0"/>
              <w:widowControl/>
              <w:suppressLineNumbers w:val="0"/>
              <w:ind w:left="0" w:leftChars="0" w:firstLine="240" w:firstLineChars="100"/>
              <w:jc w:val="both"/>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96.67</w:t>
            </w:r>
          </w:p>
        </w:tc>
      </w:tr>
      <w:tr w14:paraId="13DBEA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2E3DE3E">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23D358E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26D02BB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44B4D00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91.68%</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3ADE388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6CC3E8BB">
            <w:pPr>
              <w:keepNext w:val="0"/>
              <w:keepLines w:val="0"/>
              <w:widowControl/>
              <w:suppressLineNumbers w:val="0"/>
              <w:ind w:left="0" w:leftChars="0" w:firstLine="240" w:firstLineChars="10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96.67%</w:t>
            </w:r>
          </w:p>
        </w:tc>
      </w:tr>
    </w:tbl>
    <w:p w14:paraId="1F4946D2">
      <w:pPr>
        <w:pStyle w:val="10"/>
        <w:ind w:left="0" w:leftChars="0" w:firstLine="0" w:firstLineChars="0"/>
        <w:jc w:val="both"/>
        <w:rPr>
          <w:rFonts w:hint="default" w:ascii="宋体" w:hAnsi="宋体" w:eastAsia="宋体" w:cs="宋体"/>
          <w:color w:val="auto"/>
          <w:sz w:val="24"/>
          <w:szCs w:val="24"/>
          <w:lang w:val="en-US" w:eastAsia="zh-CN"/>
        </w:rPr>
      </w:pPr>
    </w:p>
    <w:p w14:paraId="3CBCD104">
      <w:pPr>
        <w:pStyle w:val="10"/>
        <w:ind w:left="0" w:leftChars="0" w:firstLine="0" w:firstLineChars="0"/>
        <w:jc w:val="both"/>
        <w:rPr>
          <w:rFonts w:hint="eastAsia" w:ascii="宋体" w:hAnsi="宋体" w:eastAsia="宋体" w:cs="宋体"/>
          <w:sz w:val="24"/>
          <w:szCs w:val="24"/>
          <w:lang w:eastAsia="zh-CN"/>
        </w:rPr>
        <w:sectPr>
          <w:pgSz w:w="16838" w:h="11906" w:orient="landscape"/>
          <w:pgMar w:top="1531" w:right="1985" w:bottom="1531" w:left="1701" w:header="851" w:footer="992" w:gutter="0"/>
          <w:pgNumType w:start="1"/>
          <w:cols w:space="720" w:num="1"/>
          <w:docGrid w:type="linesAndChars" w:linePitch="386" w:charSpace="0"/>
        </w:sectPr>
      </w:pPr>
    </w:p>
    <w:p w14:paraId="379B358D">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default"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附件3：</w:t>
      </w:r>
    </w:p>
    <w:p w14:paraId="61F7242E">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2019年中央纺织服装专项资金运费补贴项目</w:t>
      </w:r>
    </w:p>
    <w:p w14:paraId="232557E1">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满意度调查问卷分析报告</w:t>
      </w:r>
    </w:p>
    <w:p w14:paraId="23394D62">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bCs/>
          <w:sz w:val="28"/>
          <w:szCs w:val="28"/>
          <w:highlight w:val="none"/>
        </w:rPr>
      </w:pPr>
    </w:p>
    <w:p w14:paraId="7108F3D8">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为客观评价该项目的社会效果，了解</w:t>
      </w:r>
      <w:r>
        <w:rPr>
          <w:rFonts w:hint="eastAsia" w:ascii="宋体" w:hAnsi="宋体" w:eastAsia="宋体" w:cs="宋体"/>
          <w:color w:val="000000"/>
          <w:sz w:val="24"/>
          <w:szCs w:val="24"/>
          <w:highlight w:val="none"/>
          <w:lang w:val="en-US" w:eastAsia="zh-CN"/>
        </w:rPr>
        <w:t>项目受益群体</w:t>
      </w:r>
      <w:r>
        <w:rPr>
          <w:rFonts w:hint="eastAsia" w:ascii="宋体" w:hAnsi="宋体" w:eastAsia="宋体" w:cs="宋体"/>
          <w:color w:val="000000"/>
          <w:sz w:val="24"/>
          <w:szCs w:val="24"/>
          <w:highlight w:val="none"/>
        </w:rPr>
        <w:t>对项目</w:t>
      </w:r>
      <w:r>
        <w:rPr>
          <w:rFonts w:hint="eastAsia" w:ascii="宋体" w:hAnsi="宋体" w:eastAsia="宋体" w:cs="宋体"/>
          <w:color w:val="000000"/>
          <w:sz w:val="24"/>
          <w:szCs w:val="24"/>
          <w:highlight w:val="none"/>
          <w:lang w:val="en-US" w:eastAsia="zh-CN"/>
        </w:rPr>
        <w:t>实施后</w:t>
      </w:r>
      <w:r>
        <w:rPr>
          <w:rFonts w:hint="eastAsia" w:ascii="宋体" w:hAnsi="宋体" w:eastAsia="宋体" w:cs="宋体"/>
          <w:color w:val="000000"/>
          <w:sz w:val="24"/>
          <w:szCs w:val="24"/>
          <w:highlight w:val="none"/>
        </w:rPr>
        <w:t>的</w:t>
      </w:r>
      <w:r>
        <w:rPr>
          <w:rFonts w:hint="eastAsia" w:ascii="宋体" w:hAnsi="宋体" w:eastAsia="宋体" w:cs="宋体"/>
          <w:color w:val="000000"/>
          <w:sz w:val="24"/>
          <w:szCs w:val="24"/>
          <w:highlight w:val="none"/>
          <w:lang w:val="en-US" w:eastAsia="zh-CN"/>
        </w:rPr>
        <w:t>真实</w:t>
      </w:r>
      <w:r>
        <w:rPr>
          <w:rFonts w:hint="eastAsia" w:ascii="宋体" w:hAnsi="宋体" w:eastAsia="宋体" w:cs="宋体"/>
          <w:color w:val="000000"/>
          <w:sz w:val="24"/>
          <w:szCs w:val="24"/>
          <w:highlight w:val="none"/>
        </w:rPr>
        <w:t>评价情况，对本项目</w:t>
      </w:r>
      <w:r>
        <w:rPr>
          <w:rFonts w:hint="eastAsia" w:ascii="宋体" w:hAnsi="宋体" w:eastAsia="宋体" w:cs="宋体"/>
          <w:color w:val="000000"/>
          <w:sz w:val="24"/>
          <w:szCs w:val="24"/>
          <w:highlight w:val="none"/>
          <w:lang w:eastAsia="zh-CN"/>
        </w:rPr>
        <w:t>开展</w:t>
      </w:r>
      <w:r>
        <w:rPr>
          <w:rFonts w:hint="eastAsia" w:ascii="宋体" w:hAnsi="宋体" w:eastAsia="宋体" w:cs="宋体"/>
          <w:color w:val="000000"/>
          <w:sz w:val="24"/>
          <w:szCs w:val="24"/>
          <w:highlight w:val="none"/>
        </w:rPr>
        <w:t>满意度问卷调查。问卷调查工作情况如下。问卷调查工作情况如下：</w:t>
      </w:r>
    </w:p>
    <w:p w14:paraId="17C5D499">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一、该问卷调查从2025年3月1日开始至2025年3月31日结束，调查问卷共设置3道题目。</w:t>
      </w:r>
    </w:p>
    <w:p w14:paraId="393CC251">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对象</w:t>
      </w:r>
    </w:p>
    <w:p w14:paraId="40627998">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本次调查的受益对象为和田汇联丰纺织有限公司及新疆京浦时尚科技有限责任公司。</w:t>
      </w:r>
    </w:p>
    <w:p w14:paraId="53F110EC">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2.</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内容</w:t>
      </w:r>
    </w:p>
    <w:p w14:paraId="21A414AD">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①您对2019年中央纺织服装专项资金运费补贴项目的实施是否满意?</w:t>
      </w:r>
    </w:p>
    <w:p w14:paraId="06DCA9C8">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②您对洛浦县2019年中央纺织服装专项资金运费补贴项目的资金支付是否满意？</w:t>
      </w:r>
    </w:p>
    <w:p w14:paraId="63F036EE">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③总的来说，您对目前2019年中央纺织服装专项资金运费补贴项目实施过程中对促进纺织服装企业健康发展程度如何？</w:t>
      </w:r>
    </w:p>
    <w:p w14:paraId="2A09AC7E">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方法</w:t>
      </w:r>
    </w:p>
    <w:p w14:paraId="13352056">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问卷调查采取</w:t>
      </w:r>
      <w:r>
        <w:rPr>
          <w:rFonts w:hint="eastAsia" w:ascii="宋体" w:hAnsi="宋体" w:eastAsia="宋体" w:cs="宋体"/>
          <w:color w:val="000000"/>
          <w:sz w:val="24"/>
          <w:szCs w:val="24"/>
          <w:highlight w:val="none"/>
          <w:lang w:val="en-US" w:eastAsia="zh-CN"/>
        </w:rPr>
        <w:t>分层</w:t>
      </w:r>
      <w:r>
        <w:rPr>
          <w:rFonts w:hint="eastAsia" w:ascii="宋体" w:hAnsi="宋体" w:eastAsia="宋体" w:cs="宋体"/>
          <w:color w:val="000000"/>
          <w:sz w:val="24"/>
          <w:szCs w:val="24"/>
          <w:highlight w:val="none"/>
        </w:rPr>
        <w:t>抽样和</w:t>
      </w:r>
      <w:r>
        <w:rPr>
          <w:rFonts w:hint="eastAsia" w:ascii="宋体" w:hAnsi="宋体" w:eastAsia="宋体" w:cs="宋体"/>
          <w:color w:val="000000"/>
          <w:sz w:val="24"/>
          <w:szCs w:val="24"/>
          <w:highlight w:val="none"/>
          <w:lang w:val="en-US" w:eastAsia="zh-CN"/>
        </w:rPr>
        <w:t>随机抽样相结合</w:t>
      </w:r>
      <w:r>
        <w:rPr>
          <w:rFonts w:hint="eastAsia" w:ascii="宋体" w:hAnsi="宋体" w:eastAsia="宋体" w:cs="宋体"/>
          <w:color w:val="000000"/>
          <w:sz w:val="24"/>
          <w:szCs w:val="24"/>
          <w:highlight w:val="none"/>
        </w:rPr>
        <w:t>的方式进行。在全面</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开展之前会先进行论证，依据论证结果对问卷和抽样方案再进行一次修改和调整</w:t>
      </w:r>
      <w:r>
        <w:rPr>
          <w:rFonts w:hint="eastAsia" w:ascii="宋体" w:hAnsi="宋体" w:eastAsia="宋体" w:cs="宋体"/>
          <w:color w:val="000000"/>
          <w:sz w:val="24"/>
          <w:szCs w:val="24"/>
          <w:highlight w:val="none"/>
          <w:lang w:val="en-US" w:eastAsia="zh-CN"/>
        </w:rPr>
        <w:t>之后再付诸实施</w:t>
      </w:r>
      <w:r>
        <w:rPr>
          <w:rFonts w:hint="eastAsia" w:ascii="宋体" w:hAnsi="宋体" w:eastAsia="宋体" w:cs="宋体"/>
          <w:color w:val="000000"/>
          <w:sz w:val="24"/>
          <w:szCs w:val="24"/>
          <w:highlight w:val="none"/>
        </w:rPr>
        <w:t>。</w:t>
      </w:r>
    </w:p>
    <w:p w14:paraId="3922FC45">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4.</w:t>
      </w:r>
      <w:r>
        <w:rPr>
          <w:rFonts w:hint="eastAsia" w:ascii="宋体" w:hAnsi="宋体" w:eastAsia="宋体" w:cs="宋体"/>
          <w:b/>
          <w:bCs/>
          <w:color w:val="000000"/>
          <w:sz w:val="24"/>
          <w:szCs w:val="24"/>
          <w:highlight w:val="none"/>
        </w:rPr>
        <w:t>抽样方式</w:t>
      </w:r>
    </w:p>
    <w:p w14:paraId="78DA7F10">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为确保问卷</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的全面性和代表性，本次</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问卷调查采取</w:t>
      </w:r>
      <w:r>
        <w:rPr>
          <w:rFonts w:hint="eastAsia" w:ascii="宋体" w:hAnsi="宋体" w:eastAsia="宋体" w:cs="宋体"/>
          <w:color w:val="000000"/>
          <w:sz w:val="24"/>
          <w:szCs w:val="24"/>
          <w:highlight w:val="none"/>
          <w:lang w:val="en-US" w:eastAsia="zh-CN"/>
        </w:rPr>
        <w:t>随机</w:t>
      </w:r>
      <w:r>
        <w:rPr>
          <w:rFonts w:hint="eastAsia" w:ascii="宋体" w:hAnsi="宋体" w:eastAsia="宋体" w:cs="宋体"/>
          <w:color w:val="000000"/>
          <w:sz w:val="24"/>
          <w:szCs w:val="24"/>
          <w:highlight w:val="none"/>
        </w:rPr>
        <w:t>抽样和</w:t>
      </w:r>
      <w:r>
        <w:rPr>
          <w:rFonts w:hint="eastAsia" w:ascii="宋体" w:hAnsi="宋体" w:eastAsia="宋体" w:cs="宋体"/>
          <w:color w:val="000000"/>
          <w:sz w:val="24"/>
          <w:szCs w:val="24"/>
          <w:highlight w:val="none"/>
          <w:lang w:val="en-US" w:eastAsia="zh-CN"/>
        </w:rPr>
        <w:t>分层抽样相结合</w:t>
      </w:r>
      <w:r>
        <w:rPr>
          <w:rFonts w:hint="eastAsia" w:ascii="宋体" w:hAnsi="宋体" w:eastAsia="宋体" w:cs="宋体"/>
          <w:color w:val="000000"/>
          <w:sz w:val="24"/>
          <w:szCs w:val="24"/>
          <w:highlight w:val="none"/>
        </w:rPr>
        <w:t>方式进行。</w:t>
      </w:r>
    </w:p>
    <w:p w14:paraId="5EF71BF3">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5.问卷的发放和回收</w:t>
      </w:r>
    </w:p>
    <w:p w14:paraId="37EA9617">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为了给调查对象营造良好的作答环境，保证调查的科学性和严谨性，由我单位工作人员在线下发放问卷，邀请相应的调查对象填写问卷。到目前为止共回收问卷30份，其中有效问卷30份，有效问卷回收率为100%。</w:t>
      </w:r>
    </w:p>
    <w:p w14:paraId="4A3A20F5">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6.问卷调查分析结果</w:t>
      </w:r>
    </w:p>
    <w:p w14:paraId="50A1FB17">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本次调查过程中，评价小组实际发放问卷30份，回收问卷30份，问卷回收率为100.00%，有效问卷30份，有效回收率100.00%，本次调查的整体情况如下：</w:t>
      </w:r>
    </w:p>
    <w:p w14:paraId="08FB914B">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第一个问题：该项统计有效问卷数量30份，选择非常满意的人数为30人。选择比较满意的人数为0人，选择一般的人数0人，选择不满意的人数0人，选择非常不满意的人数0人。</w:t>
      </w:r>
    </w:p>
    <w:p w14:paraId="777757D2">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第二个问题：该项统计有效问卷数量30份，选择非常满意的人数为30人。选择比较满意的人数为0人，选择一般的人数0人，选择不满意的人数0人，选择非常不满意的人数0人。</w:t>
      </w:r>
    </w:p>
    <w:p w14:paraId="55A34D6A">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第三个问题：该项统计有效问卷数量30份，选择非常满意的人数为30人。选择比较满意的人数为0人，选择一般的人数0人，选择不满意的人数0人，选择非常不满意的人数0人。</w:t>
      </w:r>
    </w:p>
    <w:p w14:paraId="7EA5ECD0">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二、调查结果统计</w:t>
      </w:r>
    </w:p>
    <w:p w14:paraId="16661981">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2019年中央纺织服装专项资金运费补贴项目针对受益人员发放30份调查问卷，最终统计受益人群满意度为100%。</w:t>
      </w:r>
    </w:p>
    <w:p w14:paraId="3EC3061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p>
    <w:p w14:paraId="52FA4E78">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洛浦县商务和工业信息化局</w:t>
      </w:r>
    </w:p>
    <w:p w14:paraId="08ECE400">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2025年3月31日</w:t>
      </w:r>
    </w:p>
    <w:p w14:paraId="32C34A01">
      <w:pPr>
        <w:pStyle w:val="10"/>
        <w:rPr>
          <w:rFonts w:hint="eastAsia" w:ascii="宋体" w:hAnsi="宋体" w:eastAsia="宋体" w:cs="宋体"/>
          <w:sz w:val="24"/>
          <w:szCs w:val="24"/>
          <w:lang w:eastAsia="zh-CN"/>
        </w:rPr>
      </w:pPr>
    </w:p>
    <w:sectPr>
      <w:pgSz w:w="11906" w:h="16838"/>
      <w:pgMar w:top="1985" w:right="1531"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CDE34">
    <w:pPr>
      <w:pStyle w:val="15"/>
      <w:ind w:firstLine="360"/>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14:paraId="3D2A73A0">
                <w:pPr>
                  <w:pStyle w:val="15"/>
                  <w:ind w:firstLine="420"/>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13</w:t>
                </w:r>
                <w:r>
                  <w:rPr>
                    <w:sz w:val="21"/>
                    <w:szCs w:val="21"/>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201E77">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1"/>
      <w:numFmt w:val="decimal"/>
      <w:suff w:val="nothing"/>
      <w:lvlText w:val="（%1）"/>
      <w:lvlJc w:val="left"/>
    </w:lvl>
  </w:abstractNum>
  <w:abstractNum w:abstractNumId="1">
    <w:nsid w:val="0053208E"/>
    <w:multiLevelType w:val="singleLevel"/>
    <w:tmpl w:val="0053208E"/>
    <w:lvl w:ilvl="0" w:tentative="0">
      <w:start w:val="2"/>
      <w:numFmt w:val="decimal"/>
      <w:lvlText w:val="%1."/>
      <w:lvlJc w:val="left"/>
      <w:pPr>
        <w:tabs>
          <w:tab w:val="left" w:pos="312"/>
        </w:tabs>
      </w:pPr>
    </w:lvl>
  </w:abstractNum>
  <w:abstractNum w:abstractNumId="2">
    <w:nsid w:val="59ADCABA"/>
    <w:multiLevelType w:val="singleLevel"/>
    <w:tmpl w:val="59ADCABA"/>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4A8B66BF"/>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qFormat="1" w:uiPriority="39" w:semiHidden="0" w:name="toc 5"/>
    <w:lsdException w:uiPriority="39" w:semiHidden="0" w:name="toc 6"/>
    <w:lsdException w:qFormat="1"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4">
    <w:name w:val="heading 1"/>
    <w:basedOn w:val="1"/>
    <w:next w:val="2"/>
    <w:link w:val="32"/>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3"/>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4"/>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5"/>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5">
    <w:name w:val="Default Paragraph Font"/>
    <w:unhideWhenUsed/>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2">
    <w:name w:val="Body Text First Indent 2"/>
    <w:basedOn w:val="3"/>
    <w:link w:val="31"/>
    <w:unhideWhenUsed/>
    <w:uiPriority w:val="0"/>
    <w:pPr>
      <w:ind w:firstLine="420"/>
    </w:pPr>
  </w:style>
  <w:style w:type="paragraph" w:styleId="3">
    <w:name w:val="Body Text Indent"/>
    <w:basedOn w:val="1"/>
    <w:link w:val="30"/>
    <w:unhideWhenUsed/>
    <w:uiPriority w:val="99"/>
    <w:pPr>
      <w:spacing w:after="120"/>
      <w:ind w:left="420" w:leftChars="200"/>
    </w:pPr>
    <w:rPr>
      <w:rFonts w:cs="Times New Roman"/>
      <w:kern w:val="0"/>
      <w:szCs w:val="20"/>
    </w:rPr>
  </w:style>
  <w:style w:type="paragraph" w:styleId="8">
    <w:name w:val="toc 7"/>
    <w:basedOn w:val="1"/>
    <w:next w:val="1"/>
    <w:unhideWhenUsed/>
    <w:qFormat/>
    <w:uiPriority w:val="39"/>
    <w:pPr>
      <w:ind w:left="1680"/>
      <w:jc w:val="left"/>
    </w:pPr>
    <w:rPr>
      <w:rFonts w:ascii="Calibri" w:hAnsi="Calibri" w:cs="Calibri"/>
      <w:sz w:val="18"/>
      <w:szCs w:val="18"/>
    </w:rPr>
  </w:style>
  <w:style w:type="paragraph" w:styleId="9">
    <w:name w:val="Document Map"/>
    <w:basedOn w:val="1"/>
    <w:link w:val="36"/>
    <w:unhideWhenUsed/>
    <w:qFormat/>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qFormat/>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toc 8"/>
    <w:basedOn w:val="1"/>
    <w:next w:val="1"/>
    <w:unhideWhenUsed/>
    <w:uiPriority w:val="39"/>
    <w:pPr>
      <w:ind w:left="1960"/>
      <w:jc w:val="left"/>
    </w:pPr>
    <w:rPr>
      <w:rFonts w:ascii="Calibri" w:hAnsi="Calibri" w:cs="Calibri"/>
      <w:sz w:val="18"/>
      <w:szCs w:val="18"/>
    </w:rPr>
  </w:style>
  <w:style w:type="paragraph" w:styleId="14">
    <w:name w:val="Balloon Text"/>
    <w:basedOn w:val="1"/>
    <w:link w:val="38"/>
    <w:unhideWhenUsed/>
    <w:uiPriority w:val="99"/>
    <w:rPr>
      <w:rFonts w:cs="Times New Roman"/>
      <w:kern w:val="0"/>
      <w:sz w:val="18"/>
      <w:szCs w:val="18"/>
    </w:rPr>
  </w:style>
  <w:style w:type="paragraph" w:styleId="15">
    <w:name w:val="footer"/>
    <w:basedOn w:val="1"/>
    <w:link w:val="39"/>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0"/>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uiPriority w:val="39"/>
    <w:pPr>
      <w:ind w:left="840"/>
      <w:jc w:val="left"/>
    </w:pPr>
    <w:rPr>
      <w:rFonts w:ascii="Calibri" w:hAnsi="Calibri" w:cs="Calibri"/>
      <w:sz w:val="18"/>
      <w:szCs w:val="18"/>
    </w:rPr>
  </w:style>
  <w:style w:type="paragraph" w:styleId="19">
    <w:name w:val="toc 6"/>
    <w:basedOn w:val="1"/>
    <w:next w:val="1"/>
    <w:unhideWhenUsed/>
    <w:uiPriority w:val="39"/>
    <w:pPr>
      <w:ind w:left="1400"/>
      <w:jc w:val="left"/>
    </w:pPr>
    <w:rPr>
      <w:rFonts w:ascii="Calibri" w:hAnsi="Calibri" w:cs="Calibri"/>
      <w:sz w:val="18"/>
      <w:szCs w:val="18"/>
    </w:rPr>
  </w:style>
  <w:style w:type="paragraph" w:styleId="20">
    <w:name w:val="toc 2"/>
    <w:basedOn w:val="1"/>
    <w:next w:val="1"/>
    <w:unhideWhenUsed/>
    <w:uiPriority w:val="39"/>
    <w:pPr>
      <w:ind w:left="280"/>
      <w:jc w:val="left"/>
    </w:pPr>
    <w:rPr>
      <w:rFonts w:ascii="Calibri" w:hAnsi="Calibri" w:cs="Calibri"/>
      <w:smallCaps/>
      <w:sz w:val="20"/>
      <w:szCs w:val="20"/>
    </w:rPr>
  </w:style>
  <w:style w:type="paragraph" w:styleId="21">
    <w:name w:val="toc 9"/>
    <w:basedOn w:val="1"/>
    <w:next w:val="1"/>
    <w:unhideWhenUsed/>
    <w:uiPriority w:val="39"/>
    <w:pPr>
      <w:ind w:left="2240"/>
      <w:jc w:val="left"/>
    </w:pPr>
    <w:rPr>
      <w:rFonts w:ascii="Calibri" w:hAnsi="Calibri" w:cs="Calibri"/>
      <w:sz w:val="18"/>
      <w:szCs w:val="18"/>
    </w:rPr>
  </w:style>
  <w:style w:type="paragraph" w:styleId="22">
    <w:name w:val="Title"/>
    <w:basedOn w:val="1"/>
    <w:next w:val="1"/>
    <w:link w:val="41"/>
    <w:qFormat/>
    <w:uiPriority w:val="10"/>
    <w:pPr>
      <w:spacing w:before="240" w:after="60"/>
      <w:jc w:val="center"/>
      <w:outlineLvl w:val="0"/>
    </w:pPr>
    <w:rPr>
      <w:rFonts w:ascii="Cambria" w:hAnsi="Cambria" w:eastAsia="宋体" w:cs="Times New Roman"/>
      <w:b/>
      <w:bCs/>
      <w:sz w:val="32"/>
      <w:szCs w:val="32"/>
    </w:rPr>
  </w:style>
  <w:style w:type="table" w:styleId="24">
    <w:name w:val="Table Grid"/>
    <w:basedOn w:val="2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unhideWhenUsed/>
    <w:uiPriority w:val="99"/>
    <w:rPr>
      <w:color w:val="0000FF"/>
      <w:u w:val="single"/>
    </w:rPr>
  </w:style>
  <w:style w:type="paragraph" w:customStyle="1" w:styleId="27">
    <w:name w:val="Comment Text"/>
    <w:basedOn w:val="1"/>
    <w:link w:val="37"/>
    <w:unhideWhenUsed/>
    <w:qFormat/>
    <w:uiPriority w:val="99"/>
    <w:rPr>
      <w:rFonts w:cs="Times New Roman"/>
      <w:kern w:val="0"/>
      <w:sz w:val="20"/>
      <w:szCs w:val="20"/>
    </w:rPr>
  </w:style>
  <w:style w:type="paragraph" w:customStyle="1" w:styleId="28">
    <w:name w:val="Comment Subject"/>
    <w:basedOn w:val="27"/>
    <w:next w:val="27"/>
    <w:link w:val="42"/>
    <w:unhideWhenUsed/>
    <w:qFormat/>
    <w:uiPriority w:val="99"/>
    <w:rPr>
      <w:b/>
      <w:bCs/>
    </w:rPr>
  </w:style>
  <w:style w:type="character" w:customStyle="1" w:styleId="29">
    <w:name w:val="Comment Reference"/>
    <w:unhideWhenUsed/>
    <w:uiPriority w:val="99"/>
    <w:rPr>
      <w:sz w:val="16"/>
      <w:szCs w:val="16"/>
    </w:rPr>
  </w:style>
  <w:style w:type="character" w:customStyle="1" w:styleId="30">
    <w:name w:val="正文文本缩进 Char"/>
    <w:link w:val="3"/>
    <w:semiHidden/>
    <w:uiPriority w:val="99"/>
    <w:rPr>
      <w:rFonts w:ascii="Calibri" w:hAnsi="Calibri" w:eastAsia="仿宋_GB2312" w:cs="黑体"/>
      <w:sz w:val="28"/>
    </w:rPr>
  </w:style>
  <w:style w:type="character" w:customStyle="1" w:styleId="31">
    <w:name w:val="正文首行缩进 2 Char"/>
    <w:link w:val="2"/>
    <w:uiPriority w:val="0"/>
    <w:rPr>
      <w:rFonts w:ascii="Calibri" w:hAnsi="Calibri" w:eastAsia="仿宋_GB2312" w:cs="黑体"/>
      <w:sz w:val="28"/>
    </w:rPr>
  </w:style>
  <w:style w:type="character" w:customStyle="1" w:styleId="32">
    <w:name w:val="标题 1 Char"/>
    <w:link w:val="4"/>
    <w:uiPriority w:val="9"/>
    <w:rPr>
      <w:rFonts w:ascii="Times New Roman" w:hAnsi="Times New Roman" w:eastAsia="仿宋_GB2312" w:cs="Times New Roman"/>
      <w:b/>
      <w:bCs/>
      <w:kern w:val="44"/>
      <w:sz w:val="32"/>
      <w:szCs w:val="44"/>
    </w:rPr>
  </w:style>
  <w:style w:type="character" w:customStyle="1" w:styleId="33">
    <w:name w:val="标题 2 Char"/>
    <w:link w:val="5"/>
    <w:uiPriority w:val="0"/>
    <w:rPr>
      <w:rFonts w:ascii="Cambria" w:hAnsi="Cambria" w:eastAsia="仿宋_GB2312" w:cs="Times New Roman"/>
      <w:b/>
      <w:bCs/>
      <w:kern w:val="0"/>
      <w:sz w:val="30"/>
      <w:szCs w:val="32"/>
    </w:rPr>
  </w:style>
  <w:style w:type="character" w:customStyle="1" w:styleId="34">
    <w:name w:val="标题 3 Char"/>
    <w:link w:val="6"/>
    <w:uiPriority w:val="9"/>
    <w:rPr>
      <w:rFonts w:ascii="Calibri" w:hAnsi="Calibri" w:eastAsia="仿宋_GB2312" w:cs="黑体"/>
      <w:bCs/>
      <w:sz w:val="28"/>
      <w:szCs w:val="32"/>
    </w:rPr>
  </w:style>
  <w:style w:type="character" w:customStyle="1" w:styleId="35">
    <w:name w:val="标题 4 Char"/>
    <w:link w:val="7"/>
    <w:semiHidden/>
    <w:uiPriority w:val="9"/>
    <w:rPr>
      <w:rFonts w:ascii="Cambria" w:hAnsi="Cambria" w:eastAsia="宋体" w:cs="Times New Roman"/>
      <w:b/>
      <w:bCs/>
      <w:sz w:val="28"/>
      <w:szCs w:val="28"/>
    </w:rPr>
  </w:style>
  <w:style w:type="character" w:customStyle="1" w:styleId="36">
    <w:name w:val="文档结构图 Char"/>
    <w:link w:val="9"/>
    <w:semiHidden/>
    <w:uiPriority w:val="99"/>
    <w:rPr>
      <w:rFonts w:ascii="宋体" w:hAnsi="Calibri" w:eastAsia="宋体" w:cs="黑体"/>
      <w:sz w:val="18"/>
      <w:szCs w:val="18"/>
    </w:rPr>
  </w:style>
  <w:style w:type="character" w:customStyle="1" w:styleId="37">
    <w:name w:val="批注文字 Char"/>
    <w:link w:val="27"/>
    <w:semiHidden/>
    <w:uiPriority w:val="99"/>
    <w:rPr>
      <w:rFonts w:ascii="Calibri" w:hAnsi="Calibri" w:eastAsia="仿宋_GB2312" w:cs="黑体"/>
      <w:sz w:val="20"/>
      <w:szCs w:val="20"/>
    </w:rPr>
  </w:style>
  <w:style w:type="character" w:customStyle="1" w:styleId="38">
    <w:name w:val="批注框文本 Char"/>
    <w:link w:val="14"/>
    <w:semiHidden/>
    <w:uiPriority w:val="99"/>
    <w:rPr>
      <w:rFonts w:ascii="Calibri" w:hAnsi="Calibri" w:eastAsia="仿宋_GB2312" w:cs="黑体"/>
      <w:sz w:val="18"/>
      <w:szCs w:val="18"/>
    </w:rPr>
  </w:style>
  <w:style w:type="character" w:customStyle="1" w:styleId="39">
    <w:name w:val="页脚 Char"/>
    <w:link w:val="15"/>
    <w:uiPriority w:val="99"/>
    <w:rPr>
      <w:rFonts w:ascii="Calibri" w:hAnsi="Calibri" w:eastAsia="仿宋_GB2312" w:cs="黑体"/>
      <w:sz w:val="18"/>
      <w:szCs w:val="18"/>
    </w:rPr>
  </w:style>
  <w:style w:type="character" w:customStyle="1" w:styleId="40">
    <w:name w:val="页眉 Char"/>
    <w:link w:val="16"/>
    <w:uiPriority w:val="99"/>
    <w:rPr>
      <w:rFonts w:ascii="Calibri" w:hAnsi="Calibri" w:eastAsia="仿宋_GB2312" w:cs="黑体"/>
      <w:sz w:val="18"/>
      <w:szCs w:val="18"/>
    </w:rPr>
  </w:style>
  <w:style w:type="character" w:customStyle="1" w:styleId="41">
    <w:name w:val="标题 Char"/>
    <w:link w:val="22"/>
    <w:uiPriority w:val="10"/>
    <w:rPr>
      <w:rFonts w:ascii="Cambria" w:hAnsi="Cambria"/>
      <w:b/>
      <w:bCs/>
      <w:kern w:val="2"/>
      <w:sz w:val="32"/>
      <w:szCs w:val="32"/>
    </w:rPr>
  </w:style>
  <w:style w:type="character" w:customStyle="1" w:styleId="42">
    <w:name w:val="批注主题 Char"/>
    <w:link w:val="28"/>
    <w:semiHidden/>
    <w:uiPriority w:val="99"/>
    <w:rPr>
      <w:rFonts w:ascii="Calibri" w:hAnsi="Calibri" w:eastAsia="仿宋_GB2312" w:cs="黑体"/>
      <w:b/>
      <w:bCs/>
      <w:sz w:val="20"/>
      <w:szCs w:val="20"/>
    </w:rPr>
  </w:style>
  <w:style w:type="character" w:customStyle="1" w:styleId="43">
    <w:name w:val="闻政-正文一级标题 Char"/>
    <w:link w:val="44"/>
    <w:uiPriority w:val="3"/>
    <w:rPr>
      <w:rFonts w:ascii="黑体" w:hAnsi="黑体" w:eastAsia="黑体"/>
      <w:bCs/>
      <w:sz w:val="32"/>
      <w:szCs w:val="32"/>
    </w:rPr>
  </w:style>
  <w:style w:type="paragraph" w:customStyle="1" w:styleId="44">
    <w:name w:val="闻政-正文一级标题"/>
    <w:basedOn w:val="6"/>
    <w:next w:val="45"/>
    <w:link w:val="43"/>
    <w:qFormat/>
    <w:uiPriority w:val="3"/>
    <w:pPr>
      <w:spacing w:before="120" w:after="60" w:line="500" w:lineRule="exact"/>
      <w:ind w:firstLine="0" w:firstLineChars="0"/>
      <w:outlineLvl w:val="0"/>
    </w:pPr>
    <w:rPr>
      <w:rFonts w:ascii="黑体" w:hAnsi="黑体" w:eastAsia="黑体"/>
      <w:sz w:val="32"/>
    </w:rPr>
  </w:style>
  <w:style w:type="paragraph" w:customStyle="1" w:styleId="45">
    <w:name w:val="闻政-正文段落文字"/>
    <w:basedOn w:val="1"/>
    <w:link w:val="46"/>
    <w:qFormat/>
    <w:uiPriority w:val="3"/>
    <w:pPr>
      <w:spacing w:line="500" w:lineRule="exact"/>
      <w:ind w:firstLine="200"/>
    </w:pPr>
    <w:rPr>
      <w:rFonts w:ascii="Times New Roman" w:hAnsi="Times New Roman" w:cs="Times New Roman"/>
      <w:kern w:val="0"/>
      <w:szCs w:val="28"/>
    </w:rPr>
  </w:style>
  <w:style w:type="character" w:customStyle="1" w:styleId="46">
    <w:name w:val="闻政-正文段落文字 Char"/>
    <w:link w:val="45"/>
    <w:uiPriority w:val="3"/>
    <w:rPr>
      <w:rFonts w:ascii="Times New Roman" w:hAnsi="Times New Roman" w:eastAsia="仿宋_GB2312"/>
      <w:sz w:val="28"/>
      <w:szCs w:val="28"/>
    </w:rPr>
  </w:style>
  <w:style w:type="character" w:customStyle="1" w:styleId="47">
    <w:name w:val="闻政-正文二级标题 Char"/>
    <w:link w:val="48"/>
    <w:uiPriority w:val="3"/>
    <w:rPr>
      <w:rFonts w:ascii="Times New Roman" w:hAnsi="Times New Roman" w:eastAsia="仿宋_GB2312"/>
      <w:b/>
      <w:bCs/>
      <w:sz w:val="28"/>
      <w:szCs w:val="32"/>
    </w:rPr>
  </w:style>
  <w:style w:type="paragraph" w:customStyle="1" w:styleId="48">
    <w:name w:val="闻政-正文二级标题"/>
    <w:basedOn w:val="5"/>
    <w:next w:val="45"/>
    <w:link w:val="47"/>
    <w:qFormat/>
    <w:uiPriority w:val="3"/>
    <w:pPr>
      <w:spacing w:before="120" w:after="60" w:line="500" w:lineRule="exact"/>
      <w:ind w:left="200" w:leftChars="200" w:firstLine="0" w:firstLineChars="0"/>
    </w:pPr>
    <w:rPr>
      <w:rFonts w:ascii="Times New Roman" w:hAnsi="Times New Roman"/>
      <w:sz w:val="28"/>
    </w:rPr>
  </w:style>
  <w:style w:type="character" w:customStyle="1" w:styleId="49">
    <w:name w:val="font11"/>
    <w:uiPriority w:val="0"/>
    <w:rPr>
      <w:rFonts w:hint="eastAsia" w:ascii="方正仿宋_GBK" w:hAnsi="方正仿宋_GBK" w:eastAsia="方正仿宋_GBK" w:cs="方正仿宋_GBK"/>
      <w:color w:val="000000"/>
      <w:sz w:val="24"/>
      <w:szCs w:val="24"/>
      <w:u w:val="none"/>
    </w:rPr>
  </w:style>
  <w:style w:type="character" w:customStyle="1" w:styleId="50">
    <w:name w:val="50"/>
    <w:qFormat/>
    <w:uiPriority w:val="0"/>
    <w:rPr>
      <w:b/>
      <w:bCs/>
      <w:smallCaps/>
      <w:color w:val="C0504D"/>
      <w:spacing w:val="5"/>
      <w:u w:val="single"/>
    </w:rPr>
  </w:style>
  <w:style w:type="character" w:customStyle="1" w:styleId="51">
    <w:name w:val="闻政-正文三级标题 Char"/>
    <w:link w:val="52"/>
    <w:uiPriority w:val="3"/>
    <w:rPr>
      <w:rFonts w:ascii="Times New Roman" w:hAnsi="Times New Roman" w:eastAsia="仿宋_GB2312"/>
      <w:b/>
      <w:snapToGrid w:val="0"/>
      <w:sz w:val="28"/>
      <w:szCs w:val="28"/>
    </w:rPr>
  </w:style>
  <w:style w:type="paragraph" w:customStyle="1" w:styleId="52">
    <w:name w:val="闻政-正文三级标题"/>
    <w:basedOn w:val="1"/>
    <w:next w:val="45"/>
    <w:link w:val="51"/>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3">
    <w:name w:val="font21"/>
    <w:uiPriority w:val="0"/>
    <w:rPr>
      <w:rFonts w:hint="default" w:ascii="Times New Roman" w:hAnsi="Times New Roman" w:cs="Times New Roman"/>
      <w:color w:val="000000"/>
      <w:sz w:val="24"/>
      <w:szCs w:val="24"/>
      <w:u w:val="none"/>
    </w:rPr>
  </w:style>
  <w:style w:type="character" w:customStyle="1" w:styleId="54">
    <w:name w:val="无间隔 Char"/>
    <w:link w:val="55"/>
    <w:uiPriority w:val="1"/>
    <w:rPr>
      <w:rFonts w:eastAsia="仿宋_GB2312" w:cs="黑体"/>
      <w:kern w:val="2"/>
      <w:sz w:val="28"/>
      <w:szCs w:val="22"/>
      <w:lang w:val="en-US" w:eastAsia="zh-CN" w:bidi="ar-SA"/>
    </w:rPr>
  </w:style>
  <w:style w:type="paragraph" w:styleId="55">
    <w:name w:val="No Spacing"/>
    <w:link w:val="54"/>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56">
    <w:name w:val="List Paragraph"/>
    <w:basedOn w:val="1"/>
    <w:qFormat/>
    <w:uiPriority w:val="34"/>
    <w:pPr>
      <w:ind w:firstLine="420"/>
    </w:pPr>
  </w:style>
  <w:style w:type="paragraph" w:customStyle="1" w:styleId="57">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58">
    <w:name w:val="font71"/>
    <w:basedOn w:val="25"/>
    <w:uiPriority w:val="0"/>
    <w:rPr>
      <w:rFonts w:hint="eastAsia" w:ascii="微软雅黑" w:hAnsi="微软雅黑" w:eastAsia="微软雅黑" w:cs="微软雅黑"/>
      <w:b/>
      <w:bCs/>
      <w:color w:val="000000"/>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9BB3E128F3CD4D51B71C4E480E9B526C_13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46daf8-708c-4945-b9d2-8b0f024a286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26</Pages>
  <Words>10787</Words>
  <Characters>11367</Characters>
  <Lines>44</Lines>
  <Paragraphs>12</Paragraphs>
  <TotalTime>0</TotalTime>
  <ScaleCrop>false</ScaleCrop>
  <LinksUpToDate>false</LinksUpToDate>
  <CharactersWithSpaces>11419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2025-10-10T09:58:53Z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9BB3E128F3CD4D51B71C4E480E9B526C_13</vt:lpwstr>
  </property>
  <property fmtid="{D5CDD505-2E9C-101B-9397-08002B2CF9AE}" pid="4" name="KSOTemplateDocerSaveRecord">
    <vt:lpwstr>eyJoZGlkIjoiZDE5MGZhMTJhZDM2OTQwYzkzYWVjM2FhZDUxN2Q0M2IiLCJ1c2VySWQiOiI2NTE5NDIwMjYifQ_x003D__x003D_</vt:lpwstr>
  </property>
</Properties>
</file>