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38F528">
      <w:bookmarkStart w:id="16" w:name="_GoBack"/>
      <w:bookmarkEnd w:id="16"/>
    </w:p>
    <w:p w14:paraId="64B9C7A3">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803"/>
        <w:jc w:val="center"/>
        <w:textAlignment w:val="auto"/>
        <w:outlineLvl w:val="0"/>
        <w:rPr>
          <w:rFonts w:hint="default" w:ascii="黑体" w:hAnsi="黑体" w:eastAsia="黑体" w:cs="黑体"/>
          <w:b/>
          <w:color w:val="000000"/>
          <w:sz w:val="36"/>
          <w:szCs w:val="36"/>
          <w:highlight w:val="none"/>
          <w:lang w:val="en-US" w:eastAsia="zh-CN"/>
        </w:rPr>
      </w:pPr>
    </w:p>
    <w:p w14:paraId="11DE440E">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803"/>
        <w:jc w:val="center"/>
        <w:textAlignment w:val="auto"/>
        <w:outlineLvl w:val="0"/>
        <w:rPr>
          <w:rFonts w:hint="eastAsia" w:ascii="黑体" w:hAnsi="黑体" w:eastAsia="黑体" w:cs="黑体"/>
          <w:b/>
          <w:color w:val="000000"/>
          <w:sz w:val="36"/>
          <w:szCs w:val="36"/>
          <w:highlight w:val="none"/>
          <w:lang w:val="en-US" w:eastAsia="zh-CN"/>
        </w:rPr>
      </w:pPr>
      <w:r>
        <w:rPr>
          <w:rFonts w:hint="eastAsia" w:ascii="黑体" w:hAnsi="黑体" w:eastAsia="黑体" w:cs="黑体"/>
          <w:b/>
          <w:color w:val="000000"/>
          <w:sz w:val="36"/>
          <w:szCs w:val="36"/>
          <w:highlight w:val="none"/>
          <w:lang w:val="en-US" w:eastAsia="zh-CN"/>
        </w:rPr>
        <w:t>和田地区洛浦县和田路至多鲁路路面提升</w:t>
      </w:r>
    </w:p>
    <w:p w14:paraId="776B7123">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803"/>
        <w:jc w:val="center"/>
        <w:textAlignment w:val="auto"/>
        <w:outlineLvl w:val="0"/>
        <w:rPr>
          <w:rFonts w:hint="eastAsia" w:ascii="黑体" w:hAnsi="黑体" w:eastAsia="黑体" w:cs="黑体"/>
          <w:b/>
          <w:color w:val="000000"/>
          <w:sz w:val="36"/>
          <w:szCs w:val="36"/>
          <w:highlight w:val="none"/>
          <w:lang w:val="en-US" w:eastAsia="zh-CN"/>
        </w:rPr>
      </w:pPr>
      <w:r>
        <w:rPr>
          <w:rFonts w:hint="eastAsia" w:ascii="黑体" w:hAnsi="黑体" w:eastAsia="黑体" w:cs="黑体"/>
          <w:b/>
          <w:color w:val="000000"/>
          <w:sz w:val="36"/>
          <w:szCs w:val="36"/>
          <w:highlight w:val="none"/>
          <w:lang w:val="en-US" w:eastAsia="zh-CN"/>
        </w:rPr>
        <w:t>改造建设项目支出绩效评价报告</w:t>
      </w:r>
    </w:p>
    <w:p w14:paraId="03A2DCF2">
      <w:pPr>
        <w:pStyle w:val="7"/>
        <w:ind w:left="0" w:leftChars="0" w:firstLine="0" w:firstLineChars="0"/>
        <w:jc w:val="center"/>
        <w:rPr>
          <w:rFonts w:hint="eastAsia" w:ascii="黑体" w:hAnsi="黑体" w:eastAsia="黑体" w:cs="黑体"/>
          <w:b/>
          <w:bCs w:val="0"/>
          <w:color w:val="000000"/>
          <w:sz w:val="28"/>
          <w:szCs w:val="28"/>
          <w:highlight w:val="none"/>
          <w:lang w:eastAsia="zh-CN"/>
        </w:rPr>
      </w:pPr>
      <w:r>
        <w:rPr>
          <w:rFonts w:hint="eastAsia" w:ascii="黑体" w:hAnsi="黑体" w:eastAsia="黑体" w:cs="黑体"/>
          <w:b/>
          <w:bCs w:val="0"/>
          <w:color w:val="000000"/>
          <w:sz w:val="28"/>
          <w:szCs w:val="28"/>
          <w:highlight w:val="none"/>
          <w:lang w:eastAsia="zh-CN"/>
        </w:rPr>
        <w:t>（</w:t>
      </w:r>
      <w:r>
        <w:rPr>
          <w:rFonts w:hint="eastAsia" w:ascii="黑体" w:hAnsi="黑体" w:eastAsia="黑体" w:cs="黑体"/>
          <w:b/>
          <w:bCs w:val="0"/>
          <w:color w:val="000000"/>
          <w:sz w:val="28"/>
          <w:szCs w:val="28"/>
          <w:highlight w:val="none"/>
          <w:lang w:val="en-US" w:eastAsia="zh-CN"/>
        </w:rPr>
        <w:t>2024年度</w:t>
      </w:r>
      <w:r>
        <w:rPr>
          <w:rFonts w:hint="eastAsia" w:ascii="黑体" w:hAnsi="黑体" w:eastAsia="黑体" w:cs="黑体"/>
          <w:b/>
          <w:bCs w:val="0"/>
          <w:color w:val="000000"/>
          <w:sz w:val="28"/>
          <w:szCs w:val="28"/>
          <w:highlight w:val="none"/>
          <w:lang w:eastAsia="zh-CN"/>
        </w:rPr>
        <w:t>）</w:t>
      </w:r>
    </w:p>
    <w:p w14:paraId="205B7894">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kern w:val="0"/>
          <w:sz w:val="32"/>
          <w:szCs w:val="32"/>
          <w:lang w:bidi="en-US"/>
        </w:rPr>
      </w:pPr>
    </w:p>
    <w:p w14:paraId="79985A67">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kern w:val="0"/>
          <w:sz w:val="32"/>
          <w:szCs w:val="32"/>
          <w:lang w:bidi="en-US"/>
        </w:rPr>
      </w:pPr>
    </w:p>
    <w:p w14:paraId="6A9B5E1F">
      <w:pPr>
        <w:pStyle w:val="7"/>
        <w:rPr>
          <w:rFonts w:hint="eastAsia" w:eastAsia="方正仿宋_GBK" w:cs="方正仿宋_GBK"/>
          <w:b/>
          <w:kern w:val="0"/>
          <w:sz w:val="32"/>
          <w:szCs w:val="32"/>
          <w:lang w:bidi="en-US"/>
        </w:rPr>
      </w:pPr>
    </w:p>
    <w:p w14:paraId="27C92B14">
      <w:pPr>
        <w:rPr>
          <w:rFonts w:hint="eastAsia" w:eastAsia="方正仿宋_GBK" w:cs="方正仿宋_GBK"/>
          <w:b/>
          <w:kern w:val="0"/>
          <w:sz w:val="32"/>
          <w:szCs w:val="32"/>
          <w:lang w:bidi="en-US"/>
        </w:rPr>
      </w:pPr>
    </w:p>
    <w:p w14:paraId="090CC5D2">
      <w:pPr>
        <w:pStyle w:val="7"/>
        <w:rPr>
          <w:rFonts w:hint="eastAsia"/>
        </w:rPr>
      </w:pPr>
    </w:p>
    <w:p w14:paraId="30E72E38">
      <w:pPr>
        <w:pStyle w:val="7"/>
        <w:pageBreakBefore w:val="0"/>
        <w:widowControl w:val="0"/>
        <w:kinsoku/>
        <w:wordWrap/>
        <w:topLinePunct w:val="0"/>
        <w:autoSpaceDE/>
        <w:autoSpaceDN/>
        <w:bidi w:val="0"/>
        <w:spacing w:before="0" w:after="0" w:line="560" w:lineRule="exact"/>
        <w:ind w:left="0" w:leftChars="0" w:firstLine="643"/>
        <w:textAlignment w:val="auto"/>
        <w:rPr>
          <w:rFonts w:hint="eastAsia" w:eastAsia="方正仿宋_GBK" w:cs="方正仿宋_GBK"/>
          <w:b/>
          <w:sz w:val="32"/>
          <w:lang w:bidi="en-US"/>
        </w:rPr>
      </w:pPr>
    </w:p>
    <w:p w14:paraId="54424C59">
      <w:pPr>
        <w:pageBreakBefore w:val="0"/>
        <w:widowControl w:val="0"/>
        <w:kinsoku/>
        <w:wordWrap/>
        <w:topLinePunct w:val="0"/>
        <w:autoSpaceDE/>
        <w:autoSpaceDN/>
        <w:bidi w:val="0"/>
        <w:spacing w:line="560" w:lineRule="exact"/>
        <w:ind w:left="0" w:leftChars="0" w:firstLine="560"/>
        <w:textAlignment w:val="auto"/>
        <w:rPr>
          <w:rFonts w:hint="eastAsia"/>
        </w:rPr>
      </w:pPr>
    </w:p>
    <w:p w14:paraId="7F50E94E">
      <w:pPr>
        <w:pageBreakBefore w:val="0"/>
        <w:widowControl w:val="0"/>
        <w:kinsoku/>
        <w:wordWrap/>
        <w:topLinePunct w:val="0"/>
        <w:autoSpaceDE/>
        <w:autoSpaceDN/>
        <w:bidi w:val="0"/>
        <w:spacing w:line="560" w:lineRule="exact"/>
        <w:ind w:left="0" w:leftChars="0" w:firstLine="0" w:firstLineChars="0"/>
        <w:textAlignment w:val="auto"/>
        <w:rPr>
          <w:rFonts w:hint="eastAsia" w:eastAsia="方正仿宋_GBK" w:cs="方正仿宋_GBK"/>
          <w:kern w:val="0"/>
          <w:sz w:val="32"/>
          <w:szCs w:val="32"/>
          <w:lang w:bidi="en-US"/>
        </w:rPr>
      </w:pPr>
    </w:p>
    <w:p w14:paraId="62899423">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bidi="en-US"/>
        </w:rPr>
      </w:pPr>
      <w:r>
        <w:rPr>
          <w:rFonts w:hint="eastAsia" w:ascii="宋体" w:hAnsi="宋体" w:eastAsia="宋体" w:cs="宋体"/>
          <w:b/>
          <w:bCs/>
          <w:color w:val="000000"/>
          <w:kern w:val="0"/>
          <w:sz w:val="28"/>
          <w:szCs w:val="28"/>
          <w:highlight w:val="none"/>
          <w:lang w:bidi="en-US"/>
        </w:rPr>
        <w:t>项目名称：和田地区洛浦县和田路至多鲁路路面提升改造建设</w:t>
      </w:r>
    </w:p>
    <w:p w14:paraId="72FA63C3">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val="en-US" w:eastAsia="zh-CN" w:bidi="en-US"/>
        </w:rPr>
      </w:pPr>
      <w:r>
        <w:rPr>
          <w:rFonts w:hint="eastAsia" w:ascii="宋体" w:hAnsi="宋体" w:eastAsia="宋体" w:cs="宋体"/>
          <w:b/>
          <w:bCs/>
          <w:color w:val="000000"/>
          <w:kern w:val="0"/>
          <w:sz w:val="28"/>
          <w:szCs w:val="28"/>
          <w:highlight w:val="none"/>
          <w:lang w:bidi="en-US"/>
        </w:rPr>
        <w:t>项目单位：</w:t>
      </w:r>
      <w:r>
        <w:rPr>
          <w:rFonts w:hint="eastAsia" w:ascii="宋体" w:hAnsi="宋体" w:eastAsia="宋体" w:cs="宋体"/>
          <w:b/>
          <w:bCs/>
          <w:color w:val="000000"/>
          <w:kern w:val="0"/>
          <w:sz w:val="28"/>
          <w:szCs w:val="28"/>
          <w:highlight w:val="none"/>
          <w:lang w:eastAsia="zh-CN" w:bidi="en-US"/>
        </w:rPr>
        <w:t>洛浦县住房和城乡建设局</w:t>
      </w:r>
    </w:p>
    <w:p w14:paraId="4B70A8ED">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eastAsia="zh-CN" w:bidi="en-US"/>
        </w:rPr>
      </w:pPr>
      <w:r>
        <w:rPr>
          <w:rFonts w:hint="eastAsia" w:ascii="宋体" w:hAnsi="宋体" w:eastAsia="宋体" w:cs="宋体"/>
          <w:b/>
          <w:bCs/>
          <w:color w:val="000000"/>
          <w:kern w:val="0"/>
          <w:sz w:val="28"/>
          <w:szCs w:val="28"/>
          <w:highlight w:val="none"/>
          <w:lang w:bidi="en-US"/>
        </w:rPr>
        <w:t>主管部门：</w:t>
      </w:r>
      <w:r>
        <w:rPr>
          <w:rFonts w:hint="eastAsia" w:ascii="宋体" w:hAnsi="宋体" w:eastAsia="宋体" w:cs="宋体"/>
          <w:b/>
          <w:bCs/>
          <w:color w:val="000000"/>
          <w:kern w:val="0"/>
          <w:sz w:val="28"/>
          <w:szCs w:val="28"/>
          <w:highlight w:val="none"/>
          <w:lang w:eastAsia="zh-CN" w:bidi="en-US"/>
        </w:rPr>
        <w:t>洛浦县发展和改革委员会</w:t>
      </w:r>
    </w:p>
    <w:p w14:paraId="7B419BA2">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eastAsia="zh-CN" w:bidi="en-US"/>
        </w:rPr>
      </w:pPr>
      <w:r>
        <w:rPr>
          <w:rFonts w:hint="eastAsia" w:ascii="宋体" w:hAnsi="宋体" w:eastAsia="宋体" w:cs="宋体"/>
          <w:b/>
          <w:bCs/>
          <w:color w:val="000000"/>
          <w:kern w:val="0"/>
          <w:sz w:val="28"/>
          <w:szCs w:val="28"/>
          <w:highlight w:val="none"/>
          <w:lang w:bidi="en-US"/>
        </w:rPr>
        <w:t>项目负责人：</w:t>
      </w:r>
      <w:r>
        <w:rPr>
          <w:rFonts w:hint="eastAsia" w:ascii="宋体" w:hAnsi="宋体" w:eastAsia="宋体" w:cs="宋体"/>
          <w:b/>
          <w:bCs/>
          <w:color w:val="000000"/>
          <w:kern w:val="0"/>
          <w:sz w:val="28"/>
          <w:szCs w:val="28"/>
          <w:highlight w:val="none"/>
          <w:lang w:eastAsia="zh-CN" w:bidi="en-US"/>
        </w:rPr>
        <w:t>王文举</w:t>
      </w:r>
    </w:p>
    <w:p w14:paraId="67DCAC8F">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bidi="en-US"/>
        </w:rPr>
      </w:pPr>
      <w:r>
        <w:rPr>
          <w:rFonts w:hint="eastAsia" w:ascii="宋体" w:hAnsi="宋体" w:eastAsia="宋体" w:cs="宋体"/>
          <w:b/>
          <w:bCs/>
          <w:color w:val="000000"/>
          <w:kern w:val="0"/>
          <w:sz w:val="28"/>
          <w:szCs w:val="28"/>
          <w:highlight w:val="none"/>
          <w:lang w:bidi="en-US"/>
        </w:rPr>
        <w:t>填报时间：</w:t>
      </w:r>
      <w:r>
        <w:rPr>
          <w:rFonts w:hint="eastAsia" w:ascii="宋体" w:hAnsi="宋体" w:eastAsia="宋体" w:cs="宋体"/>
          <w:b/>
          <w:bCs/>
          <w:color w:val="000000"/>
          <w:kern w:val="0"/>
          <w:sz w:val="28"/>
          <w:szCs w:val="28"/>
          <w:highlight w:val="none"/>
          <w:lang w:val="en-US" w:eastAsia="zh-CN" w:bidi="en-US"/>
        </w:rPr>
        <w:t>2025</w:t>
      </w:r>
      <w:r>
        <w:rPr>
          <w:rFonts w:hint="eastAsia" w:ascii="宋体" w:hAnsi="宋体" w:eastAsia="宋体" w:cs="宋体"/>
          <w:b/>
          <w:bCs/>
          <w:color w:val="000000"/>
          <w:kern w:val="0"/>
          <w:sz w:val="28"/>
          <w:szCs w:val="28"/>
          <w:highlight w:val="none"/>
          <w:lang w:bidi="en-US"/>
        </w:rPr>
        <w:t>年</w:t>
      </w:r>
      <w:r>
        <w:rPr>
          <w:rFonts w:hint="eastAsia" w:ascii="宋体" w:hAnsi="宋体" w:eastAsia="宋体" w:cs="宋体"/>
          <w:b/>
          <w:bCs/>
          <w:color w:val="000000"/>
          <w:kern w:val="0"/>
          <w:sz w:val="28"/>
          <w:szCs w:val="28"/>
          <w:highlight w:val="none"/>
          <w:lang w:val="en-US" w:eastAsia="zh-CN" w:bidi="en-US"/>
        </w:rPr>
        <w:t>3</w:t>
      </w:r>
      <w:r>
        <w:rPr>
          <w:rFonts w:hint="eastAsia" w:ascii="宋体" w:hAnsi="宋体" w:eastAsia="宋体" w:cs="宋体"/>
          <w:b/>
          <w:bCs/>
          <w:color w:val="000000"/>
          <w:kern w:val="0"/>
          <w:sz w:val="28"/>
          <w:szCs w:val="28"/>
          <w:highlight w:val="none"/>
          <w:lang w:bidi="en-US"/>
        </w:rPr>
        <w:t>月</w:t>
      </w:r>
      <w:r>
        <w:rPr>
          <w:rFonts w:hint="eastAsia" w:ascii="宋体" w:hAnsi="宋体" w:eastAsia="宋体" w:cs="宋体"/>
          <w:b/>
          <w:bCs/>
          <w:color w:val="000000"/>
          <w:kern w:val="0"/>
          <w:sz w:val="28"/>
          <w:szCs w:val="28"/>
          <w:highlight w:val="none"/>
          <w:lang w:val="en-US" w:eastAsia="zh-CN" w:bidi="en-US"/>
        </w:rPr>
        <w:t>15</w:t>
      </w:r>
      <w:r>
        <w:rPr>
          <w:rFonts w:hint="eastAsia" w:ascii="宋体" w:hAnsi="宋体" w:eastAsia="宋体" w:cs="宋体"/>
          <w:b/>
          <w:bCs/>
          <w:color w:val="000000"/>
          <w:kern w:val="0"/>
          <w:sz w:val="28"/>
          <w:szCs w:val="28"/>
          <w:highlight w:val="none"/>
          <w:lang w:bidi="en-US"/>
        </w:rPr>
        <w:t>日</w:t>
      </w:r>
    </w:p>
    <w:p w14:paraId="4569A6C4">
      <w:pPr>
        <w:pageBreakBefore w:val="0"/>
        <w:widowControl w:val="0"/>
        <w:kinsoku/>
        <w:wordWrap/>
        <w:topLinePunct w:val="0"/>
        <w:autoSpaceDE/>
        <w:autoSpaceDN/>
        <w:bidi w:val="0"/>
        <w:spacing w:line="560" w:lineRule="exact"/>
        <w:ind w:left="0" w:leftChars="0" w:firstLine="0" w:firstLineChars="0"/>
        <w:textAlignment w:val="auto"/>
        <w:rPr>
          <w:rFonts w:hint="eastAsia" w:eastAsia="方正仿宋_GBK" w:cs="方正仿宋_GBK"/>
          <w:b/>
          <w:kern w:val="0"/>
          <w:sz w:val="28"/>
          <w:szCs w:val="28"/>
          <w:lang w:bidi="en-US"/>
        </w:rPr>
      </w:pPr>
    </w:p>
    <w:p w14:paraId="37ADE816">
      <w:pPr>
        <w:pStyle w:val="3"/>
        <w:pageBreakBefore w:val="0"/>
        <w:widowControl w:val="0"/>
        <w:numPr>
          <w:ilvl w:val="0"/>
          <w:numId w:val="0"/>
        </w:numPr>
        <w:kinsoku/>
        <w:wordWrap/>
        <w:overflowPunct/>
        <w:topLinePunct w:val="0"/>
        <w:autoSpaceDE/>
        <w:autoSpaceDN/>
        <w:bidi w:val="0"/>
        <w:adjustRightInd/>
        <w:snapToGrid/>
        <w:spacing w:before="0" w:after="0" w:line="360" w:lineRule="auto"/>
        <w:ind w:left="560" w:leftChars="200"/>
        <w:jc w:val="both"/>
        <w:textAlignment w:val="auto"/>
        <w:rPr>
          <w:rFonts w:hint="eastAsia" w:ascii="黑体" w:hAnsi="黑体" w:eastAsia="黑体" w:cs="黑体"/>
          <w:sz w:val="24"/>
          <w:szCs w:val="24"/>
          <w:lang w:val="en-US" w:eastAsia="zh-CN"/>
        </w:rPr>
      </w:pPr>
      <w:bookmarkStart w:id="0" w:name="_Toc68364657"/>
      <w:bookmarkEnd w:id="0"/>
    </w:p>
    <w:p w14:paraId="71692300">
      <w:pPr>
        <w:pStyle w:val="3"/>
        <w:keepNext/>
        <w:keepLines/>
        <w:pageBreakBefore w:val="0"/>
        <w:widowControl w:val="0"/>
        <w:numPr>
          <w:ilvl w:val="0"/>
          <w:numId w:val="0"/>
        </w:numPr>
        <w:kinsoku/>
        <w:wordWrap/>
        <w:overflowPunct/>
        <w:topLinePunct w:val="0"/>
        <w:autoSpaceDE/>
        <w:autoSpaceDN/>
        <w:bidi w:val="0"/>
        <w:adjustRightInd/>
        <w:snapToGrid/>
        <w:spacing w:before="0" w:after="0" w:line="360" w:lineRule="auto"/>
        <w:ind w:firstLine="480" w:firstLineChars="200"/>
        <w:jc w:val="both"/>
        <w:textAlignment w:val="auto"/>
        <w:rPr>
          <w:rFonts w:hint="eastAsia" w:ascii="黑体" w:hAnsi="黑体" w:eastAsia="黑体" w:cs="黑体"/>
          <w:color w:val="000000"/>
          <w:sz w:val="24"/>
          <w:szCs w:val="24"/>
          <w:highlight w:val="none"/>
        </w:rPr>
      </w:pPr>
      <w:r>
        <w:rPr>
          <w:rFonts w:hint="eastAsia" w:ascii="黑体" w:hAnsi="黑体" w:eastAsia="黑体" w:cs="黑体"/>
          <w:color w:val="000000"/>
          <w:sz w:val="24"/>
          <w:szCs w:val="24"/>
          <w:highlight w:val="none"/>
          <w:lang w:val="en-US" w:eastAsia="zh-CN"/>
        </w:rPr>
        <w:t>一、</w:t>
      </w:r>
      <w:r>
        <w:rPr>
          <w:rFonts w:hint="eastAsia" w:ascii="黑体" w:hAnsi="黑体" w:eastAsia="黑体" w:cs="黑体"/>
          <w:color w:val="000000"/>
          <w:sz w:val="24"/>
          <w:szCs w:val="24"/>
          <w:highlight w:val="none"/>
        </w:rPr>
        <w:t>基本情况</w:t>
      </w:r>
    </w:p>
    <w:p w14:paraId="47537CB6">
      <w:pPr>
        <w:pStyle w:val="50"/>
        <w:keepNext/>
        <w:keepLines/>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000000"/>
          <w:sz w:val="24"/>
          <w:szCs w:val="24"/>
          <w:highlight w:val="none"/>
        </w:rPr>
      </w:pPr>
      <w:bookmarkStart w:id="1" w:name="_Toc68364658"/>
      <w:r>
        <w:rPr>
          <w:rFonts w:hint="eastAsia" w:ascii="宋体" w:hAnsi="宋体" w:eastAsia="宋体" w:cs="宋体"/>
          <w:color w:val="000000"/>
          <w:sz w:val="24"/>
          <w:szCs w:val="24"/>
          <w:highlight w:val="none"/>
          <w:lang w:eastAsia="zh-CN"/>
        </w:rPr>
        <w:t>（一）</w:t>
      </w:r>
      <w:r>
        <w:rPr>
          <w:rFonts w:hint="eastAsia" w:ascii="宋体" w:hAnsi="宋体" w:eastAsia="宋体" w:cs="宋体"/>
          <w:color w:val="000000"/>
          <w:sz w:val="24"/>
          <w:szCs w:val="24"/>
          <w:highlight w:val="none"/>
        </w:rPr>
        <w:t>项目概况</w:t>
      </w:r>
      <w:bookmarkEnd w:id="1"/>
    </w:p>
    <w:p w14:paraId="0105447F">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1.项目背景</w:t>
      </w:r>
    </w:p>
    <w:p w14:paraId="28FEE607">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根据《洛浦县国民经济和社会发展“十二五”规划》，紧紧围绕“富民强县固边”战略目标，力争实现“三大突破”，全面提升“四大水平”，加速培育“五大特色支柱产业体系”，全力把洛浦县建设成脱贫致富的典范地区，打造成为和田地区经济发展的重要支点，为实现全面建成小康社会目标奠定坚实的基础。根据洛浦县经济社会发展的基础条件和资源禀赋，把突出开发重点与促进全面发展结合起来，全面贯彻落实自治区、地区关于加快推进新型工业化建设工作会议精神，实现县域经济跨越式发展，推进“和墨洛”经济一体化战略的实施。以洛浦县工业园区为平台，以招招商引资为动力，以现有优势企业为依托，加快发展建材工业、维吾尔药业、特色农副产品加工业，传统加工业、石油石化工业等重点产业，建设沿G315经济带，坚定不移地走出一条科技含量高、经济效益好、资源消耗低、环境污染少、人力资源得到充分利用的新型工业化道路。</w:t>
      </w:r>
    </w:p>
    <w:p w14:paraId="732C9732">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2.</w:t>
      </w:r>
      <w:r>
        <w:rPr>
          <w:rFonts w:hint="eastAsia" w:ascii="宋体" w:hAnsi="宋体" w:eastAsia="宋体" w:cs="宋体"/>
          <w:b/>
          <w:bCs/>
          <w:color w:val="000000"/>
          <w:sz w:val="24"/>
          <w:szCs w:val="24"/>
          <w:highlight w:val="none"/>
        </w:rPr>
        <w:t>主要内容及实施情况</w:t>
      </w:r>
    </w:p>
    <w:p w14:paraId="13BDA525">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eastAsia="zh-CN"/>
        </w:rPr>
        <w:t>（</w:t>
      </w:r>
      <w:r>
        <w:rPr>
          <w:rFonts w:hint="eastAsia" w:ascii="宋体" w:hAnsi="宋体" w:eastAsia="宋体" w:cs="宋体"/>
          <w:b w:val="0"/>
          <w:bCs w:val="0"/>
          <w:color w:val="000000"/>
          <w:sz w:val="24"/>
          <w:szCs w:val="24"/>
          <w:highlight w:val="none"/>
          <w:lang w:val="en-US" w:eastAsia="zh-CN"/>
        </w:rPr>
        <w:t>1）主要内容</w:t>
      </w:r>
    </w:p>
    <w:p w14:paraId="6E7F8E28">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对和田路、多鲁路2条市政道路进行改造，道路长度3324.809米，宽度26米，包含路基路面、路缘石挖除替换，交通工程包含标志标牌、标线等基础设施。</w:t>
      </w:r>
    </w:p>
    <w:p w14:paraId="3D6E86E4">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（2）实施情况</w:t>
      </w:r>
    </w:p>
    <w:p w14:paraId="68DC0D12">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1）项目实施主体</w:t>
      </w:r>
    </w:p>
    <w:p w14:paraId="0A91C5DD">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本项目主管部门为洛浦县发展和改革委员会，实施单位为洛浦县住房和城乡建设局。</w:t>
      </w:r>
    </w:p>
    <w:p w14:paraId="19257DF0">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2）项目实施时间</w:t>
      </w:r>
    </w:p>
    <w:p w14:paraId="0AC5A5B8">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2024年7月-2024年12月</w:t>
      </w:r>
    </w:p>
    <w:p w14:paraId="1AC0B7FB">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3）项目实施情况</w:t>
      </w:r>
    </w:p>
    <w:p w14:paraId="54AB4571">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000000"/>
          <w:sz w:val="24"/>
          <w:szCs w:val="24"/>
          <w:highlight w:val="none"/>
          <w:lang w:val="en-US" w:eastAsia="zh-CN"/>
        </w:rPr>
      </w:pPr>
      <w:r>
        <w:rPr>
          <w:rFonts w:hint="default" w:ascii="宋体" w:hAnsi="宋体" w:eastAsia="宋体" w:cs="宋体"/>
          <w:color w:val="000000"/>
          <w:sz w:val="24"/>
          <w:szCs w:val="24"/>
          <w:highlight w:val="none"/>
          <w:lang w:val="en-US" w:eastAsia="zh-CN"/>
        </w:rPr>
        <w:t>本</w:t>
      </w:r>
      <w:r>
        <w:rPr>
          <w:rFonts w:hint="eastAsia" w:ascii="宋体" w:hAnsi="宋体" w:eastAsia="宋体" w:cs="宋体"/>
          <w:color w:val="000000"/>
          <w:sz w:val="24"/>
          <w:szCs w:val="24"/>
          <w:highlight w:val="none"/>
          <w:lang w:val="en-US" w:eastAsia="zh-CN"/>
        </w:rPr>
        <w:t>项目</w:t>
      </w:r>
      <w:r>
        <w:rPr>
          <w:rFonts w:hint="default" w:ascii="宋体" w:hAnsi="宋体" w:eastAsia="宋体" w:cs="宋体"/>
          <w:color w:val="000000"/>
          <w:sz w:val="24"/>
          <w:szCs w:val="24"/>
          <w:highlight w:val="none"/>
          <w:lang w:val="en-US" w:eastAsia="zh-CN"/>
        </w:rPr>
        <w:t>于202</w:t>
      </w:r>
      <w:r>
        <w:rPr>
          <w:rFonts w:hint="eastAsia" w:ascii="宋体" w:hAnsi="宋体" w:eastAsia="宋体" w:cs="宋体"/>
          <w:color w:val="000000"/>
          <w:sz w:val="24"/>
          <w:szCs w:val="24"/>
          <w:highlight w:val="none"/>
          <w:lang w:val="en-US" w:eastAsia="zh-CN"/>
        </w:rPr>
        <w:t>4</w:t>
      </w:r>
      <w:r>
        <w:rPr>
          <w:rFonts w:hint="default" w:ascii="宋体" w:hAnsi="宋体" w:eastAsia="宋体" w:cs="宋体"/>
          <w:color w:val="000000"/>
          <w:sz w:val="24"/>
          <w:szCs w:val="24"/>
          <w:highlight w:val="none"/>
          <w:lang w:val="en-US" w:eastAsia="zh-CN"/>
        </w:rPr>
        <w:t>年12月</w:t>
      </w:r>
      <w:r>
        <w:rPr>
          <w:rFonts w:hint="eastAsia" w:ascii="宋体" w:hAnsi="宋体" w:eastAsia="宋体" w:cs="宋体"/>
          <w:color w:val="000000"/>
          <w:sz w:val="24"/>
          <w:szCs w:val="24"/>
          <w:highlight w:val="none"/>
          <w:lang w:val="en-US" w:eastAsia="zh-CN"/>
        </w:rPr>
        <w:t>30</w:t>
      </w:r>
      <w:r>
        <w:rPr>
          <w:rFonts w:hint="default" w:ascii="宋体" w:hAnsi="宋体" w:eastAsia="宋体" w:cs="宋体"/>
          <w:color w:val="000000"/>
          <w:sz w:val="24"/>
          <w:szCs w:val="24"/>
          <w:highlight w:val="none"/>
          <w:lang w:val="en-US" w:eastAsia="zh-CN"/>
        </w:rPr>
        <w:t>日前全部完工。</w:t>
      </w:r>
    </w:p>
    <w:p w14:paraId="3A400CB1">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rPr>
      </w:pPr>
      <w:r>
        <w:rPr>
          <w:rFonts w:hint="default" w:ascii="宋体" w:hAnsi="宋体" w:eastAsia="宋体" w:cs="宋体"/>
          <w:color w:val="000000"/>
          <w:sz w:val="24"/>
          <w:szCs w:val="24"/>
          <w:highlight w:val="none"/>
          <w:lang w:val="en-US" w:eastAsia="zh-CN"/>
        </w:rPr>
        <w:t>本项</w:t>
      </w:r>
      <w:r>
        <w:rPr>
          <w:rFonts w:hint="eastAsia" w:ascii="宋体" w:hAnsi="宋体" w:eastAsia="宋体" w:cs="宋体"/>
          <w:color w:val="000000"/>
          <w:sz w:val="24"/>
          <w:szCs w:val="24"/>
          <w:highlight w:val="none"/>
          <w:lang w:val="en-US" w:eastAsia="zh-CN"/>
        </w:rPr>
        <w:t>目2024年5月经和田地区</w:t>
      </w:r>
      <w:r>
        <w:rPr>
          <w:rFonts w:hint="default" w:ascii="宋体" w:hAnsi="宋体" w:eastAsia="宋体" w:cs="宋体"/>
          <w:color w:val="000000"/>
          <w:sz w:val="24"/>
          <w:szCs w:val="24"/>
          <w:highlight w:val="none"/>
          <w:lang w:val="en-US" w:eastAsia="zh-CN"/>
        </w:rPr>
        <w:t>发改委下达</w:t>
      </w:r>
      <w:r>
        <w:rPr>
          <w:rFonts w:hint="eastAsia" w:ascii="宋体" w:hAnsi="宋体" w:eastAsia="宋体" w:cs="宋体"/>
          <w:color w:val="000000"/>
          <w:sz w:val="24"/>
          <w:szCs w:val="24"/>
          <w:highlight w:val="none"/>
          <w:lang w:val="en-US" w:eastAsia="zh-CN"/>
        </w:rPr>
        <w:t>《关于和田地区洛浦县和田路至多鲁路路面提升改造建设项目初步设计的批复》（和发改项目【2024】41号），</w:t>
      </w:r>
      <w:r>
        <w:rPr>
          <w:rFonts w:hint="default" w:ascii="宋体" w:hAnsi="宋体" w:eastAsia="宋体" w:cs="宋体"/>
          <w:color w:val="000000"/>
          <w:sz w:val="24"/>
          <w:szCs w:val="24"/>
          <w:highlight w:val="none"/>
          <w:lang w:val="en-US" w:eastAsia="zh-CN"/>
        </w:rPr>
        <w:t>由中地设计集团有限公司编制可行性研究报告，项目采用公开招标方式确定施工单位为新疆君宝工程建设有限公司</w:t>
      </w:r>
      <w:r>
        <w:rPr>
          <w:rFonts w:hint="eastAsia" w:ascii="宋体" w:hAnsi="宋体" w:eastAsia="宋体" w:cs="宋体"/>
          <w:color w:val="000000"/>
          <w:sz w:val="24"/>
          <w:szCs w:val="24"/>
          <w:highlight w:val="none"/>
          <w:lang w:val="en-US" w:eastAsia="zh-CN"/>
        </w:rPr>
        <w:t>，</w:t>
      </w:r>
      <w:r>
        <w:rPr>
          <w:rFonts w:hint="default" w:ascii="宋体" w:hAnsi="宋体" w:eastAsia="宋体" w:cs="宋体"/>
          <w:color w:val="000000"/>
          <w:sz w:val="24"/>
          <w:szCs w:val="24"/>
          <w:highlight w:val="none"/>
          <w:lang w:val="en-US" w:eastAsia="zh-CN"/>
        </w:rPr>
        <w:t>并签订了施工合同，确定监理单位为新疆建安项目管理有限公司</w:t>
      </w:r>
      <w:r>
        <w:rPr>
          <w:rFonts w:hint="eastAsia" w:ascii="宋体" w:hAnsi="宋体" w:eastAsia="宋体" w:cs="宋体"/>
          <w:color w:val="000000"/>
          <w:sz w:val="24"/>
          <w:szCs w:val="24"/>
          <w:highlight w:val="none"/>
          <w:lang w:val="en-US" w:eastAsia="zh-CN"/>
        </w:rPr>
        <w:t>，并</w:t>
      </w:r>
      <w:r>
        <w:rPr>
          <w:rFonts w:hint="default" w:ascii="宋体" w:hAnsi="宋体" w:eastAsia="宋体" w:cs="宋体"/>
          <w:color w:val="000000"/>
          <w:sz w:val="24"/>
          <w:szCs w:val="24"/>
          <w:highlight w:val="none"/>
          <w:lang w:val="en-US" w:eastAsia="zh-CN"/>
        </w:rPr>
        <w:t>签订监理合同。项目</w:t>
      </w:r>
      <w:r>
        <w:rPr>
          <w:rFonts w:hint="eastAsia" w:ascii="宋体" w:hAnsi="宋体" w:eastAsia="宋体" w:cs="宋体"/>
          <w:color w:val="000000"/>
          <w:sz w:val="24"/>
          <w:szCs w:val="24"/>
          <w:highlight w:val="none"/>
          <w:lang w:val="en-US" w:eastAsia="zh-CN"/>
        </w:rPr>
        <w:t>已竣工</w:t>
      </w:r>
      <w:r>
        <w:rPr>
          <w:rFonts w:hint="default" w:ascii="宋体" w:hAnsi="宋体" w:eastAsia="宋体" w:cs="宋体"/>
          <w:color w:val="000000"/>
          <w:sz w:val="24"/>
          <w:szCs w:val="24"/>
          <w:highlight w:val="none"/>
          <w:lang w:val="en-US" w:eastAsia="zh-CN"/>
        </w:rPr>
        <w:t>验收，</w:t>
      </w:r>
      <w:r>
        <w:rPr>
          <w:rFonts w:hint="eastAsia" w:ascii="宋体" w:hAnsi="宋体" w:eastAsia="宋体" w:cs="宋体"/>
          <w:color w:val="000000"/>
          <w:sz w:val="24"/>
          <w:szCs w:val="24"/>
          <w:highlight w:val="none"/>
          <w:lang w:val="en-US" w:eastAsia="zh-CN"/>
        </w:rPr>
        <w:t>正在</w:t>
      </w:r>
      <w:r>
        <w:rPr>
          <w:rFonts w:hint="default" w:ascii="宋体" w:hAnsi="宋体" w:eastAsia="宋体" w:cs="宋体"/>
          <w:color w:val="000000"/>
          <w:sz w:val="24"/>
          <w:szCs w:val="24"/>
          <w:highlight w:val="none"/>
          <w:lang w:val="en-US" w:eastAsia="zh-CN"/>
        </w:rPr>
        <w:t>决算审计</w:t>
      </w:r>
      <w:r>
        <w:rPr>
          <w:rFonts w:hint="eastAsia" w:ascii="宋体" w:hAnsi="宋体" w:eastAsia="宋体" w:cs="宋体"/>
          <w:color w:val="000000"/>
          <w:sz w:val="24"/>
          <w:szCs w:val="24"/>
          <w:highlight w:val="none"/>
          <w:lang w:val="en-US" w:eastAsia="zh-CN"/>
        </w:rPr>
        <w:t>，已投入</w:t>
      </w:r>
      <w:r>
        <w:rPr>
          <w:rFonts w:hint="default" w:ascii="宋体" w:hAnsi="宋体" w:eastAsia="宋体" w:cs="宋体"/>
          <w:color w:val="000000"/>
          <w:sz w:val="24"/>
          <w:szCs w:val="24"/>
          <w:highlight w:val="none"/>
          <w:lang w:val="en-US" w:eastAsia="zh-CN"/>
        </w:rPr>
        <w:t>使用。</w:t>
      </w:r>
    </w:p>
    <w:p w14:paraId="6045F655">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3</w:t>
      </w:r>
      <w:r>
        <w:rPr>
          <w:rFonts w:hint="eastAsia" w:ascii="宋体" w:hAnsi="宋体" w:eastAsia="宋体" w:cs="宋体"/>
          <w:b/>
          <w:bCs/>
          <w:color w:val="000000"/>
          <w:sz w:val="24"/>
          <w:szCs w:val="24"/>
          <w:highlight w:val="none"/>
        </w:rPr>
        <w:t>.资金投入和使用情况</w:t>
      </w:r>
    </w:p>
    <w:p w14:paraId="292DB7C1">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rPr>
        <w:t>（1）项目资金安排</w:t>
      </w:r>
      <w:r>
        <w:rPr>
          <w:rFonts w:hint="eastAsia" w:ascii="宋体" w:hAnsi="宋体" w:eastAsia="宋体" w:cs="宋体"/>
          <w:b w:val="0"/>
          <w:bCs w:val="0"/>
          <w:color w:val="000000"/>
          <w:sz w:val="24"/>
          <w:szCs w:val="24"/>
          <w:highlight w:val="none"/>
          <w:lang w:eastAsia="zh-CN"/>
        </w:rPr>
        <w:t>、</w:t>
      </w:r>
      <w:r>
        <w:rPr>
          <w:rFonts w:hint="eastAsia" w:ascii="宋体" w:hAnsi="宋体" w:eastAsia="宋体" w:cs="宋体"/>
          <w:b w:val="0"/>
          <w:bCs w:val="0"/>
          <w:color w:val="000000"/>
          <w:sz w:val="24"/>
          <w:szCs w:val="24"/>
          <w:highlight w:val="none"/>
        </w:rPr>
        <w:t>投入情况</w:t>
      </w:r>
    </w:p>
    <w:p w14:paraId="2F2D960C">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本项目预算安排总额为2400万元，资金来源为中央预算内资金，其中：财政资金</w:t>
      </w:r>
      <w:r>
        <w:rPr>
          <w:rFonts w:hint="eastAsia" w:ascii="宋体" w:hAnsi="宋体" w:eastAsia="宋体" w:cs="宋体"/>
          <w:color w:val="000000"/>
          <w:sz w:val="24"/>
          <w:szCs w:val="24"/>
          <w:highlight w:val="none"/>
          <w:lang w:val="en-US" w:eastAsia="zh-CN"/>
        </w:rPr>
        <w:t>2400</w:t>
      </w:r>
      <w:r>
        <w:rPr>
          <w:rFonts w:hint="eastAsia" w:ascii="宋体" w:hAnsi="宋体" w:eastAsia="宋体" w:cs="宋体"/>
          <w:color w:val="000000"/>
          <w:sz w:val="24"/>
          <w:szCs w:val="24"/>
          <w:highlight w:val="none"/>
          <w:lang w:eastAsia="zh-CN"/>
        </w:rPr>
        <w:t>万元，其他资金</w:t>
      </w:r>
      <w:r>
        <w:rPr>
          <w:rFonts w:hint="eastAsia" w:ascii="宋体" w:hAnsi="宋体" w:eastAsia="宋体" w:cs="宋体"/>
          <w:color w:val="000000"/>
          <w:sz w:val="24"/>
          <w:szCs w:val="24"/>
          <w:highlight w:val="none"/>
          <w:lang w:val="en-US" w:eastAsia="zh-CN"/>
        </w:rPr>
        <w:t>0</w:t>
      </w:r>
      <w:r>
        <w:rPr>
          <w:rFonts w:hint="eastAsia" w:ascii="宋体" w:hAnsi="宋体" w:eastAsia="宋体" w:cs="宋体"/>
          <w:color w:val="000000"/>
          <w:sz w:val="24"/>
          <w:szCs w:val="24"/>
          <w:highlight w:val="none"/>
          <w:lang w:eastAsia="zh-CN"/>
        </w:rPr>
        <w:t>万元，202</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lang w:eastAsia="zh-CN"/>
        </w:rPr>
        <w:t>年实际收到预算资金</w:t>
      </w:r>
      <w:r>
        <w:rPr>
          <w:rFonts w:hint="eastAsia" w:ascii="宋体" w:hAnsi="宋体" w:eastAsia="宋体" w:cs="宋体"/>
          <w:color w:val="000000"/>
          <w:sz w:val="24"/>
          <w:szCs w:val="24"/>
          <w:highlight w:val="none"/>
          <w:lang w:val="en-US" w:eastAsia="zh-CN"/>
        </w:rPr>
        <w:t>2400</w:t>
      </w:r>
      <w:r>
        <w:rPr>
          <w:rFonts w:hint="eastAsia" w:ascii="宋体" w:hAnsi="宋体" w:eastAsia="宋体" w:cs="宋体"/>
          <w:color w:val="000000"/>
          <w:sz w:val="24"/>
          <w:szCs w:val="24"/>
          <w:highlight w:val="none"/>
          <w:lang w:eastAsia="zh-CN"/>
        </w:rPr>
        <w:t>万元，预算资金到位率为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lang w:eastAsia="zh-CN"/>
        </w:rPr>
        <w:t>%。</w:t>
      </w:r>
    </w:p>
    <w:p w14:paraId="3DAC72CB">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rPr>
        <w:t>（2）项目资金实际使用情况分析</w:t>
      </w:r>
    </w:p>
    <w:p w14:paraId="5B071F03">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本项目实际支付资金</w:t>
      </w:r>
      <w:r>
        <w:rPr>
          <w:rFonts w:hint="eastAsia" w:ascii="宋体" w:hAnsi="宋体" w:eastAsia="宋体" w:cs="宋体"/>
          <w:color w:val="000000"/>
          <w:sz w:val="24"/>
          <w:szCs w:val="24"/>
          <w:highlight w:val="none"/>
          <w:lang w:val="en-US" w:eastAsia="zh-CN"/>
        </w:rPr>
        <w:t>1687</w:t>
      </w:r>
      <w:r>
        <w:rPr>
          <w:rFonts w:hint="eastAsia" w:ascii="宋体" w:hAnsi="宋体" w:eastAsia="宋体" w:cs="宋体"/>
          <w:color w:val="000000"/>
          <w:sz w:val="24"/>
          <w:szCs w:val="24"/>
          <w:highlight w:val="none"/>
          <w:lang w:eastAsia="zh-CN"/>
        </w:rPr>
        <w:t>万元，预算执行</w:t>
      </w:r>
      <w:r>
        <w:rPr>
          <w:rFonts w:hint="eastAsia" w:ascii="宋体" w:hAnsi="宋体" w:eastAsia="宋体" w:cs="宋体"/>
          <w:color w:val="000000"/>
          <w:sz w:val="24"/>
          <w:szCs w:val="24"/>
          <w:highlight w:val="none"/>
          <w:lang w:val="en-US" w:eastAsia="zh-CN"/>
        </w:rPr>
        <w:t>70.29</w:t>
      </w:r>
      <w:r>
        <w:rPr>
          <w:rFonts w:hint="eastAsia" w:ascii="宋体" w:hAnsi="宋体" w:eastAsia="宋体" w:cs="宋体"/>
          <w:color w:val="000000"/>
          <w:sz w:val="24"/>
          <w:szCs w:val="24"/>
          <w:highlight w:val="none"/>
          <w:lang w:eastAsia="zh-CN"/>
        </w:rPr>
        <w:t>%。本项目资金主要用于支付工程款</w:t>
      </w:r>
      <w:r>
        <w:rPr>
          <w:rFonts w:hint="eastAsia" w:ascii="宋体" w:hAnsi="宋体" w:eastAsia="宋体" w:cs="宋体"/>
          <w:color w:val="000000"/>
          <w:sz w:val="24"/>
          <w:szCs w:val="24"/>
          <w:highlight w:val="none"/>
          <w:lang w:val="en-US" w:eastAsia="zh-CN"/>
        </w:rPr>
        <w:t>1592.01</w:t>
      </w:r>
      <w:r>
        <w:rPr>
          <w:rFonts w:hint="eastAsia" w:ascii="宋体" w:hAnsi="宋体" w:eastAsia="宋体" w:cs="宋体"/>
          <w:color w:val="000000"/>
          <w:sz w:val="24"/>
          <w:szCs w:val="24"/>
          <w:highlight w:val="none"/>
          <w:lang w:eastAsia="zh-CN"/>
        </w:rPr>
        <w:t>万元、监理费</w:t>
      </w:r>
      <w:r>
        <w:rPr>
          <w:rFonts w:hint="eastAsia" w:ascii="宋体" w:hAnsi="宋体" w:eastAsia="宋体" w:cs="宋体"/>
          <w:color w:val="000000"/>
          <w:sz w:val="24"/>
          <w:szCs w:val="24"/>
          <w:highlight w:val="none"/>
          <w:lang w:val="en-US" w:eastAsia="zh-CN"/>
        </w:rPr>
        <w:t>17.49</w:t>
      </w:r>
      <w:r>
        <w:rPr>
          <w:rFonts w:hint="eastAsia" w:ascii="宋体" w:hAnsi="宋体" w:eastAsia="宋体" w:cs="宋体"/>
          <w:color w:val="000000"/>
          <w:sz w:val="24"/>
          <w:szCs w:val="24"/>
          <w:highlight w:val="none"/>
          <w:lang w:eastAsia="zh-CN"/>
        </w:rPr>
        <w:t>万元、可研费</w:t>
      </w:r>
      <w:r>
        <w:rPr>
          <w:rFonts w:hint="eastAsia" w:ascii="宋体" w:hAnsi="宋体" w:eastAsia="宋体" w:cs="宋体"/>
          <w:color w:val="000000"/>
          <w:sz w:val="24"/>
          <w:szCs w:val="24"/>
          <w:highlight w:val="none"/>
          <w:lang w:val="en-US" w:eastAsia="zh-CN"/>
        </w:rPr>
        <w:t>12万元、设计费48万元、审图费2万元、水土保持方案及水土保持验收技术服务费6.46万元、招标控制价编制费招标控制价编制费9.04万元。</w:t>
      </w:r>
    </w:p>
    <w:p w14:paraId="311D5AEE">
      <w:pPr>
        <w:pStyle w:val="5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2" w:name="_Toc68364659"/>
      <w:r>
        <w:rPr>
          <w:rFonts w:hint="eastAsia" w:ascii="宋体" w:hAnsi="宋体" w:eastAsia="宋体" w:cs="宋体"/>
          <w:sz w:val="24"/>
          <w:szCs w:val="24"/>
        </w:rPr>
        <w:t>（二）项目绩效目标</w:t>
      </w:r>
      <w:bookmarkEnd w:id="2"/>
    </w:p>
    <w:p w14:paraId="6800A1E0">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rPr>
      </w:pPr>
      <w:r>
        <w:rPr>
          <w:rFonts w:hint="eastAsia" w:ascii="宋体" w:hAnsi="宋体" w:eastAsia="宋体" w:cs="宋体"/>
          <w:sz w:val="24"/>
          <w:szCs w:val="24"/>
        </w:rPr>
        <w:t>项目绩效目标包括项目总</w:t>
      </w:r>
      <w:r>
        <w:rPr>
          <w:rFonts w:hint="eastAsia" w:ascii="宋体" w:hAnsi="宋体" w:eastAsia="宋体" w:cs="宋体"/>
          <w:sz w:val="24"/>
          <w:szCs w:val="24"/>
          <w:lang w:val="en-US" w:eastAsia="zh-CN"/>
        </w:rPr>
        <w:t>体</w:t>
      </w:r>
      <w:r>
        <w:rPr>
          <w:rFonts w:hint="eastAsia" w:ascii="宋体" w:hAnsi="宋体" w:eastAsia="宋体" w:cs="宋体"/>
          <w:sz w:val="24"/>
          <w:szCs w:val="24"/>
        </w:rPr>
        <w:t>目标和阶段性目标。</w:t>
      </w:r>
    </w:p>
    <w:p w14:paraId="73C62269">
      <w:pPr>
        <w:pStyle w:val="47"/>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1.总</w:t>
      </w:r>
      <w:r>
        <w:rPr>
          <w:rFonts w:hint="eastAsia" w:ascii="宋体" w:hAnsi="宋体" w:eastAsia="宋体" w:cs="宋体"/>
          <w:b/>
          <w:bCs/>
          <w:sz w:val="24"/>
          <w:szCs w:val="24"/>
          <w:lang w:val="en-US" w:eastAsia="zh-CN"/>
        </w:rPr>
        <w:t>体</w:t>
      </w:r>
      <w:r>
        <w:rPr>
          <w:rFonts w:hint="eastAsia" w:ascii="宋体" w:hAnsi="宋体" w:eastAsia="宋体" w:cs="宋体"/>
          <w:b/>
          <w:bCs/>
          <w:sz w:val="24"/>
          <w:szCs w:val="24"/>
        </w:rPr>
        <w:t>目标</w:t>
      </w:r>
    </w:p>
    <w:p w14:paraId="0E54BC46">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对和田路、多鲁路2条市政道路进行改造，道路长度3324.809米，宽度26米，包含路基路面、路缘石挖除替换，交通工程包含标志标牌、标线等基础设施。通过实施该项目，完善城区道路交通能力，加强道路基础设施建设，强化市政交通能力，有效提升区域内交通流动性，改善群众日常出行安全。</w:t>
      </w:r>
    </w:p>
    <w:p w14:paraId="2EA63A4A">
      <w:pPr>
        <w:pStyle w:val="47"/>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lang w:val="en-US" w:eastAsia="zh-CN"/>
        </w:rPr>
        <w:t>2.</w:t>
      </w:r>
      <w:r>
        <w:rPr>
          <w:rFonts w:hint="eastAsia" w:ascii="宋体" w:hAnsi="宋体" w:eastAsia="宋体" w:cs="宋体"/>
          <w:b/>
          <w:bCs/>
          <w:sz w:val="24"/>
          <w:szCs w:val="24"/>
        </w:rPr>
        <w:t>阶段性目标</w:t>
      </w:r>
    </w:p>
    <w:p w14:paraId="1DC8BC64">
      <w:pPr>
        <w:pStyle w:val="47"/>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bookmarkStart w:id="3" w:name="_Toc68364660"/>
      <w:r>
        <w:rPr>
          <w:rFonts w:hint="eastAsia" w:ascii="宋体" w:hAnsi="宋体" w:eastAsia="宋体" w:cs="宋体"/>
          <w:color w:val="auto"/>
          <w:sz w:val="24"/>
          <w:szCs w:val="24"/>
          <w:lang w:val="en-US" w:eastAsia="zh-CN"/>
        </w:rPr>
        <w:t>我</w:t>
      </w:r>
      <w:r>
        <w:rPr>
          <w:rFonts w:hint="eastAsia" w:ascii="宋体" w:hAnsi="宋体" w:eastAsia="宋体" w:cs="宋体"/>
          <w:color w:val="auto"/>
          <w:sz w:val="24"/>
          <w:szCs w:val="24"/>
        </w:rPr>
        <w:t>单位根据《项目支出绩效评价管理办法》（财预〔2020〕10号）《关于印发〈自治区财政支出绩效评价管理暂行办法〉的通知》（新财预〔2018〕189号）以及自治区财政厅《关于印发〈自治区项目支出绩效目标设置指引〉的通知》（新财预〔2022〕42号）的规定，结合项目相关信息，设置了年度绩效目标如下：</w:t>
      </w:r>
    </w:p>
    <w:p w14:paraId="6EC2A23A">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（1）产出指标</w:t>
      </w:r>
    </w:p>
    <w:p w14:paraId="17DE9CDD">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1)数量指标:</w:t>
      </w:r>
    </w:p>
    <w:p w14:paraId="674E48E3">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指标1：道路改造长度，预期指标值≥3324.809米；</w:t>
      </w:r>
    </w:p>
    <w:p w14:paraId="51E40697">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指标2：道路改造宽度，预期指标值≥26米；</w:t>
      </w:r>
    </w:p>
    <w:p w14:paraId="77B9BDFE">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指标3：道路改造数量，预期指标值≥2条；</w:t>
      </w:r>
    </w:p>
    <w:p w14:paraId="5A10875F">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指标4：改造附属工程，预期指标值≥1项；</w:t>
      </w:r>
    </w:p>
    <w:p w14:paraId="1776D8F8">
      <w:pPr>
        <w:pStyle w:val="47"/>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2）质量指标：</w:t>
      </w:r>
    </w:p>
    <w:p w14:paraId="1D043812">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指标1：竣工验收合格率，预期指标值=100%；</w:t>
      </w:r>
    </w:p>
    <w:p w14:paraId="1C2B6207">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指标2：项目设计变更率，预期指标值≤5%；</w:t>
      </w:r>
    </w:p>
    <w:p w14:paraId="386F643F">
      <w:pPr>
        <w:pStyle w:val="47"/>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3）时效指标：</w:t>
      </w:r>
    </w:p>
    <w:p w14:paraId="1D882869">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指标1：项目按计划开工率，预期指标值=100%；</w:t>
      </w:r>
    </w:p>
    <w:p w14:paraId="682F8CAE">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指标2：项目按计划完工率，预期指标值=100%；</w:t>
      </w:r>
    </w:p>
    <w:p w14:paraId="4837906E">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指标3：项目开始时间，预期指标值为2024年7月；</w:t>
      </w:r>
    </w:p>
    <w:p w14:paraId="2FF43945">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指标4：</w:t>
      </w:r>
      <w:r>
        <w:rPr>
          <w:rFonts w:hint="default" w:ascii="宋体" w:hAnsi="宋体" w:eastAsia="宋体" w:cs="宋体"/>
          <w:color w:val="000000"/>
          <w:sz w:val="24"/>
          <w:szCs w:val="24"/>
          <w:highlight w:val="none"/>
          <w:lang w:val="en-US" w:eastAsia="zh-CN"/>
        </w:rPr>
        <w:t>项目完成时间</w:t>
      </w:r>
      <w:r>
        <w:rPr>
          <w:rFonts w:hint="eastAsia" w:ascii="宋体" w:hAnsi="宋体" w:eastAsia="宋体" w:cs="宋体"/>
          <w:color w:val="000000"/>
          <w:sz w:val="24"/>
          <w:szCs w:val="24"/>
          <w:highlight w:val="none"/>
          <w:lang w:val="en-US" w:eastAsia="zh-CN"/>
        </w:rPr>
        <w:t>，预期指标值为2024年12月；</w:t>
      </w:r>
    </w:p>
    <w:p w14:paraId="26D86951">
      <w:pPr>
        <w:pStyle w:val="47"/>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lang w:eastAsia="zh-CN"/>
        </w:rPr>
      </w:pPr>
      <w:r>
        <w:rPr>
          <w:rFonts w:hint="eastAsia" w:ascii="宋体" w:hAnsi="宋体" w:eastAsia="宋体" w:cs="宋体"/>
          <w:color w:val="auto"/>
          <w:sz w:val="24"/>
          <w:szCs w:val="24"/>
        </w:rPr>
        <w:t>（2）成本指标：</w:t>
      </w:r>
    </w:p>
    <w:p w14:paraId="738A1057">
      <w:pPr>
        <w:pStyle w:val="47"/>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1）经济成本指标</w:t>
      </w:r>
    </w:p>
    <w:p w14:paraId="1C492E7E">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指标1：项目建设费用，预期指标值≤2400万元；</w:t>
      </w:r>
    </w:p>
    <w:p w14:paraId="27E6D542">
      <w:pPr>
        <w:pStyle w:val="47"/>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2）社会成本指标</w:t>
      </w:r>
    </w:p>
    <w:p w14:paraId="5C88DC21">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该项目不涉及社会成本指标；</w:t>
      </w:r>
    </w:p>
    <w:p w14:paraId="7F6DEC5F">
      <w:pPr>
        <w:pStyle w:val="47"/>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3）生态成本指标;</w:t>
      </w:r>
    </w:p>
    <w:p w14:paraId="3E04F35F">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该项目不涉及社会成本指标；</w:t>
      </w:r>
    </w:p>
    <w:p w14:paraId="614BC805">
      <w:pPr>
        <w:pStyle w:val="47"/>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（3）效益指标：</w:t>
      </w:r>
    </w:p>
    <w:p w14:paraId="4D42A551">
      <w:pPr>
        <w:pStyle w:val="47"/>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1）经济效益指标：</w:t>
      </w:r>
    </w:p>
    <w:p w14:paraId="6697CDDD">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该项目不涉及社会成本指标；</w:t>
      </w:r>
    </w:p>
    <w:p w14:paraId="1091DB41">
      <w:pPr>
        <w:pStyle w:val="47"/>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2）社会效益指标：</w:t>
      </w:r>
    </w:p>
    <w:p w14:paraId="7D362443">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完善城区道路交通能力，改善群众日常出行安全，预期指标值为效果显著；</w:t>
      </w:r>
    </w:p>
    <w:p w14:paraId="284F53FD">
      <w:pPr>
        <w:pStyle w:val="47"/>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3）生态效益指标：</w:t>
      </w:r>
    </w:p>
    <w:p w14:paraId="277AD743">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该项目不涉及社会成本指标；</w:t>
      </w:r>
    </w:p>
    <w:p w14:paraId="156D8E89">
      <w:pPr>
        <w:pStyle w:val="47"/>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（4）服务对象满意度指标：</w:t>
      </w:r>
    </w:p>
    <w:p w14:paraId="3717EA26">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指标1：受益群众满意度，预期指标值≥95%。</w:t>
      </w:r>
    </w:p>
    <w:p w14:paraId="02878128">
      <w:pPr>
        <w:pStyle w:val="3"/>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sz w:val="24"/>
          <w:szCs w:val="24"/>
        </w:rPr>
      </w:pPr>
      <w:r>
        <w:rPr>
          <w:rFonts w:hint="eastAsia" w:ascii="黑体" w:hAnsi="黑体" w:eastAsia="黑体" w:cs="黑体"/>
          <w:sz w:val="24"/>
          <w:szCs w:val="24"/>
        </w:rPr>
        <w:t>二、绩效评价工作开展情况</w:t>
      </w:r>
      <w:bookmarkEnd w:id="3"/>
    </w:p>
    <w:p w14:paraId="0136F457">
      <w:pPr>
        <w:pStyle w:val="5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4" w:name="_Toc68364661"/>
      <w:r>
        <w:rPr>
          <w:rFonts w:hint="eastAsia" w:ascii="宋体" w:hAnsi="宋体" w:eastAsia="宋体" w:cs="宋体"/>
          <w:sz w:val="24"/>
          <w:szCs w:val="24"/>
        </w:rPr>
        <w:t>（一）绩效评价目的、对象和范围</w:t>
      </w:r>
      <w:bookmarkEnd w:id="4"/>
    </w:p>
    <w:p w14:paraId="4B994174">
      <w:pPr>
        <w:pStyle w:val="47"/>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1.绩效评价目的</w:t>
      </w:r>
    </w:p>
    <w:p w14:paraId="76AD19D7">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本次绩效评价遵循财政部《项目支出绩效评价管理办法》（财预〔2020〕10号）《自治区财政支出绩效评价管理暂行办法》（新财预〔2018〕189号）</w:t>
      </w:r>
      <w:r>
        <w:rPr>
          <w:rFonts w:hint="eastAsia" w:ascii="宋体" w:hAnsi="宋体" w:eastAsia="宋体" w:cs="宋体"/>
          <w:sz w:val="24"/>
          <w:szCs w:val="24"/>
          <w:lang w:val="en-US" w:eastAsia="zh-CN"/>
        </w:rPr>
        <w:t>及</w:t>
      </w:r>
      <w:r>
        <w:rPr>
          <w:rFonts w:hint="eastAsia" w:ascii="宋体" w:hAnsi="宋体" w:eastAsia="宋体" w:cs="宋体"/>
          <w:sz w:val="24"/>
          <w:szCs w:val="24"/>
        </w:rPr>
        <w:t>自治区财政厅《关于印发〈自治区项目支出</w:t>
      </w:r>
      <w:r>
        <w:rPr>
          <w:rFonts w:hint="eastAsia" w:ascii="宋体" w:hAnsi="宋体" w:eastAsia="宋体" w:cs="宋体"/>
          <w:color w:val="auto"/>
          <w:sz w:val="24"/>
          <w:szCs w:val="24"/>
        </w:rPr>
        <w:t>绩效目标设置指引〉的通知》（新财预〔2022〕42号）</w:t>
      </w:r>
      <w:r>
        <w:rPr>
          <w:rFonts w:hint="eastAsia" w:ascii="宋体" w:hAnsi="宋体" w:eastAsia="宋体" w:cs="宋体"/>
          <w:color w:val="auto"/>
          <w:sz w:val="24"/>
          <w:szCs w:val="24"/>
          <w:highlight w:val="none"/>
        </w:rPr>
        <w:t>等相关政策文件与规</w:t>
      </w:r>
      <w:r>
        <w:rPr>
          <w:rFonts w:hint="eastAsia" w:ascii="宋体" w:hAnsi="宋体" w:eastAsia="宋体" w:cs="宋体"/>
          <w:color w:val="auto"/>
          <w:sz w:val="24"/>
          <w:szCs w:val="24"/>
        </w:rPr>
        <w:t>定，对和田地区洛浦县和田路至多鲁路路面提升改造建设项目开展本次部门项目支出绩效评价工作。全面了解</w:t>
      </w:r>
      <w:r>
        <w:rPr>
          <w:rFonts w:hint="eastAsia" w:ascii="宋体" w:hAnsi="宋体" w:eastAsia="宋体" w:cs="宋体"/>
          <w:color w:val="auto"/>
          <w:sz w:val="24"/>
          <w:szCs w:val="24"/>
          <w:lang w:val="en-US" w:eastAsia="zh-CN"/>
        </w:rPr>
        <w:t>和田地区洛浦县和田路至多鲁路路面提升改造建设</w:t>
      </w:r>
      <w:r>
        <w:rPr>
          <w:rFonts w:hint="eastAsia" w:ascii="宋体" w:hAnsi="宋体" w:eastAsia="宋体" w:cs="宋体"/>
          <w:color w:val="auto"/>
          <w:sz w:val="24"/>
          <w:szCs w:val="24"/>
        </w:rPr>
        <w:t>项目预算编制合理性、资金使用合规性、项目管理的规范性、</w:t>
      </w:r>
      <w:r>
        <w:rPr>
          <w:rFonts w:hint="eastAsia" w:ascii="宋体" w:hAnsi="宋体" w:eastAsia="宋体" w:cs="宋体"/>
          <w:sz w:val="24"/>
          <w:szCs w:val="24"/>
        </w:rPr>
        <w:t>项目目标的实现情况、服务对象的满意度等项目实施前期、过程及</w:t>
      </w:r>
      <w:r>
        <w:rPr>
          <w:rFonts w:hint="eastAsia" w:ascii="宋体" w:hAnsi="宋体" w:eastAsia="宋体" w:cs="宋体"/>
          <w:sz w:val="24"/>
          <w:szCs w:val="24"/>
          <w:lang w:val="en-US" w:eastAsia="zh-CN"/>
        </w:rPr>
        <w:t>实施</w:t>
      </w:r>
      <w:r>
        <w:rPr>
          <w:rFonts w:hint="eastAsia" w:ascii="宋体" w:hAnsi="宋体" w:eastAsia="宋体" w:cs="宋体"/>
          <w:sz w:val="24"/>
          <w:szCs w:val="24"/>
        </w:rPr>
        <w:t>效果</w:t>
      </w:r>
      <w:r>
        <w:rPr>
          <w:rFonts w:hint="eastAsia" w:ascii="宋体" w:hAnsi="宋体" w:eastAsia="宋体" w:cs="宋体"/>
          <w:sz w:val="24"/>
          <w:szCs w:val="24"/>
          <w:lang w:val="en-US" w:eastAsia="zh-CN"/>
        </w:rPr>
        <w:t>情况。</w:t>
      </w:r>
    </w:p>
    <w:p w14:paraId="7191826D">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通过部门项目支出绩效评价，进一步严格落实《中华人民共和国预算法》以及《中共中央国务院关于全面实施预算绩效管理的意见》（中发〔2018〕34号）《自治区党委自治区人民政府关于全面实施预算绩效管理的实施意见》（新党发〔2018〕30号）政策文件的指示精神，有助于建立健全“花钱必问效、无效必问责”的绩效预算管理机制</w:t>
      </w:r>
    </w:p>
    <w:p w14:paraId="640B8691">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通过部门项目支出绩效评价，进一步做实绩效目标，将绩效指标细化为数量指标、质量指标、时效指标、成本指标、经济效益指标、社会效益指标、服务对象满意度指标等内容，保证项目绩效指标设置科学、规范、合理、可衡量。</w:t>
      </w:r>
    </w:p>
    <w:p w14:paraId="5EA70399">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方正仿宋_GBK" w:hAnsi="方正仿宋_GBK" w:eastAsia="方正仿宋_GBK" w:cs="方正仿宋_GBK"/>
          <w:b/>
          <w:bCs/>
          <w:color w:val="auto"/>
          <w:sz w:val="32"/>
          <w:szCs w:val="32"/>
          <w:highlight w:val="none"/>
        </w:rPr>
      </w:pPr>
      <w:r>
        <w:rPr>
          <w:rFonts w:hint="eastAsia" w:ascii="宋体" w:hAnsi="宋体" w:eastAsia="宋体" w:cs="宋体"/>
          <w:sz w:val="24"/>
          <w:szCs w:val="24"/>
          <w:lang w:val="en-US" w:eastAsia="zh-CN"/>
        </w:rPr>
        <w:t>同时，通过部门项目支出绩效评价，可促进本单位发现预算项目管理中的问题、总结经验、改进工作，以提高</w:t>
      </w:r>
      <w:r>
        <w:rPr>
          <w:rFonts w:hint="eastAsia" w:ascii="宋体" w:hAnsi="宋体" w:eastAsia="宋体" w:cs="宋体"/>
          <w:sz w:val="24"/>
          <w:szCs w:val="24"/>
        </w:rPr>
        <w:t>财政预算资金使用的效率及效益。</w:t>
      </w:r>
    </w:p>
    <w:p w14:paraId="0CABDD9C">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2.绩效评价对象</w:t>
      </w:r>
    </w:p>
    <w:p w14:paraId="64696130">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64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此</w:t>
      </w:r>
      <w:r>
        <w:rPr>
          <w:rFonts w:hint="eastAsia" w:ascii="宋体" w:hAnsi="宋体" w:eastAsia="宋体" w:cs="宋体"/>
          <w:color w:val="auto"/>
          <w:sz w:val="24"/>
          <w:szCs w:val="24"/>
          <w:highlight w:val="none"/>
        </w:rPr>
        <w:t>次绩效评价遵循财政部《项目支出绩效评价管理办法》（财预〔2020〕10号）和《自治区财政支出绩效评价管理暂行办法》（新财预〔2018〕189号）等政策文件规定，以</w:t>
      </w:r>
      <w:r>
        <w:rPr>
          <w:rFonts w:hint="eastAsia" w:ascii="宋体" w:hAnsi="宋体" w:eastAsia="宋体" w:cs="宋体"/>
          <w:color w:val="auto"/>
          <w:sz w:val="24"/>
          <w:szCs w:val="24"/>
          <w:highlight w:val="none"/>
          <w:lang w:val="en-US" w:eastAsia="zh-CN"/>
        </w:rPr>
        <w:t>和田地区洛浦县和田路至多鲁路路面提升改造建设</w:t>
      </w:r>
      <w:r>
        <w:rPr>
          <w:rFonts w:hint="eastAsia" w:ascii="宋体" w:hAnsi="宋体" w:eastAsia="宋体" w:cs="宋体"/>
          <w:color w:val="auto"/>
          <w:sz w:val="24"/>
          <w:szCs w:val="24"/>
          <w:highlight w:val="none"/>
        </w:rPr>
        <w:t>项目为</w:t>
      </w:r>
      <w:r>
        <w:rPr>
          <w:rFonts w:hint="eastAsia" w:ascii="宋体" w:hAnsi="宋体" w:eastAsia="宋体" w:cs="宋体"/>
          <w:color w:val="auto"/>
          <w:sz w:val="24"/>
          <w:szCs w:val="24"/>
          <w:highlight w:val="none"/>
          <w:lang w:val="en-US" w:eastAsia="zh-CN"/>
        </w:rPr>
        <w:t>评价</w:t>
      </w:r>
      <w:r>
        <w:rPr>
          <w:rFonts w:hint="eastAsia" w:ascii="宋体" w:hAnsi="宋体" w:eastAsia="宋体" w:cs="宋体"/>
          <w:color w:val="auto"/>
          <w:sz w:val="24"/>
          <w:szCs w:val="24"/>
          <w:highlight w:val="none"/>
        </w:rPr>
        <w:t>对象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对该项目决策、</w:t>
      </w:r>
      <w:r>
        <w:rPr>
          <w:rFonts w:hint="eastAsia" w:ascii="宋体" w:hAnsi="宋体" w:eastAsia="宋体" w:cs="宋体"/>
          <w:color w:val="auto"/>
          <w:sz w:val="24"/>
          <w:szCs w:val="24"/>
          <w:highlight w:val="none"/>
          <w:lang w:val="en-US" w:eastAsia="zh-CN"/>
        </w:rPr>
        <w:t>项目资金管理、项目实施</w:t>
      </w:r>
      <w:r>
        <w:rPr>
          <w:rFonts w:hint="eastAsia" w:ascii="宋体" w:hAnsi="宋体" w:eastAsia="宋体" w:cs="宋体"/>
          <w:color w:val="auto"/>
          <w:sz w:val="24"/>
          <w:szCs w:val="24"/>
          <w:highlight w:val="none"/>
        </w:rPr>
        <w:t>过程</w:t>
      </w:r>
      <w:r>
        <w:rPr>
          <w:rFonts w:hint="eastAsia" w:ascii="宋体" w:hAnsi="宋体" w:eastAsia="宋体" w:cs="宋体"/>
          <w:color w:val="auto"/>
          <w:sz w:val="24"/>
          <w:szCs w:val="24"/>
          <w:highlight w:val="none"/>
          <w:lang w:val="en-US" w:eastAsia="zh-CN"/>
        </w:rPr>
        <w:t>管理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以及</w:t>
      </w:r>
      <w:r>
        <w:rPr>
          <w:rFonts w:hint="eastAsia" w:ascii="宋体" w:hAnsi="宋体" w:eastAsia="宋体" w:cs="宋体"/>
          <w:color w:val="auto"/>
          <w:sz w:val="24"/>
          <w:szCs w:val="24"/>
          <w:highlight w:val="none"/>
        </w:rPr>
        <w:t>项目实施所带来的产出和效果</w:t>
      </w:r>
      <w:r>
        <w:rPr>
          <w:rFonts w:hint="eastAsia" w:ascii="宋体" w:hAnsi="宋体" w:eastAsia="宋体" w:cs="宋体"/>
          <w:color w:val="auto"/>
          <w:sz w:val="24"/>
          <w:szCs w:val="24"/>
          <w:highlight w:val="none"/>
          <w:lang w:val="en-US" w:eastAsia="zh-CN"/>
        </w:rPr>
        <w:t>等</w:t>
      </w:r>
      <w:r>
        <w:rPr>
          <w:rFonts w:hint="eastAsia" w:ascii="宋体" w:hAnsi="宋体" w:eastAsia="宋体" w:cs="宋体"/>
          <w:color w:val="auto"/>
          <w:sz w:val="24"/>
          <w:szCs w:val="24"/>
          <w:highlight w:val="none"/>
        </w:rPr>
        <w:t>内容，</w:t>
      </w:r>
      <w:r>
        <w:rPr>
          <w:rFonts w:hint="eastAsia" w:ascii="宋体" w:hAnsi="宋体" w:eastAsia="宋体" w:cs="宋体"/>
          <w:color w:val="auto"/>
          <w:sz w:val="24"/>
          <w:szCs w:val="24"/>
          <w:highlight w:val="none"/>
          <w:lang w:val="en-US" w:eastAsia="zh-CN"/>
        </w:rPr>
        <w:t>进行综合评价。</w:t>
      </w:r>
    </w:p>
    <w:p w14:paraId="2D7BD616">
      <w:pPr>
        <w:pStyle w:val="47"/>
        <w:pageBreakBefore w:val="0"/>
        <w:widowControl w:val="0"/>
        <w:kinsoku/>
        <w:wordWrap/>
        <w:topLinePunct w:val="0"/>
        <w:autoSpaceDE/>
        <w:autoSpaceDN/>
        <w:bidi w:val="0"/>
        <w:spacing w:line="560" w:lineRule="exact"/>
        <w:ind w:left="0" w:leftChars="0" w:firstLine="640"/>
        <w:textAlignment w:val="auto"/>
        <w:rPr>
          <w:rFonts w:hint="eastAsia" w:ascii="宋体" w:hAnsi="宋体" w:eastAsia="宋体" w:cs="宋体"/>
          <w:b/>
          <w:bCs/>
          <w:sz w:val="24"/>
          <w:szCs w:val="24"/>
        </w:rPr>
      </w:pPr>
      <w:r>
        <w:rPr>
          <w:rFonts w:hint="eastAsia" w:ascii="宋体" w:hAnsi="宋体" w:eastAsia="宋体" w:cs="宋体"/>
          <w:b/>
          <w:bCs/>
          <w:sz w:val="24"/>
          <w:szCs w:val="24"/>
        </w:rPr>
        <w:t>3.绩效评价范围</w:t>
      </w:r>
    </w:p>
    <w:p w14:paraId="4CC89980">
      <w:pPr>
        <w:pStyle w:val="47"/>
        <w:pageBreakBefore w:val="0"/>
        <w:widowControl w:val="0"/>
        <w:kinsoku/>
        <w:wordWrap/>
        <w:topLinePunct w:val="0"/>
        <w:autoSpaceDE/>
        <w:autoSpaceDN/>
        <w:bidi w:val="0"/>
        <w:spacing w:line="560" w:lineRule="exact"/>
        <w:ind w:left="0" w:leftChars="0" w:firstLine="640"/>
        <w:textAlignment w:val="auto"/>
        <w:rPr>
          <w:rFonts w:hint="eastAsia" w:ascii="宋体" w:hAnsi="宋体" w:eastAsia="宋体" w:cs="宋体"/>
          <w:sz w:val="24"/>
          <w:szCs w:val="24"/>
        </w:rPr>
      </w:pPr>
      <w:r>
        <w:rPr>
          <w:rFonts w:hint="eastAsia" w:ascii="宋体" w:hAnsi="宋体" w:eastAsia="宋体" w:cs="宋体"/>
          <w:sz w:val="24"/>
          <w:szCs w:val="24"/>
        </w:rPr>
        <w:t>本次绩效评价主要围</w:t>
      </w:r>
      <w:r>
        <w:rPr>
          <w:rFonts w:hint="eastAsia" w:ascii="宋体" w:hAnsi="宋体" w:eastAsia="宋体" w:cs="宋体"/>
          <w:color w:val="auto"/>
          <w:sz w:val="24"/>
          <w:szCs w:val="24"/>
        </w:rPr>
        <w:t>绕和田地区洛浦县和田路至多鲁路路面提升改造建设项目决策、项目资金管理、项目实施过程管理，以及项目实施所带来的产出和效果等内</w:t>
      </w:r>
      <w:r>
        <w:rPr>
          <w:rFonts w:hint="eastAsia" w:ascii="宋体" w:hAnsi="宋体" w:eastAsia="宋体" w:cs="宋体"/>
          <w:sz w:val="24"/>
          <w:szCs w:val="24"/>
        </w:rPr>
        <w:t>容，进行综合评价。范围涵盖项目总体绩效目标、各项绩效指标完成情况以及预算执行情况</w:t>
      </w:r>
      <w:bookmarkStart w:id="5" w:name="_Toc68364662"/>
      <w:r>
        <w:rPr>
          <w:rFonts w:hint="eastAsia" w:ascii="宋体" w:hAnsi="宋体" w:eastAsia="宋体" w:cs="宋体"/>
          <w:sz w:val="24"/>
          <w:szCs w:val="24"/>
          <w:lang w:eastAsia="zh-CN"/>
        </w:rPr>
        <w:t>，</w:t>
      </w:r>
      <w:r>
        <w:rPr>
          <w:rFonts w:hint="eastAsia" w:ascii="宋体" w:hAnsi="宋体" w:eastAsia="宋体" w:cs="宋体"/>
          <w:sz w:val="24"/>
          <w:szCs w:val="24"/>
        </w:rPr>
        <w:t>覆盖预算资金支出项目的所有内容进行评价。</w:t>
      </w:r>
    </w:p>
    <w:p w14:paraId="2094E0C8">
      <w:pPr>
        <w:pStyle w:val="50"/>
        <w:pageBreakBefore w:val="0"/>
        <w:widowControl w:val="0"/>
        <w:kinsoku/>
        <w:wordWrap/>
        <w:overflowPunct/>
        <w:topLinePunct w:val="0"/>
        <w:autoSpaceDE/>
        <w:autoSpaceDN/>
        <w:bidi w:val="0"/>
        <w:adjustRightInd/>
        <w:snapToGrid/>
        <w:spacing w:before="0" w:after="0"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（二）绩效评价原则、评价指标体系、评价方法评价标准</w:t>
      </w:r>
      <w:bookmarkEnd w:id="5"/>
    </w:p>
    <w:p w14:paraId="3474FD0F">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1.绩效评价原则</w:t>
      </w:r>
    </w:p>
    <w:p w14:paraId="019474AD">
      <w:pPr>
        <w:pStyle w:val="47"/>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sz w:val="24"/>
          <w:szCs w:val="24"/>
        </w:rPr>
      </w:pPr>
      <w:r>
        <w:rPr>
          <w:rFonts w:hint="eastAsia" w:ascii="宋体" w:hAnsi="宋体" w:eastAsia="宋体" w:cs="宋体"/>
          <w:sz w:val="24"/>
          <w:szCs w:val="24"/>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p>
    <w:p w14:paraId="288AC9DA">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rPr>
      </w:pPr>
      <w:r>
        <w:rPr>
          <w:rFonts w:hint="eastAsia" w:ascii="宋体" w:hAnsi="宋体" w:eastAsia="宋体" w:cs="宋体"/>
          <w:sz w:val="24"/>
          <w:szCs w:val="24"/>
        </w:rPr>
        <w:t>（1）科学公正。绩效评价应当运用科学合理的方法，按照规范的程序，对项目绩效进行客观、公正的反映。</w:t>
      </w:r>
    </w:p>
    <w:p w14:paraId="690861BA">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rPr>
      </w:pPr>
      <w:r>
        <w:rPr>
          <w:rFonts w:hint="eastAsia" w:ascii="宋体" w:hAnsi="宋体" w:eastAsia="宋体" w:cs="宋体"/>
          <w:sz w:val="24"/>
          <w:szCs w:val="24"/>
        </w:rPr>
        <w:t>（2）统筹兼顾。单位自评、部门评价和财政评价应职责明确，各有侧重，相互衔接。单位自评应由项目单位自主实施，即“谁支出、谁自评”。部门评价和财政评价应在单位自评的基础上开展，必要时可委托第三方机构实施。</w:t>
      </w:r>
    </w:p>
    <w:p w14:paraId="30A9F6D0">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rPr>
      </w:pPr>
      <w:r>
        <w:rPr>
          <w:rFonts w:hint="eastAsia" w:ascii="宋体" w:hAnsi="宋体" w:eastAsia="宋体" w:cs="宋体"/>
          <w:sz w:val="24"/>
          <w:szCs w:val="24"/>
        </w:rPr>
        <w:t>（3）激励约束。绩效评价结果应与预算安排、政策调整、改进管理实质性挂钩，体现奖优罚劣和激励相容导向，有效要安排、低效要压减、无效要问责。</w:t>
      </w:r>
    </w:p>
    <w:p w14:paraId="3D58AB5D">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rPr>
      </w:pPr>
      <w:r>
        <w:rPr>
          <w:rFonts w:hint="eastAsia" w:ascii="宋体" w:hAnsi="宋体" w:eastAsia="宋体" w:cs="宋体"/>
          <w:sz w:val="24"/>
          <w:szCs w:val="24"/>
        </w:rPr>
        <w:t>（4）公开透明。绩效评价结果应依法依规公开，并自觉接受社会监督。</w:t>
      </w:r>
    </w:p>
    <w:p w14:paraId="1F9EC1CF">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rPr>
      </w:pPr>
      <w:r>
        <w:rPr>
          <w:rFonts w:hint="eastAsia" w:ascii="宋体" w:hAnsi="宋体" w:eastAsia="宋体" w:cs="宋体"/>
          <w:sz w:val="24"/>
          <w:szCs w:val="24"/>
        </w:rPr>
        <w:t>根据以上原则，绩效评价应遵循如下要求:</w:t>
      </w:r>
    </w:p>
    <w:p w14:paraId="061560B1">
      <w:pPr>
        <w:pStyle w:val="47"/>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1）在数据采集时，采取客观数据，主管部门审查、社会中介组织复查，与问卷调查相结合的形式，以保证各项指标的真实性。</w:t>
      </w:r>
    </w:p>
    <w:p w14:paraId="431DFEAE">
      <w:pPr>
        <w:pStyle w:val="47"/>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2）保证评价结果的真实性、公正性，提高评价报告的公信力。</w:t>
      </w:r>
    </w:p>
    <w:p w14:paraId="40A59202">
      <w:pPr>
        <w:pStyle w:val="47"/>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3）绩</w:t>
      </w:r>
      <w:r>
        <w:rPr>
          <w:rFonts w:hint="eastAsia" w:ascii="宋体" w:hAnsi="宋体" w:eastAsia="宋体" w:cs="宋体"/>
          <w:color w:val="000000"/>
          <w:sz w:val="24"/>
          <w:szCs w:val="24"/>
          <w:highlight w:val="none"/>
          <w:lang w:val="en-US" w:eastAsia="zh-CN"/>
        </w:rPr>
        <w:t>效</w:t>
      </w:r>
      <w:r>
        <w:rPr>
          <w:rFonts w:hint="eastAsia" w:ascii="宋体" w:hAnsi="宋体" w:eastAsia="宋体" w:cs="宋体"/>
          <w:color w:val="000000"/>
          <w:sz w:val="24"/>
          <w:szCs w:val="24"/>
          <w:highlight w:val="none"/>
        </w:rPr>
        <w:t>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p>
    <w:p w14:paraId="76B73016">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2.绩效评价指标体系</w:t>
      </w:r>
    </w:p>
    <w:p w14:paraId="221D3B77">
      <w:pPr>
        <w:pStyle w:val="47"/>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sz w:val="24"/>
          <w:szCs w:val="24"/>
        </w:rPr>
      </w:pPr>
      <w:r>
        <w:rPr>
          <w:rFonts w:hint="eastAsia" w:ascii="宋体" w:hAnsi="宋体" w:eastAsia="宋体" w:cs="宋体"/>
          <w:sz w:val="24"/>
          <w:szCs w:val="24"/>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w:t>
      </w:r>
      <w:r>
        <w:rPr>
          <w:rFonts w:hint="eastAsia" w:ascii="宋体" w:hAnsi="宋体" w:eastAsia="宋体" w:cs="宋体"/>
          <w:sz w:val="24"/>
          <w:szCs w:val="24"/>
          <w:lang w:val="en-US" w:eastAsia="zh-CN"/>
        </w:rPr>
        <w:t>2</w:t>
      </w:r>
      <w:r>
        <w:rPr>
          <w:rFonts w:hint="eastAsia" w:ascii="宋体" w:hAnsi="宋体" w:eastAsia="宋体" w:cs="宋体"/>
          <w:sz w:val="24"/>
          <w:szCs w:val="24"/>
        </w:rPr>
        <w:t>个二级指标。项目绩效评价体系</w:t>
      </w:r>
      <w:r>
        <w:rPr>
          <w:rFonts w:hint="eastAsia" w:ascii="宋体" w:hAnsi="宋体" w:eastAsia="宋体" w:cs="宋体"/>
          <w:sz w:val="24"/>
          <w:szCs w:val="24"/>
          <w:lang w:eastAsia="zh-CN"/>
        </w:rPr>
        <w:t>。</w:t>
      </w:r>
      <w:r>
        <w:rPr>
          <w:rFonts w:hint="eastAsia" w:ascii="宋体" w:hAnsi="宋体" w:eastAsia="宋体" w:cs="宋体"/>
          <w:sz w:val="24"/>
          <w:szCs w:val="24"/>
        </w:rPr>
        <w:t>详细指标体系见“附件1：项目支出绩效评价体系”。</w:t>
      </w:r>
    </w:p>
    <w:p w14:paraId="76E27717">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3.绩效评价方法</w:t>
      </w:r>
    </w:p>
    <w:p w14:paraId="32544C8B">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14:paraId="01AB2C2B">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具体</w:t>
      </w:r>
      <w:r>
        <w:rPr>
          <w:rFonts w:hint="eastAsia" w:ascii="宋体" w:hAnsi="宋体" w:eastAsia="宋体" w:cs="宋体"/>
          <w:b w:val="0"/>
          <w:bCs/>
          <w:sz w:val="24"/>
          <w:szCs w:val="24"/>
        </w:rPr>
        <w:t>评价方法的应用如下:</w:t>
      </w:r>
    </w:p>
    <w:p w14:paraId="561CBF76">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立项依据充分性：比较法、文献法，查找法律法规政策以及规划，对比实际执行内容和政策支持内容是否匹配。</w:t>
      </w:r>
    </w:p>
    <w:p w14:paraId="14EA2CDF">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立项程序规范性：比较法、文献法，查找相关项目设立的政策和文件要求，对比分析实际执行程序是否按照政策及文件要求执行，分析立项程序的规范性。</w:t>
      </w:r>
    </w:p>
    <w:p w14:paraId="30C27E00">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绩效目标合理性：比较法，对比分析年初编制项目支出绩效目标表与项目内容的相关性、资金的匹配性等。</w:t>
      </w:r>
    </w:p>
    <w:p w14:paraId="42320C84">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绩效指标明确性：比较法，比较分析年初编制项目支出绩效目标表是否符合双七原则，是否可衡量。</w:t>
      </w:r>
    </w:p>
    <w:p w14:paraId="44B74ED0">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预算编制科学性</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成本效益分析法</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分析在产出一定的情况下，成本取值是否有依据，是否经过询价，是否按照市场最低成本编制。</w:t>
      </w:r>
    </w:p>
    <w:p w14:paraId="232AF110">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lang w:eastAsia="zh-CN"/>
        </w:rPr>
      </w:pPr>
      <w:r>
        <w:rPr>
          <w:rFonts w:hint="eastAsia" w:ascii="宋体" w:hAnsi="宋体" w:eastAsia="宋体" w:cs="宋体"/>
          <w:b w:val="0"/>
          <w:bCs/>
          <w:sz w:val="24"/>
          <w:szCs w:val="24"/>
        </w:rPr>
        <w:t>资金分配合理性：因素分析法，综合分析资金的分配依据是否充分，分配金额是否与项目实施单位需求金额一致</w:t>
      </w:r>
      <w:r>
        <w:rPr>
          <w:rFonts w:hint="eastAsia" w:ascii="宋体" w:hAnsi="宋体" w:eastAsia="宋体" w:cs="宋体"/>
          <w:b w:val="0"/>
          <w:bCs/>
          <w:sz w:val="24"/>
          <w:szCs w:val="24"/>
          <w:lang w:eastAsia="zh-CN"/>
        </w:rPr>
        <w:t>。</w:t>
      </w:r>
    </w:p>
    <w:p w14:paraId="6E68E9FD">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资金到位率：比较法，资金到位率预期指标值应为100%，通过实际计算，分析实际完成值和预期指标值之间的差距和原因。</w:t>
      </w:r>
    </w:p>
    <w:p w14:paraId="1908B240">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预算执行率：比较法，预算执行率预期指标值应为100%，通过实际计算，分析实际完成值和预期指标值之间的差距和原因。</w:t>
      </w:r>
    </w:p>
    <w:p w14:paraId="2D97C0BE">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资金使用合规性：文献法、实地勘察法，一是查找资金管理办法，包括专项资金管理办法和单位自有资金管理办法；二是通过查账了解具体开支情况，是否专用专用，是否按照标准支出。</w:t>
      </w:r>
    </w:p>
    <w:p w14:paraId="3EBC630A">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管理制度健全性：文献法、比较法，查阅项目实施人员提供的财务和业务管理制度，将已建立的制度与现行的法律法规和政策要求进行对比，分析项目制度的合法性、合规性、完整性。</w:t>
      </w:r>
    </w:p>
    <w:p w14:paraId="163AE08C">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制度执行有效性：比较法，结合项目实际实施过程性文件，根据已建设的财务管理制度和项目管理制度综合分析制度执行的有效性。</w:t>
      </w:r>
    </w:p>
    <w:p w14:paraId="67316E52">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7375ADEB">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定性指标：公众评判法，通过问卷及抽样调查等方式评价本项目实施后社会公众对于其实施效果的满意程度。</w:t>
      </w:r>
    </w:p>
    <w:p w14:paraId="6464F307">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4.绩效评价标准</w:t>
      </w:r>
    </w:p>
    <w:p w14:paraId="7C3EF216">
      <w:pPr>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FF0000"/>
          <w:sz w:val="24"/>
          <w:szCs w:val="24"/>
        </w:rPr>
      </w:pPr>
      <w:bookmarkStart w:id="6" w:name="_Toc68364663"/>
      <w:r>
        <w:rPr>
          <w:rFonts w:hint="eastAsia" w:ascii="宋体" w:hAnsi="宋体" w:eastAsia="宋体" w:cs="宋体"/>
          <w:sz w:val="24"/>
          <w:szCs w:val="24"/>
        </w:rPr>
        <w:t>绩效评价标准通常包括计划标准、行业标准、历史标准等，用于对绩效指标完成情况进行比较、分析</w:t>
      </w:r>
      <w:r>
        <w:rPr>
          <w:rFonts w:hint="eastAsia" w:ascii="宋体" w:hAnsi="宋体" w:eastAsia="宋体" w:cs="宋体"/>
          <w:color w:val="auto"/>
          <w:sz w:val="24"/>
          <w:szCs w:val="24"/>
        </w:rPr>
        <w:t>、评价。本次评价主要采用了</w:t>
      </w:r>
      <w:r>
        <w:rPr>
          <w:rFonts w:hint="eastAsia" w:ascii="宋体" w:hAnsi="宋体" w:eastAsia="宋体" w:cs="宋体"/>
          <w:color w:val="auto"/>
          <w:sz w:val="24"/>
          <w:szCs w:val="24"/>
          <w:lang w:eastAsia="zh-CN"/>
        </w:rPr>
        <w:t>计划</w:t>
      </w:r>
      <w:r>
        <w:rPr>
          <w:rFonts w:hint="eastAsia" w:ascii="宋体" w:hAnsi="宋体" w:eastAsia="宋体" w:cs="宋体"/>
          <w:color w:val="auto"/>
          <w:sz w:val="24"/>
          <w:szCs w:val="24"/>
        </w:rPr>
        <w:t>标准。</w:t>
      </w:r>
    </w:p>
    <w:p w14:paraId="0BC5F120">
      <w:pPr>
        <w:pStyle w:val="5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（三）绩效评价工作过程</w:t>
      </w:r>
      <w:bookmarkEnd w:id="6"/>
    </w:p>
    <w:p w14:paraId="762AC620">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bookmarkStart w:id="7" w:name="_Toc68364664"/>
      <w:r>
        <w:rPr>
          <w:rFonts w:hint="eastAsia" w:ascii="宋体" w:hAnsi="宋体" w:eastAsia="宋体" w:cs="宋体"/>
          <w:b/>
          <w:bCs/>
          <w:color w:val="000000"/>
          <w:sz w:val="24"/>
          <w:szCs w:val="24"/>
          <w:highlight w:val="none"/>
        </w:rPr>
        <w:t>1.前期准备</w:t>
      </w:r>
    </w:p>
    <w:p w14:paraId="7D41F062">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sz w:val="24"/>
          <w:szCs w:val="24"/>
        </w:rPr>
        <w:t>我</w:t>
      </w:r>
      <w:r>
        <w:rPr>
          <w:rFonts w:hint="eastAsia" w:ascii="宋体" w:hAnsi="宋体" w:eastAsia="宋体" w:cs="宋体"/>
          <w:color w:val="auto"/>
          <w:sz w:val="24"/>
          <w:szCs w:val="24"/>
        </w:rPr>
        <w:t>单位于</w:t>
      </w: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20</w:t>
      </w:r>
      <w:r>
        <w:rPr>
          <w:rFonts w:hint="eastAsia" w:ascii="宋体" w:hAnsi="宋体" w:eastAsia="宋体" w:cs="宋体"/>
          <w:color w:val="auto"/>
          <w:sz w:val="24"/>
          <w:szCs w:val="24"/>
        </w:rPr>
        <w:t>日，确定绩</w:t>
      </w:r>
      <w:r>
        <w:rPr>
          <w:rFonts w:hint="eastAsia" w:ascii="宋体" w:hAnsi="宋体" w:eastAsia="宋体" w:cs="宋体"/>
          <w:sz w:val="24"/>
          <w:szCs w:val="24"/>
        </w:rPr>
        <w:t>效评价工作小组，正式开始前期准备工作，通过对评价对象前期调研，确定了评价的目的、方法以及评价的原则，根据项目的内容和特征制定了评价指标体系及评价标准。绩效评价工作小组人员名单及分工如下：</w:t>
      </w:r>
    </w:p>
    <w:p w14:paraId="05A414CA">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王文举</w:t>
      </w:r>
      <w:r>
        <w:rPr>
          <w:rFonts w:hint="eastAsia" w:ascii="宋体" w:hAnsi="宋体" w:eastAsia="宋体" w:cs="宋体"/>
          <w:sz w:val="24"/>
          <w:szCs w:val="24"/>
        </w:rPr>
        <w:t>（评价小组组长）：主要负责</w:t>
      </w:r>
      <w:r>
        <w:rPr>
          <w:rFonts w:hint="eastAsia" w:ascii="宋体" w:hAnsi="宋体" w:eastAsia="宋体" w:cs="宋体"/>
          <w:sz w:val="24"/>
          <w:szCs w:val="24"/>
          <w:lang w:val="en-US" w:eastAsia="zh-CN"/>
        </w:rPr>
        <w:t>组织安排绩效评价工作；</w:t>
      </w:r>
    </w:p>
    <w:p w14:paraId="6E330F0A">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徐元芬</w:t>
      </w:r>
      <w:r>
        <w:rPr>
          <w:rFonts w:hint="eastAsia" w:ascii="宋体" w:hAnsi="宋体" w:eastAsia="宋体" w:cs="宋体"/>
          <w:sz w:val="24"/>
          <w:szCs w:val="24"/>
        </w:rPr>
        <w:t>（评价小组组员）：主要负责</w:t>
      </w:r>
      <w:r>
        <w:rPr>
          <w:rFonts w:hint="eastAsia" w:ascii="宋体" w:hAnsi="宋体" w:eastAsia="宋体" w:cs="宋体"/>
          <w:sz w:val="24"/>
          <w:szCs w:val="24"/>
          <w:lang w:val="en-US" w:eastAsia="zh-CN"/>
        </w:rPr>
        <w:t>资料整理及信息汇总工作；</w:t>
      </w:r>
    </w:p>
    <w:p w14:paraId="5CA6DF3D">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冯伟</w:t>
      </w:r>
      <w:r>
        <w:rPr>
          <w:rFonts w:hint="eastAsia" w:ascii="宋体" w:hAnsi="宋体" w:eastAsia="宋体" w:cs="宋体"/>
          <w:sz w:val="24"/>
          <w:szCs w:val="24"/>
        </w:rPr>
        <w:t>（评价小组组员）：主要负责</w:t>
      </w:r>
      <w:r>
        <w:rPr>
          <w:rFonts w:hint="eastAsia" w:ascii="宋体" w:hAnsi="宋体" w:eastAsia="宋体" w:cs="宋体"/>
          <w:sz w:val="24"/>
          <w:szCs w:val="24"/>
          <w:lang w:val="en-US" w:eastAsia="zh-CN"/>
        </w:rPr>
        <w:t>出具项目绩效评价报告</w:t>
      </w:r>
    </w:p>
    <w:p w14:paraId="2697821E">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2.组织实施</w:t>
      </w:r>
    </w:p>
    <w:p w14:paraId="12F98272">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日-</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30</w:t>
      </w:r>
      <w:r>
        <w:rPr>
          <w:rFonts w:hint="eastAsia" w:ascii="宋体" w:hAnsi="宋体" w:eastAsia="宋体" w:cs="宋体"/>
          <w:color w:val="auto"/>
          <w:sz w:val="24"/>
          <w:szCs w:val="24"/>
        </w:rPr>
        <w:t>日，评价工作进</w:t>
      </w:r>
      <w:r>
        <w:rPr>
          <w:rFonts w:hint="eastAsia" w:ascii="宋体" w:hAnsi="宋体" w:eastAsia="宋体" w:cs="宋体"/>
          <w:sz w:val="24"/>
          <w:szCs w:val="24"/>
        </w:rPr>
        <w:t>入实施阶段。在数据采集方面，评价小组整理单位前期提交的资料，与项目实施负责人沟通，了解资金的内容、操作流程、管理机制、资金使用方向等情况并采集信息，了解项目设置背景及资金使用等情况。</w:t>
      </w:r>
    </w:p>
    <w:p w14:paraId="54AC3313">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3.分析评价</w:t>
      </w:r>
    </w:p>
    <w:p w14:paraId="1C3D2EE3">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日-</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28</w:t>
      </w:r>
      <w:r>
        <w:rPr>
          <w:rFonts w:hint="eastAsia" w:ascii="宋体" w:hAnsi="宋体" w:eastAsia="宋体" w:cs="宋体"/>
          <w:color w:val="auto"/>
          <w:sz w:val="24"/>
          <w:szCs w:val="24"/>
        </w:rPr>
        <w:t>日，评价小组</w:t>
      </w:r>
      <w:r>
        <w:rPr>
          <w:rFonts w:hint="eastAsia" w:ascii="宋体" w:hAnsi="宋体" w:eastAsia="宋体" w:cs="宋体"/>
          <w:sz w:val="24"/>
          <w:szCs w:val="24"/>
        </w:rPr>
        <w:t>按照绩效评价的原则和规范，对取得的资料进行审查核实，对采集的数据进行分析，按照绩效评价指标评分表逐项进行打分、分析、汇总各方评价结果。</w:t>
      </w:r>
    </w:p>
    <w:p w14:paraId="6E8AE446">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4.撰写与提交评价报告</w:t>
      </w:r>
    </w:p>
    <w:p w14:paraId="2E9DAF08">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highlight w:val="none"/>
        </w:rPr>
      </w:pP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15</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评价小组</w:t>
      </w:r>
      <w:r>
        <w:rPr>
          <w:rFonts w:hint="eastAsia" w:ascii="宋体" w:hAnsi="宋体" w:eastAsia="宋体" w:cs="宋体"/>
          <w:sz w:val="24"/>
          <w:szCs w:val="24"/>
          <w:highlight w:val="none"/>
        </w:rPr>
        <w:t>撰写绩效评价报告，按照新疆</w:t>
      </w:r>
      <w:r>
        <w:rPr>
          <w:rFonts w:hint="eastAsia" w:ascii="宋体" w:hAnsi="宋体" w:eastAsia="宋体" w:cs="宋体"/>
          <w:sz w:val="24"/>
          <w:szCs w:val="24"/>
          <w:highlight w:val="none"/>
          <w:lang w:eastAsia="zh-CN"/>
        </w:rPr>
        <w:t>维吾尔自治区财政绩效管理信息系统</w:t>
      </w:r>
      <w:r>
        <w:rPr>
          <w:rFonts w:hint="eastAsia" w:ascii="宋体" w:hAnsi="宋体" w:eastAsia="宋体" w:cs="宋体"/>
          <w:sz w:val="24"/>
          <w:szCs w:val="24"/>
          <w:highlight w:val="none"/>
        </w:rPr>
        <w:t>绩效评价模块中统一格式和文本框架撰写绩效评价报告并提交审核。</w:t>
      </w:r>
    </w:p>
    <w:p w14:paraId="5493A8B7">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5.问题整改</w:t>
      </w:r>
    </w:p>
    <w:p w14:paraId="007241CE">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sz w:val="24"/>
          <w:szCs w:val="24"/>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14:paraId="1C5CD9DF">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6.档案整理</w:t>
      </w:r>
    </w:p>
    <w:p w14:paraId="413364E9">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sz w:val="24"/>
          <w:szCs w:val="24"/>
        </w:rPr>
        <w:t>建立和落实档案管理制度，将项目相关资料存档，包括但不限于：评价项目基本情况和相关文件、评价实施方案、项目支付资料等相关档案。</w:t>
      </w:r>
    </w:p>
    <w:p w14:paraId="25AC02F6">
      <w:pPr>
        <w:pStyle w:val="3"/>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sz w:val="24"/>
          <w:szCs w:val="24"/>
        </w:rPr>
      </w:pPr>
      <w:r>
        <w:rPr>
          <w:rFonts w:hint="eastAsia" w:ascii="黑体" w:hAnsi="黑体" w:eastAsia="黑体" w:cs="黑体"/>
          <w:sz w:val="24"/>
          <w:szCs w:val="24"/>
        </w:rPr>
        <w:t>三、综合评价情况及评价结论</w:t>
      </w:r>
      <w:bookmarkEnd w:id="7"/>
    </w:p>
    <w:p w14:paraId="1E79C0F8">
      <w:pPr>
        <w:pStyle w:val="5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8" w:name="_Toc68364665"/>
      <w:r>
        <w:rPr>
          <w:rFonts w:hint="eastAsia" w:ascii="宋体" w:hAnsi="宋体" w:eastAsia="宋体" w:cs="宋体"/>
          <w:sz w:val="24"/>
          <w:szCs w:val="24"/>
        </w:rPr>
        <w:t>（一）综合评价情况</w:t>
      </w:r>
      <w:bookmarkEnd w:id="8"/>
    </w:p>
    <w:p w14:paraId="27688278">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bookmarkStart w:id="9" w:name="_Toc68364666"/>
      <w:r>
        <w:rPr>
          <w:rFonts w:hint="eastAsia" w:ascii="宋体" w:hAnsi="宋体" w:eastAsia="宋体" w:cs="宋体"/>
          <w:sz w:val="24"/>
          <w:szCs w:val="24"/>
        </w:rPr>
        <w:t>本项目的实施，完善城区道路交通能力，加强道路基础设施建设，强化市政交通能力，有效提升区域内交通流动性，改善群众日常出行安全。项目实施主要通过项目决策、项目过程、项目产出以及项目效益等方面进行评价，其中：</w:t>
      </w:r>
    </w:p>
    <w:p w14:paraId="6467FE4D">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lang w:eastAsia="zh-CN"/>
        </w:rPr>
      </w:pPr>
      <w:r>
        <w:rPr>
          <w:rFonts w:hint="eastAsia" w:ascii="宋体" w:hAnsi="宋体" w:eastAsia="宋体" w:cs="宋体"/>
          <w:sz w:val="24"/>
          <w:szCs w:val="24"/>
        </w:rPr>
        <w:t>项目决策：该项目主要通过</w:t>
      </w:r>
      <w:r>
        <w:rPr>
          <w:rFonts w:hint="eastAsia" w:ascii="宋体" w:hAnsi="宋体" w:eastAsia="宋体" w:cs="宋体"/>
          <w:sz w:val="24"/>
          <w:szCs w:val="24"/>
          <w:lang w:eastAsia="zh-CN"/>
        </w:rPr>
        <w:t>《关于和田地区洛浦县和田路至多鲁路路面提升改造建设项目</w:t>
      </w:r>
      <w:r>
        <w:rPr>
          <w:rFonts w:hint="eastAsia" w:ascii="宋体" w:hAnsi="宋体" w:eastAsia="宋体" w:cs="宋体"/>
          <w:sz w:val="24"/>
          <w:szCs w:val="24"/>
          <w:lang w:val="en-US" w:eastAsia="zh-CN"/>
        </w:rPr>
        <w:t>初步设计的批复</w:t>
      </w:r>
      <w:r>
        <w:rPr>
          <w:rFonts w:hint="eastAsia" w:ascii="宋体" w:hAnsi="宋体" w:eastAsia="宋体" w:cs="宋体"/>
          <w:sz w:val="24"/>
          <w:szCs w:val="24"/>
          <w:lang w:eastAsia="zh-CN"/>
        </w:rPr>
        <w:t>》和发改项目【</w:t>
      </w:r>
      <w:r>
        <w:rPr>
          <w:rFonts w:hint="eastAsia" w:ascii="宋体" w:hAnsi="宋体" w:eastAsia="宋体" w:cs="宋体"/>
          <w:sz w:val="24"/>
          <w:szCs w:val="24"/>
          <w:lang w:val="en-US" w:eastAsia="zh-CN"/>
        </w:rPr>
        <w:t>2024】41号</w:t>
      </w:r>
      <w:r>
        <w:rPr>
          <w:rFonts w:hint="eastAsia" w:ascii="宋体" w:hAnsi="宋体" w:eastAsia="宋体" w:cs="宋体"/>
          <w:sz w:val="24"/>
          <w:szCs w:val="24"/>
        </w:rPr>
        <w:t>文件立项，项目实施符合相关法规政策及部门职责要求，项目立项依据充分，立项程序规范。</w:t>
      </w:r>
    </w:p>
    <w:p w14:paraId="6732B9D3">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sz w:val="24"/>
          <w:szCs w:val="24"/>
        </w:rPr>
        <w:t>项目过程：和田地区洛浦县和田路至多鲁路路面提升改造建设项目预算安排</w:t>
      </w:r>
      <w:r>
        <w:rPr>
          <w:rFonts w:hint="eastAsia" w:ascii="宋体" w:hAnsi="宋体" w:eastAsia="宋体" w:cs="宋体"/>
          <w:sz w:val="24"/>
          <w:szCs w:val="24"/>
          <w:lang w:val="en-US" w:eastAsia="zh-CN"/>
        </w:rPr>
        <w:t>2400</w:t>
      </w:r>
      <w:r>
        <w:rPr>
          <w:rFonts w:hint="eastAsia" w:ascii="宋体" w:hAnsi="宋体" w:eastAsia="宋体" w:cs="宋体"/>
          <w:sz w:val="24"/>
          <w:szCs w:val="24"/>
        </w:rPr>
        <w:t>万元，实际支出</w:t>
      </w:r>
      <w:r>
        <w:rPr>
          <w:rFonts w:hint="eastAsia" w:ascii="宋体" w:hAnsi="宋体" w:eastAsia="宋体" w:cs="宋体"/>
          <w:sz w:val="24"/>
          <w:szCs w:val="24"/>
          <w:lang w:val="en-US" w:eastAsia="zh-CN"/>
        </w:rPr>
        <w:t>1687</w:t>
      </w:r>
      <w:r>
        <w:rPr>
          <w:rFonts w:hint="eastAsia" w:ascii="宋体" w:hAnsi="宋体" w:eastAsia="宋体" w:cs="宋体"/>
          <w:sz w:val="24"/>
          <w:szCs w:val="24"/>
        </w:rPr>
        <w:t>万元，预算执行率</w:t>
      </w:r>
      <w:r>
        <w:rPr>
          <w:rFonts w:hint="eastAsia" w:ascii="宋体" w:hAnsi="宋体" w:eastAsia="宋体" w:cs="宋体"/>
          <w:sz w:val="24"/>
          <w:szCs w:val="24"/>
          <w:lang w:val="en-US" w:eastAsia="zh-CN"/>
        </w:rPr>
        <w:t>70.29</w:t>
      </w:r>
      <w:r>
        <w:rPr>
          <w:rFonts w:hint="eastAsia" w:ascii="宋体" w:hAnsi="宋体" w:eastAsia="宋体" w:cs="宋体"/>
          <w:sz w:val="24"/>
          <w:szCs w:val="24"/>
        </w:rPr>
        <w:t>%。项目资金使用合规，项目财务管理制度健全，财务监控到位，所有资金支付均按照国库集中支付制度严格执行，现有项目管理制度执行情况良好。</w:t>
      </w:r>
    </w:p>
    <w:p w14:paraId="502AF4B2">
      <w:pPr>
        <w:pageBreakBefore w:val="0"/>
        <w:widowControl w:val="0"/>
        <w:kinsoku/>
        <w:wordWrap/>
        <w:overflowPunct/>
        <w:topLinePunct w:val="0"/>
        <w:autoSpaceDE/>
        <w:autoSpaceDN/>
        <w:bidi w:val="0"/>
        <w:adjustRightInd/>
        <w:snapToGrid/>
        <w:spacing w:line="360" w:lineRule="auto"/>
        <w:ind w:firstLine="560"/>
        <w:jc w:val="both"/>
        <w:textAlignment w:val="auto"/>
        <w:rPr>
          <w:rFonts w:hint="default" w:ascii="宋体" w:hAnsi="宋体" w:eastAsia="宋体" w:cs="宋体"/>
          <w:sz w:val="24"/>
          <w:szCs w:val="24"/>
          <w:lang w:val="en-US" w:eastAsia="zh-CN"/>
        </w:rPr>
      </w:pPr>
      <w:r>
        <w:rPr>
          <w:rFonts w:hint="eastAsia" w:ascii="宋体" w:hAnsi="宋体" w:eastAsia="宋体" w:cs="宋体"/>
          <w:sz w:val="24"/>
          <w:szCs w:val="24"/>
        </w:rPr>
        <w:t>项目产出：道路改造长度3324.809米</w:t>
      </w:r>
      <w:r>
        <w:rPr>
          <w:rFonts w:hint="eastAsia" w:ascii="宋体" w:hAnsi="宋体" w:eastAsia="宋体" w:cs="宋体"/>
          <w:sz w:val="24"/>
          <w:szCs w:val="24"/>
          <w:lang w:eastAsia="zh-CN"/>
        </w:rPr>
        <w:t>，道路改造宽度</w:t>
      </w:r>
      <w:r>
        <w:rPr>
          <w:rFonts w:hint="eastAsia" w:ascii="宋体" w:hAnsi="宋体" w:eastAsia="宋体" w:cs="宋体"/>
          <w:sz w:val="24"/>
          <w:szCs w:val="24"/>
          <w:lang w:val="en-US" w:eastAsia="zh-CN"/>
        </w:rPr>
        <w:t>26米，道路改造2条，改造附属工程1项。竣工验收合格率100%，项目设计变更率为0%。</w:t>
      </w:r>
    </w:p>
    <w:p w14:paraId="786836A5">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项目效益：通过本项目的实施，完善城区道路交通能力，加强道路基础设施建设，强化市政交通能力，有效提升区域内交通流动性，改善群众日常出行安全</w:t>
      </w:r>
      <w:r>
        <w:rPr>
          <w:rFonts w:hint="eastAsia" w:ascii="宋体" w:hAnsi="宋体" w:eastAsia="宋体" w:cs="宋体"/>
          <w:sz w:val="24"/>
          <w:szCs w:val="24"/>
          <w:lang w:eastAsia="zh-CN"/>
        </w:rPr>
        <w:t>，</w:t>
      </w:r>
      <w:r>
        <w:rPr>
          <w:rFonts w:hint="eastAsia" w:ascii="宋体" w:hAnsi="宋体" w:eastAsia="宋体" w:cs="宋体"/>
          <w:sz w:val="24"/>
          <w:szCs w:val="24"/>
        </w:rPr>
        <w:t>项目完成后争取使受益</w:t>
      </w:r>
      <w:r>
        <w:rPr>
          <w:rFonts w:hint="eastAsia" w:ascii="宋体" w:hAnsi="宋体" w:eastAsia="宋体" w:cs="宋体"/>
          <w:sz w:val="24"/>
          <w:szCs w:val="24"/>
          <w:lang w:eastAsia="zh-CN"/>
        </w:rPr>
        <w:t>群众</w:t>
      </w:r>
      <w:r>
        <w:rPr>
          <w:rFonts w:hint="eastAsia" w:ascii="宋体" w:hAnsi="宋体" w:eastAsia="宋体" w:cs="宋体"/>
          <w:sz w:val="24"/>
          <w:szCs w:val="24"/>
        </w:rPr>
        <w:t>满意度达到95%。</w:t>
      </w:r>
    </w:p>
    <w:p w14:paraId="0A12AABC">
      <w:pPr>
        <w:pStyle w:val="5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（二）综合评价结论</w:t>
      </w:r>
    </w:p>
    <w:p w14:paraId="3305D0A3">
      <w:pPr>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FF0000"/>
          <w:sz w:val="24"/>
          <w:szCs w:val="24"/>
        </w:rPr>
      </w:pPr>
      <w:r>
        <w:rPr>
          <w:rFonts w:hint="eastAsia" w:ascii="宋体" w:hAnsi="宋体" w:eastAsia="宋体" w:cs="宋体"/>
          <w:color w:val="333333"/>
          <w:sz w:val="24"/>
          <w:szCs w:val="24"/>
        </w:rPr>
        <w:t>依据《中共中央国务院关于全面实施预算绩效管理的意见》《项目支出绩效评价管理办法》（财预〔2020〕10号）文件，绩效评价总分设置为100分，划分为四档：</w:t>
      </w:r>
      <w:r>
        <w:rPr>
          <w:rFonts w:hint="eastAsia" w:ascii="宋体" w:hAnsi="宋体" w:eastAsia="宋体" w:cs="宋体"/>
          <w:color w:val="auto"/>
          <w:sz w:val="24"/>
          <w:szCs w:val="24"/>
        </w:rPr>
        <w:t>90（含）-100分为“优”、80（含）-90分为“良”、70（含）-80分为“中”、70分以下为“差”。经对和田地区洛浦县和田路至多鲁路路面提升改造建设项目进行客观评价，最终评分结果：评价总分</w:t>
      </w:r>
      <w:r>
        <w:rPr>
          <w:rFonts w:hint="eastAsia" w:ascii="宋体" w:hAnsi="宋体" w:eastAsia="宋体" w:cs="宋体"/>
          <w:color w:val="auto"/>
          <w:sz w:val="24"/>
          <w:szCs w:val="24"/>
          <w:lang w:val="en-US" w:eastAsia="zh-CN"/>
        </w:rPr>
        <w:t>96.44</w:t>
      </w:r>
      <w:r>
        <w:rPr>
          <w:rFonts w:hint="eastAsia" w:ascii="宋体" w:hAnsi="宋体" w:eastAsia="宋体" w:cs="宋体"/>
          <w:color w:val="auto"/>
          <w:sz w:val="24"/>
          <w:szCs w:val="24"/>
        </w:rPr>
        <w:t>分，绩效等级为“</w:t>
      </w:r>
      <w:r>
        <w:rPr>
          <w:rFonts w:hint="eastAsia" w:ascii="宋体" w:hAnsi="宋体" w:eastAsia="宋体" w:cs="宋体"/>
          <w:color w:val="auto"/>
          <w:sz w:val="24"/>
          <w:szCs w:val="24"/>
          <w:lang w:eastAsia="zh-CN"/>
        </w:rPr>
        <w:t>优</w:t>
      </w:r>
      <w:r>
        <w:rPr>
          <w:rFonts w:hint="eastAsia" w:ascii="宋体" w:hAnsi="宋体" w:eastAsia="宋体" w:cs="宋体"/>
          <w:color w:val="auto"/>
          <w:sz w:val="24"/>
          <w:szCs w:val="24"/>
        </w:rPr>
        <w:t>”。</w:t>
      </w:r>
      <w:bookmarkEnd w:id="9"/>
    </w:p>
    <w:p w14:paraId="794BC1E3">
      <w:pPr>
        <w:pStyle w:val="3"/>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sz w:val="24"/>
          <w:szCs w:val="24"/>
        </w:rPr>
      </w:pPr>
      <w:bookmarkStart w:id="10" w:name="_Toc68364667"/>
      <w:r>
        <w:rPr>
          <w:rFonts w:hint="eastAsia" w:ascii="黑体" w:hAnsi="黑体" w:eastAsia="黑体" w:cs="黑体"/>
          <w:sz w:val="24"/>
          <w:szCs w:val="24"/>
        </w:rPr>
        <w:t>四、绩效评价指标分析</w:t>
      </w:r>
      <w:bookmarkEnd w:id="10"/>
    </w:p>
    <w:p w14:paraId="25D6D12D">
      <w:pPr>
        <w:pStyle w:val="5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11" w:name="_Toc68364668"/>
      <w:r>
        <w:rPr>
          <w:rFonts w:hint="eastAsia" w:ascii="宋体" w:hAnsi="宋体" w:eastAsia="宋体" w:cs="宋体"/>
          <w:sz w:val="24"/>
          <w:szCs w:val="24"/>
        </w:rPr>
        <w:t>（一）项目决策情况</w:t>
      </w:r>
    </w:p>
    <w:p w14:paraId="37FC9691">
      <w:pPr>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项目决策类指标包括项目立项、绩效目标和资金投入三方面的内容，由6个三级指标构成，权重分为</w:t>
      </w:r>
      <w:r>
        <w:rPr>
          <w:rFonts w:hint="eastAsia" w:ascii="宋体" w:hAnsi="宋体" w:eastAsia="宋体" w:cs="宋体"/>
          <w:color w:val="auto"/>
          <w:sz w:val="24"/>
          <w:szCs w:val="24"/>
          <w:lang w:val="en-US" w:eastAsia="zh-CN"/>
        </w:rPr>
        <w:t>23</w:t>
      </w:r>
      <w:r>
        <w:rPr>
          <w:rFonts w:hint="eastAsia" w:ascii="宋体" w:hAnsi="宋体" w:eastAsia="宋体" w:cs="宋体"/>
          <w:color w:val="auto"/>
          <w:sz w:val="24"/>
          <w:szCs w:val="24"/>
        </w:rPr>
        <w:t>分，实际得分</w:t>
      </w:r>
      <w:r>
        <w:rPr>
          <w:rFonts w:hint="eastAsia" w:ascii="宋体" w:hAnsi="宋体" w:eastAsia="宋体" w:cs="宋体"/>
          <w:color w:val="auto"/>
          <w:sz w:val="24"/>
          <w:szCs w:val="24"/>
          <w:lang w:val="en-US" w:eastAsia="zh-CN"/>
        </w:rPr>
        <w:t>23</w:t>
      </w:r>
      <w:r>
        <w:rPr>
          <w:rFonts w:hint="eastAsia" w:ascii="宋体" w:hAnsi="宋体" w:eastAsia="宋体" w:cs="宋体"/>
          <w:color w:val="auto"/>
          <w:sz w:val="24"/>
          <w:szCs w:val="24"/>
        </w:rPr>
        <w:t>分，得分率为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w:t>
      </w:r>
    </w:p>
    <w:p w14:paraId="7C355939">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1.</w:t>
      </w:r>
      <w:r>
        <w:rPr>
          <w:rFonts w:hint="eastAsia" w:ascii="宋体" w:hAnsi="宋体" w:eastAsia="宋体" w:cs="宋体"/>
          <w:b/>
          <w:bCs/>
          <w:color w:val="000000"/>
          <w:sz w:val="24"/>
          <w:szCs w:val="24"/>
          <w:highlight w:val="none"/>
        </w:rPr>
        <w:t>立项依据充分性</w:t>
      </w:r>
    </w:p>
    <w:p w14:paraId="61FC2FE2">
      <w:pPr>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本项目立项符合《</w:t>
      </w:r>
      <w:r>
        <w:rPr>
          <w:rFonts w:hint="eastAsia" w:ascii="宋体" w:hAnsi="宋体" w:eastAsia="宋体" w:cs="宋体"/>
          <w:color w:val="auto"/>
          <w:sz w:val="24"/>
          <w:szCs w:val="24"/>
          <w:lang w:eastAsia="zh-CN"/>
        </w:rPr>
        <w:t>洛浦县住房和城乡建设局</w:t>
      </w:r>
      <w:r>
        <w:rPr>
          <w:rFonts w:hint="eastAsia" w:ascii="宋体" w:hAnsi="宋体" w:eastAsia="宋体" w:cs="宋体"/>
          <w:color w:val="auto"/>
          <w:sz w:val="24"/>
          <w:szCs w:val="24"/>
        </w:rPr>
        <w:t>配置内设机构和人员编制规定》中职责范围中的</w:t>
      </w:r>
      <w:r>
        <w:rPr>
          <w:rFonts w:hint="eastAsia" w:ascii="宋体" w:hAnsi="宋体" w:eastAsia="宋体" w:cs="宋体"/>
          <w:color w:val="auto"/>
          <w:sz w:val="24"/>
          <w:szCs w:val="24"/>
          <w:lang w:val="en-US" w:eastAsia="zh-CN"/>
        </w:rPr>
        <w:t>“负责县城市政建设、管理与发展工作。制定市政公用设施建设的发展战略、中长期规划、年度计划，负责市政公用事业特许经营、供水、供气、供热和市容环境卫生、园林绿化法律法规规章执行的监督指导;指导城市市政公用设施建设、安全和应急管理;负责辖区城镇燃气经营许可的监督管理工作。”</w:t>
      </w:r>
      <w:r>
        <w:rPr>
          <w:rFonts w:hint="eastAsia" w:ascii="宋体" w:hAnsi="宋体" w:eastAsia="宋体" w:cs="宋体"/>
          <w:color w:val="auto"/>
          <w:sz w:val="24"/>
          <w:szCs w:val="24"/>
        </w:rPr>
        <w:t>属于我单位履职所需；根据《财政资金直接支付申请书》，本项目资金性质为“公共财政预算”功能分类为</w:t>
      </w:r>
      <w:r>
        <w:rPr>
          <w:rFonts w:hint="eastAsia" w:ascii="宋体" w:hAnsi="宋体" w:eastAsia="宋体" w:cs="宋体"/>
          <w:color w:val="auto"/>
          <w:sz w:val="24"/>
          <w:szCs w:val="24"/>
          <w:lang w:val="en-US"/>
        </w:rPr>
        <w:t>“</w:t>
      </w:r>
      <w:r>
        <w:rPr>
          <w:rFonts w:hint="eastAsia" w:ascii="宋体" w:hAnsi="宋体" w:eastAsia="宋体" w:cs="宋体"/>
          <w:color w:val="auto"/>
          <w:sz w:val="24"/>
          <w:szCs w:val="24"/>
          <w:lang w:val="en-US" w:eastAsia="zh-CN"/>
        </w:rPr>
        <w:t>2120303小城镇基础设施建设</w:t>
      </w:r>
      <w:r>
        <w:rPr>
          <w:rFonts w:hint="eastAsia" w:ascii="宋体" w:hAnsi="宋体" w:eastAsia="宋体" w:cs="宋体"/>
          <w:color w:val="auto"/>
          <w:sz w:val="24"/>
          <w:szCs w:val="24"/>
        </w:rPr>
        <w:t>”经济分类为“</w:t>
      </w:r>
      <w:r>
        <w:rPr>
          <w:rFonts w:hint="eastAsia" w:ascii="宋体" w:hAnsi="宋体" w:eastAsia="宋体" w:cs="宋体"/>
          <w:color w:val="auto"/>
          <w:sz w:val="24"/>
          <w:szCs w:val="24"/>
          <w:lang w:val="en-US" w:eastAsia="zh-CN"/>
        </w:rPr>
        <w:t>30905基础设施建设</w:t>
      </w:r>
      <w:r>
        <w:rPr>
          <w:rFonts w:hint="eastAsia" w:ascii="宋体" w:hAnsi="宋体" w:eastAsia="宋体" w:cs="宋体"/>
          <w:color w:val="auto"/>
          <w:sz w:val="24"/>
          <w:szCs w:val="24"/>
        </w:rPr>
        <w:t>”属于公共财政支持范围，符合中央、地方事权支出责任划分原则；经检查我单位财政应用平台指标，本项目不存在重复。</w:t>
      </w:r>
    </w:p>
    <w:p w14:paraId="73A9BD52">
      <w:pPr>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综上所述，本指标满分为</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分，根据评分标准得</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分，本项目立项依据充分。</w:t>
      </w:r>
    </w:p>
    <w:p w14:paraId="65D16A97">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2.立项程序规范性</w:t>
      </w:r>
    </w:p>
    <w:p w14:paraId="0581A7D7">
      <w:pPr>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项目立项过程中产生的文件均符合相关要求。本项目为</w:t>
      </w:r>
      <w:r>
        <w:rPr>
          <w:rFonts w:hint="eastAsia" w:ascii="宋体" w:hAnsi="宋体" w:eastAsia="宋体" w:cs="宋体"/>
          <w:color w:val="auto"/>
          <w:sz w:val="24"/>
          <w:szCs w:val="24"/>
          <w:lang w:eastAsia="zh-CN"/>
        </w:rPr>
        <w:t>特定</w:t>
      </w:r>
      <w:r>
        <w:rPr>
          <w:rFonts w:hint="eastAsia" w:ascii="宋体" w:hAnsi="宋体" w:eastAsia="宋体" w:cs="宋体"/>
          <w:color w:val="auto"/>
          <w:sz w:val="24"/>
          <w:szCs w:val="24"/>
        </w:rPr>
        <w:t>类项目，属于经常性项目，项目预算金额为</w:t>
      </w:r>
      <w:r>
        <w:rPr>
          <w:rFonts w:hint="eastAsia" w:ascii="宋体" w:hAnsi="宋体" w:eastAsia="宋体" w:cs="宋体"/>
          <w:color w:val="auto"/>
          <w:sz w:val="24"/>
          <w:szCs w:val="24"/>
          <w:lang w:val="en-US" w:eastAsia="zh-CN"/>
        </w:rPr>
        <w:t>2400</w:t>
      </w:r>
      <w:r>
        <w:rPr>
          <w:rFonts w:hint="eastAsia" w:ascii="宋体" w:hAnsi="宋体" w:eastAsia="宋体" w:cs="宋体"/>
          <w:color w:val="auto"/>
          <w:sz w:val="24"/>
          <w:szCs w:val="24"/>
        </w:rPr>
        <w:t>万元，不涉及事前绩效评估和风险评估，已</w:t>
      </w:r>
      <w:r>
        <w:rPr>
          <w:rFonts w:hint="eastAsia" w:ascii="宋体" w:hAnsi="宋体" w:eastAsia="宋体" w:cs="宋体"/>
          <w:color w:val="auto"/>
          <w:sz w:val="24"/>
          <w:szCs w:val="24"/>
          <w:lang w:eastAsia="zh-CN"/>
        </w:rPr>
        <w:t>制定实施方案</w:t>
      </w:r>
      <w:r>
        <w:rPr>
          <w:rFonts w:hint="eastAsia" w:ascii="宋体" w:hAnsi="宋体" w:eastAsia="宋体" w:cs="宋体"/>
          <w:color w:val="auto"/>
          <w:sz w:val="24"/>
          <w:szCs w:val="24"/>
        </w:rPr>
        <w:t>，并经过专家论证。</w:t>
      </w:r>
    </w:p>
    <w:p w14:paraId="1E136371">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综上所述，本指标满分为3分，根据评分标准得</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分，本项目立项程序合规。</w:t>
      </w:r>
    </w:p>
    <w:p w14:paraId="6A5EFDC2">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sz w:val="24"/>
          <w:szCs w:val="24"/>
        </w:rPr>
      </w:pPr>
      <w:r>
        <w:rPr>
          <w:rFonts w:hint="eastAsia" w:ascii="宋体" w:hAnsi="宋体" w:eastAsia="宋体" w:cs="宋体"/>
          <w:b/>
          <w:bCs/>
          <w:color w:val="000000"/>
          <w:sz w:val="24"/>
          <w:szCs w:val="24"/>
          <w:highlight w:val="none"/>
          <w:lang w:val="en-US" w:eastAsia="zh-CN"/>
        </w:rPr>
        <w:t>3.绩效目标合理性</w:t>
      </w:r>
    </w:p>
    <w:p w14:paraId="77932E93">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①该项目已设置年度绩效目标，具体内容为“目标1：对和田路、多鲁路2条市政道路进行改造，道路长度3324.809米，宽度26米，包含路基路面、路缘石挖除替换，交通工程包含标志标牌、标线等基础设施。</w:t>
      </w:r>
    </w:p>
    <w:p w14:paraId="07653221">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目标2：完善城区道路交通能力，加强道路基础设施建设，强化市政交通能力，有效提升区域内交通流动性，改善群众日常出行安全”。</w:t>
      </w:r>
    </w:p>
    <w:p w14:paraId="75E71911">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②该项目实际工作内容为：截止2024年12月31日，该项目已实施完毕，已支付资金1687万元。项目已完成的主要内容：对和田路、多鲁路2条市政道路进行改造，道路长度3324.809米，宽度26米，包含路基路面、路缘石挖除替换，交通工程包含标志标牌、标线等基础设施。通过该项目实施，完善了城区道路交通能力，加强了道路基础设施建设，强化了市政交通能力，有效提升了区域内交通流动性，保障了群众日常出行安全。绩效目标与实际工作内容一致，两者具有相关性。</w:t>
      </w:r>
    </w:p>
    <w:p w14:paraId="7BC9DC05">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③该项目按照绩效目标完成数量指标、质量指标、时效指标、成本指标，完成了</w:t>
      </w:r>
      <w:r>
        <w:rPr>
          <w:rFonts w:hint="eastAsia" w:ascii="宋体" w:hAnsi="宋体" w:eastAsia="宋体" w:cs="宋体"/>
          <w:color w:val="auto"/>
          <w:sz w:val="24"/>
          <w:szCs w:val="24"/>
          <w:lang w:eastAsia="zh-CN"/>
        </w:rPr>
        <w:t>各项指标任务</w:t>
      </w:r>
      <w:r>
        <w:rPr>
          <w:rFonts w:hint="eastAsia" w:ascii="宋体" w:hAnsi="宋体" w:eastAsia="宋体" w:cs="宋体"/>
          <w:color w:val="auto"/>
          <w:sz w:val="24"/>
          <w:szCs w:val="24"/>
        </w:rPr>
        <w:t>，达到</w:t>
      </w:r>
      <w:r>
        <w:rPr>
          <w:rFonts w:hint="eastAsia" w:ascii="宋体" w:hAnsi="宋体" w:eastAsia="宋体" w:cs="宋体"/>
          <w:color w:val="auto"/>
          <w:sz w:val="24"/>
          <w:szCs w:val="24"/>
          <w:lang w:eastAsia="zh-CN"/>
        </w:rPr>
        <w:t>设定的预期</w:t>
      </w:r>
      <w:r>
        <w:rPr>
          <w:rFonts w:hint="eastAsia" w:ascii="宋体" w:hAnsi="宋体" w:eastAsia="宋体" w:cs="宋体"/>
          <w:color w:val="auto"/>
          <w:sz w:val="24"/>
          <w:szCs w:val="24"/>
        </w:rPr>
        <w:t>效益，预期产出效益和效果符合正常的业绩水平。</w:t>
      </w:r>
    </w:p>
    <w:p w14:paraId="39F30A03">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④该项目批复的预算金额为</w:t>
      </w:r>
      <w:r>
        <w:rPr>
          <w:rFonts w:hint="eastAsia" w:ascii="宋体" w:hAnsi="宋体" w:eastAsia="宋体" w:cs="宋体"/>
          <w:color w:val="auto"/>
          <w:sz w:val="24"/>
          <w:szCs w:val="24"/>
          <w:lang w:val="en-US" w:eastAsia="zh-CN"/>
        </w:rPr>
        <w:t>2400</w:t>
      </w:r>
      <w:r>
        <w:rPr>
          <w:rFonts w:hint="eastAsia" w:ascii="宋体" w:hAnsi="宋体" w:eastAsia="宋体" w:cs="宋体"/>
          <w:color w:val="auto"/>
          <w:sz w:val="24"/>
          <w:szCs w:val="24"/>
        </w:rPr>
        <w:t>万元，《和田地区洛浦县和田路至多鲁路路面提升改造建设项目支出绩效目标表》中预算金额为</w:t>
      </w:r>
      <w:r>
        <w:rPr>
          <w:rFonts w:hint="eastAsia" w:ascii="宋体" w:hAnsi="宋体" w:eastAsia="宋体" w:cs="宋体"/>
          <w:color w:val="auto"/>
          <w:sz w:val="24"/>
          <w:szCs w:val="24"/>
          <w:lang w:val="en-US" w:eastAsia="zh-CN"/>
        </w:rPr>
        <w:t>2400</w:t>
      </w:r>
      <w:r>
        <w:rPr>
          <w:rFonts w:hint="eastAsia" w:ascii="宋体" w:hAnsi="宋体" w:eastAsia="宋体" w:cs="宋体"/>
          <w:color w:val="auto"/>
          <w:sz w:val="24"/>
          <w:szCs w:val="24"/>
        </w:rPr>
        <w:t>万元，预算确定的项目资金与预算确定的项目投资额相匹配。</w:t>
      </w:r>
    </w:p>
    <w:p w14:paraId="58C4C35D">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⑤本单位</w:t>
      </w:r>
      <w:r>
        <w:rPr>
          <w:rFonts w:hint="eastAsia" w:ascii="宋体" w:hAnsi="宋体" w:eastAsia="宋体" w:cs="宋体"/>
          <w:color w:val="auto"/>
          <w:sz w:val="24"/>
          <w:szCs w:val="24"/>
        </w:rPr>
        <w:t>制定了实施方案，明确了总体思路及目标、并对任务进行了详细分解，对目标进行了细化</w:t>
      </w:r>
      <w:r>
        <w:rPr>
          <w:rFonts w:hint="eastAsia" w:ascii="宋体" w:hAnsi="宋体" w:eastAsia="宋体" w:cs="宋体"/>
          <w:color w:val="auto"/>
          <w:sz w:val="24"/>
          <w:szCs w:val="24"/>
          <w:lang w:eastAsia="zh-CN"/>
        </w:rPr>
        <w:t>。</w:t>
      </w:r>
    </w:p>
    <w:p w14:paraId="288ADCD8">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绩效目标合理</w:t>
      </w:r>
      <w:r>
        <w:rPr>
          <w:rFonts w:hint="eastAsia" w:ascii="宋体" w:hAnsi="宋体" w:eastAsia="宋体" w:cs="宋体"/>
          <w:color w:val="000000"/>
          <w:sz w:val="24"/>
          <w:szCs w:val="24"/>
          <w:highlight w:val="none"/>
        </w:rPr>
        <w:t>。</w:t>
      </w:r>
    </w:p>
    <w:p w14:paraId="313B75E6">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4.绩效指标明确性</w:t>
      </w:r>
    </w:p>
    <w:p w14:paraId="5B9664F3">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经检查我单位年初设置的《和田地区洛浦县和田路至多鲁路路面提升改造建设项目支出绩效目标表》，得出如下结论：本项目已将年度绩效目标进行细化为绩效指标</w:t>
      </w:r>
      <w:r>
        <w:rPr>
          <w:rFonts w:hint="eastAsia" w:ascii="宋体" w:hAnsi="宋体" w:eastAsia="宋体" w:cs="宋体"/>
          <w:color w:val="000000"/>
          <w:sz w:val="24"/>
          <w:szCs w:val="24"/>
          <w:highlight w:val="none"/>
          <w:lang w:val="en-US" w:eastAsia="zh-CN"/>
        </w:rPr>
        <w:t>体系</w:t>
      </w:r>
      <w:r>
        <w:rPr>
          <w:rFonts w:hint="eastAsia" w:ascii="宋体" w:hAnsi="宋体" w:eastAsia="宋体" w:cs="宋体"/>
          <w:color w:val="000000"/>
          <w:sz w:val="24"/>
          <w:szCs w:val="24"/>
          <w:highlight w:val="none"/>
        </w:rPr>
        <w:t>，共设置一级指标</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个，二级指标</w:t>
      </w:r>
      <w:r>
        <w:rPr>
          <w:rFonts w:hint="eastAsia" w:ascii="宋体" w:hAnsi="宋体" w:eastAsia="宋体" w:cs="宋体"/>
          <w:color w:val="000000"/>
          <w:sz w:val="24"/>
          <w:szCs w:val="24"/>
          <w:highlight w:val="none"/>
          <w:lang w:val="en-US" w:eastAsia="zh-CN"/>
        </w:rPr>
        <w:t>6</w:t>
      </w:r>
      <w:r>
        <w:rPr>
          <w:rFonts w:hint="eastAsia" w:ascii="宋体" w:hAnsi="宋体" w:eastAsia="宋体" w:cs="宋体"/>
          <w:color w:val="000000"/>
          <w:sz w:val="24"/>
          <w:szCs w:val="24"/>
          <w:highlight w:val="none"/>
        </w:rPr>
        <w:t>个，三级指标</w:t>
      </w:r>
      <w:r>
        <w:rPr>
          <w:rFonts w:hint="eastAsia" w:ascii="宋体" w:hAnsi="宋体" w:eastAsia="宋体" w:cs="宋体"/>
          <w:color w:val="000000"/>
          <w:sz w:val="24"/>
          <w:szCs w:val="24"/>
          <w:highlight w:val="none"/>
          <w:lang w:val="en-US" w:eastAsia="zh-CN"/>
        </w:rPr>
        <w:t>13</w:t>
      </w:r>
      <w:r>
        <w:rPr>
          <w:rFonts w:hint="eastAsia" w:ascii="宋体" w:hAnsi="宋体" w:eastAsia="宋体" w:cs="宋体"/>
          <w:color w:val="000000"/>
          <w:sz w:val="24"/>
          <w:szCs w:val="24"/>
          <w:highlight w:val="none"/>
        </w:rPr>
        <w:t>个，定量指标</w:t>
      </w:r>
      <w:r>
        <w:rPr>
          <w:rFonts w:hint="eastAsia" w:ascii="宋体" w:hAnsi="宋体" w:eastAsia="宋体" w:cs="宋体"/>
          <w:color w:val="000000"/>
          <w:sz w:val="24"/>
          <w:szCs w:val="24"/>
          <w:highlight w:val="none"/>
          <w:lang w:val="en-US" w:eastAsia="zh-CN"/>
        </w:rPr>
        <w:t>12</w:t>
      </w:r>
      <w:r>
        <w:rPr>
          <w:rFonts w:hint="eastAsia" w:ascii="宋体" w:hAnsi="宋体" w:eastAsia="宋体" w:cs="宋体"/>
          <w:color w:val="000000"/>
          <w:sz w:val="24"/>
          <w:szCs w:val="24"/>
          <w:highlight w:val="none"/>
        </w:rPr>
        <w:t>个，定性指标</w:t>
      </w:r>
      <w:r>
        <w:rPr>
          <w:rFonts w:hint="eastAsia" w:ascii="宋体" w:hAnsi="宋体" w:eastAsia="宋体" w:cs="宋体"/>
          <w:color w:val="000000"/>
          <w:sz w:val="24"/>
          <w:szCs w:val="24"/>
          <w:highlight w:val="none"/>
          <w:lang w:val="en-US" w:eastAsia="zh-CN"/>
        </w:rPr>
        <w:t>1</w:t>
      </w:r>
      <w:r>
        <w:rPr>
          <w:rFonts w:hint="eastAsia" w:ascii="宋体" w:hAnsi="宋体" w:eastAsia="宋体" w:cs="宋体"/>
          <w:color w:val="000000"/>
          <w:sz w:val="24"/>
          <w:szCs w:val="24"/>
          <w:highlight w:val="none"/>
        </w:rPr>
        <w:t>个，指标量化率为</w:t>
      </w:r>
      <w:r>
        <w:rPr>
          <w:rFonts w:hint="eastAsia" w:ascii="宋体" w:hAnsi="宋体" w:eastAsia="宋体" w:cs="宋体"/>
          <w:color w:val="000000"/>
          <w:sz w:val="24"/>
          <w:szCs w:val="24"/>
          <w:highlight w:val="none"/>
          <w:lang w:val="en-US" w:eastAsia="zh-CN"/>
        </w:rPr>
        <w:t>92.31</w:t>
      </w:r>
      <w:r>
        <w:rPr>
          <w:rFonts w:hint="eastAsia" w:ascii="宋体" w:hAnsi="宋体" w:eastAsia="宋体" w:cs="宋体"/>
          <w:color w:val="000000"/>
          <w:sz w:val="24"/>
          <w:szCs w:val="24"/>
          <w:highlight w:val="none"/>
        </w:rPr>
        <w:t>%，量化率达70.0%以上</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将项目绩效目标细化分解为具体的绩效指标</w:t>
      </w:r>
      <w:r>
        <w:rPr>
          <w:rFonts w:hint="eastAsia" w:ascii="宋体" w:hAnsi="宋体" w:eastAsia="宋体" w:cs="宋体"/>
          <w:color w:val="000000"/>
          <w:sz w:val="24"/>
          <w:szCs w:val="24"/>
          <w:highlight w:val="none"/>
          <w:lang w:eastAsia="zh-CN"/>
        </w:rPr>
        <w:t>。</w:t>
      </w:r>
    </w:p>
    <w:p w14:paraId="61988965">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该《和田地区洛浦县和田路至多鲁路路面提升改造建设项目绩效目标申报表》中，</w:t>
      </w:r>
      <w:r>
        <w:rPr>
          <w:rFonts w:hint="eastAsia" w:ascii="宋体" w:hAnsi="宋体" w:eastAsia="宋体" w:cs="宋体"/>
          <w:color w:val="000000"/>
          <w:sz w:val="24"/>
          <w:szCs w:val="24"/>
          <w:highlight w:val="none"/>
          <w:lang w:val="en-US" w:eastAsia="zh-CN"/>
        </w:rPr>
        <w:t>已设置</w:t>
      </w:r>
      <w:r>
        <w:rPr>
          <w:rFonts w:hint="eastAsia" w:ascii="宋体" w:hAnsi="宋体" w:eastAsia="宋体" w:cs="宋体"/>
          <w:color w:val="000000"/>
          <w:sz w:val="24"/>
          <w:szCs w:val="24"/>
          <w:highlight w:val="none"/>
        </w:rPr>
        <w:t>数量指标</w:t>
      </w:r>
      <w:r>
        <w:rPr>
          <w:rFonts w:hint="eastAsia" w:ascii="宋体" w:hAnsi="宋体" w:eastAsia="宋体" w:cs="宋体"/>
          <w:color w:val="000000"/>
          <w:sz w:val="24"/>
          <w:szCs w:val="24"/>
          <w:highlight w:val="none"/>
          <w:lang w:val="en-US" w:eastAsia="zh-CN"/>
        </w:rPr>
        <w:t>“道路改造长度≥3324.809米、道路改造宽度≥26米，道路改造数量≥2条，改造附属工程≥1项”，</w:t>
      </w:r>
      <w:r>
        <w:rPr>
          <w:rFonts w:hint="eastAsia" w:ascii="宋体" w:hAnsi="宋体" w:eastAsia="宋体" w:cs="宋体"/>
          <w:color w:val="000000"/>
          <w:sz w:val="24"/>
          <w:szCs w:val="24"/>
          <w:highlight w:val="none"/>
        </w:rPr>
        <w:t>三级指标的年度指标值与年度绩效目标中任务数一致，已设置时效指标“</w:t>
      </w:r>
      <w:r>
        <w:rPr>
          <w:rFonts w:hint="eastAsia" w:ascii="宋体" w:hAnsi="宋体" w:eastAsia="宋体" w:cs="宋体"/>
          <w:color w:val="000000"/>
          <w:sz w:val="24"/>
          <w:szCs w:val="24"/>
          <w:highlight w:val="none"/>
          <w:lang w:val="en-US" w:eastAsia="zh-CN"/>
        </w:rPr>
        <w:t>项目按计划开工率=100%、项目按计划完工率=100%、项目开始时间2024年7月、项目完成时间2024年12月”</w:t>
      </w:r>
      <w:r>
        <w:rPr>
          <w:rFonts w:hint="eastAsia" w:ascii="宋体" w:hAnsi="宋体" w:eastAsia="宋体" w:cs="宋体"/>
          <w:color w:val="000000"/>
          <w:sz w:val="24"/>
          <w:szCs w:val="24"/>
          <w:highlight w:val="none"/>
        </w:rPr>
        <w:t>。已设置的绩效目标具备明确性、可衡量性、可实现性、相关性、时限性。</w:t>
      </w:r>
    </w:p>
    <w:p w14:paraId="3F90CD8E">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绩效目标明确</w:t>
      </w:r>
      <w:r>
        <w:rPr>
          <w:rFonts w:hint="eastAsia" w:ascii="宋体" w:hAnsi="宋体" w:eastAsia="宋体" w:cs="宋体"/>
          <w:color w:val="000000"/>
          <w:sz w:val="24"/>
          <w:szCs w:val="24"/>
          <w:highlight w:val="none"/>
        </w:rPr>
        <w:t>。</w:t>
      </w:r>
    </w:p>
    <w:p w14:paraId="2CB892C7">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5.预算编制科学性</w:t>
      </w:r>
    </w:p>
    <w:p w14:paraId="2990C597">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该</w:t>
      </w:r>
      <w:r>
        <w:rPr>
          <w:rFonts w:hint="eastAsia" w:ascii="宋体" w:hAnsi="宋体" w:eastAsia="宋体" w:cs="宋体"/>
          <w:color w:val="000000"/>
          <w:sz w:val="24"/>
          <w:szCs w:val="24"/>
          <w:highlight w:val="none"/>
        </w:rPr>
        <w:t>项目预算编制较科学且经过论证；预算申请内容为</w:t>
      </w:r>
      <w:r>
        <w:rPr>
          <w:rFonts w:hint="eastAsia" w:ascii="宋体" w:hAnsi="宋体" w:eastAsia="宋体" w:cs="宋体"/>
          <w:color w:val="000000"/>
          <w:sz w:val="24"/>
          <w:szCs w:val="24"/>
          <w:highlight w:val="none"/>
          <w:lang w:eastAsia="zh-CN"/>
        </w:rPr>
        <w:t>：对和田路、多鲁路2条市政道路进行改造，道路长度3324.809米，宽度26米，包含路基路面、路缘石挖除替换，交通工程包含标志标牌、标线等基础设施。完善城区道路交通能力，加强道路基础设施建设，强化市政交通能力，有效提升区域内交通流动性，改善群众日常出行安全，</w:t>
      </w:r>
      <w:r>
        <w:rPr>
          <w:rFonts w:hint="eastAsia" w:ascii="宋体" w:hAnsi="宋体" w:eastAsia="宋体" w:cs="宋体"/>
          <w:color w:val="000000"/>
          <w:sz w:val="24"/>
          <w:szCs w:val="24"/>
          <w:highlight w:val="none"/>
        </w:rPr>
        <w:t>预算申请与《和田地区洛浦县和田路至多鲁路路面提升改造建设项目项目实施方案》中涉及的项目内容匹配</w:t>
      </w:r>
      <w:r>
        <w:rPr>
          <w:rFonts w:hint="eastAsia" w:ascii="宋体" w:hAnsi="宋体" w:eastAsia="宋体" w:cs="宋体"/>
          <w:color w:val="000000"/>
          <w:sz w:val="24"/>
          <w:szCs w:val="24"/>
          <w:highlight w:val="none"/>
          <w:lang w:eastAsia="zh-CN"/>
        </w:rPr>
        <w:t>。</w:t>
      </w:r>
    </w:p>
    <w:p w14:paraId="3E045EDF">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本项目预算申请资金</w:t>
      </w:r>
      <w:r>
        <w:rPr>
          <w:rFonts w:hint="eastAsia" w:ascii="宋体" w:hAnsi="宋体" w:eastAsia="宋体" w:cs="宋体"/>
          <w:color w:val="000000"/>
          <w:sz w:val="24"/>
          <w:szCs w:val="24"/>
          <w:highlight w:val="none"/>
          <w:lang w:val="en-US" w:eastAsia="zh-CN"/>
        </w:rPr>
        <w:t>2400</w:t>
      </w:r>
      <w:r>
        <w:rPr>
          <w:rFonts w:hint="eastAsia" w:ascii="宋体" w:hAnsi="宋体" w:eastAsia="宋体" w:cs="宋体"/>
          <w:color w:val="000000"/>
          <w:sz w:val="24"/>
          <w:szCs w:val="24"/>
          <w:highlight w:val="none"/>
        </w:rPr>
        <w:t>万元，我单位在预算申请中严格按照项目实施内容及测算标准进行核算，其中：</w:t>
      </w:r>
      <w:r>
        <w:rPr>
          <w:rFonts w:hint="eastAsia" w:ascii="宋体" w:hAnsi="宋体" w:eastAsia="宋体" w:cs="宋体"/>
          <w:color w:val="000000"/>
          <w:sz w:val="24"/>
          <w:szCs w:val="24"/>
          <w:highlight w:val="none"/>
          <w:lang w:eastAsia="zh-CN"/>
        </w:rPr>
        <w:t>工程款</w:t>
      </w:r>
      <w:r>
        <w:rPr>
          <w:rFonts w:hint="eastAsia" w:ascii="宋体" w:hAnsi="宋体" w:eastAsia="宋体" w:cs="宋体"/>
          <w:color w:val="000000"/>
          <w:sz w:val="24"/>
          <w:szCs w:val="24"/>
          <w:highlight w:val="none"/>
          <w:lang w:val="en-US" w:eastAsia="zh-CN"/>
        </w:rPr>
        <w:t>2262.54</w:t>
      </w:r>
      <w:r>
        <w:rPr>
          <w:rFonts w:hint="eastAsia" w:ascii="宋体" w:hAnsi="宋体" w:eastAsia="宋体" w:cs="宋体"/>
          <w:color w:val="000000"/>
          <w:sz w:val="24"/>
          <w:szCs w:val="24"/>
          <w:highlight w:val="none"/>
          <w:lang w:eastAsia="zh-CN"/>
        </w:rPr>
        <w:t>万元、监理费</w:t>
      </w:r>
      <w:r>
        <w:rPr>
          <w:rFonts w:hint="eastAsia" w:ascii="宋体" w:hAnsi="宋体" w:eastAsia="宋体" w:cs="宋体"/>
          <w:color w:val="000000"/>
          <w:sz w:val="24"/>
          <w:szCs w:val="24"/>
          <w:highlight w:val="none"/>
          <w:lang w:val="en-US" w:eastAsia="zh-CN"/>
        </w:rPr>
        <w:t>25</w:t>
      </w:r>
      <w:r>
        <w:rPr>
          <w:rFonts w:hint="eastAsia" w:ascii="宋体" w:hAnsi="宋体" w:eastAsia="宋体" w:cs="宋体"/>
          <w:color w:val="000000"/>
          <w:sz w:val="24"/>
          <w:szCs w:val="24"/>
          <w:highlight w:val="none"/>
          <w:lang w:eastAsia="zh-CN"/>
        </w:rPr>
        <w:t>万元、可研费</w:t>
      </w:r>
      <w:r>
        <w:rPr>
          <w:rFonts w:hint="eastAsia" w:ascii="宋体" w:hAnsi="宋体" w:eastAsia="宋体" w:cs="宋体"/>
          <w:color w:val="000000"/>
          <w:sz w:val="24"/>
          <w:szCs w:val="24"/>
          <w:highlight w:val="none"/>
          <w:lang w:val="en-US" w:eastAsia="zh-CN"/>
        </w:rPr>
        <w:t>12万元、设计费48万元、审图费2万元、水土保持方案及水土保持验收技术服务费6.46万元、测绘费18万元、勘察费5万、招标代理费11.96万元、招标控制价编制费9.04万元。</w:t>
      </w:r>
      <w:r>
        <w:rPr>
          <w:rFonts w:hint="eastAsia" w:ascii="宋体" w:hAnsi="宋体" w:eastAsia="宋体" w:cs="宋体"/>
          <w:color w:val="000000"/>
          <w:sz w:val="24"/>
          <w:szCs w:val="24"/>
          <w:highlight w:val="none"/>
        </w:rPr>
        <w:t>预算确定资金量与实际工作任务相匹配。本项目预算额度测算依据充分，严格按照标准编制，预算确定资金量与实际工作任务相匹配</w:t>
      </w:r>
      <w:r>
        <w:rPr>
          <w:rFonts w:hint="eastAsia" w:ascii="宋体" w:hAnsi="宋体" w:eastAsia="宋体" w:cs="宋体"/>
          <w:color w:val="000000"/>
          <w:sz w:val="24"/>
          <w:szCs w:val="24"/>
          <w:highlight w:val="none"/>
          <w:lang w:eastAsia="zh-CN"/>
        </w:rPr>
        <w:t>。</w:t>
      </w:r>
    </w:p>
    <w:p w14:paraId="09BBAD47">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预算编制科学</w:t>
      </w:r>
      <w:r>
        <w:rPr>
          <w:rFonts w:hint="eastAsia" w:ascii="宋体" w:hAnsi="宋体" w:eastAsia="宋体" w:cs="宋体"/>
          <w:color w:val="000000"/>
          <w:sz w:val="24"/>
          <w:szCs w:val="24"/>
          <w:highlight w:val="none"/>
        </w:rPr>
        <w:t>。</w:t>
      </w:r>
    </w:p>
    <w:p w14:paraId="0AD4DCFD">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6.资金分配合理性</w:t>
      </w:r>
    </w:p>
    <w:p w14:paraId="55D4F8DC">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本项目实际分配资金以《关于申请和田地区洛浦县和田路至多鲁路路面提升改造建设项目资金的请示》和《和田地区洛浦县和田路至多鲁路路面提升改造建设项目实施方案》为依据进行资金分配，预算资金分配依据充分。根据</w:t>
      </w:r>
      <w:r>
        <w:rPr>
          <w:rFonts w:hint="eastAsia" w:ascii="宋体" w:hAnsi="宋体" w:eastAsia="宋体" w:cs="宋体"/>
          <w:color w:val="000000"/>
          <w:sz w:val="24"/>
          <w:szCs w:val="24"/>
          <w:highlight w:val="none"/>
          <w:lang w:eastAsia="zh-CN"/>
        </w:rPr>
        <w:t>新疆建设专项2024年第一批中央基建投资（和地财建【2024】</w:t>
      </w:r>
      <w:r>
        <w:rPr>
          <w:rFonts w:hint="eastAsia" w:ascii="宋体" w:hAnsi="宋体" w:eastAsia="宋体" w:cs="宋体"/>
          <w:color w:val="000000"/>
          <w:sz w:val="24"/>
          <w:szCs w:val="24"/>
          <w:highlight w:val="none"/>
          <w:lang w:val="en-US" w:eastAsia="zh-CN"/>
        </w:rPr>
        <w:t>1</w:t>
      </w:r>
      <w:r>
        <w:rPr>
          <w:rFonts w:hint="eastAsia" w:ascii="宋体" w:hAnsi="宋体" w:eastAsia="宋体" w:cs="宋体"/>
          <w:color w:val="000000"/>
          <w:sz w:val="24"/>
          <w:szCs w:val="24"/>
          <w:highlight w:val="none"/>
          <w:lang w:eastAsia="zh-CN"/>
        </w:rPr>
        <w:t>5号）</w:t>
      </w:r>
      <w:r>
        <w:rPr>
          <w:rFonts w:hint="eastAsia" w:ascii="宋体" w:hAnsi="宋体" w:eastAsia="宋体" w:cs="宋体"/>
          <w:color w:val="000000"/>
          <w:sz w:val="24"/>
          <w:szCs w:val="24"/>
          <w:highlight w:val="none"/>
        </w:rPr>
        <w:t>，本项目实际到位资金</w:t>
      </w:r>
      <w:r>
        <w:rPr>
          <w:rFonts w:hint="eastAsia" w:ascii="宋体" w:hAnsi="宋体" w:eastAsia="宋体" w:cs="宋体"/>
          <w:color w:val="000000"/>
          <w:sz w:val="24"/>
          <w:szCs w:val="24"/>
          <w:highlight w:val="none"/>
          <w:lang w:val="en-US" w:eastAsia="zh-CN"/>
        </w:rPr>
        <w:t>2400</w:t>
      </w:r>
      <w:r>
        <w:rPr>
          <w:rFonts w:hint="eastAsia" w:ascii="宋体" w:hAnsi="宋体" w:eastAsia="宋体" w:cs="宋体"/>
          <w:color w:val="000000"/>
          <w:sz w:val="24"/>
          <w:szCs w:val="24"/>
          <w:highlight w:val="none"/>
        </w:rPr>
        <w:t>万元，资金分配额度合理，与我单位实际需求相适应</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资金分配与实际相适应</w:t>
      </w:r>
      <w:r>
        <w:rPr>
          <w:rFonts w:hint="eastAsia" w:ascii="宋体" w:hAnsi="宋体" w:eastAsia="宋体" w:cs="宋体"/>
          <w:color w:val="000000"/>
          <w:sz w:val="24"/>
          <w:szCs w:val="24"/>
          <w:highlight w:val="none"/>
          <w:lang w:eastAsia="zh-CN"/>
        </w:rPr>
        <w:t>。</w:t>
      </w:r>
    </w:p>
    <w:p w14:paraId="74E40DD1">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资金分配合理</w:t>
      </w:r>
      <w:r>
        <w:rPr>
          <w:rFonts w:hint="eastAsia" w:ascii="宋体" w:hAnsi="宋体" w:eastAsia="宋体" w:cs="宋体"/>
          <w:color w:val="000000"/>
          <w:sz w:val="24"/>
          <w:szCs w:val="24"/>
          <w:highlight w:val="none"/>
        </w:rPr>
        <w:t>。</w:t>
      </w:r>
    </w:p>
    <w:p w14:paraId="3654ACF4">
      <w:pPr>
        <w:pStyle w:val="5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（二）项目过程情况</w:t>
      </w:r>
    </w:p>
    <w:p w14:paraId="47027961">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项目过程类指标包括资金管理和组织实施两方面的内容，由</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个三级指标构成，权重分为</w:t>
      </w:r>
      <w:r>
        <w:rPr>
          <w:rFonts w:hint="eastAsia" w:ascii="宋体" w:hAnsi="宋体" w:eastAsia="宋体" w:cs="宋体"/>
          <w:color w:val="000000"/>
          <w:sz w:val="24"/>
          <w:szCs w:val="24"/>
          <w:highlight w:val="none"/>
          <w:lang w:val="en-US" w:eastAsia="zh-CN"/>
        </w:rPr>
        <w:t>12</w:t>
      </w:r>
      <w:r>
        <w:rPr>
          <w:rFonts w:hint="eastAsia" w:ascii="宋体" w:hAnsi="宋体" w:eastAsia="宋体" w:cs="宋体"/>
          <w:color w:val="000000"/>
          <w:sz w:val="24"/>
          <w:szCs w:val="24"/>
          <w:highlight w:val="none"/>
        </w:rPr>
        <w:t>分，实际得分</w:t>
      </w:r>
      <w:r>
        <w:rPr>
          <w:rFonts w:hint="eastAsia" w:ascii="宋体" w:hAnsi="宋体" w:eastAsia="宋体" w:cs="宋体"/>
          <w:color w:val="000000"/>
          <w:sz w:val="24"/>
          <w:szCs w:val="24"/>
          <w:highlight w:val="none"/>
          <w:lang w:val="en-US" w:eastAsia="zh-CN"/>
        </w:rPr>
        <w:t>11.41</w:t>
      </w:r>
      <w:r>
        <w:rPr>
          <w:rFonts w:hint="eastAsia" w:ascii="宋体" w:hAnsi="宋体" w:eastAsia="宋体" w:cs="宋体"/>
          <w:color w:val="000000"/>
          <w:sz w:val="24"/>
          <w:szCs w:val="24"/>
          <w:highlight w:val="none"/>
        </w:rPr>
        <w:t>分，得分率为</w:t>
      </w:r>
      <w:r>
        <w:rPr>
          <w:rFonts w:hint="eastAsia" w:ascii="宋体" w:hAnsi="宋体" w:eastAsia="宋体" w:cs="宋体"/>
          <w:color w:val="000000"/>
          <w:sz w:val="24"/>
          <w:szCs w:val="24"/>
          <w:highlight w:val="none"/>
          <w:lang w:val="en-US" w:eastAsia="zh-CN"/>
        </w:rPr>
        <w:t>95.08</w:t>
      </w:r>
      <w:r>
        <w:rPr>
          <w:rFonts w:hint="eastAsia" w:ascii="宋体" w:hAnsi="宋体" w:eastAsia="宋体" w:cs="宋体"/>
          <w:color w:val="000000"/>
          <w:sz w:val="24"/>
          <w:szCs w:val="24"/>
          <w:highlight w:val="none"/>
        </w:rPr>
        <w:t>%。</w:t>
      </w:r>
    </w:p>
    <w:p w14:paraId="74783504">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1.资金到位率：</w:t>
      </w:r>
    </w:p>
    <w:p w14:paraId="78588242">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本项目预算资金为</w:t>
      </w:r>
      <w:r>
        <w:rPr>
          <w:rFonts w:hint="eastAsia" w:ascii="宋体" w:hAnsi="宋体" w:eastAsia="宋体" w:cs="宋体"/>
          <w:color w:val="000000"/>
          <w:sz w:val="24"/>
          <w:szCs w:val="24"/>
          <w:highlight w:val="none"/>
          <w:lang w:val="en-US" w:eastAsia="zh-CN"/>
        </w:rPr>
        <w:t>2400</w:t>
      </w:r>
      <w:r>
        <w:rPr>
          <w:rFonts w:hint="eastAsia" w:ascii="宋体" w:hAnsi="宋体" w:eastAsia="宋体" w:cs="宋体"/>
          <w:color w:val="000000"/>
          <w:sz w:val="24"/>
          <w:szCs w:val="24"/>
          <w:highlight w:val="none"/>
        </w:rPr>
        <w:t>万元，其中：财政安排资金</w:t>
      </w:r>
      <w:r>
        <w:rPr>
          <w:rFonts w:hint="eastAsia" w:ascii="宋体" w:hAnsi="宋体" w:eastAsia="宋体" w:cs="宋体"/>
          <w:color w:val="000000"/>
          <w:sz w:val="24"/>
          <w:szCs w:val="24"/>
          <w:highlight w:val="none"/>
          <w:lang w:val="en-US" w:eastAsia="zh-CN"/>
        </w:rPr>
        <w:t>2400</w:t>
      </w:r>
      <w:r>
        <w:rPr>
          <w:rFonts w:hint="eastAsia" w:ascii="宋体" w:hAnsi="宋体" w:eastAsia="宋体" w:cs="宋体"/>
          <w:color w:val="000000"/>
          <w:sz w:val="24"/>
          <w:szCs w:val="24"/>
          <w:highlight w:val="none"/>
        </w:rPr>
        <w:t>万元，其他资金</w:t>
      </w:r>
      <w:r>
        <w:rPr>
          <w:rFonts w:hint="eastAsia" w:ascii="宋体" w:hAnsi="宋体" w:eastAsia="宋体" w:cs="宋体"/>
          <w:color w:val="000000"/>
          <w:sz w:val="24"/>
          <w:szCs w:val="24"/>
          <w:highlight w:val="none"/>
          <w:lang w:val="en-US" w:eastAsia="zh-CN"/>
        </w:rPr>
        <w:t>0</w:t>
      </w:r>
      <w:r>
        <w:rPr>
          <w:rFonts w:hint="eastAsia" w:ascii="宋体" w:hAnsi="宋体" w:eastAsia="宋体" w:cs="宋体"/>
          <w:color w:val="000000"/>
          <w:sz w:val="24"/>
          <w:szCs w:val="24"/>
          <w:highlight w:val="none"/>
        </w:rPr>
        <w:t>万元，实际到位资金</w:t>
      </w:r>
      <w:r>
        <w:rPr>
          <w:rFonts w:hint="eastAsia" w:ascii="宋体" w:hAnsi="宋体" w:eastAsia="宋体" w:cs="宋体"/>
          <w:color w:val="000000"/>
          <w:sz w:val="24"/>
          <w:szCs w:val="24"/>
          <w:highlight w:val="none"/>
          <w:lang w:val="en-US" w:eastAsia="zh-CN"/>
        </w:rPr>
        <w:t>2400</w:t>
      </w:r>
      <w:r>
        <w:rPr>
          <w:rFonts w:hint="eastAsia" w:ascii="宋体" w:hAnsi="宋体" w:eastAsia="宋体" w:cs="宋体"/>
          <w:color w:val="000000"/>
          <w:sz w:val="24"/>
          <w:szCs w:val="24"/>
          <w:highlight w:val="none"/>
        </w:rPr>
        <w:t>万元，资金到位率</w:t>
      </w:r>
      <w:r>
        <w:rPr>
          <w:rFonts w:hint="eastAsia" w:ascii="宋体" w:hAnsi="宋体" w:eastAsia="宋体" w:cs="宋体"/>
          <w:color w:val="000000"/>
          <w:sz w:val="24"/>
          <w:szCs w:val="24"/>
          <w:highlight w:val="none"/>
          <w:lang w:val="en-US" w:eastAsia="zh-CN"/>
        </w:rPr>
        <w:t>100%；通过分析可知，该项目</w:t>
      </w:r>
      <w:r>
        <w:rPr>
          <w:rFonts w:hint="eastAsia" w:ascii="宋体" w:hAnsi="宋体" w:eastAsia="宋体" w:cs="宋体"/>
          <w:color w:val="000000"/>
          <w:sz w:val="24"/>
          <w:szCs w:val="24"/>
          <w:highlight w:val="none"/>
        </w:rPr>
        <w:t>财政资金足额拨付到位，能够及时足额</w:t>
      </w:r>
      <w:r>
        <w:rPr>
          <w:rFonts w:hint="eastAsia" w:ascii="宋体" w:hAnsi="宋体" w:eastAsia="宋体" w:cs="宋体"/>
          <w:color w:val="000000"/>
          <w:sz w:val="24"/>
          <w:szCs w:val="24"/>
          <w:highlight w:val="none"/>
          <w:lang w:val="en-US" w:eastAsia="zh-CN"/>
        </w:rPr>
        <w:t>支付</w:t>
      </w:r>
      <w:r>
        <w:rPr>
          <w:rFonts w:hint="eastAsia" w:ascii="宋体" w:hAnsi="宋体" w:eastAsia="宋体" w:cs="宋体"/>
          <w:color w:val="000000"/>
          <w:sz w:val="24"/>
          <w:szCs w:val="24"/>
          <w:highlight w:val="none"/>
        </w:rPr>
        <w:t>给</w:t>
      </w:r>
      <w:r>
        <w:rPr>
          <w:rFonts w:hint="eastAsia" w:ascii="宋体" w:hAnsi="宋体" w:eastAsia="宋体" w:cs="宋体"/>
          <w:color w:val="000000"/>
          <w:sz w:val="24"/>
          <w:szCs w:val="24"/>
          <w:highlight w:val="none"/>
          <w:lang w:val="en-US" w:eastAsia="zh-CN"/>
        </w:rPr>
        <w:t>实施</w:t>
      </w:r>
      <w:r>
        <w:rPr>
          <w:rFonts w:hint="eastAsia" w:ascii="宋体" w:hAnsi="宋体" w:eastAsia="宋体" w:cs="宋体"/>
          <w:color w:val="000000"/>
          <w:sz w:val="24"/>
          <w:szCs w:val="24"/>
          <w:highlight w:val="none"/>
        </w:rPr>
        <w:t>单位</w:t>
      </w:r>
      <w:r>
        <w:rPr>
          <w:rFonts w:hint="eastAsia" w:ascii="宋体" w:hAnsi="宋体" w:eastAsia="宋体" w:cs="宋体"/>
          <w:color w:val="000000"/>
          <w:sz w:val="24"/>
          <w:szCs w:val="24"/>
          <w:highlight w:val="none"/>
          <w:lang w:eastAsia="zh-CN"/>
        </w:rPr>
        <w:t>。</w:t>
      </w:r>
    </w:p>
    <w:p w14:paraId="6B723C46">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根据评分标准，该指标不扣分，得</w:t>
      </w:r>
      <w:r>
        <w:rPr>
          <w:rFonts w:hint="eastAsia" w:ascii="宋体" w:hAnsi="宋体" w:eastAsia="宋体" w:cs="宋体"/>
          <w:color w:val="000000"/>
          <w:sz w:val="24"/>
          <w:szCs w:val="24"/>
          <w:highlight w:val="none"/>
          <w:lang w:val="en-US" w:eastAsia="zh-CN"/>
        </w:rPr>
        <w:t>1</w:t>
      </w:r>
      <w:r>
        <w:rPr>
          <w:rFonts w:hint="eastAsia" w:ascii="宋体" w:hAnsi="宋体" w:eastAsia="宋体" w:cs="宋体"/>
          <w:color w:val="000000"/>
          <w:sz w:val="24"/>
          <w:szCs w:val="24"/>
          <w:highlight w:val="none"/>
        </w:rPr>
        <w:t>分。</w:t>
      </w:r>
    </w:p>
    <w:p w14:paraId="77564A15">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2.预算执行率：</w:t>
      </w:r>
    </w:p>
    <w:p w14:paraId="5AE7443F">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本项目实际支出资金</w:t>
      </w:r>
      <w:r>
        <w:rPr>
          <w:rFonts w:hint="eastAsia" w:ascii="宋体" w:hAnsi="宋体" w:eastAsia="宋体" w:cs="宋体"/>
          <w:color w:val="000000"/>
          <w:sz w:val="24"/>
          <w:szCs w:val="24"/>
          <w:highlight w:val="none"/>
          <w:lang w:val="en-US" w:eastAsia="zh-CN"/>
        </w:rPr>
        <w:t>1687</w:t>
      </w:r>
      <w:r>
        <w:rPr>
          <w:rFonts w:hint="eastAsia" w:ascii="宋体" w:hAnsi="宋体" w:eastAsia="宋体" w:cs="宋体"/>
          <w:color w:val="000000"/>
          <w:sz w:val="24"/>
          <w:szCs w:val="24"/>
          <w:highlight w:val="none"/>
        </w:rPr>
        <w:t>万元，预算执行率=（实际支出资金/实际到位资金）×100.0%=</w:t>
      </w:r>
      <w:r>
        <w:rPr>
          <w:rFonts w:hint="eastAsia" w:ascii="宋体" w:hAnsi="宋体" w:eastAsia="宋体" w:cs="宋体"/>
          <w:color w:val="000000"/>
          <w:sz w:val="24"/>
          <w:szCs w:val="24"/>
          <w:highlight w:val="none"/>
          <w:lang w:val="en-US" w:eastAsia="zh-CN"/>
        </w:rPr>
        <w:t>70.29</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通过分析可知，该项目</w:t>
      </w:r>
      <w:r>
        <w:rPr>
          <w:rFonts w:hint="eastAsia" w:ascii="宋体" w:hAnsi="宋体" w:eastAsia="宋体" w:cs="宋体"/>
          <w:color w:val="000000"/>
          <w:sz w:val="24"/>
          <w:szCs w:val="24"/>
          <w:highlight w:val="none"/>
        </w:rPr>
        <w:t>预算编制较为详细，项目资金支出总体能够按照预算执行</w:t>
      </w:r>
      <w:r>
        <w:rPr>
          <w:rFonts w:hint="eastAsia" w:ascii="宋体" w:hAnsi="宋体" w:eastAsia="宋体" w:cs="宋体"/>
          <w:color w:val="000000"/>
          <w:sz w:val="24"/>
          <w:szCs w:val="24"/>
          <w:highlight w:val="none"/>
          <w:lang w:eastAsia="zh-CN"/>
        </w:rPr>
        <w:t>。</w:t>
      </w:r>
    </w:p>
    <w:p w14:paraId="37486A38">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根据评分标准，该指标扣</w:t>
      </w:r>
      <w:r>
        <w:rPr>
          <w:rFonts w:hint="eastAsia" w:ascii="宋体" w:hAnsi="宋体" w:eastAsia="宋体" w:cs="宋体"/>
          <w:color w:val="000000"/>
          <w:sz w:val="24"/>
          <w:szCs w:val="24"/>
          <w:highlight w:val="none"/>
          <w:lang w:val="en-US" w:eastAsia="zh-CN"/>
        </w:rPr>
        <w:t>0.59</w:t>
      </w:r>
      <w:r>
        <w:rPr>
          <w:rFonts w:hint="eastAsia" w:ascii="宋体" w:hAnsi="宋体" w:eastAsia="宋体" w:cs="宋体"/>
          <w:color w:val="000000"/>
          <w:sz w:val="24"/>
          <w:szCs w:val="24"/>
          <w:highlight w:val="none"/>
        </w:rPr>
        <w:t>分，得</w:t>
      </w:r>
      <w:r>
        <w:rPr>
          <w:rFonts w:hint="eastAsia" w:ascii="宋体" w:hAnsi="宋体" w:eastAsia="宋体" w:cs="宋体"/>
          <w:color w:val="000000"/>
          <w:sz w:val="24"/>
          <w:szCs w:val="24"/>
          <w:highlight w:val="none"/>
          <w:lang w:val="en-US" w:eastAsia="zh-CN"/>
        </w:rPr>
        <w:t>1.41</w:t>
      </w:r>
      <w:r>
        <w:rPr>
          <w:rFonts w:hint="eastAsia" w:ascii="宋体" w:hAnsi="宋体" w:eastAsia="宋体" w:cs="宋体"/>
          <w:color w:val="000000"/>
          <w:sz w:val="24"/>
          <w:szCs w:val="24"/>
          <w:highlight w:val="none"/>
        </w:rPr>
        <w:t>分。</w:t>
      </w:r>
    </w:p>
    <w:p w14:paraId="4C0C9C47">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3.资金使用合规性：</w:t>
      </w:r>
    </w:p>
    <w:p w14:paraId="078AB211">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通过检查项目资金申请文件、</w:t>
      </w:r>
      <w:r>
        <w:rPr>
          <w:rFonts w:hint="eastAsia" w:ascii="宋体" w:hAnsi="宋体" w:eastAsia="宋体" w:cs="宋体"/>
          <w:color w:val="000000"/>
          <w:sz w:val="24"/>
          <w:szCs w:val="24"/>
          <w:highlight w:val="none"/>
          <w:lang w:val="en-US" w:eastAsia="zh-CN"/>
        </w:rPr>
        <w:t>国库支付凭证</w:t>
      </w:r>
      <w:r>
        <w:rPr>
          <w:rFonts w:hint="eastAsia" w:ascii="宋体" w:hAnsi="宋体" w:eastAsia="宋体" w:cs="宋体"/>
          <w:color w:val="000000"/>
          <w:sz w:val="24"/>
          <w:szCs w:val="24"/>
          <w:highlight w:val="none"/>
        </w:rPr>
        <w:t>等财务</w:t>
      </w:r>
      <w:r>
        <w:rPr>
          <w:rFonts w:hint="eastAsia" w:ascii="宋体" w:hAnsi="宋体" w:eastAsia="宋体" w:cs="宋体"/>
          <w:color w:val="000000"/>
          <w:sz w:val="24"/>
          <w:szCs w:val="24"/>
          <w:highlight w:val="none"/>
          <w:lang w:val="en-US" w:eastAsia="zh-CN"/>
        </w:rPr>
        <w:t>资料</w:t>
      </w:r>
      <w:r>
        <w:rPr>
          <w:rFonts w:hint="eastAsia" w:ascii="宋体" w:hAnsi="宋体" w:eastAsia="宋体" w:cs="宋体"/>
          <w:color w:val="000000"/>
          <w:sz w:val="24"/>
          <w:szCs w:val="24"/>
          <w:highlight w:val="none"/>
        </w:rPr>
        <w:t>，得出本项目资金支出符合国家财经法规、《政府会计制度》《</w:t>
      </w:r>
      <w:r>
        <w:rPr>
          <w:rFonts w:hint="eastAsia" w:ascii="宋体" w:hAnsi="宋体" w:eastAsia="宋体" w:cs="宋体"/>
          <w:color w:val="000000"/>
          <w:sz w:val="24"/>
          <w:szCs w:val="24"/>
          <w:highlight w:val="none"/>
          <w:lang w:eastAsia="zh-CN"/>
        </w:rPr>
        <w:t>洛浦县住房和城乡建设局</w:t>
      </w:r>
      <w:r>
        <w:rPr>
          <w:rFonts w:hint="eastAsia" w:ascii="宋体" w:hAnsi="宋体" w:eastAsia="宋体" w:cs="宋体"/>
          <w:color w:val="000000"/>
          <w:sz w:val="24"/>
          <w:szCs w:val="24"/>
          <w:highlight w:val="none"/>
        </w:rPr>
        <w:t>资金管理办法》《</w:t>
      </w:r>
      <w:r>
        <w:rPr>
          <w:rFonts w:hint="eastAsia" w:ascii="宋体" w:hAnsi="宋体" w:eastAsia="宋体" w:cs="宋体"/>
          <w:color w:val="000000"/>
          <w:sz w:val="24"/>
          <w:szCs w:val="24"/>
          <w:highlight w:val="none"/>
          <w:lang w:eastAsia="zh-CN"/>
        </w:rPr>
        <w:t>洛浦县住房和城乡建设局建设项目</w:t>
      </w:r>
      <w:r>
        <w:rPr>
          <w:rFonts w:hint="eastAsia" w:ascii="宋体" w:hAnsi="宋体" w:eastAsia="宋体" w:cs="宋体"/>
          <w:color w:val="000000"/>
          <w:sz w:val="24"/>
          <w:szCs w:val="24"/>
          <w:highlight w:val="none"/>
        </w:rPr>
        <w:t>专项资金管理办法》，资金的拨付有完整的审批程序和手续，资金实际使用方向与预算批复用途一致，不存在截留、挤占、挪用、虚列支出的情况。</w:t>
      </w:r>
      <w:r>
        <w:rPr>
          <w:rFonts w:hint="eastAsia" w:ascii="宋体" w:hAnsi="宋体" w:eastAsia="宋体" w:cs="宋体"/>
          <w:color w:val="000000"/>
          <w:sz w:val="24"/>
          <w:szCs w:val="24"/>
          <w:highlight w:val="none"/>
          <w:lang w:val="en-US" w:eastAsia="zh-CN"/>
        </w:rPr>
        <w:t>我单位</w:t>
      </w:r>
      <w:r>
        <w:rPr>
          <w:rFonts w:hint="eastAsia" w:ascii="宋体" w:hAnsi="宋体" w:eastAsia="宋体" w:cs="宋体"/>
          <w:color w:val="000000"/>
          <w:sz w:val="24"/>
          <w:szCs w:val="24"/>
          <w:highlight w:val="none"/>
        </w:rPr>
        <w:t>制定了相关的制度和管理规定对经费使用进行规范管理，财务制度健全、执行严格</w:t>
      </w:r>
      <w:r>
        <w:rPr>
          <w:rFonts w:hint="eastAsia" w:ascii="宋体" w:hAnsi="宋体" w:eastAsia="宋体" w:cs="宋体"/>
          <w:color w:val="000000"/>
          <w:sz w:val="24"/>
          <w:szCs w:val="24"/>
          <w:highlight w:val="none"/>
          <w:lang w:eastAsia="zh-CN"/>
        </w:rPr>
        <w:t>。</w:t>
      </w:r>
    </w:p>
    <w:p w14:paraId="43920BE5">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根据评分标准，该指标不扣分，得</w:t>
      </w:r>
      <w:r>
        <w:rPr>
          <w:rFonts w:hint="eastAsia" w:ascii="宋体" w:hAnsi="宋体" w:eastAsia="宋体" w:cs="宋体"/>
          <w:color w:val="000000"/>
          <w:sz w:val="24"/>
          <w:szCs w:val="24"/>
          <w:highlight w:val="none"/>
          <w:lang w:val="en-US" w:eastAsia="zh-CN"/>
        </w:rPr>
        <w:t>3</w:t>
      </w:r>
      <w:r>
        <w:rPr>
          <w:rFonts w:hint="eastAsia" w:ascii="宋体" w:hAnsi="宋体" w:eastAsia="宋体" w:cs="宋体"/>
          <w:color w:val="000000"/>
          <w:sz w:val="24"/>
          <w:szCs w:val="24"/>
          <w:highlight w:val="none"/>
        </w:rPr>
        <w:t>分。</w:t>
      </w:r>
    </w:p>
    <w:p w14:paraId="4650CC3F">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4.管理制度健全性：</w:t>
      </w:r>
    </w:p>
    <w:p w14:paraId="65E2483C">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我单位已制定《</w:t>
      </w:r>
      <w:r>
        <w:rPr>
          <w:rFonts w:hint="eastAsia" w:ascii="宋体" w:hAnsi="宋体" w:eastAsia="宋体" w:cs="宋体"/>
          <w:color w:val="000000"/>
          <w:sz w:val="24"/>
          <w:szCs w:val="24"/>
          <w:highlight w:val="none"/>
          <w:lang w:eastAsia="zh-CN"/>
        </w:rPr>
        <w:t>洛浦县住房和城乡建设局建设项目</w:t>
      </w:r>
      <w:r>
        <w:rPr>
          <w:rFonts w:hint="eastAsia" w:ascii="宋体" w:hAnsi="宋体" w:eastAsia="宋体" w:cs="宋体"/>
          <w:color w:val="000000"/>
          <w:sz w:val="24"/>
          <w:szCs w:val="24"/>
          <w:highlight w:val="none"/>
        </w:rPr>
        <w:t>资金管理办法》《</w:t>
      </w:r>
      <w:r>
        <w:rPr>
          <w:rFonts w:hint="eastAsia" w:ascii="宋体" w:hAnsi="宋体" w:eastAsia="宋体" w:cs="宋体"/>
          <w:color w:val="000000"/>
          <w:sz w:val="24"/>
          <w:szCs w:val="24"/>
          <w:highlight w:val="none"/>
          <w:lang w:eastAsia="zh-CN"/>
        </w:rPr>
        <w:t>洛浦县住房和城乡建设局建设项目资金</w:t>
      </w:r>
      <w:r>
        <w:rPr>
          <w:rFonts w:hint="eastAsia" w:ascii="宋体" w:hAnsi="宋体" w:eastAsia="宋体" w:cs="宋体"/>
          <w:color w:val="000000"/>
          <w:sz w:val="24"/>
          <w:szCs w:val="24"/>
          <w:highlight w:val="none"/>
        </w:rPr>
        <w:t>收支业务管理制度》《</w:t>
      </w:r>
      <w:r>
        <w:rPr>
          <w:rFonts w:hint="eastAsia" w:ascii="宋体" w:hAnsi="宋体" w:eastAsia="宋体" w:cs="宋体"/>
          <w:color w:val="000000"/>
          <w:sz w:val="24"/>
          <w:szCs w:val="24"/>
          <w:highlight w:val="none"/>
          <w:lang w:eastAsia="zh-CN"/>
        </w:rPr>
        <w:t>洛浦县住房和城乡建设局</w:t>
      </w:r>
      <w:r>
        <w:rPr>
          <w:rFonts w:hint="eastAsia" w:ascii="宋体" w:hAnsi="宋体" w:eastAsia="宋体" w:cs="宋体"/>
          <w:color w:val="000000"/>
          <w:sz w:val="24"/>
          <w:szCs w:val="24"/>
          <w:highlight w:val="none"/>
        </w:rPr>
        <w:t>政府采购业务管理制度》《</w:t>
      </w:r>
      <w:r>
        <w:rPr>
          <w:rFonts w:hint="eastAsia" w:ascii="宋体" w:hAnsi="宋体" w:eastAsia="宋体" w:cs="宋体"/>
          <w:color w:val="000000"/>
          <w:sz w:val="24"/>
          <w:szCs w:val="24"/>
          <w:highlight w:val="none"/>
          <w:lang w:eastAsia="zh-CN"/>
        </w:rPr>
        <w:t>洛浦县住房和城乡建设局建设项目</w:t>
      </w:r>
      <w:r>
        <w:rPr>
          <w:rFonts w:hint="eastAsia" w:ascii="宋体" w:hAnsi="宋体" w:eastAsia="宋体" w:cs="宋体"/>
          <w:color w:val="000000"/>
          <w:sz w:val="24"/>
          <w:szCs w:val="24"/>
          <w:highlight w:val="none"/>
        </w:rPr>
        <w:t>合同管理制度》，</w:t>
      </w:r>
      <w:r>
        <w:rPr>
          <w:rFonts w:hint="eastAsia" w:ascii="宋体" w:hAnsi="宋体" w:eastAsia="宋体" w:cs="宋体"/>
          <w:color w:val="000000"/>
          <w:sz w:val="24"/>
          <w:szCs w:val="24"/>
          <w:highlight w:val="none"/>
          <w:lang w:val="en-US" w:eastAsia="zh-CN"/>
        </w:rPr>
        <w:t>相关</w:t>
      </w:r>
      <w:r>
        <w:rPr>
          <w:rFonts w:hint="eastAsia" w:ascii="宋体" w:hAnsi="宋体" w:eastAsia="宋体" w:cs="宋体"/>
          <w:color w:val="000000"/>
          <w:sz w:val="24"/>
          <w:szCs w:val="24"/>
          <w:highlight w:val="none"/>
        </w:rPr>
        <w:t>制度均符合行政事业单位内控管理要求，财务和业务管理制度合法、合规、完整，本项目执行符合上述制度规定。</w:t>
      </w:r>
    </w:p>
    <w:p w14:paraId="20B661D8">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根据评分标准，该指标不扣分，得</w:t>
      </w:r>
      <w:r>
        <w:rPr>
          <w:rFonts w:hint="eastAsia" w:ascii="宋体" w:hAnsi="宋体" w:eastAsia="宋体" w:cs="宋体"/>
          <w:color w:val="000000"/>
          <w:sz w:val="24"/>
          <w:szCs w:val="24"/>
          <w:highlight w:val="none"/>
          <w:lang w:val="en-US" w:eastAsia="zh-CN"/>
        </w:rPr>
        <w:t>3</w:t>
      </w:r>
      <w:r>
        <w:rPr>
          <w:rFonts w:hint="eastAsia" w:ascii="宋体" w:hAnsi="宋体" w:eastAsia="宋体" w:cs="宋体"/>
          <w:color w:val="000000"/>
          <w:sz w:val="24"/>
          <w:szCs w:val="24"/>
          <w:highlight w:val="none"/>
        </w:rPr>
        <w:t>分。</w:t>
      </w:r>
    </w:p>
    <w:p w14:paraId="75148011">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5.制度执行有效性：</w:t>
      </w:r>
    </w:p>
    <w:p w14:paraId="2B008C50">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①该项目的实施符合《</w:t>
      </w:r>
      <w:r>
        <w:rPr>
          <w:rFonts w:hint="eastAsia" w:ascii="宋体" w:hAnsi="宋体" w:eastAsia="宋体" w:cs="宋体"/>
          <w:color w:val="000000"/>
          <w:sz w:val="24"/>
          <w:szCs w:val="24"/>
          <w:highlight w:val="none"/>
          <w:lang w:eastAsia="zh-CN"/>
        </w:rPr>
        <w:t>洛浦县住房和城乡建设局建设项目</w:t>
      </w:r>
      <w:r>
        <w:rPr>
          <w:rFonts w:hint="eastAsia" w:ascii="宋体" w:hAnsi="宋体" w:eastAsia="宋体" w:cs="宋体"/>
          <w:color w:val="000000"/>
          <w:sz w:val="24"/>
          <w:szCs w:val="24"/>
          <w:highlight w:val="none"/>
        </w:rPr>
        <w:t>资金管理办法》《</w:t>
      </w:r>
      <w:r>
        <w:rPr>
          <w:rFonts w:hint="eastAsia" w:ascii="宋体" w:hAnsi="宋体" w:eastAsia="宋体" w:cs="宋体"/>
          <w:color w:val="000000"/>
          <w:sz w:val="24"/>
          <w:szCs w:val="24"/>
          <w:highlight w:val="none"/>
          <w:lang w:eastAsia="zh-CN"/>
        </w:rPr>
        <w:t>洛浦县住房和城乡建设局建设项目资金</w:t>
      </w:r>
      <w:r>
        <w:rPr>
          <w:rFonts w:hint="eastAsia" w:ascii="宋体" w:hAnsi="宋体" w:eastAsia="宋体" w:cs="宋体"/>
          <w:color w:val="000000"/>
          <w:sz w:val="24"/>
          <w:szCs w:val="24"/>
          <w:highlight w:val="none"/>
        </w:rPr>
        <w:t>收支业务管理制度》《</w:t>
      </w:r>
      <w:r>
        <w:rPr>
          <w:rFonts w:hint="eastAsia" w:ascii="宋体" w:hAnsi="宋体" w:eastAsia="宋体" w:cs="宋体"/>
          <w:color w:val="000000"/>
          <w:sz w:val="24"/>
          <w:szCs w:val="24"/>
          <w:highlight w:val="none"/>
          <w:lang w:eastAsia="zh-CN"/>
        </w:rPr>
        <w:t>洛浦县住房和城乡建设局</w:t>
      </w:r>
      <w:r>
        <w:rPr>
          <w:rFonts w:hint="eastAsia" w:ascii="宋体" w:hAnsi="宋体" w:eastAsia="宋体" w:cs="宋体"/>
          <w:color w:val="000000"/>
          <w:sz w:val="24"/>
          <w:szCs w:val="24"/>
          <w:highlight w:val="none"/>
        </w:rPr>
        <w:t>政府采购业务管理制度》《</w:t>
      </w:r>
      <w:r>
        <w:rPr>
          <w:rFonts w:hint="eastAsia" w:ascii="宋体" w:hAnsi="宋体" w:eastAsia="宋体" w:cs="宋体"/>
          <w:color w:val="000000"/>
          <w:sz w:val="24"/>
          <w:szCs w:val="24"/>
          <w:highlight w:val="none"/>
          <w:lang w:eastAsia="zh-CN"/>
        </w:rPr>
        <w:t>洛浦县住房和城乡建设局建设项目</w:t>
      </w:r>
      <w:r>
        <w:rPr>
          <w:rFonts w:hint="eastAsia" w:ascii="宋体" w:hAnsi="宋体" w:eastAsia="宋体" w:cs="宋体"/>
          <w:color w:val="000000"/>
          <w:sz w:val="24"/>
          <w:szCs w:val="24"/>
          <w:highlight w:val="none"/>
        </w:rPr>
        <w:t>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p>
    <w:p w14:paraId="7D33B46F">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②经现场查证项目合同书、验收评审表、财务支付凭证等资料齐全并及时归档。</w:t>
      </w:r>
    </w:p>
    <w:p w14:paraId="2C01096A">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③该项目是否存在调整，调整手续是否齐全，如未调整，则填“该项目实施过程中不存在调整事项”。</w:t>
      </w:r>
    </w:p>
    <w:p w14:paraId="039E0A30">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④该项目实施所需要的项目人员和场地设备均已落实到位，具体涉及内容包括：项目资金支出严格按照自治区、地区以及本单位资金管理办法执行，项目启动实施后，为了加快本项目的实施，成立了和田地区洛浦县和田路至多鲁路路面提升改造建设项目项目工作领导小组，由</w:t>
      </w:r>
      <w:r>
        <w:rPr>
          <w:rFonts w:hint="eastAsia" w:ascii="宋体" w:hAnsi="宋体" w:eastAsia="宋体" w:cs="宋体"/>
          <w:color w:val="000000"/>
          <w:sz w:val="24"/>
          <w:szCs w:val="24"/>
          <w:highlight w:val="none"/>
          <w:lang w:eastAsia="zh-CN"/>
        </w:rPr>
        <w:t>王文举</w:t>
      </w:r>
      <w:r>
        <w:rPr>
          <w:rFonts w:hint="eastAsia" w:ascii="宋体" w:hAnsi="宋体" w:eastAsia="宋体" w:cs="宋体"/>
          <w:color w:val="000000"/>
          <w:sz w:val="24"/>
          <w:szCs w:val="24"/>
          <w:highlight w:val="none"/>
        </w:rPr>
        <w:t>任组长，负责项目的组织工作；</w:t>
      </w:r>
      <w:r>
        <w:rPr>
          <w:rFonts w:hint="eastAsia" w:ascii="宋体" w:hAnsi="宋体" w:eastAsia="宋体" w:cs="宋体"/>
          <w:color w:val="000000"/>
          <w:sz w:val="24"/>
          <w:szCs w:val="24"/>
          <w:highlight w:val="none"/>
          <w:lang w:eastAsia="zh-CN"/>
        </w:rPr>
        <w:t>赵佳鹏</w:t>
      </w:r>
      <w:r>
        <w:rPr>
          <w:rFonts w:hint="eastAsia" w:ascii="宋体" w:hAnsi="宋体" w:eastAsia="宋体" w:cs="宋体"/>
          <w:color w:val="000000"/>
          <w:sz w:val="24"/>
          <w:szCs w:val="24"/>
          <w:highlight w:val="none"/>
        </w:rPr>
        <w:t>任副组长，负责项目的实施工作；组员包括：</w:t>
      </w:r>
      <w:r>
        <w:rPr>
          <w:rFonts w:hint="eastAsia" w:ascii="宋体" w:hAnsi="宋体" w:eastAsia="宋体" w:cs="宋体"/>
          <w:color w:val="000000"/>
          <w:sz w:val="24"/>
          <w:szCs w:val="24"/>
          <w:highlight w:val="none"/>
          <w:lang w:eastAsia="zh-CN"/>
        </w:rPr>
        <w:t>徐元芬</w:t>
      </w:r>
      <w:r>
        <w:rPr>
          <w:rFonts w:hint="eastAsia" w:ascii="宋体" w:hAnsi="宋体" w:eastAsia="宋体" w:cs="宋体"/>
          <w:color w:val="000000"/>
          <w:sz w:val="24"/>
          <w:szCs w:val="24"/>
          <w:highlight w:val="none"/>
        </w:rPr>
        <w:t>和</w:t>
      </w:r>
      <w:r>
        <w:rPr>
          <w:rFonts w:hint="eastAsia" w:ascii="宋体" w:hAnsi="宋体" w:eastAsia="宋体" w:cs="宋体"/>
          <w:color w:val="000000"/>
          <w:sz w:val="24"/>
          <w:szCs w:val="24"/>
          <w:highlight w:val="none"/>
          <w:lang w:eastAsia="zh-CN"/>
        </w:rPr>
        <w:t>冯伟</w:t>
      </w:r>
      <w:r>
        <w:rPr>
          <w:rFonts w:hint="eastAsia" w:ascii="宋体" w:hAnsi="宋体" w:eastAsia="宋体" w:cs="宋体"/>
          <w:color w:val="000000"/>
          <w:sz w:val="24"/>
          <w:szCs w:val="24"/>
          <w:highlight w:val="none"/>
        </w:rPr>
        <w:t>，主要负责项目监督管理、验收以及资金核拨等工作。</w:t>
      </w:r>
    </w:p>
    <w:p w14:paraId="243AF151">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根据评分标准，该指标不扣分，得</w:t>
      </w:r>
      <w:r>
        <w:rPr>
          <w:rFonts w:hint="eastAsia" w:ascii="宋体" w:hAnsi="宋体" w:eastAsia="宋体" w:cs="宋体"/>
          <w:color w:val="000000"/>
          <w:sz w:val="24"/>
          <w:szCs w:val="24"/>
          <w:highlight w:val="none"/>
          <w:lang w:val="en-US" w:eastAsia="zh-CN"/>
        </w:rPr>
        <w:t>3</w:t>
      </w:r>
      <w:r>
        <w:rPr>
          <w:rFonts w:hint="eastAsia" w:ascii="宋体" w:hAnsi="宋体" w:eastAsia="宋体" w:cs="宋体"/>
          <w:color w:val="000000"/>
          <w:sz w:val="24"/>
          <w:szCs w:val="24"/>
          <w:highlight w:val="none"/>
        </w:rPr>
        <w:t>分。</w:t>
      </w:r>
    </w:p>
    <w:p w14:paraId="60CA610F">
      <w:pPr>
        <w:pStyle w:val="5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（三）项目产出情况</w:t>
      </w:r>
    </w:p>
    <w:p w14:paraId="077CAFBF">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项目产出类指标包括产出数量、产出质量、产出时效、产出成本四方面的内容，由4个三级指标构成，权重分为</w:t>
      </w: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37.03</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92.58</w:t>
      </w:r>
      <w:r>
        <w:rPr>
          <w:rFonts w:hint="eastAsia" w:ascii="宋体" w:hAnsi="宋体" w:eastAsia="宋体" w:cs="宋体"/>
          <w:color w:val="auto"/>
          <w:sz w:val="24"/>
          <w:szCs w:val="24"/>
          <w:highlight w:val="none"/>
        </w:rPr>
        <w:t>%。</w:t>
      </w:r>
    </w:p>
    <w:p w14:paraId="2DEF9986">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1.对于“产出数量”</w:t>
      </w:r>
    </w:p>
    <w:p w14:paraId="507ED83E">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道路改造数量，预期指标值</w:t>
      </w:r>
      <w:r>
        <w:rPr>
          <w:rFonts w:hint="eastAsia" w:ascii="宋体" w:hAnsi="宋体" w:eastAsia="宋体" w:cs="宋体"/>
          <w:color w:val="000000"/>
          <w:sz w:val="24"/>
          <w:szCs w:val="24"/>
          <w:highlight w:val="none"/>
          <w:lang w:val="en-US" w:eastAsia="zh-CN"/>
        </w:rPr>
        <w:t>大于等于</w:t>
      </w:r>
      <w:r>
        <w:rPr>
          <w:rFonts w:hint="eastAsia" w:ascii="宋体" w:hAnsi="宋体" w:eastAsia="宋体" w:cs="宋体"/>
          <w:color w:val="000000"/>
          <w:sz w:val="24"/>
          <w:szCs w:val="24"/>
          <w:highlight w:val="none"/>
        </w:rPr>
        <w:t>2条，实际完成值2条，指标完成率为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，与预期目标一致，根据评分标准，该指标不扣分，得</w:t>
      </w:r>
      <w:r>
        <w:rPr>
          <w:rFonts w:hint="eastAsia" w:ascii="宋体" w:hAnsi="宋体" w:eastAsia="宋体" w:cs="宋体"/>
          <w:color w:val="000000"/>
          <w:sz w:val="24"/>
          <w:szCs w:val="24"/>
          <w:highlight w:val="none"/>
          <w:lang w:val="en-US" w:eastAsia="zh-CN"/>
        </w:rPr>
        <w:t>2.5</w:t>
      </w:r>
      <w:r>
        <w:rPr>
          <w:rFonts w:hint="eastAsia" w:ascii="宋体" w:hAnsi="宋体" w:eastAsia="宋体" w:cs="宋体"/>
          <w:color w:val="000000"/>
          <w:sz w:val="24"/>
          <w:szCs w:val="24"/>
          <w:highlight w:val="none"/>
        </w:rPr>
        <w:t>分。</w:t>
      </w:r>
    </w:p>
    <w:p w14:paraId="3F211D79">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道路改造长度，预期指标值</w:t>
      </w:r>
      <w:r>
        <w:rPr>
          <w:rFonts w:hint="eastAsia" w:ascii="宋体" w:hAnsi="宋体" w:eastAsia="宋体" w:cs="宋体"/>
          <w:color w:val="000000"/>
          <w:sz w:val="24"/>
          <w:szCs w:val="24"/>
          <w:highlight w:val="none"/>
          <w:lang w:val="en-US" w:eastAsia="zh-CN"/>
        </w:rPr>
        <w:t>大于等于</w:t>
      </w:r>
      <w:r>
        <w:rPr>
          <w:rFonts w:hint="eastAsia" w:ascii="宋体" w:hAnsi="宋体" w:eastAsia="宋体" w:cs="宋体"/>
          <w:color w:val="000000"/>
          <w:sz w:val="24"/>
          <w:szCs w:val="24"/>
          <w:highlight w:val="none"/>
        </w:rPr>
        <w:t>3324.81米，实际完成值3324.81米，指标完成率为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，与预期目标一致，根据评分标准，该指标不扣分，得</w:t>
      </w:r>
      <w:r>
        <w:rPr>
          <w:rFonts w:hint="eastAsia" w:ascii="宋体" w:hAnsi="宋体" w:eastAsia="宋体" w:cs="宋体"/>
          <w:color w:val="000000"/>
          <w:sz w:val="24"/>
          <w:szCs w:val="24"/>
          <w:highlight w:val="none"/>
          <w:lang w:val="en-US" w:eastAsia="zh-CN"/>
        </w:rPr>
        <w:t>2.5</w:t>
      </w:r>
      <w:r>
        <w:rPr>
          <w:rFonts w:hint="eastAsia" w:ascii="宋体" w:hAnsi="宋体" w:eastAsia="宋体" w:cs="宋体"/>
          <w:color w:val="000000"/>
          <w:sz w:val="24"/>
          <w:szCs w:val="24"/>
          <w:highlight w:val="none"/>
        </w:rPr>
        <w:t>分。</w:t>
      </w:r>
    </w:p>
    <w:p w14:paraId="2947D9B1">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道路改造宽度，预期指标值</w:t>
      </w:r>
      <w:r>
        <w:rPr>
          <w:rFonts w:hint="eastAsia" w:ascii="宋体" w:hAnsi="宋体" w:eastAsia="宋体" w:cs="宋体"/>
          <w:color w:val="000000"/>
          <w:sz w:val="24"/>
          <w:szCs w:val="24"/>
          <w:highlight w:val="none"/>
          <w:lang w:val="en-US" w:eastAsia="zh-CN"/>
        </w:rPr>
        <w:t>大于等于</w:t>
      </w:r>
      <w:r>
        <w:rPr>
          <w:rFonts w:hint="eastAsia" w:ascii="宋体" w:hAnsi="宋体" w:eastAsia="宋体" w:cs="宋体"/>
          <w:color w:val="000000"/>
          <w:sz w:val="24"/>
          <w:szCs w:val="24"/>
          <w:highlight w:val="none"/>
        </w:rPr>
        <w:t>26米，实际完成值26米，指标完成率为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，与预期目标一致，根据评分标准，该指标不扣分，得</w:t>
      </w:r>
      <w:r>
        <w:rPr>
          <w:rFonts w:hint="eastAsia" w:ascii="宋体" w:hAnsi="宋体" w:eastAsia="宋体" w:cs="宋体"/>
          <w:color w:val="000000"/>
          <w:sz w:val="24"/>
          <w:szCs w:val="24"/>
          <w:highlight w:val="none"/>
          <w:lang w:val="en-US" w:eastAsia="zh-CN"/>
        </w:rPr>
        <w:t>2.5</w:t>
      </w:r>
      <w:r>
        <w:rPr>
          <w:rFonts w:hint="eastAsia" w:ascii="宋体" w:hAnsi="宋体" w:eastAsia="宋体" w:cs="宋体"/>
          <w:color w:val="000000"/>
          <w:sz w:val="24"/>
          <w:szCs w:val="24"/>
          <w:highlight w:val="none"/>
        </w:rPr>
        <w:t>分。</w:t>
      </w:r>
    </w:p>
    <w:p w14:paraId="77955406">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改造附属工程，预期指标值</w:t>
      </w:r>
      <w:r>
        <w:rPr>
          <w:rFonts w:hint="eastAsia" w:ascii="宋体" w:hAnsi="宋体" w:eastAsia="宋体" w:cs="宋体"/>
          <w:color w:val="000000"/>
          <w:sz w:val="24"/>
          <w:szCs w:val="24"/>
          <w:highlight w:val="none"/>
          <w:lang w:val="en-US" w:eastAsia="zh-CN"/>
        </w:rPr>
        <w:t>大于等于</w:t>
      </w:r>
      <w:r>
        <w:rPr>
          <w:rFonts w:hint="eastAsia" w:ascii="宋体" w:hAnsi="宋体" w:eastAsia="宋体" w:cs="宋体"/>
          <w:color w:val="000000"/>
          <w:sz w:val="24"/>
          <w:szCs w:val="24"/>
          <w:highlight w:val="none"/>
        </w:rPr>
        <w:t>1项，实际完成值1项，指标完成率为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，与预期目标一致，根据评分标准，该指标不扣分，得</w:t>
      </w:r>
      <w:r>
        <w:rPr>
          <w:rFonts w:hint="eastAsia" w:ascii="宋体" w:hAnsi="宋体" w:eastAsia="宋体" w:cs="宋体"/>
          <w:color w:val="000000"/>
          <w:sz w:val="24"/>
          <w:szCs w:val="24"/>
          <w:highlight w:val="none"/>
          <w:lang w:val="en-US" w:eastAsia="zh-CN"/>
        </w:rPr>
        <w:t>2.5</w:t>
      </w:r>
      <w:r>
        <w:rPr>
          <w:rFonts w:hint="eastAsia" w:ascii="宋体" w:hAnsi="宋体" w:eastAsia="宋体" w:cs="宋体"/>
          <w:color w:val="000000"/>
          <w:sz w:val="24"/>
          <w:szCs w:val="24"/>
          <w:highlight w:val="none"/>
        </w:rPr>
        <w:t>分。</w:t>
      </w:r>
    </w:p>
    <w:p w14:paraId="09096F41">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rPr>
      </w:pPr>
      <w:r>
        <w:rPr>
          <w:rFonts w:hint="eastAsia" w:ascii="宋体" w:hAnsi="宋体" w:eastAsia="宋体" w:cs="宋体"/>
          <w:color w:val="000000"/>
          <w:sz w:val="24"/>
          <w:szCs w:val="24"/>
          <w:highlight w:val="none"/>
        </w:rPr>
        <w:t>合计得</w:t>
      </w:r>
      <w:r>
        <w:rPr>
          <w:rFonts w:hint="eastAsia" w:ascii="宋体" w:hAnsi="宋体" w:eastAsia="宋体" w:cs="宋体"/>
          <w:color w:val="000000"/>
          <w:sz w:val="24"/>
          <w:szCs w:val="24"/>
          <w:highlight w:val="none"/>
          <w:lang w:val="en-US" w:eastAsia="zh-CN"/>
        </w:rPr>
        <w:t>10</w:t>
      </w:r>
      <w:r>
        <w:rPr>
          <w:rFonts w:hint="eastAsia" w:ascii="宋体" w:hAnsi="宋体" w:eastAsia="宋体" w:cs="宋体"/>
          <w:color w:val="000000"/>
          <w:sz w:val="24"/>
          <w:szCs w:val="24"/>
          <w:highlight w:val="none"/>
        </w:rPr>
        <w:t>分。</w:t>
      </w:r>
    </w:p>
    <w:p w14:paraId="5B0F9F75">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2.对于“产出质量”</w:t>
      </w:r>
    </w:p>
    <w:p w14:paraId="58A75A41">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项目设计变更率，预期指标值</w:t>
      </w:r>
      <w:r>
        <w:rPr>
          <w:rFonts w:hint="eastAsia" w:ascii="宋体" w:hAnsi="宋体" w:eastAsia="宋体" w:cs="宋体"/>
          <w:color w:val="000000"/>
          <w:sz w:val="24"/>
          <w:szCs w:val="24"/>
          <w:highlight w:val="none"/>
          <w:lang w:val="en-US" w:eastAsia="zh-CN"/>
        </w:rPr>
        <w:t>小于等于5%</w:t>
      </w:r>
      <w:r>
        <w:rPr>
          <w:rFonts w:hint="eastAsia" w:ascii="宋体" w:hAnsi="宋体" w:eastAsia="宋体" w:cs="宋体"/>
          <w:color w:val="000000"/>
          <w:sz w:val="24"/>
          <w:szCs w:val="24"/>
          <w:highlight w:val="none"/>
        </w:rPr>
        <w:t>，实际完成值</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，指标完成率为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，与预期目标一致，根据评分标准，该指标不扣分，得</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w:t>
      </w:r>
    </w:p>
    <w:p w14:paraId="69CC493D">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竣工验收合格率，预期指标值</w:t>
      </w:r>
      <w:r>
        <w:rPr>
          <w:rFonts w:hint="eastAsia" w:ascii="宋体" w:hAnsi="宋体" w:eastAsia="宋体" w:cs="宋体"/>
          <w:color w:val="000000"/>
          <w:sz w:val="24"/>
          <w:szCs w:val="24"/>
          <w:highlight w:val="none"/>
          <w:lang w:val="en-US" w:eastAsia="zh-CN"/>
        </w:rPr>
        <w:t>等于100%</w:t>
      </w:r>
      <w:r>
        <w:rPr>
          <w:rFonts w:hint="eastAsia" w:ascii="宋体" w:hAnsi="宋体" w:eastAsia="宋体" w:cs="宋体"/>
          <w:color w:val="000000"/>
          <w:sz w:val="24"/>
          <w:szCs w:val="24"/>
          <w:highlight w:val="none"/>
        </w:rPr>
        <w:t>，实际完成值</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，指标完成率为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，与预期目标一致，根据评分标准，该指标不扣分，得</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w:t>
      </w:r>
    </w:p>
    <w:p w14:paraId="2B21E1CC">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rPr>
      </w:pPr>
      <w:r>
        <w:rPr>
          <w:rFonts w:hint="eastAsia" w:ascii="宋体" w:hAnsi="宋体" w:eastAsia="宋体" w:cs="宋体"/>
          <w:color w:val="000000"/>
          <w:sz w:val="24"/>
          <w:szCs w:val="24"/>
          <w:highlight w:val="none"/>
        </w:rPr>
        <w:t>合计得</w:t>
      </w:r>
      <w:r>
        <w:rPr>
          <w:rFonts w:hint="eastAsia" w:ascii="宋体" w:hAnsi="宋体" w:eastAsia="宋体" w:cs="宋体"/>
          <w:color w:val="000000"/>
          <w:sz w:val="24"/>
          <w:szCs w:val="24"/>
          <w:highlight w:val="none"/>
          <w:lang w:val="en-US" w:eastAsia="zh-CN"/>
        </w:rPr>
        <w:t>10</w:t>
      </w:r>
      <w:r>
        <w:rPr>
          <w:rFonts w:hint="eastAsia" w:ascii="宋体" w:hAnsi="宋体" w:eastAsia="宋体" w:cs="宋体"/>
          <w:color w:val="000000"/>
          <w:sz w:val="24"/>
          <w:szCs w:val="24"/>
          <w:highlight w:val="none"/>
        </w:rPr>
        <w:t>分。</w:t>
      </w:r>
    </w:p>
    <w:p w14:paraId="09BB9290">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3.对于“产出时效”</w:t>
      </w:r>
    </w:p>
    <w:p w14:paraId="678E5EBE">
      <w:pPr>
        <w:pStyle w:val="2"/>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000000"/>
          <w:sz w:val="24"/>
          <w:szCs w:val="24"/>
          <w:highlight w:val="none"/>
        </w:rPr>
      </w:pPr>
      <w:r>
        <w:rPr>
          <w:rFonts w:hint="eastAsia" w:ascii="宋体" w:hAnsi="宋体" w:eastAsia="宋体" w:cs="宋体"/>
          <w:b w:val="0"/>
          <w:color w:val="000000"/>
          <w:sz w:val="24"/>
          <w:szCs w:val="24"/>
          <w:highlight w:val="none"/>
        </w:rPr>
        <w:t>项目开始时间，预期指标值202</w:t>
      </w:r>
      <w:r>
        <w:rPr>
          <w:rFonts w:hint="eastAsia" w:ascii="宋体" w:hAnsi="宋体" w:eastAsia="宋体" w:cs="宋体"/>
          <w:b w:val="0"/>
          <w:color w:val="000000"/>
          <w:sz w:val="24"/>
          <w:szCs w:val="24"/>
          <w:highlight w:val="none"/>
          <w:lang w:val="en-US" w:eastAsia="zh-CN"/>
        </w:rPr>
        <w:t>4</w:t>
      </w:r>
      <w:r>
        <w:rPr>
          <w:rFonts w:hint="eastAsia" w:ascii="宋体" w:hAnsi="宋体" w:eastAsia="宋体" w:cs="宋体"/>
          <w:b w:val="0"/>
          <w:color w:val="000000"/>
          <w:sz w:val="24"/>
          <w:szCs w:val="24"/>
          <w:highlight w:val="none"/>
        </w:rPr>
        <w:t>年</w:t>
      </w:r>
      <w:r>
        <w:rPr>
          <w:rFonts w:hint="eastAsia" w:ascii="宋体" w:hAnsi="宋体" w:eastAsia="宋体" w:cs="宋体"/>
          <w:b w:val="0"/>
          <w:color w:val="000000"/>
          <w:sz w:val="24"/>
          <w:szCs w:val="24"/>
          <w:highlight w:val="none"/>
          <w:lang w:val="en-US" w:eastAsia="zh-CN"/>
        </w:rPr>
        <w:t>7</w:t>
      </w:r>
      <w:r>
        <w:rPr>
          <w:rFonts w:hint="eastAsia" w:ascii="宋体" w:hAnsi="宋体" w:eastAsia="宋体" w:cs="宋体"/>
          <w:b w:val="0"/>
          <w:color w:val="000000"/>
          <w:sz w:val="24"/>
          <w:szCs w:val="24"/>
          <w:highlight w:val="none"/>
        </w:rPr>
        <w:t>月，实际完成值202</w:t>
      </w:r>
      <w:r>
        <w:rPr>
          <w:rFonts w:hint="eastAsia" w:ascii="宋体" w:hAnsi="宋体" w:eastAsia="宋体" w:cs="宋体"/>
          <w:b w:val="0"/>
          <w:color w:val="000000"/>
          <w:sz w:val="24"/>
          <w:szCs w:val="24"/>
          <w:highlight w:val="none"/>
          <w:lang w:val="en-US" w:eastAsia="zh-CN"/>
        </w:rPr>
        <w:t>4</w:t>
      </w:r>
      <w:r>
        <w:rPr>
          <w:rFonts w:hint="eastAsia" w:ascii="宋体" w:hAnsi="宋体" w:eastAsia="宋体" w:cs="宋体"/>
          <w:b w:val="0"/>
          <w:color w:val="000000"/>
          <w:sz w:val="24"/>
          <w:szCs w:val="24"/>
          <w:highlight w:val="none"/>
        </w:rPr>
        <w:t>年</w:t>
      </w:r>
      <w:r>
        <w:rPr>
          <w:rFonts w:hint="eastAsia" w:ascii="宋体" w:hAnsi="宋体" w:eastAsia="宋体" w:cs="宋体"/>
          <w:b w:val="0"/>
          <w:color w:val="000000"/>
          <w:sz w:val="24"/>
          <w:szCs w:val="24"/>
          <w:highlight w:val="none"/>
          <w:lang w:val="en-US" w:eastAsia="zh-CN"/>
        </w:rPr>
        <w:t>7</w:t>
      </w:r>
      <w:r>
        <w:rPr>
          <w:rFonts w:hint="eastAsia" w:ascii="宋体" w:hAnsi="宋体" w:eastAsia="宋体" w:cs="宋体"/>
          <w:b w:val="0"/>
          <w:color w:val="000000"/>
          <w:sz w:val="24"/>
          <w:szCs w:val="24"/>
          <w:highlight w:val="none"/>
        </w:rPr>
        <w:t>月，指标完成率为</w:t>
      </w:r>
      <w:r>
        <w:rPr>
          <w:rFonts w:hint="eastAsia" w:ascii="宋体" w:hAnsi="宋体" w:eastAsia="宋体" w:cs="宋体"/>
          <w:b w:val="0"/>
          <w:color w:val="000000"/>
          <w:sz w:val="24"/>
          <w:szCs w:val="24"/>
          <w:highlight w:val="none"/>
          <w:lang w:val="en-US" w:eastAsia="zh-CN"/>
        </w:rPr>
        <w:t>100%</w:t>
      </w:r>
      <w:r>
        <w:rPr>
          <w:rFonts w:hint="eastAsia" w:ascii="宋体" w:hAnsi="宋体" w:eastAsia="宋体" w:cs="宋体"/>
          <w:b w:val="0"/>
          <w:color w:val="000000"/>
          <w:sz w:val="24"/>
          <w:szCs w:val="24"/>
          <w:highlight w:val="none"/>
        </w:rPr>
        <w:t>，与预期目标一致，根据评分标准，该指标不扣分，</w:t>
      </w:r>
      <w:r>
        <w:rPr>
          <w:rFonts w:hint="eastAsia" w:ascii="宋体" w:hAnsi="宋体" w:eastAsia="宋体" w:cs="宋体"/>
          <w:b w:val="0"/>
          <w:bCs/>
          <w:color w:val="000000"/>
          <w:sz w:val="24"/>
          <w:szCs w:val="24"/>
          <w:highlight w:val="none"/>
        </w:rPr>
        <w:t>得</w:t>
      </w:r>
      <w:r>
        <w:rPr>
          <w:rFonts w:hint="eastAsia" w:ascii="宋体" w:hAnsi="宋体" w:eastAsia="宋体" w:cs="宋体"/>
          <w:b w:val="0"/>
          <w:bCs/>
          <w:color w:val="000000"/>
          <w:sz w:val="24"/>
          <w:szCs w:val="24"/>
          <w:highlight w:val="none"/>
          <w:lang w:val="en-US" w:eastAsia="zh-CN"/>
        </w:rPr>
        <w:t>2.5</w:t>
      </w:r>
      <w:r>
        <w:rPr>
          <w:rFonts w:hint="eastAsia" w:ascii="宋体" w:hAnsi="宋体" w:eastAsia="宋体" w:cs="宋体"/>
          <w:b w:val="0"/>
          <w:bCs/>
          <w:color w:val="000000"/>
          <w:sz w:val="24"/>
          <w:szCs w:val="24"/>
          <w:highlight w:val="none"/>
        </w:rPr>
        <w:t>分</w:t>
      </w:r>
      <w:r>
        <w:rPr>
          <w:rFonts w:hint="eastAsia" w:ascii="宋体" w:hAnsi="宋体" w:eastAsia="宋体" w:cs="宋体"/>
          <w:b w:val="0"/>
          <w:color w:val="000000"/>
          <w:sz w:val="24"/>
          <w:szCs w:val="24"/>
          <w:highlight w:val="none"/>
        </w:rPr>
        <w:t>。</w:t>
      </w:r>
    </w:p>
    <w:p w14:paraId="1EE8A3B8">
      <w:pPr>
        <w:pStyle w:val="2"/>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000000"/>
          <w:sz w:val="24"/>
          <w:szCs w:val="24"/>
          <w:highlight w:val="none"/>
        </w:rPr>
      </w:pPr>
      <w:r>
        <w:rPr>
          <w:rFonts w:hint="eastAsia" w:ascii="宋体" w:hAnsi="宋体" w:eastAsia="宋体" w:cs="宋体"/>
          <w:b w:val="0"/>
          <w:color w:val="000000"/>
          <w:sz w:val="24"/>
          <w:szCs w:val="24"/>
          <w:highlight w:val="none"/>
        </w:rPr>
        <w:t>项目</w:t>
      </w:r>
      <w:r>
        <w:rPr>
          <w:rFonts w:hint="eastAsia" w:ascii="宋体" w:hAnsi="宋体" w:eastAsia="宋体" w:cs="宋体"/>
          <w:b w:val="0"/>
          <w:color w:val="000000"/>
          <w:sz w:val="24"/>
          <w:szCs w:val="24"/>
          <w:highlight w:val="none"/>
          <w:lang w:val="en-US" w:eastAsia="zh-CN"/>
        </w:rPr>
        <w:t>完成</w:t>
      </w:r>
      <w:r>
        <w:rPr>
          <w:rFonts w:hint="eastAsia" w:ascii="宋体" w:hAnsi="宋体" w:eastAsia="宋体" w:cs="宋体"/>
          <w:b w:val="0"/>
          <w:color w:val="000000"/>
          <w:sz w:val="24"/>
          <w:szCs w:val="24"/>
          <w:highlight w:val="none"/>
        </w:rPr>
        <w:t>时间，预期指标值2024年</w:t>
      </w:r>
      <w:r>
        <w:rPr>
          <w:rFonts w:hint="eastAsia" w:ascii="宋体" w:hAnsi="宋体" w:eastAsia="宋体" w:cs="宋体"/>
          <w:b w:val="0"/>
          <w:color w:val="000000"/>
          <w:sz w:val="24"/>
          <w:szCs w:val="24"/>
          <w:highlight w:val="none"/>
          <w:lang w:val="en-US" w:eastAsia="zh-CN"/>
        </w:rPr>
        <w:t>12</w:t>
      </w:r>
      <w:r>
        <w:rPr>
          <w:rFonts w:hint="eastAsia" w:ascii="宋体" w:hAnsi="宋体" w:eastAsia="宋体" w:cs="宋体"/>
          <w:b w:val="0"/>
          <w:color w:val="000000"/>
          <w:sz w:val="24"/>
          <w:szCs w:val="24"/>
          <w:highlight w:val="none"/>
        </w:rPr>
        <w:t>月，实际完成值2024年</w:t>
      </w:r>
      <w:r>
        <w:rPr>
          <w:rFonts w:hint="eastAsia" w:ascii="宋体" w:hAnsi="宋体" w:eastAsia="宋体" w:cs="宋体"/>
          <w:b w:val="0"/>
          <w:color w:val="000000"/>
          <w:sz w:val="24"/>
          <w:szCs w:val="24"/>
          <w:highlight w:val="none"/>
          <w:lang w:val="en-US" w:eastAsia="zh-CN"/>
        </w:rPr>
        <w:t>12</w:t>
      </w:r>
      <w:r>
        <w:rPr>
          <w:rFonts w:hint="eastAsia" w:ascii="宋体" w:hAnsi="宋体" w:eastAsia="宋体" w:cs="宋体"/>
          <w:b w:val="0"/>
          <w:color w:val="000000"/>
          <w:sz w:val="24"/>
          <w:szCs w:val="24"/>
          <w:highlight w:val="none"/>
        </w:rPr>
        <w:t>月，指标完成率</w:t>
      </w:r>
      <w:r>
        <w:rPr>
          <w:rFonts w:hint="eastAsia" w:ascii="宋体" w:hAnsi="宋体" w:eastAsia="宋体" w:cs="宋体"/>
          <w:b w:val="0"/>
          <w:color w:val="000000"/>
          <w:sz w:val="24"/>
          <w:szCs w:val="24"/>
          <w:highlight w:val="none"/>
          <w:lang w:val="en-US" w:eastAsia="zh-CN"/>
        </w:rPr>
        <w:t>100%</w:t>
      </w:r>
      <w:r>
        <w:rPr>
          <w:rFonts w:hint="eastAsia" w:ascii="宋体" w:hAnsi="宋体" w:eastAsia="宋体" w:cs="宋体"/>
          <w:b w:val="0"/>
          <w:color w:val="000000"/>
          <w:sz w:val="24"/>
          <w:szCs w:val="24"/>
          <w:highlight w:val="none"/>
        </w:rPr>
        <w:t>，与预期目标一致，根据评分标准，该指标不扣分，</w:t>
      </w:r>
      <w:r>
        <w:rPr>
          <w:rFonts w:hint="eastAsia" w:ascii="宋体" w:hAnsi="宋体" w:eastAsia="宋体" w:cs="宋体"/>
          <w:b w:val="0"/>
          <w:bCs/>
          <w:color w:val="000000"/>
          <w:sz w:val="24"/>
          <w:szCs w:val="24"/>
          <w:highlight w:val="none"/>
        </w:rPr>
        <w:t>得</w:t>
      </w:r>
      <w:r>
        <w:rPr>
          <w:rFonts w:hint="eastAsia" w:ascii="宋体" w:hAnsi="宋体" w:eastAsia="宋体" w:cs="宋体"/>
          <w:b w:val="0"/>
          <w:bCs/>
          <w:color w:val="000000"/>
          <w:sz w:val="24"/>
          <w:szCs w:val="24"/>
          <w:highlight w:val="none"/>
          <w:lang w:val="en-US" w:eastAsia="zh-CN"/>
        </w:rPr>
        <w:t>2.5</w:t>
      </w:r>
      <w:r>
        <w:rPr>
          <w:rFonts w:hint="eastAsia" w:ascii="宋体" w:hAnsi="宋体" w:eastAsia="宋体" w:cs="宋体"/>
          <w:b w:val="0"/>
          <w:bCs/>
          <w:color w:val="000000"/>
          <w:sz w:val="24"/>
          <w:szCs w:val="24"/>
          <w:highlight w:val="none"/>
        </w:rPr>
        <w:t>分</w:t>
      </w:r>
      <w:r>
        <w:rPr>
          <w:rFonts w:hint="eastAsia" w:ascii="宋体" w:hAnsi="宋体" w:eastAsia="宋体" w:cs="宋体"/>
          <w:b w:val="0"/>
          <w:color w:val="000000"/>
          <w:sz w:val="24"/>
          <w:szCs w:val="24"/>
          <w:highlight w:val="none"/>
        </w:rPr>
        <w:t>。</w:t>
      </w:r>
    </w:p>
    <w:p w14:paraId="35F4287E">
      <w:pPr>
        <w:pStyle w:val="2"/>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000000"/>
          <w:sz w:val="24"/>
          <w:szCs w:val="24"/>
          <w:highlight w:val="none"/>
        </w:rPr>
      </w:pPr>
      <w:r>
        <w:rPr>
          <w:rFonts w:hint="eastAsia" w:ascii="宋体" w:hAnsi="宋体" w:eastAsia="宋体" w:cs="宋体"/>
          <w:b w:val="0"/>
          <w:color w:val="000000"/>
          <w:sz w:val="24"/>
          <w:szCs w:val="24"/>
          <w:highlight w:val="none"/>
        </w:rPr>
        <w:t>项目按计划开工率，预期指标值</w:t>
      </w:r>
      <w:r>
        <w:rPr>
          <w:rFonts w:hint="eastAsia" w:ascii="宋体" w:hAnsi="宋体" w:eastAsia="宋体" w:cs="宋体"/>
          <w:b w:val="0"/>
          <w:color w:val="000000"/>
          <w:sz w:val="24"/>
          <w:szCs w:val="24"/>
          <w:highlight w:val="none"/>
          <w:lang w:val="en-US" w:eastAsia="zh-CN"/>
        </w:rPr>
        <w:t>等于</w:t>
      </w:r>
      <w:r>
        <w:rPr>
          <w:rFonts w:hint="eastAsia" w:ascii="宋体" w:hAnsi="宋体" w:eastAsia="宋体" w:cs="宋体"/>
          <w:b w:val="0"/>
          <w:color w:val="000000"/>
          <w:sz w:val="24"/>
          <w:szCs w:val="24"/>
          <w:highlight w:val="none"/>
        </w:rPr>
        <w:t>100</w:t>
      </w:r>
      <w:r>
        <w:rPr>
          <w:rFonts w:hint="eastAsia" w:ascii="宋体" w:hAnsi="宋体" w:eastAsia="宋体" w:cs="宋体"/>
          <w:b w:val="0"/>
          <w:color w:val="000000"/>
          <w:sz w:val="24"/>
          <w:szCs w:val="24"/>
          <w:highlight w:val="none"/>
          <w:lang w:val="en-US" w:eastAsia="zh-CN"/>
        </w:rPr>
        <w:t>%</w:t>
      </w:r>
      <w:r>
        <w:rPr>
          <w:rFonts w:hint="eastAsia" w:ascii="宋体" w:hAnsi="宋体" w:eastAsia="宋体" w:cs="宋体"/>
          <w:b w:val="0"/>
          <w:color w:val="000000"/>
          <w:sz w:val="24"/>
          <w:szCs w:val="24"/>
          <w:highlight w:val="none"/>
        </w:rPr>
        <w:t>，实际完成值100</w:t>
      </w:r>
      <w:r>
        <w:rPr>
          <w:rFonts w:hint="eastAsia" w:ascii="宋体" w:hAnsi="宋体" w:eastAsia="宋体" w:cs="宋体"/>
          <w:b w:val="0"/>
          <w:color w:val="000000"/>
          <w:sz w:val="24"/>
          <w:szCs w:val="24"/>
          <w:highlight w:val="none"/>
          <w:lang w:val="en-US" w:eastAsia="zh-CN"/>
        </w:rPr>
        <w:t>%</w:t>
      </w:r>
      <w:r>
        <w:rPr>
          <w:rFonts w:hint="eastAsia" w:ascii="宋体" w:hAnsi="宋体" w:eastAsia="宋体" w:cs="宋体"/>
          <w:b w:val="0"/>
          <w:color w:val="000000"/>
          <w:sz w:val="24"/>
          <w:szCs w:val="24"/>
          <w:highlight w:val="none"/>
        </w:rPr>
        <w:t>，指标完成率100</w:t>
      </w:r>
      <w:r>
        <w:rPr>
          <w:rFonts w:hint="eastAsia" w:ascii="宋体" w:hAnsi="宋体" w:eastAsia="宋体" w:cs="宋体"/>
          <w:b w:val="0"/>
          <w:color w:val="000000"/>
          <w:sz w:val="24"/>
          <w:szCs w:val="24"/>
          <w:highlight w:val="none"/>
          <w:lang w:val="en-US" w:eastAsia="zh-CN"/>
        </w:rPr>
        <w:t>%</w:t>
      </w:r>
      <w:r>
        <w:rPr>
          <w:rFonts w:hint="eastAsia" w:ascii="宋体" w:hAnsi="宋体" w:eastAsia="宋体" w:cs="宋体"/>
          <w:b w:val="0"/>
          <w:color w:val="000000"/>
          <w:sz w:val="24"/>
          <w:szCs w:val="24"/>
          <w:highlight w:val="none"/>
        </w:rPr>
        <w:t>，与预期目标一致，根据评分标准，该指标不扣分，</w:t>
      </w:r>
      <w:r>
        <w:rPr>
          <w:rFonts w:hint="eastAsia" w:ascii="宋体" w:hAnsi="宋体" w:eastAsia="宋体" w:cs="宋体"/>
          <w:b w:val="0"/>
          <w:bCs/>
          <w:color w:val="000000"/>
          <w:sz w:val="24"/>
          <w:szCs w:val="24"/>
          <w:highlight w:val="none"/>
        </w:rPr>
        <w:t>得</w:t>
      </w:r>
      <w:r>
        <w:rPr>
          <w:rFonts w:hint="eastAsia" w:ascii="宋体" w:hAnsi="宋体" w:eastAsia="宋体" w:cs="宋体"/>
          <w:b w:val="0"/>
          <w:bCs/>
          <w:color w:val="000000"/>
          <w:sz w:val="24"/>
          <w:szCs w:val="24"/>
          <w:highlight w:val="none"/>
          <w:lang w:val="en-US" w:eastAsia="zh-CN"/>
        </w:rPr>
        <w:t>2.5</w:t>
      </w:r>
      <w:r>
        <w:rPr>
          <w:rFonts w:hint="eastAsia" w:ascii="宋体" w:hAnsi="宋体" w:eastAsia="宋体" w:cs="宋体"/>
          <w:b w:val="0"/>
          <w:bCs/>
          <w:color w:val="000000"/>
          <w:sz w:val="24"/>
          <w:szCs w:val="24"/>
          <w:highlight w:val="none"/>
        </w:rPr>
        <w:t>分</w:t>
      </w:r>
      <w:r>
        <w:rPr>
          <w:rFonts w:hint="eastAsia" w:ascii="宋体" w:hAnsi="宋体" w:eastAsia="宋体" w:cs="宋体"/>
          <w:b w:val="0"/>
          <w:color w:val="000000"/>
          <w:sz w:val="24"/>
          <w:szCs w:val="24"/>
          <w:highlight w:val="none"/>
        </w:rPr>
        <w:t>。</w:t>
      </w:r>
    </w:p>
    <w:p w14:paraId="142BC579">
      <w:pPr>
        <w:pStyle w:val="2"/>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000000"/>
          <w:sz w:val="24"/>
          <w:szCs w:val="24"/>
          <w:highlight w:val="none"/>
        </w:rPr>
      </w:pPr>
      <w:r>
        <w:rPr>
          <w:rFonts w:hint="eastAsia" w:ascii="宋体" w:hAnsi="宋体" w:eastAsia="宋体" w:cs="宋体"/>
          <w:b w:val="0"/>
          <w:color w:val="000000"/>
          <w:sz w:val="24"/>
          <w:szCs w:val="24"/>
          <w:highlight w:val="none"/>
        </w:rPr>
        <w:t>项目按计划完工率，预期指标值</w:t>
      </w:r>
      <w:r>
        <w:rPr>
          <w:rFonts w:hint="eastAsia" w:ascii="宋体" w:hAnsi="宋体" w:eastAsia="宋体" w:cs="宋体"/>
          <w:b w:val="0"/>
          <w:color w:val="000000"/>
          <w:sz w:val="24"/>
          <w:szCs w:val="24"/>
          <w:highlight w:val="none"/>
          <w:lang w:val="en-US" w:eastAsia="zh-CN"/>
        </w:rPr>
        <w:t>等于</w:t>
      </w:r>
      <w:r>
        <w:rPr>
          <w:rFonts w:hint="eastAsia" w:ascii="宋体" w:hAnsi="宋体" w:eastAsia="宋体" w:cs="宋体"/>
          <w:b w:val="0"/>
          <w:color w:val="000000"/>
          <w:sz w:val="24"/>
          <w:szCs w:val="24"/>
          <w:highlight w:val="none"/>
        </w:rPr>
        <w:t>100</w:t>
      </w:r>
      <w:r>
        <w:rPr>
          <w:rFonts w:hint="eastAsia" w:ascii="宋体" w:hAnsi="宋体" w:eastAsia="宋体" w:cs="宋体"/>
          <w:b w:val="0"/>
          <w:color w:val="000000"/>
          <w:sz w:val="24"/>
          <w:szCs w:val="24"/>
          <w:highlight w:val="none"/>
          <w:lang w:val="en-US" w:eastAsia="zh-CN"/>
        </w:rPr>
        <w:t>%</w:t>
      </w:r>
      <w:r>
        <w:rPr>
          <w:rFonts w:hint="eastAsia" w:ascii="宋体" w:hAnsi="宋体" w:eastAsia="宋体" w:cs="宋体"/>
          <w:b w:val="0"/>
          <w:color w:val="000000"/>
          <w:sz w:val="24"/>
          <w:szCs w:val="24"/>
          <w:highlight w:val="none"/>
        </w:rPr>
        <w:t>，实际完成值100</w:t>
      </w:r>
      <w:r>
        <w:rPr>
          <w:rFonts w:hint="eastAsia" w:ascii="宋体" w:hAnsi="宋体" w:eastAsia="宋体" w:cs="宋体"/>
          <w:b w:val="0"/>
          <w:color w:val="000000"/>
          <w:sz w:val="24"/>
          <w:szCs w:val="24"/>
          <w:highlight w:val="none"/>
          <w:lang w:val="en-US" w:eastAsia="zh-CN"/>
        </w:rPr>
        <w:t>%</w:t>
      </w:r>
      <w:r>
        <w:rPr>
          <w:rFonts w:hint="eastAsia" w:ascii="宋体" w:hAnsi="宋体" w:eastAsia="宋体" w:cs="宋体"/>
          <w:b w:val="0"/>
          <w:color w:val="000000"/>
          <w:sz w:val="24"/>
          <w:szCs w:val="24"/>
          <w:highlight w:val="none"/>
        </w:rPr>
        <w:t>，指标完成率100</w:t>
      </w:r>
      <w:r>
        <w:rPr>
          <w:rFonts w:hint="eastAsia" w:ascii="宋体" w:hAnsi="宋体" w:eastAsia="宋体" w:cs="宋体"/>
          <w:b w:val="0"/>
          <w:color w:val="000000"/>
          <w:sz w:val="24"/>
          <w:szCs w:val="24"/>
          <w:highlight w:val="none"/>
          <w:lang w:val="en-US" w:eastAsia="zh-CN"/>
        </w:rPr>
        <w:t>%</w:t>
      </w:r>
      <w:r>
        <w:rPr>
          <w:rFonts w:hint="eastAsia" w:ascii="宋体" w:hAnsi="宋体" w:eastAsia="宋体" w:cs="宋体"/>
          <w:b w:val="0"/>
          <w:color w:val="000000"/>
          <w:sz w:val="24"/>
          <w:szCs w:val="24"/>
          <w:highlight w:val="none"/>
        </w:rPr>
        <w:t>，与预期目标一致，根据评分标准，该指标不扣分，</w:t>
      </w:r>
      <w:r>
        <w:rPr>
          <w:rFonts w:hint="eastAsia" w:ascii="宋体" w:hAnsi="宋体" w:eastAsia="宋体" w:cs="宋体"/>
          <w:b w:val="0"/>
          <w:bCs/>
          <w:color w:val="000000"/>
          <w:sz w:val="24"/>
          <w:szCs w:val="24"/>
          <w:highlight w:val="none"/>
        </w:rPr>
        <w:t>得</w:t>
      </w:r>
      <w:r>
        <w:rPr>
          <w:rFonts w:hint="eastAsia" w:ascii="宋体" w:hAnsi="宋体" w:eastAsia="宋体" w:cs="宋体"/>
          <w:b w:val="0"/>
          <w:bCs/>
          <w:color w:val="000000"/>
          <w:sz w:val="24"/>
          <w:szCs w:val="24"/>
          <w:highlight w:val="none"/>
          <w:lang w:val="en-US" w:eastAsia="zh-CN"/>
        </w:rPr>
        <w:t>2.5</w:t>
      </w:r>
      <w:r>
        <w:rPr>
          <w:rFonts w:hint="eastAsia" w:ascii="宋体" w:hAnsi="宋体" w:eastAsia="宋体" w:cs="宋体"/>
          <w:b w:val="0"/>
          <w:bCs/>
          <w:color w:val="000000"/>
          <w:sz w:val="24"/>
          <w:szCs w:val="24"/>
          <w:highlight w:val="none"/>
        </w:rPr>
        <w:t>分</w:t>
      </w:r>
      <w:r>
        <w:rPr>
          <w:rFonts w:hint="eastAsia" w:ascii="宋体" w:hAnsi="宋体" w:eastAsia="宋体" w:cs="宋体"/>
          <w:b w:val="0"/>
          <w:color w:val="000000"/>
          <w:sz w:val="24"/>
          <w:szCs w:val="24"/>
          <w:highlight w:val="none"/>
        </w:rPr>
        <w:t>。</w:t>
      </w:r>
    </w:p>
    <w:p w14:paraId="66F5CC05">
      <w:pPr>
        <w:pStyle w:val="2"/>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000000"/>
          <w:sz w:val="24"/>
          <w:szCs w:val="24"/>
          <w:highlight w:val="none"/>
        </w:rPr>
      </w:pPr>
      <w:r>
        <w:rPr>
          <w:rFonts w:hint="eastAsia" w:ascii="宋体" w:hAnsi="宋体" w:eastAsia="宋体" w:cs="宋体"/>
          <w:b w:val="0"/>
          <w:bCs/>
          <w:color w:val="000000"/>
          <w:sz w:val="24"/>
          <w:szCs w:val="24"/>
          <w:highlight w:val="none"/>
        </w:rPr>
        <w:t>合计得10分。</w:t>
      </w:r>
    </w:p>
    <w:p w14:paraId="7FA3733F">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4.对于“产出成本”</w:t>
      </w:r>
    </w:p>
    <w:p w14:paraId="19E43694">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项目建设费用，预期指标值</w:t>
      </w:r>
      <w:r>
        <w:rPr>
          <w:rFonts w:hint="eastAsia" w:ascii="宋体" w:hAnsi="宋体" w:eastAsia="宋体" w:cs="宋体"/>
          <w:color w:val="000000"/>
          <w:sz w:val="24"/>
          <w:szCs w:val="24"/>
          <w:highlight w:val="none"/>
          <w:lang w:val="en-US" w:eastAsia="zh-CN"/>
        </w:rPr>
        <w:t>小于等于</w:t>
      </w:r>
      <w:r>
        <w:rPr>
          <w:rFonts w:hint="eastAsia" w:ascii="宋体" w:hAnsi="宋体" w:eastAsia="宋体" w:cs="宋体"/>
          <w:color w:val="000000"/>
          <w:sz w:val="24"/>
          <w:szCs w:val="24"/>
          <w:highlight w:val="none"/>
        </w:rPr>
        <w:t>2400万元，实际完成值为1687万元，指标完成率</w:t>
      </w:r>
      <w:r>
        <w:rPr>
          <w:rFonts w:hint="eastAsia" w:ascii="宋体" w:hAnsi="宋体" w:eastAsia="宋体" w:cs="宋体"/>
          <w:color w:val="000000"/>
          <w:sz w:val="24"/>
          <w:szCs w:val="24"/>
          <w:highlight w:val="none"/>
          <w:lang w:val="en-US" w:eastAsia="zh-CN"/>
        </w:rPr>
        <w:t>100%，</w:t>
      </w:r>
      <w:r>
        <w:rPr>
          <w:rFonts w:hint="eastAsia" w:ascii="宋体" w:hAnsi="宋体" w:eastAsia="宋体" w:cs="宋体"/>
          <w:b w:val="0"/>
          <w:color w:val="000000"/>
          <w:sz w:val="24"/>
          <w:szCs w:val="24"/>
          <w:highlight w:val="none"/>
        </w:rPr>
        <w:t>与预期目标一致，根据评分标准，该指标扣分</w:t>
      </w:r>
      <w:r>
        <w:rPr>
          <w:rFonts w:hint="eastAsia" w:ascii="宋体" w:hAnsi="宋体" w:eastAsia="宋体" w:cs="宋体"/>
          <w:color w:val="000000"/>
          <w:sz w:val="24"/>
          <w:szCs w:val="24"/>
          <w:highlight w:val="none"/>
        </w:rPr>
        <w:t>，得</w:t>
      </w:r>
      <w:r>
        <w:rPr>
          <w:rFonts w:hint="eastAsia" w:ascii="宋体" w:hAnsi="宋体" w:eastAsia="宋体" w:cs="宋体"/>
          <w:color w:val="000000"/>
          <w:sz w:val="24"/>
          <w:szCs w:val="24"/>
          <w:highlight w:val="none"/>
          <w:lang w:val="en-US" w:eastAsia="zh-CN"/>
        </w:rPr>
        <w:t>7.03</w:t>
      </w:r>
      <w:r>
        <w:rPr>
          <w:rFonts w:hint="eastAsia" w:ascii="宋体" w:hAnsi="宋体" w:eastAsia="宋体" w:cs="宋体"/>
          <w:color w:val="000000"/>
          <w:sz w:val="24"/>
          <w:szCs w:val="24"/>
          <w:highlight w:val="none"/>
        </w:rPr>
        <w:t>分。</w:t>
      </w:r>
    </w:p>
    <w:p w14:paraId="057A2B70">
      <w:pPr>
        <w:pStyle w:val="2"/>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b w:val="0"/>
          <w:bCs/>
          <w:color w:val="000000"/>
          <w:sz w:val="24"/>
          <w:szCs w:val="24"/>
          <w:highlight w:val="none"/>
        </w:rPr>
        <w:t>合计得</w:t>
      </w:r>
      <w:r>
        <w:rPr>
          <w:rFonts w:hint="eastAsia" w:ascii="宋体" w:hAnsi="宋体" w:eastAsia="宋体" w:cs="宋体"/>
          <w:b w:val="0"/>
          <w:bCs/>
          <w:color w:val="000000"/>
          <w:sz w:val="24"/>
          <w:szCs w:val="24"/>
          <w:highlight w:val="none"/>
          <w:lang w:val="en-US" w:eastAsia="zh-CN"/>
        </w:rPr>
        <w:t>7.03</w:t>
      </w:r>
      <w:r>
        <w:rPr>
          <w:rFonts w:hint="eastAsia" w:ascii="宋体" w:hAnsi="宋体" w:eastAsia="宋体" w:cs="宋体"/>
          <w:b w:val="0"/>
          <w:bCs/>
          <w:color w:val="000000"/>
          <w:sz w:val="24"/>
          <w:szCs w:val="24"/>
          <w:highlight w:val="none"/>
        </w:rPr>
        <w:t>分。</w:t>
      </w:r>
    </w:p>
    <w:p w14:paraId="36AEA874">
      <w:pPr>
        <w:pStyle w:val="5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（四）项目效益情况</w:t>
      </w:r>
    </w:p>
    <w:p w14:paraId="6D4BC5BD">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项目效益类指标包括项目效益1个方面的内容，由2个三级指标构成，权重分为2</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分，实际得分2</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分，得分率为100%。</w:t>
      </w:r>
    </w:p>
    <w:p w14:paraId="2BBA97D1">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1.对于“社会效益指标”</w:t>
      </w:r>
    </w:p>
    <w:p w14:paraId="136D11FD">
      <w:pPr>
        <w:pStyle w:val="2"/>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000000"/>
          <w:sz w:val="24"/>
          <w:szCs w:val="24"/>
          <w:highlight w:val="none"/>
        </w:rPr>
      </w:pPr>
      <w:r>
        <w:rPr>
          <w:rFonts w:hint="eastAsia" w:ascii="宋体" w:hAnsi="宋体" w:eastAsia="宋体" w:cs="宋体"/>
          <w:b w:val="0"/>
          <w:bCs w:val="0"/>
          <w:color w:val="000000"/>
          <w:sz w:val="24"/>
          <w:szCs w:val="24"/>
          <w:highlight w:val="none"/>
        </w:rPr>
        <w:t>完善城区道路交通能力，改善群众日常出行安全，预期指标值为</w:t>
      </w:r>
      <w:r>
        <w:rPr>
          <w:rFonts w:hint="eastAsia" w:ascii="宋体" w:hAnsi="宋体" w:eastAsia="宋体" w:cs="宋体"/>
          <w:b w:val="0"/>
          <w:bCs w:val="0"/>
          <w:color w:val="000000"/>
          <w:sz w:val="24"/>
          <w:szCs w:val="24"/>
          <w:highlight w:val="none"/>
          <w:lang w:val="en-US" w:eastAsia="zh-CN"/>
        </w:rPr>
        <w:t>效果显著</w:t>
      </w:r>
      <w:r>
        <w:rPr>
          <w:rFonts w:hint="eastAsia" w:ascii="宋体" w:hAnsi="宋体" w:eastAsia="宋体" w:cs="宋体"/>
          <w:b w:val="0"/>
          <w:bCs w:val="0"/>
          <w:color w:val="000000"/>
          <w:sz w:val="24"/>
          <w:szCs w:val="24"/>
          <w:highlight w:val="none"/>
        </w:rPr>
        <w:t>，实际完成值为</w:t>
      </w:r>
      <w:r>
        <w:rPr>
          <w:rFonts w:hint="eastAsia" w:ascii="宋体" w:hAnsi="宋体" w:eastAsia="宋体" w:cs="宋体"/>
          <w:b w:val="0"/>
          <w:bCs w:val="0"/>
          <w:color w:val="000000"/>
          <w:sz w:val="24"/>
          <w:szCs w:val="24"/>
          <w:highlight w:val="none"/>
          <w:lang w:val="en-US" w:eastAsia="zh-CN"/>
        </w:rPr>
        <w:t>效果显著</w:t>
      </w:r>
      <w:r>
        <w:rPr>
          <w:rFonts w:hint="eastAsia" w:ascii="宋体" w:hAnsi="宋体" w:eastAsia="宋体" w:cs="宋体"/>
          <w:b w:val="0"/>
          <w:bCs w:val="0"/>
          <w:color w:val="000000"/>
          <w:sz w:val="24"/>
          <w:szCs w:val="24"/>
          <w:highlight w:val="none"/>
        </w:rPr>
        <w:t>，指标完成率</w:t>
      </w:r>
      <w:r>
        <w:rPr>
          <w:rFonts w:hint="eastAsia" w:ascii="宋体" w:hAnsi="宋体" w:eastAsia="宋体" w:cs="宋体"/>
          <w:b w:val="0"/>
          <w:bCs w:val="0"/>
          <w:color w:val="000000"/>
          <w:sz w:val="24"/>
          <w:szCs w:val="24"/>
          <w:highlight w:val="none"/>
          <w:lang w:val="en-US" w:eastAsia="zh-CN"/>
        </w:rPr>
        <w:t>100%</w:t>
      </w:r>
      <w:r>
        <w:rPr>
          <w:rFonts w:hint="eastAsia" w:ascii="宋体" w:hAnsi="宋体" w:eastAsia="宋体" w:cs="宋体"/>
          <w:b w:val="0"/>
          <w:bCs w:val="0"/>
          <w:color w:val="000000"/>
          <w:sz w:val="24"/>
          <w:szCs w:val="24"/>
          <w:highlight w:val="none"/>
        </w:rPr>
        <w:t>，与预期指标一致，根据评分标准，该指标不扣分，得</w:t>
      </w:r>
      <w:r>
        <w:rPr>
          <w:rFonts w:hint="eastAsia" w:ascii="宋体" w:hAnsi="宋体" w:eastAsia="宋体" w:cs="宋体"/>
          <w:b w:val="0"/>
          <w:bCs w:val="0"/>
          <w:color w:val="000000"/>
          <w:sz w:val="24"/>
          <w:szCs w:val="24"/>
          <w:highlight w:val="none"/>
          <w:lang w:val="en-US" w:eastAsia="zh-CN"/>
        </w:rPr>
        <w:t>15</w:t>
      </w:r>
      <w:r>
        <w:rPr>
          <w:rFonts w:hint="eastAsia" w:ascii="宋体" w:hAnsi="宋体" w:eastAsia="宋体" w:cs="宋体"/>
          <w:b w:val="0"/>
          <w:bCs w:val="0"/>
          <w:color w:val="000000"/>
          <w:sz w:val="24"/>
          <w:szCs w:val="24"/>
          <w:highlight w:val="none"/>
        </w:rPr>
        <w:t>分。</w:t>
      </w:r>
    </w:p>
    <w:p w14:paraId="5CD785DB">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2.对于“经济效益指标”</w:t>
      </w:r>
    </w:p>
    <w:p w14:paraId="3B7ACE41">
      <w:pPr>
        <w:pStyle w:val="2"/>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lang w:val="en-US" w:eastAsia="zh-CN"/>
        </w:rPr>
        <w:t>该项目不涉及</w:t>
      </w:r>
      <w:r>
        <w:rPr>
          <w:rFonts w:hint="eastAsia" w:ascii="宋体" w:hAnsi="宋体" w:eastAsia="宋体" w:cs="宋体"/>
          <w:b w:val="0"/>
          <w:bCs w:val="0"/>
          <w:color w:val="000000"/>
          <w:sz w:val="24"/>
          <w:szCs w:val="24"/>
          <w:highlight w:val="none"/>
        </w:rPr>
        <w:t>经济效益指标</w:t>
      </w:r>
      <w:r>
        <w:rPr>
          <w:rFonts w:hint="eastAsia" w:ascii="宋体" w:hAnsi="宋体" w:eastAsia="宋体" w:cs="宋体"/>
          <w:b w:val="0"/>
          <w:bCs w:val="0"/>
          <w:color w:val="000000"/>
          <w:sz w:val="24"/>
          <w:szCs w:val="24"/>
          <w:highlight w:val="none"/>
          <w:lang w:val="en-US" w:eastAsia="zh-CN"/>
        </w:rPr>
        <w:t>。</w:t>
      </w:r>
    </w:p>
    <w:p w14:paraId="3A494458">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3.对于“生态效益指标”</w:t>
      </w:r>
    </w:p>
    <w:p w14:paraId="006BBE03">
      <w:pPr>
        <w:pStyle w:val="2"/>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default"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该项目不涉及生态效益指标。</w:t>
      </w:r>
      <w:bookmarkEnd w:id="11"/>
    </w:p>
    <w:p w14:paraId="6D4D8752">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4.满意度指标分析</w:t>
      </w:r>
    </w:p>
    <w:p w14:paraId="3618E50E">
      <w:pPr>
        <w:pStyle w:val="47"/>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受益群众满意度</w:t>
      </w:r>
      <w:r>
        <w:rPr>
          <w:rFonts w:hint="eastAsia" w:ascii="宋体" w:hAnsi="宋体" w:eastAsia="宋体" w:cs="宋体"/>
          <w:color w:val="000000"/>
          <w:sz w:val="24"/>
          <w:szCs w:val="24"/>
          <w:highlight w:val="none"/>
        </w:rPr>
        <w:t>，预期指标值</w:t>
      </w:r>
      <w:r>
        <w:rPr>
          <w:rFonts w:hint="eastAsia" w:ascii="宋体" w:hAnsi="宋体" w:eastAsia="宋体" w:cs="宋体"/>
          <w:color w:val="000000"/>
          <w:sz w:val="24"/>
          <w:szCs w:val="24"/>
          <w:highlight w:val="none"/>
          <w:lang w:val="en-US" w:eastAsia="zh-CN"/>
        </w:rPr>
        <w:t>大于等于95%</w:t>
      </w:r>
      <w:r>
        <w:rPr>
          <w:rFonts w:hint="eastAsia" w:ascii="宋体" w:hAnsi="宋体" w:eastAsia="宋体" w:cs="宋体"/>
          <w:color w:val="000000"/>
          <w:sz w:val="24"/>
          <w:szCs w:val="24"/>
          <w:highlight w:val="none"/>
        </w:rPr>
        <w:t>，实际完成值</w:t>
      </w:r>
      <w:r>
        <w:rPr>
          <w:rFonts w:hint="eastAsia" w:ascii="宋体" w:hAnsi="宋体" w:eastAsia="宋体" w:cs="宋体"/>
          <w:color w:val="000000"/>
          <w:sz w:val="24"/>
          <w:szCs w:val="24"/>
          <w:highlight w:val="none"/>
          <w:lang w:val="en-US" w:eastAsia="zh-CN"/>
        </w:rPr>
        <w:t>95%</w:t>
      </w:r>
      <w:r>
        <w:rPr>
          <w:rFonts w:hint="eastAsia" w:ascii="宋体" w:hAnsi="宋体" w:eastAsia="宋体" w:cs="宋体"/>
          <w:color w:val="000000"/>
          <w:sz w:val="24"/>
          <w:szCs w:val="24"/>
          <w:highlight w:val="none"/>
        </w:rPr>
        <w:t>，指标完成率为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，与预期目标一致，根据评分标准，该指标不扣分,得10分。</w:t>
      </w:r>
    </w:p>
    <w:p w14:paraId="591ABBCC">
      <w:pPr>
        <w:pStyle w:val="2"/>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b w:val="0"/>
          <w:bCs/>
          <w:color w:val="000000"/>
          <w:sz w:val="24"/>
          <w:szCs w:val="24"/>
          <w:highlight w:val="none"/>
        </w:rPr>
        <w:t>合计得</w:t>
      </w:r>
      <w:r>
        <w:rPr>
          <w:rFonts w:hint="eastAsia" w:ascii="宋体" w:hAnsi="宋体" w:eastAsia="宋体" w:cs="宋体"/>
          <w:b w:val="0"/>
          <w:bCs/>
          <w:color w:val="000000"/>
          <w:sz w:val="24"/>
          <w:szCs w:val="24"/>
          <w:highlight w:val="none"/>
          <w:lang w:val="en-US" w:eastAsia="zh-CN"/>
        </w:rPr>
        <w:t>25</w:t>
      </w:r>
      <w:r>
        <w:rPr>
          <w:rFonts w:hint="eastAsia" w:ascii="宋体" w:hAnsi="宋体" w:eastAsia="宋体" w:cs="宋体"/>
          <w:b w:val="0"/>
          <w:bCs/>
          <w:color w:val="000000"/>
          <w:sz w:val="24"/>
          <w:szCs w:val="24"/>
          <w:highlight w:val="none"/>
        </w:rPr>
        <w:t>分。</w:t>
      </w:r>
    </w:p>
    <w:p w14:paraId="65FB3D37">
      <w:pPr>
        <w:pStyle w:val="3"/>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sz w:val="24"/>
          <w:szCs w:val="24"/>
        </w:rPr>
      </w:pPr>
      <w:r>
        <w:rPr>
          <w:rFonts w:hint="eastAsia" w:ascii="黑体" w:hAnsi="黑体" w:eastAsia="黑体" w:cs="黑体"/>
          <w:sz w:val="24"/>
          <w:szCs w:val="24"/>
        </w:rPr>
        <w:t>五、预算执行进度与绩效指标偏差情况</w:t>
      </w:r>
    </w:p>
    <w:p w14:paraId="6BA0C663">
      <w:pPr>
        <w:pStyle w:val="2"/>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color w:val="000000"/>
          <w:sz w:val="24"/>
          <w:szCs w:val="24"/>
          <w:highlight w:val="none"/>
        </w:rPr>
      </w:pPr>
      <w:r>
        <w:rPr>
          <w:rFonts w:hint="eastAsia" w:ascii="宋体" w:hAnsi="宋体" w:eastAsia="宋体" w:cs="宋体"/>
          <w:b w:val="0"/>
          <w:bCs/>
          <w:color w:val="000000"/>
          <w:sz w:val="24"/>
          <w:szCs w:val="24"/>
          <w:highlight w:val="none"/>
        </w:rPr>
        <w:t>本项目年初预算资金总额为</w:t>
      </w:r>
      <w:r>
        <w:rPr>
          <w:rFonts w:hint="eastAsia" w:ascii="宋体" w:hAnsi="宋体" w:eastAsia="宋体" w:cs="宋体"/>
          <w:b w:val="0"/>
          <w:bCs/>
          <w:color w:val="000000"/>
          <w:sz w:val="24"/>
          <w:szCs w:val="24"/>
          <w:highlight w:val="none"/>
          <w:lang w:val="en-US" w:eastAsia="zh-CN"/>
        </w:rPr>
        <w:t>2400</w:t>
      </w:r>
      <w:r>
        <w:rPr>
          <w:rFonts w:hint="eastAsia" w:ascii="宋体" w:hAnsi="宋体" w:eastAsia="宋体" w:cs="宋体"/>
          <w:b w:val="0"/>
          <w:bCs/>
          <w:color w:val="000000"/>
          <w:sz w:val="24"/>
          <w:szCs w:val="24"/>
          <w:highlight w:val="none"/>
        </w:rPr>
        <w:t>万元，全年预算数为</w:t>
      </w:r>
      <w:r>
        <w:rPr>
          <w:rFonts w:hint="eastAsia" w:ascii="宋体" w:hAnsi="宋体" w:eastAsia="宋体" w:cs="宋体"/>
          <w:b w:val="0"/>
          <w:bCs/>
          <w:color w:val="000000"/>
          <w:sz w:val="24"/>
          <w:szCs w:val="24"/>
          <w:highlight w:val="none"/>
          <w:lang w:val="en-US" w:eastAsia="zh-CN"/>
        </w:rPr>
        <w:t>2400</w:t>
      </w:r>
      <w:r>
        <w:rPr>
          <w:rFonts w:hint="eastAsia" w:ascii="宋体" w:hAnsi="宋体" w:eastAsia="宋体" w:cs="宋体"/>
          <w:b w:val="0"/>
          <w:bCs/>
          <w:color w:val="000000"/>
          <w:sz w:val="24"/>
          <w:szCs w:val="24"/>
          <w:highlight w:val="none"/>
        </w:rPr>
        <w:t>万元，全年执行数为</w:t>
      </w:r>
      <w:r>
        <w:rPr>
          <w:rFonts w:hint="eastAsia" w:ascii="宋体" w:hAnsi="宋体" w:eastAsia="宋体" w:cs="宋体"/>
          <w:b w:val="0"/>
          <w:bCs/>
          <w:color w:val="000000"/>
          <w:sz w:val="24"/>
          <w:szCs w:val="24"/>
          <w:highlight w:val="none"/>
          <w:lang w:val="en-US" w:eastAsia="zh-CN"/>
        </w:rPr>
        <w:t>1687</w:t>
      </w:r>
      <w:r>
        <w:rPr>
          <w:rFonts w:hint="eastAsia" w:ascii="宋体" w:hAnsi="宋体" w:eastAsia="宋体" w:cs="宋体"/>
          <w:b w:val="0"/>
          <w:bCs/>
          <w:color w:val="000000"/>
          <w:sz w:val="24"/>
          <w:szCs w:val="24"/>
          <w:highlight w:val="none"/>
        </w:rPr>
        <w:t>万元，预算执行率为</w:t>
      </w:r>
      <w:r>
        <w:rPr>
          <w:rFonts w:hint="eastAsia" w:ascii="宋体" w:hAnsi="宋体" w:eastAsia="宋体" w:cs="宋体"/>
          <w:b w:val="0"/>
          <w:bCs/>
          <w:color w:val="000000"/>
          <w:sz w:val="24"/>
          <w:szCs w:val="24"/>
          <w:highlight w:val="none"/>
          <w:lang w:val="en-US" w:eastAsia="zh-CN"/>
        </w:rPr>
        <w:t>70.29</w:t>
      </w:r>
      <w:r>
        <w:rPr>
          <w:rFonts w:hint="eastAsia" w:ascii="宋体" w:hAnsi="宋体" w:eastAsia="宋体" w:cs="宋体"/>
          <w:b w:val="0"/>
          <w:bCs/>
          <w:color w:val="000000"/>
          <w:sz w:val="24"/>
          <w:szCs w:val="24"/>
          <w:highlight w:val="none"/>
        </w:rPr>
        <w:t>%。</w:t>
      </w:r>
    </w:p>
    <w:p w14:paraId="02475CBF">
      <w:pPr>
        <w:pStyle w:val="2"/>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color w:val="000000"/>
          <w:sz w:val="24"/>
          <w:szCs w:val="24"/>
          <w:highlight w:val="none"/>
        </w:rPr>
      </w:pPr>
      <w:r>
        <w:rPr>
          <w:rFonts w:hint="eastAsia" w:ascii="宋体" w:hAnsi="宋体" w:eastAsia="宋体" w:cs="宋体"/>
          <w:b w:val="0"/>
          <w:bCs/>
          <w:color w:val="000000"/>
          <w:sz w:val="24"/>
          <w:szCs w:val="24"/>
          <w:highlight w:val="none"/>
        </w:rPr>
        <w:t>本项目共设置三级指标数量</w:t>
      </w:r>
      <w:r>
        <w:rPr>
          <w:rFonts w:hint="eastAsia" w:ascii="宋体" w:hAnsi="宋体" w:eastAsia="宋体" w:cs="宋体"/>
          <w:b w:val="0"/>
          <w:bCs/>
          <w:color w:val="000000"/>
          <w:sz w:val="24"/>
          <w:szCs w:val="24"/>
          <w:highlight w:val="none"/>
          <w:lang w:val="en-US" w:eastAsia="zh-CN"/>
        </w:rPr>
        <w:t>13</w:t>
      </w:r>
      <w:r>
        <w:rPr>
          <w:rFonts w:hint="eastAsia" w:ascii="宋体" w:hAnsi="宋体" w:eastAsia="宋体" w:cs="宋体"/>
          <w:b w:val="0"/>
          <w:bCs/>
          <w:color w:val="000000"/>
          <w:sz w:val="24"/>
          <w:szCs w:val="24"/>
          <w:highlight w:val="none"/>
        </w:rPr>
        <w:t>个，满分指标数量</w:t>
      </w:r>
      <w:r>
        <w:rPr>
          <w:rFonts w:hint="eastAsia" w:ascii="宋体" w:hAnsi="宋体" w:eastAsia="宋体" w:cs="宋体"/>
          <w:b w:val="0"/>
          <w:bCs/>
          <w:color w:val="000000"/>
          <w:sz w:val="24"/>
          <w:szCs w:val="24"/>
          <w:highlight w:val="none"/>
          <w:lang w:val="en-US" w:eastAsia="zh-CN"/>
        </w:rPr>
        <w:t>12</w:t>
      </w:r>
      <w:r>
        <w:rPr>
          <w:rFonts w:hint="eastAsia" w:ascii="宋体" w:hAnsi="宋体" w:eastAsia="宋体" w:cs="宋体"/>
          <w:b w:val="0"/>
          <w:bCs/>
          <w:color w:val="000000"/>
          <w:sz w:val="24"/>
          <w:szCs w:val="24"/>
          <w:highlight w:val="none"/>
        </w:rPr>
        <w:t>个，扣分指标数量</w:t>
      </w:r>
      <w:r>
        <w:rPr>
          <w:rFonts w:hint="eastAsia" w:ascii="宋体" w:hAnsi="宋体" w:eastAsia="宋体" w:cs="宋体"/>
          <w:b w:val="0"/>
          <w:bCs/>
          <w:color w:val="000000"/>
          <w:sz w:val="24"/>
          <w:szCs w:val="24"/>
          <w:highlight w:val="none"/>
          <w:lang w:val="en-US" w:eastAsia="zh-CN"/>
        </w:rPr>
        <w:t>1</w:t>
      </w:r>
      <w:r>
        <w:rPr>
          <w:rFonts w:hint="eastAsia" w:ascii="宋体" w:hAnsi="宋体" w:eastAsia="宋体" w:cs="宋体"/>
          <w:b w:val="0"/>
          <w:bCs/>
          <w:color w:val="000000"/>
          <w:sz w:val="24"/>
          <w:szCs w:val="24"/>
          <w:highlight w:val="none"/>
        </w:rPr>
        <w:t>个，经分析计算所有三级指标完成率得出，本项目总体完成率为</w:t>
      </w:r>
      <w:r>
        <w:rPr>
          <w:rFonts w:hint="eastAsia" w:ascii="宋体" w:hAnsi="宋体" w:eastAsia="宋体" w:cs="宋体"/>
          <w:b w:val="0"/>
          <w:bCs/>
          <w:color w:val="000000"/>
          <w:sz w:val="24"/>
          <w:szCs w:val="24"/>
          <w:highlight w:val="none"/>
          <w:lang w:val="en-US" w:eastAsia="zh-CN"/>
        </w:rPr>
        <w:t>92.31</w:t>
      </w:r>
      <w:r>
        <w:rPr>
          <w:rFonts w:hint="eastAsia" w:ascii="宋体" w:hAnsi="宋体" w:eastAsia="宋体" w:cs="宋体"/>
          <w:b w:val="0"/>
          <w:bCs/>
          <w:color w:val="000000"/>
          <w:sz w:val="24"/>
          <w:szCs w:val="24"/>
          <w:highlight w:val="none"/>
        </w:rPr>
        <w:t>%。</w:t>
      </w:r>
    </w:p>
    <w:p w14:paraId="25CD9464">
      <w:pPr>
        <w:pStyle w:val="2"/>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color w:val="000000"/>
          <w:sz w:val="24"/>
          <w:szCs w:val="24"/>
          <w:highlight w:val="none"/>
        </w:rPr>
      </w:pPr>
      <w:r>
        <w:rPr>
          <w:rFonts w:hint="eastAsia" w:ascii="宋体" w:hAnsi="宋体" w:eastAsia="宋体" w:cs="宋体"/>
          <w:b w:val="0"/>
          <w:bCs/>
          <w:color w:val="000000"/>
          <w:sz w:val="24"/>
          <w:szCs w:val="24"/>
          <w:highlight w:val="none"/>
        </w:rPr>
        <w:t>综上所述本项目预算执行率与总体完成率之间的偏差为</w:t>
      </w:r>
      <w:r>
        <w:rPr>
          <w:rFonts w:hint="eastAsia" w:ascii="宋体" w:hAnsi="宋体" w:eastAsia="宋体" w:cs="宋体"/>
          <w:b w:val="0"/>
          <w:bCs/>
          <w:color w:val="000000"/>
          <w:sz w:val="24"/>
          <w:szCs w:val="24"/>
          <w:highlight w:val="none"/>
          <w:lang w:val="en-US" w:eastAsia="zh-CN"/>
        </w:rPr>
        <w:t>22.02</w:t>
      </w:r>
      <w:r>
        <w:rPr>
          <w:rFonts w:hint="eastAsia" w:ascii="宋体" w:hAnsi="宋体" w:eastAsia="宋体" w:cs="宋体"/>
          <w:b w:val="0"/>
          <w:bCs/>
          <w:color w:val="000000"/>
          <w:sz w:val="24"/>
          <w:szCs w:val="24"/>
          <w:highlight w:val="none"/>
        </w:rPr>
        <w:t>%。</w:t>
      </w:r>
    </w:p>
    <w:p w14:paraId="706F111C">
      <w:pPr>
        <w:pStyle w:val="3"/>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b/>
          <w:bCs/>
          <w:sz w:val="24"/>
          <w:szCs w:val="24"/>
        </w:rPr>
      </w:pPr>
      <w:bookmarkStart w:id="12" w:name="_Toc68364673"/>
      <w:r>
        <w:rPr>
          <w:rFonts w:hint="eastAsia" w:ascii="黑体" w:hAnsi="黑体" w:eastAsia="黑体" w:cs="黑体"/>
          <w:b/>
          <w:bCs/>
          <w:sz w:val="24"/>
          <w:szCs w:val="24"/>
        </w:rPr>
        <w:t>六、主要经验及做法、存在的问题及原因分析</w:t>
      </w:r>
    </w:p>
    <w:p w14:paraId="262A01C2">
      <w:pPr>
        <w:pStyle w:val="5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FF0000"/>
          <w:sz w:val="24"/>
          <w:szCs w:val="24"/>
          <w:lang w:eastAsia="zh-CN"/>
        </w:rPr>
      </w:pPr>
      <w:r>
        <w:rPr>
          <w:rFonts w:hint="eastAsia" w:ascii="宋体" w:hAnsi="宋体" w:eastAsia="宋体" w:cs="宋体"/>
          <w:sz w:val="24"/>
          <w:szCs w:val="24"/>
        </w:rPr>
        <w:t>（一）主要经验及做法</w:t>
      </w:r>
      <w:bookmarkEnd w:id="12"/>
    </w:p>
    <w:p w14:paraId="0CBA86B4">
      <w:pPr>
        <w:pStyle w:val="2"/>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color w:val="000000"/>
          <w:sz w:val="24"/>
          <w:szCs w:val="24"/>
          <w:highlight w:val="none"/>
          <w:lang w:val="en-US" w:eastAsia="zh-CN"/>
        </w:rPr>
      </w:pPr>
      <w:r>
        <w:rPr>
          <w:rFonts w:hint="eastAsia" w:ascii="宋体" w:hAnsi="宋体" w:eastAsia="宋体" w:cs="宋体"/>
          <w:b w:val="0"/>
          <w:bCs/>
          <w:color w:val="000000"/>
          <w:sz w:val="24"/>
          <w:szCs w:val="24"/>
          <w:highlight w:val="none"/>
          <w:lang w:val="en-US" w:eastAsia="zh-CN"/>
        </w:rPr>
        <w:t>1、加强领导，落实责任，成立了以由党组书记王文举任组长，负责项目的组织工作；赵佳鹏任副组长，负责项目的实施工作；组员包括：徐元芬和冯伟，主要负责项目监督管理、验收以及资金核拨等工作。</w:t>
      </w:r>
    </w:p>
    <w:p w14:paraId="031C7966">
      <w:pPr>
        <w:pStyle w:val="2"/>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color w:val="000000"/>
          <w:sz w:val="24"/>
          <w:szCs w:val="24"/>
          <w:highlight w:val="none"/>
          <w:lang w:val="en-US" w:eastAsia="zh-CN"/>
        </w:rPr>
      </w:pPr>
      <w:r>
        <w:rPr>
          <w:rFonts w:hint="eastAsia" w:ascii="宋体" w:hAnsi="宋体" w:eastAsia="宋体" w:cs="宋体"/>
          <w:b w:val="0"/>
          <w:bCs/>
          <w:color w:val="000000"/>
          <w:sz w:val="24"/>
          <w:szCs w:val="24"/>
          <w:highlight w:val="none"/>
          <w:lang w:val="en-US" w:eastAsia="zh-CN"/>
        </w:rPr>
        <w:t>２、强化监管，确保质量，为确保工程质量监管到位，聘请专业监理公司负责整个工程的监督管理，单位选派工作责任心强、熟悉工程业务人员为负责人，负责施工监督，做好隐蔽工程监管工作。</w:t>
      </w:r>
    </w:p>
    <w:p w14:paraId="22D6B207">
      <w:pPr>
        <w:pStyle w:val="2"/>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color w:val="000000"/>
          <w:sz w:val="24"/>
          <w:szCs w:val="24"/>
          <w:highlight w:val="none"/>
          <w:lang w:val="en-US" w:eastAsia="zh-CN"/>
        </w:rPr>
      </w:pPr>
      <w:r>
        <w:rPr>
          <w:rFonts w:hint="eastAsia" w:ascii="宋体" w:hAnsi="宋体" w:eastAsia="宋体" w:cs="宋体"/>
          <w:b w:val="0"/>
          <w:bCs/>
          <w:color w:val="000000"/>
          <w:sz w:val="24"/>
          <w:szCs w:val="24"/>
          <w:highlight w:val="none"/>
          <w:lang w:val="en-US" w:eastAsia="zh-CN"/>
        </w:rPr>
        <w:t>3、严格程序，确保资金效益。项目建设坚持层层审批原则，做到操作程序规范，严格按照上级审批项目建设规模、工程项目管理办法，工程进度款拨付管理等相关要求开展工作，并严格按照资金使用的相关管理要淾执行，严格资金使用范围，保证项目专款专用。</w:t>
      </w:r>
      <w:bookmarkStart w:id="13" w:name="_Toc68364674"/>
    </w:p>
    <w:p w14:paraId="0BAA4E94">
      <w:pPr>
        <w:pStyle w:val="5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bCs/>
          <w:sz w:val="24"/>
          <w:szCs w:val="24"/>
        </w:rPr>
      </w:pPr>
      <w:r>
        <w:rPr>
          <w:rFonts w:hint="eastAsia" w:ascii="宋体" w:hAnsi="宋体" w:eastAsia="宋体" w:cs="宋体"/>
          <w:b/>
          <w:bCs/>
          <w:sz w:val="24"/>
          <w:szCs w:val="24"/>
        </w:rPr>
        <w:t>（二）存在问题及原因分析</w:t>
      </w:r>
      <w:bookmarkEnd w:id="13"/>
    </w:p>
    <w:p w14:paraId="1DD8A4B5">
      <w:pPr>
        <w:pStyle w:val="2"/>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default" w:ascii="宋体" w:hAnsi="宋体" w:eastAsia="宋体" w:cs="宋体"/>
          <w:b w:val="0"/>
          <w:bCs/>
          <w:color w:val="000000"/>
          <w:sz w:val="24"/>
          <w:szCs w:val="24"/>
          <w:highlight w:val="none"/>
          <w:lang w:val="en-US" w:eastAsia="zh-CN"/>
        </w:rPr>
      </w:pPr>
      <w:bookmarkStart w:id="14" w:name="_Toc68364675"/>
      <w:r>
        <w:rPr>
          <w:rFonts w:hint="eastAsia" w:ascii="宋体" w:hAnsi="宋体" w:eastAsia="宋体" w:cs="宋体"/>
          <w:b w:val="0"/>
          <w:bCs/>
          <w:color w:val="000000"/>
          <w:sz w:val="24"/>
          <w:szCs w:val="24"/>
          <w:highlight w:val="none"/>
          <w:lang w:val="en-US" w:eastAsia="zh-CN"/>
        </w:rPr>
        <w:t>1.项目已完工，但因财政资金困难，未完成资金支付，下一步将积极向财政申请资金。</w:t>
      </w:r>
    </w:p>
    <w:p w14:paraId="1A813BA0">
      <w:pPr>
        <w:pStyle w:val="2"/>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color w:val="000000"/>
          <w:sz w:val="24"/>
          <w:szCs w:val="24"/>
          <w:highlight w:val="none"/>
          <w:lang w:val="en-US" w:eastAsia="zh-CN"/>
        </w:rPr>
      </w:pPr>
      <w:r>
        <w:rPr>
          <w:rFonts w:hint="eastAsia" w:ascii="宋体" w:hAnsi="宋体" w:eastAsia="宋体" w:cs="宋体"/>
          <w:b w:val="0"/>
          <w:bCs/>
          <w:color w:val="000000"/>
          <w:sz w:val="24"/>
          <w:szCs w:val="24"/>
          <w:highlight w:val="none"/>
          <w:lang w:val="en-US" w:eastAsia="zh-CN"/>
        </w:rPr>
        <w:t>2.部门沟通协调不足，监督责任不明确。</w:t>
      </w:r>
    </w:p>
    <w:p w14:paraId="1C05DDBB">
      <w:pPr>
        <w:pStyle w:val="2"/>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color w:val="000000"/>
          <w:sz w:val="24"/>
          <w:szCs w:val="24"/>
          <w:highlight w:val="none"/>
          <w:lang w:val="en-US" w:eastAsia="zh-CN"/>
        </w:rPr>
      </w:pPr>
      <w:r>
        <w:rPr>
          <w:rFonts w:hint="eastAsia" w:ascii="宋体" w:hAnsi="宋体" w:eastAsia="宋体" w:cs="宋体"/>
          <w:b w:val="0"/>
          <w:bCs/>
          <w:color w:val="000000"/>
          <w:sz w:val="24"/>
          <w:szCs w:val="24"/>
          <w:highlight w:val="none"/>
          <w:lang w:val="en-US" w:eastAsia="zh-CN"/>
        </w:rPr>
        <w:t>3.项目资金监督和管理需进一步完善。</w:t>
      </w:r>
    </w:p>
    <w:p w14:paraId="53096B2C">
      <w:pPr>
        <w:pStyle w:val="2"/>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color w:val="000000"/>
          <w:sz w:val="24"/>
          <w:szCs w:val="24"/>
          <w:highlight w:val="none"/>
          <w:lang w:val="en-US" w:eastAsia="zh-CN"/>
        </w:rPr>
      </w:pPr>
      <w:r>
        <w:rPr>
          <w:rFonts w:hint="eastAsia" w:ascii="宋体" w:hAnsi="宋体" w:eastAsia="宋体" w:cs="宋体"/>
          <w:b w:val="0"/>
          <w:bCs/>
          <w:color w:val="000000"/>
          <w:sz w:val="24"/>
          <w:szCs w:val="24"/>
          <w:highlight w:val="none"/>
          <w:lang w:val="en-US" w:eastAsia="zh-CN"/>
        </w:rPr>
        <w:t>4.现场评价的工作量少，后续效益评价具体措施和方法较少。</w:t>
      </w:r>
    </w:p>
    <w:p w14:paraId="50E64310">
      <w:pPr>
        <w:pStyle w:val="3"/>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b/>
          <w:bCs/>
          <w:sz w:val="24"/>
          <w:szCs w:val="24"/>
          <w:lang w:val="en-US" w:eastAsia="zh-CN"/>
        </w:rPr>
      </w:pPr>
      <w:r>
        <w:rPr>
          <w:rFonts w:hint="eastAsia" w:ascii="黑体" w:hAnsi="黑体" w:eastAsia="黑体" w:cs="黑体"/>
          <w:b/>
          <w:bCs/>
          <w:sz w:val="24"/>
          <w:szCs w:val="24"/>
          <w:lang w:val="en-US" w:eastAsia="zh-CN"/>
        </w:rPr>
        <w:t>七、有关建议</w:t>
      </w:r>
      <w:bookmarkEnd w:id="14"/>
      <w:r>
        <w:rPr>
          <w:rFonts w:hint="eastAsia" w:ascii="黑体" w:hAnsi="黑体" w:eastAsia="黑体" w:cs="黑体"/>
          <w:b/>
          <w:bCs/>
          <w:sz w:val="24"/>
          <w:szCs w:val="24"/>
          <w:lang w:val="en-US" w:eastAsia="zh-CN"/>
        </w:rPr>
        <w:tab/>
      </w:r>
    </w:p>
    <w:p w14:paraId="3B824A62">
      <w:pPr>
        <w:pStyle w:val="2"/>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color w:val="000000"/>
          <w:sz w:val="24"/>
          <w:szCs w:val="24"/>
          <w:highlight w:val="none"/>
          <w:lang w:val="en-US" w:eastAsia="zh-CN"/>
        </w:rPr>
      </w:pPr>
      <w:r>
        <w:rPr>
          <w:rFonts w:hint="eastAsia" w:ascii="宋体" w:hAnsi="宋体" w:eastAsia="宋体" w:cs="宋体"/>
          <w:b w:val="0"/>
          <w:bCs/>
          <w:color w:val="000000"/>
          <w:sz w:val="24"/>
          <w:szCs w:val="24"/>
          <w:highlight w:val="none"/>
          <w:lang w:val="en-US" w:eastAsia="zh-CN"/>
        </w:rPr>
        <w:t>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w:t>
      </w:r>
    </w:p>
    <w:p w14:paraId="3331C03F">
      <w:pPr>
        <w:pStyle w:val="2"/>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color w:val="000000"/>
          <w:sz w:val="24"/>
          <w:szCs w:val="24"/>
          <w:highlight w:val="none"/>
          <w:lang w:val="en-US" w:eastAsia="zh-CN"/>
        </w:rPr>
      </w:pPr>
      <w:r>
        <w:rPr>
          <w:rFonts w:hint="eastAsia" w:ascii="宋体" w:hAnsi="宋体" w:eastAsia="宋体" w:cs="宋体"/>
          <w:b w:val="0"/>
          <w:bCs/>
          <w:color w:val="000000"/>
          <w:sz w:val="24"/>
          <w:szCs w:val="24"/>
          <w:highlight w:val="none"/>
          <w:lang w:val="en-US" w:eastAsia="zh-CN"/>
        </w:rPr>
        <w:t>2.项目评价资料有待进一步完善。项目启动时同步做好档案的归纳与整理，及时整理、收集、汇总，健全档案资料。项目后续管理有待进一步加强和跟踪。</w:t>
      </w:r>
    </w:p>
    <w:p w14:paraId="057E9504">
      <w:pPr>
        <w:pStyle w:val="2"/>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color w:val="000000"/>
          <w:sz w:val="24"/>
          <w:szCs w:val="24"/>
          <w:highlight w:val="none"/>
          <w:lang w:val="en-US" w:eastAsia="zh-CN"/>
        </w:rPr>
      </w:pPr>
      <w:r>
        <w:rPr>
          <w:rFonts w:hint="eastAsia" w:ascii="宋体" w:hAnsi="宋体" w:eastAsia="宋体" w:cs="宋体"/>
          <w:b w:val="0"/>
          <w:bCs/>
          <w:color w:val="000000"/>
          <w:sz w:val="24"/>
          <w:szCs w:val="24"/>
          <w:highlight w:val="none"/>
          <w:lang w:val="en-US" w:eastAsia="zh-CN"/>
        </w:rPr>
        <w:t>3.通过绩效管理，发现实施中存在漏洞，以后加强管理，及时掌握与之相关的各类信息，减少成本，使资金效益最大化。</w:t>
      </w:r>
    </w:p>
    <w:p w14:paraId="373AD552">
      <w:pPr>
        <w:pStyle w:val="2"/>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color w:val="000000"/>
          <w:sz w:val="24"/>
          <w:szCs w:val="24"/>
          <w:highlight w:val="none"/>
          <w:lang w:val="en-US" w:eastAsia="zh-CN"/>
        </w:rPr>
      </w:pPr>
      <w:r>
        <w:rPr>
          <w:rFonts w:hint="eastAsia" w:ascii="宋体" w:hAnsi="宋体" w:eastAsia="宋体" w:cs="宋体"/>
          <w:b w:val="0"/>
          <w:bCs/>
          <w:color w:val="000000"/>
          <w:sz w:val="24"/>
          <w:szCs w:val="24"/>
          <w:highlight w:val="none"/>
          <w:lang w:val="en-US" w:eastAsia="zh-CN"/>
        </w:rPr>
        <w:t>4．评价工作应从项目实施方案源头抓起，评价工作和意识应贯穿项目整个过程。</w:t>
      </w:r>
      <w:bookmarkStart w:id="15" w:name="_Toc68364676"/>
    </w:p>
    <w:p w14:paraId="6E5A2DB9">
      <w:pPr>
        <w:pStyle w:val="3"/>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b/>
          <w:bCs/>
          <w:color w:val="000000"/>
          <w:sz w:val="24"/>
          <w:szCs w:val="24"/>
          <w:highlight w:val="none"/>
          <w:lang w:val="en-US" w:eastAsia="zh-CN"/>
        </w:rPr>
      </w:pPr>
      <w:r>
        <w:rPr>
          <w:rFonts w:hint="eastAsia" w:ascii="黑体" w:hAnsi="黑体" w:eastAsia="黑体" w:cs="黑体"/>
          <w:b/>
          <w:bCs/>
          <w:color w:val="000000"/>
          <w:sz w:val="24"/>
          <w:szCs w:val="24"/>
          <w:highlight w:val="none"/>
          <w:lang w:val="en-US" w:eastAsia="zh-CN"/>
        </w:rPr>
        <w:t>八、其他需要说明的问题</w:t>
      </w:r>
      <w:bookmarkEnd w:id="15"/>
    </w:p>
    <w:p w14:paraId="17DFEAA6">
      <w:pPr>
        <w:pStyle w:val="2"/>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color w:val="000000"/>
          <w:sz w:val="24"/>
          <w:szCs w:val="24"/>
          <w:highlight w:val="none"/>
          <w:lang w:val="en-US" w:eastAsia="zh-CN"/>
        </w:rPr>
      </w:pPr>
      <w:r>
        <w:rPr>
          <w:rFonts w:hint="eastAsia" w:ascii="宋体" w:hAnsi="宋体" w:eastAsia="宋体" w:cs="宋体"/>
          <w:b w:val="0"/>
          <w:bCs/>
          <w:color w:val="000000"/>
          <w:sz w:val="24"/>
          <w:szCs w:val="24"/>
          <w:highlight w:val="none"/>
          <w:lang w:val="en-US" w:eastAsia="zh-CN"/>
        </w:rPr>
        <w:t>我单位对上述项目支出绩效评价报告内反映内容的真实性、完整性负责，愿接受上级部门及社会公众监督。</w:t>
      </w:r>
    </w:p>
    <w:p w14:paraId="4E7A1FFC">
      <w:pPr>
        <w:pStyle w:val="2"/>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color w:val="000000"/>
          <w:sz w:val="24"/>
          <w:szCs w:val="24"/>
          <w:highlight w:val="none"/>
          <w:lang w:val="en-US" w:eastAsia="zh-CN"/>
        </w:rPr>
      </w:pPr>
    </w:p>
    <w:p w14:paraId="0FADC74F">
      <w:pPr>
        <w:pStyle w:val="2"/>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color w:val="000000"/>
          <w:sz w:val="24"/>
          <w:szCs w:val="24"/>
          <w:highlight w:val="none"/>
          <w:lang w:val="en-US" w:eastAsia="zh-CN"/>
        </w:rPr>
      </w:pPr>
      <w:r>
        <w:rPr>
          <w:rFonts w:hint="eastAsia" w:ascii="宋体" w:hAnsi="宋体" w:eastAsia="宋体" w:cs="宋体"/>
          <w:b w:val="0"/>
          <w:bCs/>
          <w:color w:val="000000"/>
          <w:sz w:val="24"/>
          <w:szCs w:val="24"/>
          <w:highlight w:val="none"/>
          <w:lang w:val="en-US" w:eastAsia="zh-CN"/>
        </w:rPr>
        <w:t>附件1：和田地区洛浦县和田路至多鲁路路面提升改造建设项目项目绩效评价指标体系</w:t>
      </w:r>
    </w:p>
    <w:p w14:paraId="77094836">
      <w:pPr>
        <w:pStyle w:val="2"/>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default" w:ascii="宋体" w:hAnsi="宋体" w:eastAsia="宋体" w:cs="宋体"/>
          <w:b w:val="0"/>
          <w:bCs/>
          <w:color w:val="000000"/>
          <w:sz w:val="24"/>
          <w:szCs w:val="24"/>
          <w:highlight w:val="none"/>
          <w:lang w:val="en-US" w:eastAsia="zh-CN"/>
        </w:rPr>
      </w:pPr>
      <w:r>
        <w:rPr>
          <w:rFonts w:hint="eastAsia" w:ascii="宋体" w:hAnsi="宋体" w:eastAsia="宋体" w:cs="宋体"/>
          <w:b w:val="0"/>
          <w:bCs/>
          <w:color w:val="000000"/>
          <w:sz w:val="24"/>
          <w:szCs w:val="24"/>
          <w:highlight w:val="none"/>
          <w:lang w:val="en-US" w:eastAsia="zh-CN"/>
        </w:rPr>
        <w:t>附件2：和田地区洛浦县和田路至多鲁路路面提升改造建设项目项目综合得分表</w:t>
      </w:r>
    </w:p>
    <w:p w14:paraId="515F1EEE">
      <w:pPr>
        <w:pStyle w:val="2"/>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default" w:ascii="宋体" w:hAnsi="宋体" w:eastAsia="宋体" w:cs="宋体"/>
          <w:b w:val="0"/>
          <w:bCs/>
          <w:color w:val="000000"/>
          <w:sz w:val="24"/>
          <w:szCs w:val="24"/>
          <w:highlight w:val="none"/>
          <w:lang w:val="en-US" w:eastAsia="zh-CN"/>
        </w:rPr>
      </w:pPr>
      <w:r>
        <w:rPr>
          <w:rFonts w:hint="eastAsia" w:ascii="宋体" w:hAnsi="宋体" w:eastAsia="宋体" w:cs="宋体"/>
          <w:b w:val="0"/>
          <w:bCs/>
          <w:color w:val="000000"/>
          <w:sz w:val="24"/>
          <w:szCs w:val="24"/>
          <w:highlight w:val="none"/>
          <w:lang w:val="en-US" w:eastAsia="zh-CN"/>
        </w:rPr>
        <w:t>附件3：满意度调查问分析情况</w:t>
      </w:r>
    </w:p>
    <w:p w14:paraId="0B58311C">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val="0"/>
          <w:kern w:val="0"/>
          <w:sz w:val="24"/>
          <w:szCs w:val="24"/>
          <w:lang w:val="en-US" w:eastAsia="zh-CN" w:bidi="ar-SA"/>
        </w:rPr>
      </w:pPr>
    </w:p>
    <w:p w14:paraId="4EBA8374">
      <w:pPr>
        <w:pStyle w:val="2"/>
        <w:ind w:left="0" w:leftChars="0" w:firstLine="0" w:firstLineChars="0"/>
        <w:jc w:val="both"/>
        <w:rPr>
          <w:rFonts w:hint="eastAsia" w:ascii="宋体" w:hAnsi="宋体" w:eastAsia="宋体" w:cs="宋体"/>
          <w:b w:val="0"/>
          <w:bCs w:val="0"/>
          <w:kern w:val="0"/>
          <w:sz w:val="24"/>
          <w:szCs w:val="24"/>
          <w:lang w:val="en-US" w:eastAsia="zh-CN" w:bidi="ar-SA"/>
        </w:rPr>
      </w:pPr>
    </w:p>
    <w:p w14:paraId="499E482A">
      <w:pPr>
        <w:pStyle w:val="2"/>
        <w:ind w:left="0" w:leftChars="0" w:firstLine="0" w:firstLineChars="0"/>
        <w:jc w:val="both"/>
        <w:rPr>
          <w:rFonts w:hint="eastAsia" w:ascii="宋体" w:hAnsi="宋体" w:eastAsia="宋体" w:cs="宋体"/>
          <w:b w:val="0"/>
          <w:bCs w:val="0"/>
          <w:kern w:val="0"/>
          <w:sz w:val="24"/>
          <w:szCs w:val="24"/>
          <w:lang w:val="en-US" w:eastAsia="zh-CN" w:bidi="ar-SA"/>
        </w:rPr>
        <w:sectPr>
          <w:headerReference r:id="rId5" w:type="default"/>
          <w:footerReference r:id="rId6" w:type="default"/>
          <w:pgSz w:w="11906" w:h="16838"/>
          <w:pgMar w:top="1985" w:right="1531" w:bottom="1701" w:left="1531" w:header="851" w:footer="992" w:gutter="0"/>
          <w:pgNumType w:start="1"/>
          <w:cols w:space="720" w:num="1"/>
          <w:docGrid w:type="linesAndChars" w:linePitch="386" w:charSpace="0"/>
        </w:sectPr>
      </w:pPr>
    </w:p>
    <w:tbl>
      <w:tblPr>
        <w:tblStyle w:val="2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93"/>
        <w:gridCol w:w="545"/>
        <w:gridCol w:w="708"/>
        <w:gridCol w:w="470"/>
        <w:gridCol w:w="717"/>
        <w:gridCol w:w="527"/>
        <w:gridCol w:w="2928"/>
        <w:gridCol w:w="1118"/>
        <w:gridCol w:w="4270"/>
        <w:gridCol w:w="952"/>
        <w:gridCol w:w="540"/>
      </w:tblGrid>
      <w:tr w14:paraId="1A82AB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22" w:type="pct"/>
            <w:tcBorders>
              <w:top w:val="nil"/>
              <w:left w:val="nil"/>
              <w:bottom w:val="nil"/>
              <w:right w:val="nil"/>
            </w:tcBorders>
            <w:noWrap/>
            <w:vAlign w:val="center"/>
          </w:tcPr>
          <w:p w14:paraId="56D19AF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附件1：</w:t>
            </w:r>
          </w:p>
        </w:tc>
        <w:tc>
          <w:tcPr>
            <w:tcW w:w="204" w:type="pct"/>
            <w:tcBorders>
              <w:top w:val="nil"/>
              <w:left w:val="nil"/>
              <w:bottom w:val="nil"/>
              <w:right w:val="nil"/>
            </w:tcBorders>
            <w:noWrap/>
            <w:vAlign w:val="center"/>
          </w:tcPr>
          <w:p w14:paraId="6C708313">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highlight w:val="none"/>
                <w:u w:val="none"/>
              </w:rPr>
            </w:pPr>
          </w:p>
        </w:tc>
        <w:tc>
          <w:tcPr>
            <w:tcW w:w="265" w:type="pct"/>
            <w:tcBorders>
              <w:top w:val="nil"/>
              <w:left w:val="nil"/>
              <w:bottom w:val="nil"/>
              <w:right w:val="nil"/>
            </w:tcBorders>
            <w:noWrap/>
            <w:vAlign w:val="center"/>
          </w:tcPr>
          <w:p w14:paraId="4B3249DE">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highlight w:val="none"/>
                <w:u w:val="none"/>
              </w:rPr>
            </w:pPr>
          </w:p>
        </w:tc>
        <w:tc>
          <w:tcPr>
            <w:tcW w:w="176" w:type="pct"/>
            <w:tcBorders>
              <w:top w:val="nil"/>
              <w:left w:val="nil"/>
              <w:bottom w:val="nil"/>
              <w:right w:val="nil"/>
            </w:tcBorders>
            <w:noWrap/>
            <w:vAlign w:val="center"/>
          </w:tcPr>
          <w:p w14:paraId="612504BA">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highlight w:val="none"/>
                <w:u w:val="none"/>
              </w:rPr>
            </w:pPr>
          </w:p>
        </w:tc>
        <w:tc>
          <w:tcPr>
            <w:tcW w:w="268" w:type="pct"/>
            <w:tcBorders>
              <w:top w:val="nil"/>
              <w:left w:val="nil"/>
              <w:bottom w:val="nil"/>
              <w:right w:val="nil"/>
            </w:tcBorders>
            <w:noWrap/>
            <w:vAlign w:val="center"/>
          </w:tcPr>
          <w:p w14:paraId="5E37A3BA">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highlight w:val="none"/>
                <w:u w:val="none"/>
              </w:rPr>
            </w:pPr>
          </w:p>
        </w:tc>
        <w:tc>
          <w:tcPr>
            <w:tcW w:w="197" w:type="pct"/>
            <w:tcBorders>
              <w:top w:val="nil"/>
              <w:left w:val="nil"/>
              <w:bottom w:val="nil"/>
              <w:right w:val="nil"/>
            </w:tcBorders>
            <w:noWrap/>
            <w:vAlign w:val="center"/>
          </w:tcPr>
          <w:p w14:paraId="478839B0">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highlight w:val="none"/>
                <w:u w:val="none"/>
              </w:rPr>
            </w:pPr>
          </w:p>
        </w:tc>
        <w:tc>
          <w:tcPr>
            <w:tcW w:w="1095" w:type="pct"/>
            <w:tcBorders>
              <w:top w:val="nil"/>
              <w:left w:val="nil"/>
              <w:bottom w:val="nil"/>
              <w:right w:val="nil"/>
            </w:tcBorders>
            <w:noWrap/>
            <w:vAlign w:val="center"/>
          </w:tcPr>
          <w:p w14:paraId="241395AB">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1"/>
                <w:szCs w:val="21"/>
                <w:highlight w:val="none"/>
                <w:u w:val="none"/>
              </w:rPr>
            </w:pPr>
          </w:p>
        </w:tc>
        <w:tc>
          <w:tcPr>
            <w:tcW w:w="418" w:type="pct"/>
            <w:tcBorders>
              <w:top w:val="nil"/>
              <w:left w:val="nil"/>
              <w:bottom w:val="nil"/>
              <w:right w:val="nil"/>
            </w:tcBorders>
            <w:noWrap/>
            <w:vAlign w:val="center"/>
          </w:tcPr>
          <w:p w14:paraId="353BD382">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highlight w:val="none"/>
                <w:u w:val="none"/>
              </w:rPr>
            </w:pPr>
          </w:p>
        </w:tc>
        <w:tc>
          <w:tcPr>
            <w:tcW w:w="1597" w:type="pct"/>
            <w:tcBorders>
              <w:top w:val="nil"/>
              <w:left w:val="nil"/>
              <w:bottom w:val="nil"/>
              <w:right w:val="nil"/>
            </w:tcBorders>
            <w:noWrap/>
            <w:vAlign w:val="center"/>
          </w:tcPr>
          <w:p w14:paraId="6EA8656B">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highlight w:val="none"/>
                <w:u w:val="none"/>
              </w:rPr>
            </w:pPr>
          </w:p>
        </w:tc>
        <w:tc>
          <w:tcPr>
            <w:tcW w:w="356" w:type="pct"/>
            <w:tcBorders>
              <w:top w:val="nil"/>
              <w:left w:val="nil"/>
              <w:bottom w:val="nil"/>
              <w:right w:val="nil"/>
            </w:tcBorders>
            <w:noWrap/>
            <w:vAlign w:val="center"/>
          </w:tcPr>
          <w:p w14:paraId="5F2D911F">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highlight w:val="none"/>
                <w:u w:val="none"/>
              </w:rPr>
            </w:pPr>
          </w:p>
        </w:tc>
        <w:tc>
          <w:tcPr>
            <w:tcW w:w="197" w:type="pct"/>
            <w:tcBorders>
              <w:top w:val="nil"/>
              <w:left w:val="nil"/>
              <w:bottom w:val="nil"/>
              <w:right w:val="nil"/>
            </w:tcBorders>
            <w:noWrap/>
            <w:vAlign w:val="center"/>
          </w:tcPr>
          <w:p w14:paraId="33F5E581">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highlight w:val="none"/>
                <w:u w:val="none"/>
              </w:rPr>
            </w:pPr>
          </w:p>
        </w:tc>
      </w:tr>
      <w:tr w14:paraId="6FB132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5000" w:type="pct"/>
            <w:gridSpan w:val="11"/>
            <w:tcBorders>
              <w:top w:val="nil"/>
              <w:left w:val="nil"/>
              <w:bottom w:val="nil"/>
              <w:right w:val="nil"/>
            </w:tcBorders>
            <w:noWrap w:val="0"/>
            <w:vAlign w:val="center"/>
          </w:tcPr>
          <w:p w14:paraId="71C78F8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4"/>
                <w:szCs w:val="24"/>
                <w:highlight w:val="none"/>
                <w:u w:val="none"/>
                <w:lang w:val="en-US" w:eastAsia="zh-CN"/>
              </w:rPr>
              <w:t>和田地区洛浦县和田路至多鲁路路面提升改造建设项目</w:t>
            </w:r>
            <w:r>
              <w:rPr>
                <w:rStyle w:val="60"/>
                <w:rFonts w:hint="eastAsia" w:ascii="宋体" w:hAnsi="宋体" w:eastAsia="宋体" w:cs="宋体"/>
                <w:color w:val="000000"/>
                <w:sz w:val="24"/>
                <w:szCs w:val="24"/>
                <w:highlight w:val="none"/>
                <w:lang w:val="en-US" w:eastAsia="zh-CN"/>
              </w:rPr>
              <w:t>绩效评价指标体系综合评分表</w:t>
            </w:r>
          </w:p>
        </w:tc>
      </w:tr>
      <w:tr w14:paraId="3262B2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222" w:type="pct"/>
            <w:tcBorders>
              <w:top w:val="single" w:color="auto" w:sz="4" w:space="0"/>
              <w:left w:val="single" w:color="auto" w:sz="4" w:space="0"/>
              <w:bottom w:val="single" w:color="auto" w:sz="4" w:space="0"/>
              <w:right w:val="single" w:color="auto" w:sz="4" w:space="0"/>
            </w:tcBorders>
            <w:noWrap w:val="0"/>
            <w:vAlign w:val="center"/>
          </w:tcPr>
          <w:p w14:paraId="4E924DC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一级指标</w:t>
            </w:r>
          </w:p>
        </w:tc>
        <w:tc>
          <w:tcPr>
            <w:tcW w:w="204" w:type="pct"/>
            <w:tcBorders>
              <w:top w:val="single" w:color="auto" w:sz="4" w:space="0"/>
              <w:left w:val="single" w:color="auto" w:sz="4" w:space="0"/>
              <w:bottom w:val="single" w:color="auto" w:sz="4" w:space="0"/>
              <w:right w:val="single" w:color="auto" w:sz="4" w:space="0"/>
            </w:tcBorders>
            <w:noWrap w:val="0"/>
            <w:vAlign w:val="center"/>
          </w:tcPr>
          <w:p w14:paraId="64E3B00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分值</w:t>
            </w:r>
          </w:p>
        </w:tc>
        <w:tc>
          <w:tcPr>
            <w:tcW w:w="265" w:type="pct"/>
            <w:tcBorders>
              <w:top w:val="single" w:color="auto" w:sz="4" w:space="0"/>
              <w:left w:val="single" w:color="auto" w:sz="4" w:space="0"/>
              <w:bottom w:val="single" w:color="auto" w:sz="4" w:space="0"/>
              <w:right w:val="single" w:color="auto" w:sz="4" w:space="0"/>
            </w:tcBorders>
            <w:noWrap w:val="0"/>
            <w:vAlign w:val="center"/>
          </w:tcPr>
          <w:p w14:paraId="46D6DAB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二级指标</w:t>
            </w:r>
          </w:p>
        </w:tc>
        <w:tc>
          <w:tcPr>
            <w:tcW w:w="176" w:type="pct"/>
            <w:tcBorders>
              <w:top w:val="single" w:color="auto" w:sz="4" w:space="0"/>
              <w:left w:val="single" w:color="auto" w:sz="4" w:space="0"/>
              <w:bottom w:val="single" w:color="auto" w:sz="4" w:space="0"/>
              <w:right w:val="single" w:color="auto" w:sz="4" w:space="0"/>
            </w:tcBorders>
            <w:noWrap w:val="0"/>
            <w:vAlign w:val="center"/>
          </w:tcPr>
          <w:p w14:paraId="3AF575B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分值</w:t>
            </w:r>
          </w:p>
        </w:tc>
        <w:tc>
          <w:tcPr>
            <w:tcW w:w="268" w:type="pct"/>
            <w:tcBorders>
              <w:top w:val="single" w:color="auto" w:sz="4" w:space="0"/>
              <w:left w:val="single" w:color="auto" w:sz="4" w:space="0"/>
              <w:bottom w:val="single" w:color="auto" w:sz="4" w:space="0"/>
              <w:right w:val="single" w:color="auto" w:sz="4" w:space="0"/>
            </w:tcBorders>
            <w:noWrap w:val="0"/>
            <w:vAlign w:val="center"/>
          </w:tcPr>
          <w:p w14:paraId="66CDA47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三级指标</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5F85533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分值</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109C880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指标解释</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10B4E84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标杆值</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6978E6E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评分标准</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418FD41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完成值</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736EB83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得分</w:t>
            </w:r>
          </w:p>
        </w:tc>
      </w:tr>
      <w:tr w14:paraId="54DFB3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22" w:type="pct"/>
            <w:vMerge w:val="restart"/>
            <w:tcBorders>
              <w:top w:val="single" w:color="auto" w:sz="4" w:space="0"/>
              <w:left w:val="single" w:color="auto" w:sz="4" w:space="0"/>
              <w:bottom w:val="single" w:color="auto" w:sz="4" w:space="0"/>
              <w:right w:val="single" w:color="auto" w:sz="4" w:space="0"/>
            </w:tcBorders>
            <w:noWrap w:val="0"/>
            <w:vAlign w:val="center"/>
          </w:tcPr>
          <w:p w14:paraId="5E1F162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项目决策</w:t>
            </w:r>
          </w:p>
        </w:tc>
        <w:tc>
          <w:tcPr>
            <w:tcW w:w="204" w:type="pct"/>
            <w:vMerge w:val="restart"/>
            <w:tcBorders>
              <w:top w:val="single" w:color="auto" w:sz="4" w:space="0"/>
              <w:left w:val="single" w:color="auto" w:sz="4" w:space="0"/>
              <w:bottom w:val="single" w:color="auto" w:sz="4" w:space="0"/>
              <w:right w:val="single" w:color="auto" w:sz="4" w:space="0"/>
            </w:tcBorders>
            <w:noWrap w:val="0"/>
            <w:vAlign w:val="center"/>
          </w:tcPr>
          <w:p w14:paraId="1602189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23</w:t>
            </w:r>
          </w:p>
        </w:tc>
        <w:tc>
          <w:tcPr>
            <w:tcW w:w="265" w:type="pct"/>
            <w:vMerge w:val="restart"/>
            <w:tcBorders>
              <w:top w:val="single" w:color="auto" w:sz="4" w:space="0"/>
              <w:left w:val="single" w:color="auto" w:sz="4" w:space="0"/>
              <w:bottom w:val="single" w:color="auto" w:sz="4" w:space="0"/>
              <w:right w:val="single" w:color="auto" w:sz="4" w:space="0"/>
            </w:tcBorders>
            <w:noWrap w:val="0"/>
            <w:vAlign w:val="center"/>
          </w:tcPr>
          <w:p w14:paraId="7F9886F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项目立项</w:t>
            </w:r>
          </w:p>
        </w:tc>
        <w:tc>
          <w:tcPr>
            <w:tcW w:w="176" w:type="pct"/>
            <w:vMerge w:val="restart"/>
            <w:tcBorders>
              <w:top w:val="single" w:color="auto" w:sz="4" w:space="0"/>
              <w:left w:val="single" w:color="auto" w:sz="4" w:space="0"/>
              <w:bottom w:val="single" w:color="auto" w:sz="4" w:space="0"/>
              <w:right w:val="single" w:color="auto" w:sz="4" w:space="0"/>
            </w:tcBorders>
            <w:noWrap w:val="0"/>
            <w:vAlign w:val="center"/>
          </w:tcPr>
          <w:p w14:paraId="1BC7B2B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5</w:t>
            </w:r>
          </w:p>
        </w:tc>
        <w:tc>
          <w:tcPr>
            <w:tcW w:w="268" w:type="pct"/>
            <w:tcBorders>
              <w:top w:val="single" w:color="auto" w:sz="4" w:space="0"/>
              <w:left w:val="single" w:color="auto" w:sz="4" w:space="0"/>
              <w:bottom w:val="single" w:color="auto" w:sz="4" w:space="0"/>
              <w:right w:val="single" w:color="auto" w:sz="4" w:space="0"/>
            </w:tcBorders>
            <w:noWrap w:val="0"/>
            <w:vAlign w:val="center"/>
          </w:tcPr>
          <w:p w14:paraId="5007F46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立项依据充分性</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14964AC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2</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065E148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项目立项是否符合法律法规、相关政策、发展规划以及部门职责，用以反映和考核项目立项依据情况。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5EF0F02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充分</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66E5DE80">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①项目立项是否符合国家法律法规、国民经济发展规划和相关政策；</w:t>
            </w:r>
          </w:p>
          <w:p w14:paraId="00334445">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②项目立项是否符合行业发展规划和政策要求；</w:t>
            </w:r>
          </w:p>
          <w:p w14:paraId="2DEAE335">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③项目立项是否与部门职责范围相符，属于部门履职所需；</w:t>
            </w:r>
          </w:p>
          <w:p w14:paraId="4D438811">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④项目是否属于公共财政支持范围，是否符合中央、地方事权支出责任划分原则；</w:t>
            </w:r>
          </w:p>
          <w:p w14:paraId="3D42C1BB">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⑤项目是否与相关部门同类项目或部门内部相关项目重复。</w:t>
            </w:r>
          </w:p>
          <w:p w14:paraId="3C32C6D7">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以上每条要素占权重分的20%，每有一条不符合，扣除对应权重分，扣完为止。</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2C666D9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充分</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60C56E6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2</w:t>
            </w:r>
          </w:p>
        </w:tc>
      </w:tr>
      <w:tr w14:paraId="625122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337C2AA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4240986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5" w:type="pct"/>
            <w:vMerge w:val="continue"/>
            <w:tcBorders>
              <w:top w:val="single" w:color="auto" w:sz="4" w:space="0"/>
              <w:left w:val="single" w:color="auto" w:sz="4" w:space="0"/>
              <w:bottom w:val="single" w:color="auto" w:sz="4" w:space="0"/>
              <w:right w:val="single" w:color="auto" w:sz="4" w:space="0"/>
            </w:tcBorders>
            <w:noWrap w:val="0"/>
            <w:vAlign w:val="center"/>
          </w:tcPr>
          <w:p w14:paraId="006763B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76" w:type="pct"/>
            <w:vMerge w:val="continue"/>
            <w:tcBorders>
              <w:top w:val="single" w:color="auto" w:sz="4" w:space="0"/>
              <w:left w:val="single" w:color="auto" w:sz="4" w:space="0"/>
              <w:bottom w:val="single" w:color="auto" w:sz="4" w:space="0"/>
              <w:right w:val="single" w:color="auto" w:sz="4" w:space="0"/>
            </w:tcBorders>
            <w:noWrap w:val="0"/>
            <w:vAlign w:val="center"/>
          </w:tcPr>
          <w:p w14:paraId="2E1F41E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8" w:type="pct"/>
            <w:tcBorders>
              <w:top w:val="single" w:color="auto" w:sz="4" w:space="0"/>
              <w:left w:val="single" w:color="auto" w:sz="4" w:space="0"/>
              <w:bottom w:val="single" w:color="auto" w:sz="4" w:space="0"/>
              <w:right w:val="single" w:color="auto" w:sz="4" w:space="0"/>
            </w:tcBorders>
            <w:noWrap w:val="0"/>
            <w:vAlign w:val="center"/>
          </w:tcPr>
          <w:p w14:paraId="4B96DE2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立项程序规范性</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5157B6A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3</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49FF428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项目申请、设立过程是否符合相关要求，用以反映和考核项目立项的规范情况。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2EA8A91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规范</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418FFF9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①项目是否按照规定的程序申请设立；</w:t>
            </w:r>
          </w:p>
          <w:p w14:paraId="252D512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②审批文件、材料是否符合相关要求；</w:t>
            </w:r>
          </w:p>
          <w:p w14:paraId="4F1FD13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③事前是否已经过必要的可行性研究、专家论证、风险评估、绩效评估、集体决策。</w:t>
            </w:r>
          </w:p>
          <w:p w14:paraId="605287C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①②③齐全得权重分的100%，缺①扣权重分的40%，缺②扣权重分的30%，缺③扣权重分的30%。</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5ED5107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规范</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307280A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3</w:t>
            </w:r>
          </w:p>
        </w:tc>
      </w:tr>
      <w:tr w14:paraId="46C996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99"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47B5D87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5C0E115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5" w:type="pct"/>
            <w:vMerge w:val="restart"/>
            <w:tcBorders>
              <w:top w:val="single" w:color="auto" w:sz="4" w:space="0"/>
              <w:left w:val="single" w:color="auto" w:sz="4" w:space="0"/>
              <w:bottom w:val="single" w:color="auto" w:sz="4" w:space="0"/>
              <w:right w:val="single" w:color="auto" w:sz="4" w:space="0"/>
            </w:tcBorders>
            <w:noWrap w:val="0"/>
            <w:vAlign w:val="center"/>
          </w:tcPr>
          <w:p w14:paraId="4C534EB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绩效目标</w:t>
            </w:r>
          </w:p>
        </w:tc>
        <w:tc>
          <w:tcPr>
            <w:tcW w:w="176" w:type="pct"/>
            <w:vMerge w:val="restart"/>
            <w:tcBorders>
              <w:top w:val="single" w:color="auto" w:sz="4" w:space="0"/>
              <w:left w:val="single" w:color="auto" w:sz="4" w:space="0"/>
              <w:bottom w:val="single" w:color="auto" w:sz="4" w:space="0"/>
              <w:right w:val="single" w:color="auto" w:sz="4" w:space="0"/>
            </w:tcBorders>
            <w:noWrap w:val="0"/>
            <w:vAlign w:val="center"/>
          </w:tcPr>
          <w:p w14:paraId="08F3EB1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w:t>
            </w:r>
          </w:p>
        </w:tc>
        <w:tc>
          <w:tcPr>
            <w:tcW w:w="268" w:type="pct"/>
            <w:tcBorders>
              <w:top w:val="single" w:color="auto" w:sz="4" w:space="0"/>
              <w:left w:val="single" w:color="auto" w:sz="4" w:space="0"/>
              <w:bottom w:val="single" w:color="auto" w:sz="4" w:space="0"/>
              <w:right w:val="single" w:color="auto" w:sz="4" w:space="0"/>
            </w:tcBorders>
            <w:noWrap w:val="0"/>
            <w:vAlign w:val="center"/>
          </w:tcPr>
          <w:p w14:paraId="125E8F8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绩效目标合理性</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13D9330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5</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2464A15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项目所设定的绩效目标是否依据充分，是否符合客观实际，用以反映和考核项目绩效目标与项目实施的相符情况。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3CA9301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合理</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2D56E61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①项目是否有绩效目标；</w:t>
            </w:r>
          </w:p>
          <w:p w14:paraId="375381E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②项目绩效目标与实际工作内容是否具有相关性；</w:t>
            </w:r>
          </w:p>
          <w:p w14:paraId="24E772B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③项目预期产出效益和效果是否符合正常的业绩水平；</w:t>
            </w:r>
          </w:p>
          <w:p w14:paraId="4F7AF5E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④是否与预算确定的项目投资额或资金量相匹配。</w:t>
            </w:r>
          </w:p>
          <w:p w14:paraId="307E37C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以上每条要素各占权重的25%，每有一条不符合，扣除对应的权重分，扣完为止。</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090A465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合理</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38F5BA3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5</w:t>
            </w:r>
          </w:p>
        </w:tc>
      </w:tr>
      <w:tr w14:paraId="20E5D7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05CEC66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701C8D9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5" w:type="pct"/>
            <w:vMerge w:val="continue"/>
            <w:tcBorders>
              <w:top w:val="single" w:color="auto" w:sz="4" w:space="0"/>
              <w:left w:val="single" w:color="auto" w:sz="4" w:space="0"/>
              <w:bottom w:val="single" w:color="auto" w:sz="4" w:space="0"/>
              <w:right w:val="single" w:color="auto" w:sz="4" w:space="0"/>
            </w:tcBorders>
            <w:noWrap w:val="0"/>
            <w:vAlign w:val="center"/>
          </w:tcPr>
          <w:p w14:paraId="7617307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76" w:type="pct"/>
            <w:vMerge w:val="continue"/>
            <w:tcBorders>
              <w:top w:val="single" w:color="auto" w:sz="4" w:space="0"/>
              <w:left w:val="single" w:color="auto" w:sz="4" w:space="0"/>
              <w:bottom w:val="single" w:color="auto" w:sz="4" w:space="0"/>
              <w:right w:val="single" w:color="auto" w:sz="4" w:space="0"/>
            </w:tcBorders>
            <w:noWrap w:val="0"/>
            <w:vAlign w:val="center"/>
          </w:tcPr>
          <w:p w14:paraId="29C260C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8" w:type="pct"/>
            <w:tcBorders>
              <w:top w:val="single" w:color="auto" w:sz="4" w:space="0"/>
              <w:left w:val="single" w:color="auto" w:sz="4" w:space="0"/>
              <w:bottom w:val="single" w:color="auto" w:sz="4" w:space="0"/>
              <w:right w:val="single" w:color="auto" w:sz="4" w:space="0"/>
            </w:tcBorders>
            <w:noWrap w:val="0"/>
            <w:vAlign w:val="center"/>
          </w:tcPr>
          <w:p w14:paraId="69627ED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绩效指标明确性</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0644165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5</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7F2322A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依据绩效目标设定的绩效指标是否清晰、细化、可衡量等，用以反映和考核项目绩效目标的明细化情况。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46E909E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明确</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3B43956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①是否将项目绩效目标细化分解为具体的绩效指标；</w:t>
            </w:r>
          </w:p>
          <w:p w14:paraId="1EDBD9B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②是否通过清晰、可衡量的指标值予以体现；</w:t>
            </w:r>
          </w:p>
          <w:p w14:paraId="7DF5FCF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③是否与项目目标任务数或计划数相对应。</w:t>
            </w:r>
          </w:p>
          <w:p w14:paraId="3E3F23B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①②③齐全得权重分的100%，缺①扣权重分的20%，缺②扣权重分的50%，缺③扣权重分的30%。</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5AC00A7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明确</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6E2F6E1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5</w:t>
            </w:r>
          </w:p>
        </w:tc>
      </w:tr>
      <w:tr w14:paraId="198B1C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6"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7A2591D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69903B0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5" w:type="pct"/>
            <w:vMerge w:val="restart"/>
            <w:tcBorders>
              <w:top w:val="single" w:color="auto" w:sz="4" w:space="0"/>
              <w:left w:val="single" w:color="auto" w:sz="4" w:space="0"/>
              <w:bottom w:val="single" w:color="auto" w:sz="4" w:space="0"/>
              <w:right w:val="single" w:color="auto" w:sz="4" w:space="0"/>
            </w:tcBorders>
            <w:noWrap w:val="0"/>
            <w:vAlign w:val="center"/>
          </w:tcPr>
          <w:p w14:paraId="18ECAC3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资金投入</w:t>
            </w:r>
          </w:p>
        </w:tc>
        <w:tc>
          <w:tcPr>
            <w:tcW w:w="176" w:type="pct"/>
            <w:vMerge w:val="restart"/>
            <w:tcBorders>
              <w:top w:val="single" w:color="auto" w:sz="4" w:space="0"/>
              <w:left w:val="single" w:color="auto" w:sz="4" w:space="0"/>
              <w:bottom w:val="single" w:color="auto" w:sz="4" w:space="0"/>
              <w:right w:val="single" w:color="auto" w:sz="4" w:space="0"/>
            </w:tcBorders>
            <w:noWrap w:val="0"/>
            <w:vAlign w:val="center"/>
          </w:tcPr>
          <w:p w14:paraId="3A9DF9E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8</w:t>
            </w:r>
          </w:p>
        </w:tc>
        <w:tc>
          <w:tcPr>
            <w:tcW w:w="268" w:type="pct"/>
            <w:tcBorders>
              <w:top w:val="single" w:color="auto" w:sz="4" w:space="0"/>
              <w:left w:val="single" w:color="auto" w:sz="4" w:space="0"/>
              <w:bottom w:val="single" w:color="auto" w:sz="4" w:space="0"/>
              <w:right w:val="single" w:color="auto" w:sz="4" w:space="0"/>
            </w:tcBorders>
            <w:noWrap w:val="0"/>
            <w:vAlign w:val="center"/>
          </w:tcPr>
          <w:p w14:paraId="3EB8816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预算编制科学性</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0D165CB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4</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2BF404D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项目预算编制是否经过科学论证、有明确标准，资金额度与年度目标是否相适应，用以反映和考核项目预算编制的科学性、合理性情况。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60DB206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科学</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789DD15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①预算编制是否经过科学论证；</w:t>
            </w:r>
          </w:p>
          <w:p w14:paraId="50C45DF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②预算内容与项目内容是否匹配；</w:t>
            </w:r>
          </w:p>
          <w:p w14:paraId="4AE98B9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③预算额度测算依据是否充分，是否按照标准编制；</w:t>
            </w:r>
          </w:p>
          <w:p w14:paraId="0B21D49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④预算确定的项目投资额或资金量是否与工作任务相匹配。</w:t>
            </w:r>
          </w:p>
          <w:p w14:paraId="3995BF3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以上每条要素各占权重的25%，每有一条不符合，扣除对应的权重分，扣完为止。</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605D62E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科学</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6C5E6A9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4</w:t>
            </w:r>
          </w:p>
        </w:tc>
      </w:tr>
      <w:tr w14:paraId="05B39E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3A574F6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3AACD3D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5" w:type="pct"/>
            <w:vMerge w:val="continue"/>
            <w:tcBorders>
              <w:top w:val="single" w:color="auto" w:sz="4" w:space="0"/>
              <w:left w:val="single" w:color="auto" w:sz="4" w:space="0"/>
              <w:bottom w:val="single" w:color="auto" w:sz="4" w:space="0"/>
              <w:right w:val="single" w:color="auto" w:sz="4" w:space="0"/>
            </w:tcBorders>
            <w:noWrap w:val="0"/>
            <w:vAlign w:val="center"/>
          </w:tcPr>
          <w:p w14:paraId="3198A84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76" w:type="pct"/>
            <w:vMerge w:val="continue"/>
            <w:tcBorders>
              <w:top w:val="single" w:color="auto" w:sz="4" w:space="0"/>
              <w:left w:val="single" w:color="auto" w:sz="4" w:space="0"/>
              <w:bottom w:val="single" w:color="auto" w:sz="4" w:space="0"/>
              <w:right w:val="single" w:color="auto" w:sz="4" w:space="0"/>
            </w:tcBorders>
            <w:noWrap w:val="0"/>
            <w:vAlign w:val="center"/>
          </w:tcPr>
          <w:p w14:paraId="786970F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8" w:type="pct"/>
            <w:tcBorders>
              <w:top w:val="single" w:color="auto" w:sz="4" w:space="0"/>
              <w:left w:val="single" w:color="auto" w:sz="4" w:space="0"/>
              <w:bottom w:val="single" w:color="auto" w:sz="4" w:space="0"/>
              <w:right w:val="single" w:color="auto" w:sz="4" w:space="0"/>
            </w:tcBorders>
            <w:noWrap w:val="0"/>
            <w:vAlign w:val="center"/>
          </w:tcPr>
          <w:p w14:paraId="2CC23CD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资金分配合理性</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29C1A2D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4</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617EDDE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项目预算资金分配是否有测算依据，与补助单位或地方实际是否相适应，用以反映和考核项目预算资金分配的科学性、合理性情况。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0C75C5D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合理</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323AD0C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①预算资金分配依据是否充分；</w:t>
            </w:r>
          </w:p>
          <w:p w14:paraId="53BC7E3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②资金分配额度是否合理，与项目单位或地方实际是否相适应。</w:t>
            </w:r>
          </w:p>
          <w:p w14:paraId="6B7BA2C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以上每条要素各占权重的50%，每有一条不符合，扣除对应的权重分，扣完为止。</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07C6D74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合理</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564D70E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4</w:t>
            </w:r>
          </w:p>
        </w:tc>
      </w:tr>
      <w:tr w14:paraId="32EF75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22" w:type="pct"/>
            <w:vMerge w:val="restart"/>
            <w:tcBorders>
              <w:top w:val="single" w:color="auto" w:sz="4" w:space="0"/>
              <w:left w:val="single" w:color="auto" w:sz="4" w:space="0"/>
              <w:bottom w:val="single" w:color="auto" w:sz="4" w:space="0"/>
              <w:right w:val="single" w:color="auto" w:sz="4" w:space="0"/>
            </w:tcBorders>
            <w:noWrap w:val="0"/>
            <w:vAlign w:val="center"/>
          </w:tcPr>
          <w:p w14:paraId="6397FF1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项目过程</w:t>
            </w:r>
          </w:p>
        </w:tc>
        <w:tc>
          <w:tcPr>
            <w:tcW w:w="204" w:type="pct"/>
            <w:vMerge w:val="restart"/>
            <w:tcBorders>
              <w:top w:val="single" w:color="auto" w:sz="4" w:space="0"/>
              <w:left w:val="single" w:color="auto" w:sz="4" w:space="0"/>
              <w:bottom w:val="single" w:color="auto" w:sz="4" w:space="0"/>
              <w:right w:val="single" w:color="auto" w:sz="4" w:space="0"/>
            </w:tcBorders>
            <w:noWrap w:val="0"/>
            <w:vAlign w:val="center"/>
          </w:tcPr>
          <w:p w14:paraId="11089E6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12</w:t>
            </w:r>
          </w:p>
        </w:tc>
        <w:tc>
          <w:tcPr>
            <w:tcW w:w="265" w:type="pct"/>
            <w:vMerge w:val="restart"/>
            <w:tcBorders>
              <w:top w:val="single" w:color="auto" w:sz="4" w:space="0"/>
              <w:left w:val="single" w:color="auto" w:sz="4" w:space="0"/>
              <w:bottom w:val="single" w:color="auto" w:sz="4" w:space="0"/>
              <w:right w:val="single" w:color="auto" w:sz="4" w:space="0"/>
            </w:tcBorders>
            <w:noWrap w:val="0"/>
            <w:vAlign w:val="center"/>
          </w:tcPr>
          <w:p w14:paraId="45AD3A6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资金管理</w:t>
            </w:r>
          </w:p>
        </w:tc>
        <w:tc>
          <w:tcPr>
            <w:tcW w:w="176" w:type="pct"/>
            <w:vMerge w:val="restart"/>
            <w:tcBorders>
              <w:top w:val="single" w:color="auto" w:sz="4" w:space="0"/>
              <w:left w:val="single" w:color="auto" w:sz="4" w:space="0"/>
              <w:bottom w:val="single" w:color="auto" w:sz="4" w:space="0"/>
              <w:right w:val="single" w:color="auto" w:sz="4" w:space="0"/>
            </w:tcBorders>
            <w:noWrap w:val="0"/>
            <w:vAlign w:val="center"/>
          </w:tcPr>
          <w:p w14:paraId="7A3C193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6</w:t>
            </w:r>
          </w:p>
        </w:tc>
        <w:tc>
          <w:tcPr>
            <w:tcW w:w="268" w:type="pct"/>
            <w:tcBorders>
              <w:top w:val="single" w:color="auto" w:sz="4" w:space="0"/>
              <w:left w:val="single" w:color="auto" w:sz="4" w:space="0"/>
              <w:bottom w:val="single" w:color="auto" w:sz="4" w:space="0"/>
              <w:right w:val="single" w:color="auto" w:sz="4" w:space="0"/>
            </w:tcBorders>
            <w:noWrap w:val="0"/>
            <w:vAlign w:val="center"/>
          </w:tcPr>
          <w:p w14:paraId="38993FD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资金到位率</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2D7247C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0452E04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实际到位资金与预算资金的比率，用以反映和考核资金落实情况对项目实施的总体保障程度。</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284A683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100%</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159DB1B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资金到位率=（实际到位资金/预算资金）×100%。</w:t>
            </w:r>
          </w:p>
          <w:p w14:paraId="594F2A5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资金到位率=100%，得权重分满分，每降低1%，扣除5%权重分，扣完为止。</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157AEDC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100%</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2E91F4F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w:t>
            </w:r>
          </w:p>
        </w:tc>
      </w:tr>
      <w:tr w14:paraId="677D84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2"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3279943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5078272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5" w:type="pct"/>
            <w:vMerge w:val="continue"/>
            <w:tcBorders>
              <w:top w:val="single" w:color="auto" w:sz="4" w:space="0"/>
              <w:left w:val="single" w:color="auto" w:sz="4" w:space="0"/>
              <w:bottom w:val="single" w:color="auto" w:sz="4" w:space="0"/>
              <w:right w:val="single" w:color="auto" w:sz="4" w:space="0"/>
            </w:tcBorders>
            <w:noWrap w:val="0"/>
            <w:vAlign w:val="center"/>
          </w:tcPr>
          <w:p w14:paraId="0B42017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76" w:type="pct"/>
            <w:vMerge w:val="continue"/>
            <w:tcBorders>
              <w:top w:val="single" w:color="auto" w:sz="4" w:space="0"/>
              <w:left w:val="single" w:color="auto" w:sz="4" w:space="0"/>
              <w:bottom w:val="single" w:color="auto" w:sz="4" w:space="0"/>
              <w:right w:val="single" w:color="auto" w:sz="4" w:space="0"/>
            </w:tcBorders>
            <w:noWrap w:val="0"/>
            <w:vAlign w:val="center"/>
          </w:tcPr>
          <w:p w14:paraId="3A9BE3C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8" w:type="pct"/>
            <w:tcBorders>
              <w:top w:val="single" w:color="auto" w:sz="4" w:space="0"/>
              <w:left w:val="single" w:color="auto" w:sz="4" w:space="0"/>
              <w:bottom w:val="single" w:color="auto" w:sz="4" w:space="0"/>
              <w:right w:val="single" w:color="auto" w:sz="4" w:space="0"/>
            </w:tcBorders>
            <w:noWrap w:val="0"/>
            <w:vAlign w:val="center"/>
          </w:tcPr>
          <w:p w14:paraId="37BBCAA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预算执行率</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3B2757B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2</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083F423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项目预算资金是否按照计划执行，用以反映或考核项目预算执行情况。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0BFA3F6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100%</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582BFF3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预算执行率=（实际支出资金/实际到位资金）×100%。</w:t>
            </w:r>
          </w:p>
          <w:p w14:paraId="6FAEDBC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预算执行率=100%，得权重分满分；若预算执行率＜100%，得分=预算执行率*分值；若执行率≤60%，则不得分。</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294BD14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highlight w:val="none"/>
                <w:u w:val="none"/>
                <w:lang w:val="en-US" w:eastAsia="zh-CN"/>
              </w:rPr>
              <w:t>70.29%</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08AA815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1.41</w:t>
            </w:r>
          </w:p>
        </w:tc>
      </w:tr>
      <w:tr w14:paraId="423917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2"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5133EAB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69033B8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5" w:type="pct"/>
            <w:vMerge w:val="continue"/>
            <w:tcBorders>
              <w:top w:val="single" w:color="auto" w:sz="4" w:space="0"/>
              <w:left w:val="single" w:color="auto" w:sz="4" w:space="0"/>
              <w:bottom w:val="single" w:color="auto" w:sz="4" w:space="0"/>
              <w:right w:val="single" w:color="auto" w:sz="4" w:space="0"/>
            </w:tcBorders>
            <w:noWrap w:val="0"/>
            <w:vAlign w:val="center"/>
          </w:tcPr>
          <w:p w14:paraId="4F6619F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76" w:type="pct"/>
            <w:vMerge w:val="continue"/>
            <w:tcBorders>
              <w:top w:val="single" w:color="auto" w:sz="4" w:space="0"/>
              <w:left w:val="single" w:color="auto" w:sz="4" w:space="0"/>
              <w:bottom w:val="single" w:color="auto" w:sz="4" w:space="0"/>
              <w:right w:val="single" w:color="auto" w:sz="4" w:space="0"/>
            </w:tcBorders>
            <w:noWrap w:val="0"/>
            <w:vAlign w:val="center"/>
          </w:tcPr>
          <w:p w14:paraId="70B7816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8" w:type="pct"/>
            <w:tcBorders>
              <w:top w:val="single" w:color="auto" w:sz="4" w:space="0"/>
              <w:left w:val="single" w:color="auto" w:sz="4" w:space="0"/>
              <w:bottom w:val="single" w:color="auto" w:sz="4" w:space="0"/>
              <w:right w:val="single" w:color="auto" w:sz="4" w:space="0"/>
            </w:tcBorders>
            <w:noWrap w:val="0"/>
            <w:vAlign w:val="center"/>
          </w:tcPr>
          <w:p w14:paraId="2EBBD0C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资金使用合规性</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1421FC0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3</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4937A53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项目资金使用是否符合相关的财务管理制度规定，用以反映和考核项目资金的规范运行情况。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0F92097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合规</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43934F1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①否符合国家财经法规和财务管理制度以及有关专项资金管理办法的规定；</w:t>
            </w:r>
          </w:p>
          <w:p w14:paraId="26ED179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②资金的拨付是否有完整的审批程序和手续；</w:t>
            </w:r>
          </w:p>
          <w:p w14:paraId="5E8FC76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③是否符合项目预算批复或合同规定的用途；</w:t>
            </w:r>
          </w:p>
          <w:p w14:paraId="1A1BE07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④是否存在截留、挤占、挪用、虚列支出等情况。</w:t>
            </w:r>
          </w:p>
          <w:p w14:paraId="3AEC6DA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以上每条指标各占权重分的25%，要素①②不符合，扣除对应权重分；要素③④不符合属于重大违纪，该指标不得分。</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3497BF7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合规</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27B4067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3</w:t>
            </w:r>
          </w:p>
        </w:tc>
      </w:tr>
      <w:tr w14:paraId="7EA5C4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55AB76B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42D9754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5" w:type="pct"/>
            <w:vMerge w:val="restart"/>
            <w:tcBorders>
              <w:top w:val="single" w:color="auto" w:sz="4" w:space="0"/>
              <w:left w:val="single" w:color="auto" w:sz="4" w:space="0"/>
              <w:bottom w:val="single" w:color="auto" w:sz="4" w:space="0"/>
              <w:right w:val="single" w:color="auto" w:sz="4" w:space="0"/>
            </w:tcBorders>
            <w:noWrap w:val="0"/>
            <w:vAlign w:val="center"/>
          </w:tcPr>
          <w:p w14:paraId="0A5F9D6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组织实施</w:t>
            </w:r>
          </w:p>
        </w:tc>
        <w:tc>
          <w:tcPr>
            <w:tcW w:w="176" w:type="pct"/>
            <w:vMerge w:val="restart"/>
            <w:tcBorders>
              <w:top w:val="single" w:color="auto" w:sz="4" w:space="0"/>
              <w:left w:val="single" w:color="auto" w:sz="4" w:space="0"/>
              <w:bottom w:val="single" w:color="auto" w:sz="4" w:space="0"/>
              <w:right w:val="single" w:color="auto" w:sz="4" w:space="0"/>
            </w:tcBorders>
            <w:noWrap w:val="0"/>
            <w:vAlign w:val="center"/>
          </w:tcPr>
          <w:p w14:paraId="038593D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6</w:t>
            </w:r>
          </w:p>
        </w:tc>
        <w:tc>
          <w:tcPr>
            <w:tcW w:w="268" w:type="pct"/>
            <w:tcBorders>
              <w:top w:val="single" w:color="auto" w:sz="4" w:space="0"/>
              <w:left w:val="single" w:color="auto" w:sz="4" w:space="0"/>
              <w:bottom w:val="single" w:color="auto" w:sz="4" w:space="0"/>
              <w:right w:val="single" w:color="auto" w:sz="4" w:space="0"/>
            </w:tcBorders>
            <w:noWrap w:val="0"/>
            <w:vAlign w:val="center"/>
          </w:tcPr>
          <w:p w14:paraId="3289093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管理制度健全性</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02C5A25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3</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2696CB5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项目实施单位的财务和业务管理制度是否健全，用以反映和考核财务和业务管理制度对项目顺利实施的保障情况。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345393D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健全</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7C7ED15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①是否已制定或具有相应的财务和业务管理制度；</w:t>
            </w:r>
          </w:p>
          <w:p w14:paraId="53E5FEF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②财务和业务管理制度是否合法、合规、完整。</w:t>
            </w:r>
          </w:p>
          <w:p w14:paraId="2C9B06A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以上每条要素各占权重的50%，每有一条不符合，扣除对应的权重分，扣完为止。</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64A9591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健全</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6095EBD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3</w:t>
            </w:r>
          </w:p>
        </w:tc>
      </w:tr>
      <w:tr w14:paraId="2902EA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7FAA5CB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2189EE8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5" w:type="pct"/>
            <w:vMerge w:val="continue"/>
            <w:tcBorders>
              <w:top w:val="single" w:color="auto" w:sz="4" w:space="0"/>
              <w:left w:val="single" w:color="auto" w:sz="4" w:space="0"/>
              <w:bottom w:val="single" w:color="auto" w:sz="4" w:space="0"/>
              <w:right w:val="single" w:color="auto" w:sz="4" w:space="0"/>
            </w:tcBorders>
            <w:noWrap w:val="0"/>
            <w:vAlign w:val="center"/>
          </w:tcPr>
          <w:p w14:paraId="0E26224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76" w:type="pct"/>
            <w:vMerge w:val="continue"/>
            <w:tcBorders>
              <w:top w:val="single" w:color="auto" w:sz="4" w:space="0"/>
              <w:left w:val="single" w:color="auto" w:sz="4" w:space="0"/>
              <w:bottom w:val="single" w:color="auto" w:sz="4" w:space="0"/>
              <w:right w:val="single" w:color="auto" w:sz="4" w:space="0"/>
            </w:tcBorders>
            <w:noWrap w:val="0"/>
            <w:vAlign w:val="center"/>
          </w:tcPr>
          <w:p w14:paraId="324578B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8" w:type="pct"/>
            <w:tcBorders>
              <w:top w:val="single" w:color="auto" w:sz="4" w:space="0"/>
              <w:left w:val="single" w:color="auto" w:sz="4" w:space="0"/>
              <w:bottom w:val="single" w:color="auto" w:sz="4" w:space="0"/>
              <w:right w:val="single" w:color="auto" w:sz="4" w:space="0"/>
            </w:tcBorders>
            <w:noWrap w:val="0"/>
            <w:vAlign w:val="center"/>
          </w:tcPr>
          <w:p w14:paraId="294BE41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制度执行有效性</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4FD95D2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3</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4489626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项目实施是否符合相关管理规定，用以反映和考核相关管理制度的有效执行情况。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2E758B0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有效</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12622F4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①否遵守相关法律法规和相关管理规定；</w:t>
            </w:r>
          </w:p>
          <w:p w14:paraId="0F00ABA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②项目调整及支出调整手续是否完备；</w:t>
            </w:r>
          </w:p>
          <w:p w14:paraId="4A90606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③项目资料是否齐全并及时归档。</w:t>
            </w:r>
          </w:p>
          <w:p w14:paraId="32B6B4E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①②③齐全得权重分的100%，缺①扣权重分的30%，缺②扣权重分的40%，缺③扣权重分的30%。</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7502DA5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有效</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20D9F76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3</w:t>
            </w:r>
          </w:p>
        </w:tc>
      </w:tr>
    </w:tbl>
    <w:tbl>
      <w:tblPr>
        <w:tblStyle w:val="24"/>
        <w:tblpPr w:leftFromText="180" w:rightFromText="180" w:vertAnchor="text" w:horzAnchor="page" w:tblpX="1701" w:tblpY="355"/>
        <w:tblOverlap w:val="neve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85"/>
        <w:gridCol w:w="527"/>
        <w:gridCol w:w="524"/>
        <w:gridCol w:w="533"/>
        <w:gridCol w:w="648"/>
        <w:gridCol w:w="533"/>
        <w:gridCol w:w="2228"/>
        <w:gridCol w:w="1513"/>
        <w:gridCol w:w="3930"/>
        <w:gridCol w:w="1280"/>
        <w:gridCol w:w="667"/>
      </w:tblGrid>
      <w:tr w14:paraId="37C801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68" w:type="pct"/>
            <w:vMerge w:val="restart"/>
            <w:tcBorders>
              <w:top w:val="single" w:color="auto" w:sz="4" w:space="0"/>
              <w:left w:val="single" w:color="auto" w:sz="4" w:space="0"/>
              <w:right w:val="single" w:color="auto" w:sz="4" w:space="0"/>
            </w:tcBorders>
            <w:noWrap w:val="0"/>
            <w:vAlign w:val="center"/>
          </w:tcPr>
          <w:p w14:paraId="3C7F028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项目产出</w:t>
            </w:r>
          </w:p>
        </w:tc>
        <w:tc>
          <w:tcPr>
            <w:tcW w:w="197" w:type="pct"/>
            <w:vMerge w:val="restart"/>
            <w:tcBorders>
              <w:top w:val="single" w:color="auto" w:sz="4" w:space="0"/>
              <w:left w:val="single" w:color="auto" w:sz="4" w:space="0"/>
              <w:right w:val="single" w:color="auto" w:sz="4" w:space="0"/>
            </w:tcBorders>
            <w:noWrap w:val="0"/>
            <w:vAlign w:val="center"/>
          </w:tcPr>
          <w:p w14:paraId="3D79280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40</w:t>
            </w:r>
          </w:p>
        </w:tc>
        <w:tc>
          <w:tcPr>
            <w:tcW w:w="196" w:type="pct"/>
            <w:vMerge w:val="restart"/>
            <w:tcBorders>
              <w:top w:val="single" w:color="auto" w:sz="4" w:space="0"/>
              <w:left w:val="single" w:color="auto" w:sz="4" w:space="0"/>
              <w:right w:val="single" w:color="auto" w:sz="4" w:space="0"/>
            </w:tcBorders>
            <w:noWrap w:val="0"/>
            <w:vAlign w:val="center"/>
          </w:tcPr>
          <w:p w14:paraId="586DB15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产出数量</w:t>
            </w:r>
          </w:p>
        </w:tc>
        <w:tc>
          <w:tcPr>
            <w:tcW w:w="199" w:type="pct"/>
            <w:vMerge w:val="restart"/>
            <w:tcBorders>
              <w:top w:val="single" w:color="auto" w:sz="4" w:space="0"/>
              <w:left w:val="single" w:color="auto" w:sz="4" w:space="0"/>
              <w:right w:val="single" w:color="auto" w:sz="4" w:space="0"/>
            </w:tcBorders>
            <w:noWrap w:val="0"/>
            <w:vAlign w:val="center"/>
          </w:tcPr>
          <w:p w14:paraId="4A78C77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w:t>
            </w:r>
          </w:p>
        </w:tc>
        <w:tc>
          <w:tcPr>
            <w:tcW w:w="242" w:type="pct"/>
            <w:vMerge w:val="restart"/>
            <w:tcBorders>
              <w:top w:val="single" w:color="auto" w:sz="4" w:space="0"/>
              <w:left w:val="single" w:color="auto" w:sz="4" w:space="0"/>
              <w:right w:val="single" w:color="auto" w:sz="4" w:space="0"/>
            </w:tcBorders>
            <w:noWrap w:val="0"/>
            <w:vAlign w:val="center"/>
          </w:tcPr>
          <w:p w14:paraId="51ED0B5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实际完成率</w:t>
            </w:r>
          </w:p>
        </w:tc>
        <w:tc>
          <w:tcPr>
            <w:tcW w:w="199" w:type="pct"/>
            <w:tcBorders>
              <w:top w:val="single" w:color="auto" w:sz="4" w:space="0"/>
              <w:left w:val="single" w:color="auto" w:sz="4" w:space="0"/>
              <w:bottom w:val="single" w:color="auto" w:sz="4" w:space="0"/>
              <w:right w:val="single" w:color="auto" w:sz="4" w:space="0"/>
            </w:tcBorders>
            <w:noWrap w:val="0"/>
            <w:vAlign w:val="center"/>
          </w:tcPr>
          <w:p w14:paraId="1912EFB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2.5</w:t>
            </w:r>
          </w:p>
        </w:tc>
        <w:tc>
          <w:tcPr>
            <w:tcW w:w="832" w:type="pct"/>
            <w:tcBorders>
              <w:top w:val="single" w:color="auto" w:sz="4" w:space="0"/>
              <w:left w:val="single" w:color="auto" w:sz="4" w:space="0"/>
              <w:bottom w:val="single" w:color="auto" w:sz="4" w:space="0"/>
              <w:right w:val="single" w:color="auto" w:sz="4" w:space="0"/>
            </w:tcBorders>
            <w:noWrap w:val="0"/>
            <w:vAlign w:val="center"/>
          </w:tcPr>
          <w:p w14:paraId="08C2C42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道路改造数量</w:t>
            </w:r>
          </w:p>
        </w:tc>
        <w:tc>
          <w:tcPr>
            <w:tcW w:w="565" w:type="pct"/>
            <w:tcBorders>
              <w:top w:val="single" w:color="auto" w:sz="4" w:space="0"/>
              <w:left w:val="single" w:color="auto" w:sz="4" w:space="0"/>
              <w:bottom w:val="single" w:color="auto" w:sz="4" w:space="0"/>
              <w:right w:val="single" w:color="auto" w:sz="4" w:space="0"/>
            </w:tcBorders>
            <w:noWrap w:val="0"/>
            <w:vAlign w:val="center"/>
          </w:tcPr>
          <w:p w14:paraId="3144678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≥2条</w:t>
            </w:r>
          </w:p>
        </w:tc>
        <w:tc>
          <w:tcPr>
            <w:tcW w:w="1468" w:type="pct"/>
            <w:vMerge w:val="restart"/>
            <w:tcBorders>
              <w:top w:val="single" w:color="auto" w:sz="4" w:space="0"/>
              <w:left w:val="single" w:color="auto" w:sz="4" w:space="0"/>
              <w:right w:val="single" w:color="auto" w:sz="4" w:space="0"/>
            </w:tcBorders>
            <w:noWrap w:val="0"/>
            <w:vAlign w:val="center"/>
          </w:tcPr>
          <w:p w14:paraId="6EDAB77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实际完成率=（实际完成/预期完成）×100%。</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①实际完成率≥100%，且偏离程度＜20%，得满分；</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②实际完成率≥100%，偏离程度≥20%，得0分；</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③实际完成率×100%＜100%，得分=实际完成率×指标分值。</w:t>
            </w:r>
          </w:p>
        </w:tc>
        <w:tc>
          <w:tcPr>
            <w:tcW w:w="478" w:type="pct"/>
            <w:tcBorders>
              <w:top w:val="single" w:color="auto" w:sz="4" w:space="0"/>
              <w:left w:val="single" w:color="auto" w:sz="4" w:space="0"/>
              <w:bottom w:val="single" w:color="auto" w:sz="4" w:space="0"/>
              <w:right w:val="single" w:color="auto" w:sz="4" w:space="0"/>
            </w:tcBorders>
            <w:noWrap w:val="0"/>
            <w:vAlign w:val="center"/>
          </w:tcPr>
          <w:p w14:paraId="5C717B9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2条</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4F74E01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2.5</w:t>
            </w:r>
          </w:p>
        </w:tc>
      </w:tr>
      <w:tr w14:paraId="0A8157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368" w:type="pct"/>
            <w:vMerge w:val="continue"/>
            <w:tcBorders>
              <w:left w:val="single" w:color="auto" w:sz="4" w:space="0"/>
              <w:right w:val="single" w:color="auto" w:sz="4" w:space="0"/>
            </w:tcBorders>
            <w:noWrap w:val="0"/>
            <w:vAlign w:val="center"/>
          </w:tcPr>
          <w:p w14:paraId="0AA1E9F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highlight w:val="none"/>
              </w:rPr>
            </w:pPr>
          </w:p>
        </w:tc>
        <w:tc>
          <w:tcPr>
            <w:tcW w:w="197" w:type="pct"/>
            <w:vMerge w:val="continue"/>
            <w:tcBorders>
              <w:left w:val="single" w:color="auto" w:sz="4" w:space="0"/>
              <w:right w:val="single" w:color="auto" w:sz="4" w:space="0"/>
            </w:tcBorders>
            <w:noWrap w:val="0"/>
            <w:vAlign w:val="center"/>
          </w:tcPr>
          <w:p w14:paraId="5978357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highlight w:val="none"/>
              </w:rPr>
            </w:pPr>
          </w:p>
        </w:tc>
        <w:tc>
          <w:tcPr>
            <w:tcW w:w="196" w:type="pct"/>
            <w:vMerge w:val="continue"/>
            <w:tcBorders>
              <w:left w:val="single" w:color="auto" w:sz="4" w:space="0"/>
              <w:right w:val="single" w:color="auto" w:sz="4" w:space="0"/>
            </w:tcBorders>
            <w:noWrap w:val="0"/>
            <w:vAlign w:val="center"/>
          </w:tcPr>
          <w:p w14:paraId="7B5A086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highlight w:val="none"/>
              </w:rPr>
            </w:pPr>
          </w:p>
        </w:tc>
        <w:tc>
          <w:tcPr>
            <w:tcW w:w="199" w:type="pct"/>
            <w:vMerge w:val="continue"/>
            <w:tcBorders>
              <w:left w:val="single" w:color="auto" w:sz="4" w:space="0"/>
              <w:right w:val="single" w:color="auto" w:sz="4" w:space="0"/>
            </w:tcBorders>
            <w:noWrap w:val="0"/>
            <w:vAlign w:val="center"/>
          </w:tcPr>
          <w:p w14:paraId="254E0DD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highlight w:val="none"/>
              </w:rPr>
            </w:pPr>
          </w:p>
        </w:tc>
        <w:tc>
          <w:tcPr>
            <w:tcW w:w="242" w:type="pct"/>
            <w:vMerge w:val="continue"/>
            <w:tcBorders>
              <w:left w:val="single" w:color="auto" w:sz="4" w:space="0"/>
              <w:right w:val="single" w:color="auto" w:sz="4" w:space="0"/>
            </w:tcBorders>
            <w:noWrap w:val="0"/>
            <w:vAlign w:val="center"/>
          </w:tcPr>
          <w:p w14:paraId="43A0B89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highlight w:val="none"/>
              </w:rPr>
            </w:pPr>
          </w:p>
        </w:tc>
        <w:tc>
          <w:tcPr>
            <w:tcW w:w="199" w:type="pct"/>
            <w:tcBorders>
              <w:top w:val="single" w:color="auto" w:sz="4" w:space="0"/>
              <w:left w:val="single" w:color="auto" w:sz="4" w:space="0"/>
              <w:bottom w:val="single" w:color="auto" w:sz="4" w:space="0"/>
              <w:right w:val="single" w:color="auto" w:sz="4" w:space="0"/>
            </w:tcBorders>
            <w:noWrap w:val="0"/>
            <w:vAlign w:val="center"/>
          </w:tcPr>
          <w:p w14:paraId="3546BF0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eastAsia="仿宋_GB2312"/>
                <w:highlight w:val="none"/>
                <w:lang w:val="en-US" w:eastAsia="zh-CN"/>
              </w:rPr>
            </w:pPr>
            <w:r>
              <w:rPr>
                <w:rFonts w:hint="eastAsia" w:ascii="宋体" w:hAnsi="宋体" w:eastAsia="宋体" w:cs="宋体"/>
                <w:i w:val="0"/>
                <w:iCs w:val="0"/>
                <w:color w:val="000000"/>
                <w:sz w:val="18"/>
                <w:szCs w:val="18"/>
                <w:highlight w:val="none"/>
                <w:u w:val="none"/>
                <w:lang w:val="en-US" w:eastAsia="zh-CN"/>
              </w:rPr>
              <w:t>2.5</w:t>
            </w:r>
          </w:p>
        </w:tc>
        <w:tc>
          <w:tcPr>
            <w:tcW w:w="832" w:type="pct"/>
            <w:tcBorders>
              <w:top w:val="single" w:color="auto" w:sz="4" w:space="0"/>
              <w:left w:val="single" w:color="auto" w:sz="4" w:space="0"/>
              <w:bottom w:val="single" w:color="auto" w:sz="4" w:space="0"/>
              <w:right w:val="single" w:color="auto" w:sz="4" w:space="0"/>
            </w:tcBorders>
            <w:noWrap w:val="0"/>
            <w:vAlign w:val="center"/>
          </w:tcPr>
          <w:p w14:paraId="6AB15F7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道路改造长度</w:t>
            </w:r>
          </w:p>
        </w:tc>
        <w:tc>
          <w:tcPr>
            <w:tcW w:w="565" w:type="pct"/>
            <w:tcBorders>
              <w:top w:val="single" w:color="auto" w:sz="4" w:space="0"/>
              <w:left w:val="single" w:color="auto" w:sz="4" w:space="0"/>
              <w:bottom w:val="single" w:color="auto" w:sz="4" w:space="0"/>
              <w:right w:val="single" w:color="auto" w:sz="4" w:space="0"/>
            </w:tcBorders>
            <w:noWrap w:val="0"/>
            <w:vAlign w:val="center"/>
          </w:tcPr>
          <w:p w14:paraId="4366FA6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≥3324.81米</w:t>
            </w:r>
          </w:p>
        </w:tc>
        <w:tc>
          <w:tcPr>
            <w:tcW w:w="1468" w:type="pct"/>
            <w:vMerge w:val="continue"/>
            <w:tcBorders>
              <w:left w:val="single" w:color="auto" w:sz="4" w:space="0"/>
              <w:right w:val="single" w:color="auto" w:sz="4" w:space="0"/>
            </w:tcBorders>
            <w:noWrap w:val="0"/>
            <w:vAlign w:val="center"/>
          </w:tcPr>
          <w:p w14:paraId="4141A99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lang w:val="en-US"/>
              </w:rPr>
            </w:pPr>
          </w:p>
        </w:tc>
        <w:tc>
          <w:tcPr>
            <w:tcW w:w="478" w:type="pct"/>
            <w:tcBorders>
              <w:top w:val="single" w:color="auto" w:sz="4" w:space="0"/>
              <w:left w:val="single" w:color="auto" w:sz="4" w:space="0"/>
              <w:bottom w:val="single" w:color="auto" w:sz="4" w:space="0"/>
              <w:right w:val="single" w:color="auto" w:sz="4" w:space="0"/>
            </w:tcBorders>
            <w:noWrap w:val="0"/>
            <w:vAlign w:val="center"/>
          </w:tcPr>
          <w:p w14:paraId="26CA4E2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highlight w:val="none"/>
                <w:u w:val="none"/>
                <w:lang w:val="en-US" w:eastAsia="zh-CN"/>
              </w:rPr>
              <w:t>3324.81米</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2827896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2.5</w:t>
            </w:r>
          </w:p>
        </w:tc>
      </w:tr>
      <w:tr w14:paraId="5D051A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368" w:type="pct"/>
            <w:vMerge w:val="continue"/>
            <w:tcBorders>
              <w:left w:val="single" w:color="auto" w:sz="4" w:space="0"/>
              <w:right w:val="single" w:color="auto" w:sz="4" w:space="0"/>
            </w:tcBorders>
            <w:noWrap w:val="0"/>
            <w:vAlign w:val="center"/>
          </w:tcPr>
          <w:p w14:paraId="65468B9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lang w:val="en-US"/>
              </w:rPr>
            </w:pPr>
          </w:p>
        </w:tc>
        <w:tc>
          <w:tcPr>
            <w:tcW w:w="197" w:type="pct"/>
            <w:vMerge w:val="continue"/>
            <w:tcBorders>
              <w:left w:val="single" w:color="auto" w:sz="4" w:space="0"/>
              <w:right w:val="single" w:color="auto" w:sz="4" w:space="0"/>
            </w:tcBorders>
            <w:noWrap w:val="0"/>
            <w:vAlign w:val="center"/>
          </w:tcPr>
          <w:p w14:paraId="5E3D301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lang w:val="en-US"/>
              </w:rPr>
            </w:pPr>
          </w:p>
        </w:tc>
        <w:tc>
          <w:tcPr>
            <w:tcW w:w="196" w:type="pct"/>
            <w:vMerge w:val="continue"/>
            <w:tcBorders>
              <w:left w:val="single" w:color="auto" w:sz="4" w:space="0"/>
              <w:right w:val="single" w:color="auto" w:sz="4" w:space="0"/>
            </w:tcBorders>
            <w:noWrap w:val="0"/>
            <w:vAlign w:val="center"/>
          </w:tcPr>
          <w:p w14:paraId="05B4C10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lang w:val="en-US"/>
              </w:rPr>
            </w:pPr>
          </w:p>
        </w:tc>
        <w:tc>
          <w:tcPr>
            <w:tcW w:w="199" w:type="pct"/>
            <w:vMerge w:val="continue"/>
            <w:tcBorders>
              <w:left w:val="single" w:color="auto" w:sz="4" w:space="0"/>
              <w:right w:val="single" w:color="auto" w:sz="4" w:space="0"/>
            </w:tcBorders>
            <w:noWrap w:val="0"/>
            <w:vAlign w:val="center"/>
          </w:tcPr>
          <w:p w14:paraId="18817FB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lang w:val="en-US"/>
              </w:rPr>
            </w:pPr>
          </w:p>
        </w:tc>
        <w:tc>
          <w:tcPr>
            <w:tcW w:w="242" w:type="pct"/>
            <w:vMerge w:val="continue"/>
            <w:tcBorders>
              <w:left w:val="single" w:color="auto" w:sz="4" w:space="0"/>
              <w:right w:val="single" w:color="auto" w:sz="4" w:space="0"/>
            </w:tcBorders>
            <w:noWrap w:val="0"/>
            <w:vAlign w:val="center"/>
          </w:tcPr>
          <w:p w14:paraId="712FA64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lang w:val="en-US"/>
              </w:rPr>
            </w:pPr>
          </w:p>
        </w:tc>
        <w:tc>
          <w:tcPr>
            <w:tcW w:w="199" w:type="pct"/>
            <w:tcBorders>
              <w:top w:val="single" w:color="auto" w:sz="4" w:space="0"/>
              <w:left w:val="single" w:color="auto" w:sz="4" w:space="0"/>
              <w:bottom w:val="single" w:color="auto" w:sz="4" w:space="0"/>
              <w:right w:val="single" w:color="auto" w:sz="4" w:space="0"/>
            </w:tcBorders>
            <w:noWrap w:val="0"/>
            <w:vAlign w:val="center"/>
          </w:tcPr>
          <w:p w14:paraId="192379C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2.5</w:t>
            </w:r>
          </w:p>
        </w:tc>
        <w:tc>
          <w:tcPr>
            <w:tcW w:w="832" w:type="pct"/>
            <w:tcBorders>
              <w:top w:val="single" w:color="auto" w:sz="4" w:space="0"/>
              <w:left w:val="single" w:color="auto" w:sz="4" w:space="0"/>
              <w:bottom w:val="single" w:color="auto" w:sz="4" w:space="0"/>
              <w:right w:val="single" w:color="auto" w:sz="4" w:space="0"/>
            </w:tcBorders>
            <w:noWrap w:val="0"/>
            <w:vAlign w:val="center"/>
          </w:tcPr>
          <w:p w14:paraId="4FC856F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道路改造宽度</w:t>
            </w:r>
          </w:p>
        </w:tc>
        <w:tc>
          <w:tcPr>
            <w:tcW w:w="565" w:type="pct"/>
            <w:tcBorders>
              <w:top w:val="single" w:color="auto" w:sz="4" w:space="0"/>
              <w:left w:val="single" w:color="auto" w:sz="4" w:space="0"/>
              <w:bottom w:val="single" w:color="auto" w:sz="4" w:space="0"/>
              <w:right w:val="single" w:color="auto" w:sz="4" w:space="0"/>
            </w:tcBorders>
            <w:noWrap w:val="0"/>
            <w:vAlign w:val="center"/>
          </w:tcPr>
          <w:p w14:paraId="420CBE5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≥26米</w:t>
            </w:r>
          </w:p>
        </w:tc>
        <w:tc>
          <w:tcPr>
            <w:tcW w:w="1468" w:type="pct"/>
            <w:vMerge w:val="continue"/>
            <w:tcBorders>
              <w:left w:val="single" w:color="auto" w:sz="4" w:space="0"/>
              <w:right w:val="single" w:color="auto" w:sz="4" w:space="0"/>
            </w:tcBorders>
            <w:noWrap w:val="0"/>
            <w:vAlign w:val="center"/>
          </w:tcPr>
          <w:p w14:paraId="4CEAE35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lang w:val="en-US"/>
              </w:rPr>
            </w:pPr>
          </w:p>
        </w:tc>
        <w:tc>
          <w:tcPr>
            <w:tcW w:w="478" w:type="pct"/>
            <w:tcBorders>
              <w:top w:val="single" w:color="auto" w:sz="4" w:space="0"/>
              <w:left w:val="single" w:color="auto" w:sz="4" w:space="0"/>
              <w:bottom w:val="single" w:color="auto" w:sz="4" w:space="0"/>
              <w:right w:val="single" w:color="auto" w:sz="4" w:space="0"/>
            </w:tcBorders>
            <w:noWrap w:val="0"/>
            <w:vAlign w:val="center"/>
          </w:tcPr>
          <w:p w14:paraId="1673987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highlight w:val="none"/>
                <w:u w:val="none"/>
                <w:lang w:val="en-US" w:eastAsia="zh-CN"/>
              </w:rPr>
              <w:t>26米</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564A0EB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sz w:val="18"/>
                <w:szCs w:val="18"/>
                <w:highlight w:val="none"/>
                <w:u w:val="none"/>
                <w:lang w:val="en-US" w:eastAsia="zh-CN"/>
              </w:rPr>
              <w:t>2.5</w:t>
            </w:r>
          </w:p>
        </w:tc>
      </w:tr>
      <w:tr w14:paraId="0CA6A5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368" w:type="pct"/>
            <w:vMerge w:val="continue"/>
            <w:tcBorders>
              <w:left w:val="single" w:color="auto" w:sz="4" w:space="0"/>
              <w:right w:val="single" w:color="auto" w:sz="4" w:space="0"/>
            </w:tcBorders>
            <w:noWrap w:val="0"/>
            <w:vAlign w:val="center"/>
          </w:tcPr>
          <w:p w14:paraId="4BF6E3E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lang w:val="en-US"/>
              </w:rPr>
            </w:pPr>
          </w:p>
        </w:tc>
        <w:tc>
          <w:tcPr>
            <w:tcW w:w="197" w:type="pct"/>
            <w:vMerge w:val="continue"/>
            <w:tcBorders>
              <w:left w:val="single" w:color="auto" w:sz="4" w:space="0"/>
              <w:right w:val="single" w:color="auto" w:sz="4" w:space="0"/>
            </w:tcBorders>
            <w:noWrap w:val="0"/>
            <w:vAlign w:val="center"/>
          </w:tcPr>
          <w:p w14:paraId="3596D62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lang w:val="en-US"/>
              </w:rPr>
            </w:pPr>
          </w:p>
        </w:tc>
        <w:tc>
          <w:tcPr>
            <w:tcW w:w="196" w:type="pct"/>
            <w:vMerge w:val="continue"/>
            <w:tcBorders>
              <w:left w:val="single" w:color="auto" w:sz="4" w:space="0"/>
              <w:right w:val="single" w:color="auto" w:sz="4" w:space="0"/>
            </w:tcBorders>
            <w:noWrap w:val="0"/>
            <w:vAlign w:val="center"/>
          </w:tcPr>
          <w:p w14:paraId="0C78787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lang w:val="en-US"/>
              </w:rPr>
            </w:pPr>
          </w:p>
        </w:tc>
        <w:tc>
          <w:tcPr>
            <w:tcW w:w="199" w:type="pct"/>
            <w:vMerge w:val="continue"/>
            <w:tcBorders>
              <w:left w:val="single" w:color="auto" w:sz="4" w:space="0"/>
              <w:right w:val="single" w:color="auto" w:sz="4" w:space="0"/>
            </w:tcBorders>
            <w:noWrap w:val="0"/>
            <w:vAlign w:val="center"/>
          </w:tcPr>
          <w:p w14:paraId="466B86F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lang w:val="en-US"/>
              </w:rPr>
            </w:pPr>
          </w:p>
        </w:tc>
        <w:tc>
          <w:tcPr>
            <w:tcW w:w="242" w:type="pct"/>
            <w:vMerge w:val="continue"/>
            <w:tcBorders>
              <w:left w:val="single" w:color="auto" w:sz="4" w:space="0"/>
              <w:right w:val="single" w:color="auto" w:sz="4" w:space="0"/>
            </w:tcBorders>
            <w:noWrap w:val="0"/>
            <w:vAlign w:val="center"/>
          </w:tcPr>
          <w:p w14:paraId="4293331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lang w:val="en-US"/>
              </w:rPr>
            </w:pPr>
          </w:p>
        </w:tc>
        <w:tc>
          <w:tcPr>
            <w:tcW w:w="199" w:type="pct"/>
            <w:tcBorders>
              <w:top w:val="single" w:color="auto" w:sz="4" w:space="0"/>
              <w:left w:val="single" w:color="auto" w:sz="4" w:space="0"/>
              <w:bottom w:val="single" w:color="auto" w:sz="4" w:space="0"/>
              <w:right w:val="single" w:color="auto" w:sz="4" w:space="0"/>
            </w:tcBorders>
            <w:noWrap w:val="0"/>
            <w:vAlign w:val="center"/>
          </w:tcPr>
          <w:p w14:paraId="2FB1A14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2.5</w:t>
            </w:r>
          </w:p>
        </w:tc>
        <w:tc>
          <w:tcPr>
            <w:tcW w:w="832" w:type="pct"/>
            <w:tcBorders>
              <w:top w:val="single" w:color="auto" w:sz="4" w:space="0"/>
              <w:left w:val="single" w:color="auto" w:sz="4" w:space="0"/>
              <w:bottom w:val="single" w:color="auto" w:sz="4" w:space="0"/>
              <w:right w:val="single" w:color="auto" w:sz="4" w:space="0"/>
            </w:tcBorders>
            <w:noWrap w:val="0"/>
            <w:vAlign w:val="center"/>
          </w:tcPr>
          <w:p w14:paraId="41EEEF4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改造附属工程</w:t>
            </w:r>
          </w:p>
        </w:tc>
        <w:tc>
          <w:tcPr>
            <w:tcW w:w="565" w:type="pct"/>
            <w:tcBorders>
              <w:top w:val="single" w:color="auto" w:sz="4" w:space="0"/>
              <w:left w:val="single" w:color="auto" w:sz="4" w:space="0"/>
              <w:bottom w:val="single" w:color="auto" w:sz="4" w:space="0"/>
              <w:right w:val="single" w:color="auto" w:sz="4" w:space="0"/>
            </w:tcBorders>
            <w:noWrap w:val="0"/>
            <w:vAlign w:val="center"/>
          </w:tcPr>
          <w:p w14:paraId="6BC288F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≥1项</w:t>
            </w:r>
          </w:p>
        </w:tc>
        <w:tc>
          <w:tcPr>
            <w:tcW w:w="1468" w:type="pct"/>
            <w:vMerge w:val="continue"/>
            <w:tcBorders>
              <w:left w:val="single" w:color="auto" w:sz="4" w:space="0"/>
              <w:right w:val="single" w:color="auto" w:sz="4" w:space="0"/>
            </w:tcBorders>
            <w:noWrap w:val="0"/>
            <w:vAlign w:val="center"/>
          </w:tcPr>
          <w:p w14:paraId="7EB5A79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lang w:val="en-US"/>
              </w:rPr>
            </w:pPr>
          </w:p>
        </w:tc>
        <w:tc>
          <w:tcPr>
            <w:tcW w:w="478" w:type="pct"/>
            <w:tcBorders>
              <w:top w:val="single" w:color="auto" w:sz="4" w:space="0"/>
              <w:left w:val="single" w:color="auto" w:sz="4" w:space="0"/>
              <w:bottom w:val="single" w:color="auto" w:sz="4" w:space="0"/>
              <w:right w:val="single" w:color="auto" w:sz="4" w:space="0"/>
            </w:tcBorders>
            <w:noWrap w:val="0"/>
            <w:vAlign w:val="center"/>
          </w:tcPr>
          <w:p w14:paraId="4465752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highlight w:val="none"/>
                <w:u w:val="none"/>
                <w:lang w:val="en-US" w:eastAsia="zh-CN"/>
              </w:rPr>
              <w:t>1项</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15AD8E0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2.5</w:t>
            </w:r>
          </w:p>
        </w:tc>
      </w:tr>
      <w:tr w14:paraId="1AEB84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68" w:type="pct"/>
            <w:vMerge w:val="continue"/>
            <w:tcBorders>
              <w:top w:val="single" w:color="auto" w:sz="4" w:space="0"/>
              <w:left w:val="single" w:color="auto" w:sz="4" w:space="0"/>
              <w:bottom w:val="single" w:color="auto" w:sz="4" w:space="0"/>
              <w:right w:val="single" w:color="auto" w:sz="4" w:space="0"/>
            </w:tcBorders>
            <w:noWrap w:val="0"/>
            <w:vAlign w:val="center"/>
          </w:tcPr>
          <w:p w14:paraId="5746D0F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7" w:type="pct"/>
            <w:vMerge w:val="continue"/>
            <w:tcBorders>
              <w:top w:val="single" w:color="auto" w:sz="4" w:space="0"/>
              <w:left w:val="single" w:color="auto" w:sz="4" w:space="0"/>
              <w:bottom w:val="single" w:color="auto" w:sz="4" w:space="0"/>
              <w:right w:val="single" w:color="auto" w:sz="4" w:space="0"/>
            </w:tcBorders>
            <w:noWrap w:val="0"/>
            <w:vAlign w:val="center"/>
          </w:tcPr>
          <w:p w14:paraId="119ECF4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6" w:type="pct"/>
            <w:vMerge w:val="restart"/>
            <w:tcBorders>
              <w:top w:val="single" w:color="auto" w:sz="4" w:space="0"/>
              <w:left w:val="single" w:color="auto" w:sz="4" w:space="0"/>
              <w:right w:val="single" w:color="auto" w:sz="4" w:space="0"/>
            </w:tcBorders>
            <w:noWrap w:val="0"/>
            <w:vAlign w:val="center"/>
          </w:tcPr>
          <w:p w14:paraId="3C54E71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产出质量</w:t>
            </w:r>
          </w:p>
        </w:tc>
        <w:tc>
          <w:tcPr>
            <w:tcW w:w="199" w:type="pct"/>
            <w:vMerge w:val="restart"/>
            <w:tcBorders>
              <w:top w:val="single" w:color="auto" w:sz="4" w:space="0"/>
              <w:left w:val="single" w:color="auto" w:sz="4" w:space="0"/>
              <w:right w:val="single" w:color="auto" w:sz="4" w:space="0"/>
            </w:tcBorders>
            <w:noWrap w:val="0"/>
            <w:vAlign w:val="center"/>
          </w:tcPr>
          <w:p w14:paraId="46AAC8E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w:t>
            </w:r>
          </w:p>
        </w:tc>
        <w:tc>
          <w:tcPr>
            <w:tcW w:w="242" w:type="pct"/>
            <w:vMerge w:val="restart"/>
            <w:tcBorders>
              <w:top w:val="single" w:color="auto" w:sz="4" w:space="0"/>
              <w:left w:val="single" w:color="auto" w:sz="4" w:space="0"/>
              <w:right w:val="single" w:color="auto" w:sz="4" w:space="0"/>
            </w:tcBorders>
            <w:noWrap w:val="0"/>
            <w:vAlign w:val="center"/>
          </w:tcPr>
          <w:p w14:paraId="78ED2F0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质量达标率</w:t>
            </w:r>
          </w:p>
        </w:tc>
        <w:tc>
          <w:tcPr>
            <w:tcW w:w="199" w:type="pct"/>
            <w:tcBorders>
              <w:top w:val="single" w:color="auto" w:sz="4" w:space="0"/>
              <w:left w:val="single" w:color="auto" w:sz="4" w:space="0"/>
              <w:bottom w:val="single" w:color="auto" w:sz="4" w:space="0"/>
              <w:right w:val="single" w:color="auto" w:sz="4" w:space="0"/>
            </w:tcBorders>
            <w:noWrap w:val="0"/>
            <w:vAlign w:val="center"/>
          </w:tcPr>
          <w:p w14:paraId="6A5BD51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5</w:t>
            </w:r>
          </w:p>
        </w:tc>
        <w:tc>
          <w:tcPr>
            <w:tcW w:w="832" w:type="pct"/>
            <w:tcBorders>
              <w:top w:val="single" w:color="auto" w:sz="4" w:space="0"/>
              <w:left w:val="single" w:color="auto" w:sz="4" w:space="0"/>
              <w:bottom w:val="single" w:color="auto" w:sz="4" w:space="0"/>
              <w:right w:val="single" w:color="auto" w:sz="4" w:space="0"/>
            </w:tcBorders>
            <w:noWrap w:val="0"/>
            <w:vAlign w:val="center"/>
          </w:tcPr>
          <w:p w14:paraId="7608206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项目设计变更率</w:t>
            </w:r>
          </w:p>
        </w:tc>
        <w:tc>
          <w:tcPr>
            <w:tcW w:w="565" w:type="pct"/>
            <w:tcBorders>
              <w:top w:val="single" w:color="auto" w:sz="4" w:space="0"/>
              <w:left w:val="single" w:color="auto" w:sz="4" w:space="0"/>
              <w:bottom w:val="single" w:color="auto" w:sz="4" w:space="0"/>
              <w:right w:val="single" w:color="auto" w:sz="4" w:space="0"/>
            </w:tcBorders>
            <w:noWrap w:val="0"/>
            <w:vAlign w:val="center"/>
          </w:tcPr>
          <w:p w14:paraId="6E8164C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r>
              <w:rPr>
                <w:rFonts w:hint="eastAsia" w:ascii="宋体" w:hAnsi="宋体" w:eastAsia="宋体" w:cs="宋体"/>
                <w:i w:val="0"/>
                <w:iCs w:val="0"/>
                <w:color w:val="000000"/>
                <w:sz w:val="18"/>
                <w:szCs w:val="18"/>
                <w:highlight w:val="none"/>
                <w:u w:val="none"/>
              </w:rPr>
              <w:t>%</w:t>
            </w:r>
          </w:p>
        </w:tc>
        <w:tc>
          <w:tcPr>
            <w:tcW w:w="1468" w:type="pct"/>
            <w:vMerge w:val="restart"/>
            <w:tcBorders>
              <w:top w:val="single" w:color="auto" w:sz="4" w:space="0"/>
              <w:left w:val="single" w:color="auto" w:sz="4" w:space="0"/>
              <w:right w:val="single" w:color="auto" w:sz="4" w:space="0"/>
            </w:tcBorders>
            <w:noWrap w:val="0"/>
            <w:vAlign w:val="center"/>
          </w:tcPr>
          <w:p w14:paraId="11778C1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若指标达到标杆值，则得100%权重分；否则，得分=（实际完成/预期完成）×100%×指标分值。</w:t>
            </w:r>
          </w:p>
          <w:p w14:paraId="640F7D6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若指标完成值达到标杆值，则得100%权重分；否则，不得分。</w:t>
            </w:r>
          </w:p>
        </w:tc>
        <w:tc>
          <w:tcPr>
            <w:tcW w:w="478" w:type="pct"/>
            <w:tcBorders>
              <w:top w:val="single" w:color="auto" w:sz="4" w:space="0"/>
              <w:left w:val="single" w:color="auto" w:sz="4" w:space="0"/>
              <w:bottom w:val="single" w:color="auto" w:sz="4" w:space="0"/>
              <w:right w:val="single" w:color="auto" w:sz="4" w:space="0"/>
            </w:tcBorders>
            <w:noWrap w:val="0"/>
            <w:vAlign w:val="center"/>
          </w:tcPr>
          <w:p w14:paraId="3EE81B6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r>
              <w:rPr>
                <w:rFonts w:hint="eastAsia" w:ascii="宋体" w:hAnsi="宋体" w:eastAsia="宋体" w:cs="宋体"/>
                <w:i w:val="0"/>
                <w:iCs w:val="0"/>
                <w:color w:val="000000"/>
                <w:sz w:val="18"/>
                <w:szCs w:val="18"/>
                <w:highlight w:val="none"/>
                <w:u w:val="none"/>
              </w:rPr>
              <w:t>%</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287A5EF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5</w:t>
            </w:r>
          </w:p>
        </w:tc>
      </w:tr>
      <w:tr w14:paraId="4930A4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68" w:type="pct"/>
            <w:vMerge w:val="continue"/>
            <w:tcBorders>
              <w:left w:val="single" w:color="auto" w:sz="4" w:space="0"/>
              <w:bottom w:val="single" w:color="auto" w:sz="4" w:space="0"/>
              <w:right w:val="single" w:color="auto" w:sz="4" w:space="0"/>
            </w:tcBorders>
            <w:noWrap w:val="0"/>
            <w:vAlign w:val="center"/>
          </w:tcPr>
          <w:p w14:paraId="40750FD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pPr>
          </w:p>
        </w:tc>
        <w:tc>
          <w:tcPr>
            <w:tcW w:w="197" w:type="pct"/>
            <w:vMerge w:val="continue"/>
            <w:tcBorders>
              <w:left w:val="single" w:color="auto" w:sz="4" w:space="0"/>
              <w:bottom w:val="single" w:color="auto" w:sz="4" w:space="0"/>
              <w:right w:val="single" w:color="auto" w:sz="4" w:space="0"/>
            </w:tcBorders>
            <w:noWrap w:val="0"/>
            <w:vAlign w:val="center"/>
          </w:tcPr>
          <w:p w14:paraId="68C0DDF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pPr>
          </w:p>
        </w:tc>
        <w:tc>
          <w:tcPr>
            <w:tcW w:w="196" w:type="pct"/>
            <w:vMerge w:val="continue"/>
            <w:tcBorders>
              <w:left w:val="single" w:color="auto" w:sz="4" w:space="0"/>
              <w:bottom w:val="single" w:color="auto" w:sz="4" w:space="0"/>
              <w:right w:val="single" w:color="auto" w:sz="4" w:space="0"/>
            </w:tcBorders>
            <w:noWrap w:val="0"/>
            <w:vAlign w:val="center"/>
          </w:tcPr>
          <w:p w14:paraId="79E3D26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pPr>
          </w:p>
        </w:tc>
        <w:tc>
          <w:tcPr>
            <w:tcW w:w="199" w:type="pct"/>
            <w:vMerge w:val="continue"/>
            <w:tcBorders>
              <w:left w:val="single" w:color="auto" w:sz="4" w:space="0"/>
              <w:bottom w:val="single" w:color="auto" w:sz="4" w:space="0"/>
              <w:right w:val="single" w:color="auto" w:sz="4" w:space="0"/>
            </w:tcBorders>
            <w:noWrap w:val="0"/>
            <w:vAlign w:val="center"/>
          </w:tcPr>
          <w:p w14:paraId="1786A6F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pPr>
          </w:p>
        </w:tc>
        <w:tc>
          <w:tcPr>
            <w:tcW w:w="242" w:type="pct"/>
            <w:vMerge w:val="continue"/>
            <w:tcBorders>
              <w:left w:val="single" w:color="auto" w:sz="4" w:space="0"/>
              <w:bottom w:val="single" w:color="auto" w:sz="4" w:space="0"/>
              <w:right w:val="single" w:color="auto" w:sz="4" w:space="0"/>
            </w:tcBorders>
            <w:noWrap w:val="0"/>
            <w:vAlign w:val="center"/>
          </w:tcPr>
          <w:p w14:paraId="2F45B04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pPr>
          </w:p>
        </w:tc>
        <w:tc>
          <w:tcPr>
            <w:tcW w:w="199" w:type="pct"/>
            <w:tcBorders>
              <w:top w:val="single" w:color="auto" w:sz="4" w:space="0"/>
              <w:left w:val="single" w:color="auto" w:sz="4" w:space="0"/>
              <w:bottom w:val="single" w:color="auto" w:sz="4" w:space="0"/>
              <w:right w:val="single" w:color="auto" w:sz="4" w:space="0"/>
            </w:tcBorders>
            <w:noWrap w:val="0"/>
            <w:vAlign w:val="center"/>
          </w:tcPr>
          <w:p w14:paraId="7FB3EE4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5</w:t>
            </w:r>
          </w:p>
        </w:tc>
        <w:tc>
          <w:tcPr>
            <w:tcW w:w="832" w:type="pct"/>
            <w:tcBorders>
              <w:top w:val="single" w:color="auto" w:sz="4" w:space="0"/>
              <w:left w:val="single" w:color="auto" w:sz="4" w:space="0"/>
              <w:bottom w:val="single" w:color="auto" w:sz="4" w:space="0"/>
              <w:right w:val="single" w:color="auto" w:sz="4" w:space="0"/>
            </w:tcBorders>
            <w:noWrap w:val="0"/>
            <w:vAlign w:val="center"/>
          </w:tcPr>
          <w:p w14:paraId="26943B2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竣工验收合格率</w:t>
            </w:r>
          </w:p>
        </w:tc>
        <w:tc>
          <w:tcPr>
            <w:tcW w:w="565" w:type="pct"/>
            <w:tcBorders>
              <w:top w:val="single" w:color="auto" w:sz="4" w:space="0"/>
              <w:left w:val="single" w:color="auto" w:sz="4" w:space="0"/>
              <w:bottom w:val="single" w:color="auto" w:sz="4" w:space="0"/>
              <w:right w:val="single" w:color="auto" w:sz="4" w:space="0"/>
            </w:tcBorders>
            <w:noWrap w:val="0"/>
            <w:vAlign w:val="center"/>
          </w:tcPr>
          <w:p w14:paraId="3DFAB61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=100%</w:t>
            </w:r>
          </w:p>
        </w:tc>
        <w:tc>
          <w:tcPr>
            <w:tcW w:w="1468" w:type="pct"/>
            <w:vMerge w:val="continue"/>
            <w:tcBorders>
              <w:left w:val="single" w:color="auto" w:sz="4" w:space="0"/>
              <w:right w:val="single" w:color="auto" w:sz="4" w:space="0"/>
            </w:tcBorders>
            <w:noWrap w:val="0"/>
            <w:vAlign w:val="center"/>
          </w:tcPr>
          <w:p w14:paraId="17EAA54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p>
        </w:tc>
        <w:tc>
          <w:tcPr>
            <w:tcW w:w="478" w:type="pct"/>
            <w:tcBorders>
              <w:top w:val="single" w:color="auto" w:sz="4" w:space="0"/>
              <w:left w:val="single" w:color="auto" w:sz="4" w:space="0"/>
              <w:bottom w:val="single" w:color="auto" w:sz="4" w:space="0"/>
              <w:right w:val="single" w:color="auto" w:sz="4" w:space="0"/>
            </w:tcBorders>
            <w:noWrap w:val="0"/>
            <w:vAlign w:val="center"/>
          </w:tcPr>
          <w:p w14:paraId="509275B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100%</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7D738E8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5</w:t>
            </w:r>
          </w:p>
        </w:tc>
      </w:tr>
      <w:tr w14:paraId="57EF70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68" w:type="pct"/>
            <w:vMerge w:val="continue"/>
            <w:tcBorders>
              <w:top w:val="single" w:color="auto" w:sz="4" w:space="0"/>
              <w:left w:val="single" w:color="auto" w:sz="4" w:space="0"/>
              <w:bottom w:val="single" w:color="auto" w:sz="4" w:space="0"/>
              <w:right w:val="single" w:color="auto" w:sz="4" w:space="0"/>
            </w:tcBorders>
            <w:noWrap w:val="0"/>
            <w:vAlign w:val="center"/>
          </w:tcPr>
          <w:p w14:paraId="6E889A0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7" w:type="pct"/>
            <w:vMerge w:val="continue"/>
            <w:tcBorders>
              <w:top w:val="single" w:color="auto" w:sz="4" w:space="0"/>
              <w:left w:val="single" w:color="auto" w:sz="4" w:space="0"/>
              <w:bottom w:val="single" w:color="auto" w:sz="4" w:space="0"/>
              <w:right w:val="single" w:color="auto" w:sz="4" w:space="0"/>
            </w:tcBorders>
            <w:noWrap w:val="0"/>
            <w:vAlign w:val="center"/>
          </w:tcPr>
          <w:p w14:paraId="562A9C2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6" w:type="pct"/>
            <w:vMerge w:val="restart"/>
            <w:tcBorders>
              <w:top w:val="single" w:color="auto" w:sz="4" w:space="0"/>
              <w:left w:val="single" w:color="auto" w:sz="4" w:space="0"/>
              <w:right w:val="single" w:color="auto" w:sz="4" w:space="0"/>
            </w:tcBorders>
            <w:noWrap w:val="0"/>
            <w:vAlign w:val="center"/>
          </w:tcPr>
          <w:p w14:paraId="25F7E77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产出时效</w:t>
            </w:r>
          </w:p>
        </w:tc>
        <w:tc>
          <w:tcPr>
            <w:tcW w:w="199" w:type="pct"/>
            <w:vMerge w:val="restart"/>
            <w:tcBorders>
              <w:top w:val="single" w:color="auto" w:sz="4" w:space="0"/>
              <w:left w:val="single" w:color="auto" w:sz="4" w:space="0"/>
              <w:right w:val="single" w:color="auto" w:sz="4" w:space="0"/>
            </w:tcBorders>
            <w:noWrap w:val="0"/>
            <w:vAlign w:val="center"/>
          </w:tcPr>
          <w:p w14:paraId="7B46F5B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w:t>
            </w:r>
          </w:p>
        </w:tc>
        <w:tc>
          <w:tcPr>
            <w:tcW w:w="242" w:type="pct"/>
            <w:vMerge w:val="restart"/>
            <w:tcBorders>
              <w:top w:val="single" w:color="auto" w:sz="4" w:space="0"/>
              <w:left w:val="single" w:color="auto" w:sz="4" w:space="0"/>
              <w:right w:val="single" w:color="auto" w:sz="4" w:space="0"/>
            </w:tcBorders>
            <w:noWrap w:val="0"/>
            <w:vAlign w:val="center"/>
          </w:tcPr>
          <w:p w14:paraId="7531CE1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完成及时率</w:t>
            </w:r>
          </w:p>
        </w:tc>
        <w:tc>
          <w:tcPr>
            <w:tcW w:w="199" w:type="pct"/>
            <w:tcBorders>
              <w:top w:val="single" w:color="auto" w:sz="4" w:space="0"/>
              <w:left w:val="single" w:color="auto" w:sz="4" w:space="0"/>
              <w:bottom w:val="single" w:color="auto" w:sz="4" w:space="0"/>
              <w:right w:val="single" w:color="auto" w:sz="4" w:space="0"/>
            </w:tcBorders>
            <w:noWrap w:val="0"/>
            <w:vAlign w:val="center"/>
          </w:tcPr>
          <w:p w14:paraId="5A169A8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2.5</w:t>
            </w:r>
          </w:p>
        </w:tc>
        <w:tc>
          <w:tcPr>
            <w:tcW w:w="832" w:type="pct"/>
            <w:tcBorders>
              <w:top w:val="single" w:color="auto" w:sz="4" w:space="0"/>
              <w:left w:val="single" w:color="auto" w:sz="4" w:space="0"/>
              <w:bottom w:val="single" w:color="auto" w:sz="4" w:space="0"/>
              <w:right w:val="single" w:color="auto" w:sz="4" w:space="0"/>
            </w:tcBorders>
            <w:noWrap w:val="0"/>
            <w:vAlign w:val="center"/>
          </w:tcPr>
          <w:p w14:paraId="7BC2EFA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项目开始时间</w:t>
            </w:r>
          </w:p>
        </w:tc>
        <w:tc>
          <w:tcPr>
            <w:tcW w:w="565" w:type="pct"/>
            <w:tcBorders>
              <w:top w:val="single" w:color="auto" w:sz="4" w:space="0"/>
              <w:left w:val="single" w:color="auto" w:sz="4" w:space="0"/>
              <w:bottom w:val="single" w:color="auto" w:sz="4" w:space="0"/>
              <w:right w:val="single" w:color="auto" w:sz="4" w:space="0"/>
            </w:tcBorders>
            <w:noWrap w:val="0"/>
            <w:vAlign w:val="center"/>
          </w:tcPr>
          <w:p w14:paraId="036987A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w:t>
            </w:r>
            <w:r>
              <w:rPr>
                <w:rFonts w:hint="eastAsia" w:ascii="宋体" w:hAnsi="宋体" w:eastAsia="宋体" w:cs="宋体"/>
                <w:i w:val="0"/>
                <w:iCs w:val="0"/>
                <w:color w:val="000000"/>
                <w:sz w:val="18"/>
                <w:szCs w:val="18"/>
                <w:highlight w:val="none"/>
                <w:u w:val="none"/>
                <w:lang w:val="en-US" w:eastAsia="zh-CN"/>
              </w:rPr>
              <w:t>4</w:t>
            </w:r>
            <w:r>
              <w:rPr>
                <w:rFonts w:hint="eastAsia" w:ascii="宋体" w:hAnsi="宋体" w:eastAsia="宋体" w:cs="宋体"/>
                <w:i w:val="0"/>
                <w:iCs w:val="0"/>
                <w:color w:val="000000"/>
                <w:sz w:val="18"/>
                <w:szCs w:val="18"/>
                <w:highlight w:val="none"/>
                <w:u w:val="none"/>
              </w:rPr>
              <w:t>年</w:t>
            </w:r>
            <w:r>
              <w:rPr>
                <w:rFonts w:hint="eastAsia" w:ascii="宋体" w:hAnsi="宋体" w:eastAsia="宋体" w:cs="宋体"/>
                <w:i w:val="0"/>
                <w:iCs w:val="0"/>
                <w:color w:val="000000"/>
                <w:sz w:val="18"/>
                <w:szCs w:val="18"/>
                <w:highlight w:val="none"/>
                <w:u w:val="none"/>
                <w:lang w:val="en-US" w:eastAsia="zh-CN"/>
              </w:rPr>
              <w:t>7</w:t>
            </w:r>
            <w:r>
              <w:rPr>
                <w:rFonts w:hint="eastAsia" w:ascii="宋体" w:hAnsi="宋体" w:eastAsia="宋体" w:cs="宋体"/>
                <w:i w:val="0"/>
                <w:iCs w:val="0"/>
                <w:color w:val="000000"/>
                <w:sz w:val="18"/>
                <w:szCs w:val="18"/>
                <w:highlight w:val="none"/>
                <w:u w:val="none"/>
              </w:rPr>
              <w:t>月</w:t>
            </w:r>
          </w:p>
        </w:tc>
        <w:tc>
          <w:tcPr>
            <w:tcW w:w="1468" w:type="pct"/>
            <w:vMerge w:val="restart"/>
            <w:tcBorders>
              <w:top w:val="single" w:color="auto" w:sz="4" w:space="0"/>
              <w:left w:val="single" w:color="auto" w:sz="4" w:space="0"/>
              <w:right w:val="single" w:color="auto" w:sz="4" w:space="0"/>
            </w:tcBorders>
            <w:noWrap w:val="0"/>
            <w:vAlign w:val="center"/>
          </w:tcPr>
          <w:p w14:paraId="406F9A1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若指标完成值达到标杆值，则得100%权重分；否则，得分=（实际完成/预期完成）×100%×指标分值。</w:t>
            </w:r>
          </w:p>
          <w:p w14:paraId="1E15751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若在规定时间内完成，得100%权重分；若未在规定的时间内完成，得分=（1-未在规定时间内完成工作数/实际完成工作总数）×分值。</w:t>
            </w:r>
          </w:p>
        </w:tc>
        <w:tc>
          <w:tcPr>
            <w:tcW w:w="478" w:type="pct"/>
            <w:tcBorders>
              <w:top w:val="single" w:color="auto" w:sz="4" w:space="0"/>
              <w:left w:val="single" w:color="auto" w:sz="4" w:space="0"/>
              <w:bottom w:val="single" w:color="auto" w:sz="4" w:space="0"/>
              <w:right w:val="single" w:color="auto" w:sz="4" w:space="0"/>
            </w:tcBorders>
            <w:noWrap w:val="0"/>
            <w:vAlign w:val="center"/>
          </w:tcPr>
          <w:p w14:paraId="23A3450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w:t>
            </w:r>
            <w:r>
              <w:rPr>
                <w:rFonts w:hint="eastAsia" w:ascii="宋体" w:hAnsi="宋体" w:eastAsia="宋体" w:cs="宋体"/>
                <w:i w:val="0"/>
                <w:iCs w:val="0"/>
                <w:color w:val="000000"/>
                <w:sz w:val="18"/>
                <w:szCs w:val="18"/>
                <w:highlight w:val="none"/>
                <w:u w:val="none"/>
                <w:lang w:val="en-US" w:eastAsia="zh-CN"/>
              </w:rPr>
              <w:t>4</w:t>
            </w:r>
            <w:r>
              <w:rPr>
                <w:rFonts w:hint="eastAsia" w:ascii="宋体" w:hAnsi="宋体" w:eastAsia="宋体" w:cs="宋体"/>
                <w:i w:val="0"/>
                <w:iCs w:val="0"/>
                <w:color w:val="000000"/>
                <w:sz w:val="18"/>
                <w:szCs w:val="18"/>
                <w:highlight w:val="none"/>
                <w:u w:val="none"/>
              </w:rPr>
              <w:t>年</w:t>
            </w:r>
            <w:r>
              <w:rPr>
                <w:rFonts w:hint="eastAsia" w:ascii="宋体" w:hAnsi="宋体" w:eastAsia="宋体" w:cs="宋体"/>
                <w:i w:val="0"/>
                <w:iCs w:val="0"/>
                <w:color w:val="000000"/>
                <w:sz w:val="18"/>
                <w:szCs w:val="18"/>
                <w:highlight w:val="none"/>
                <w:u w:val="none"/>
                <w:lang w:val="en-US" w:eastAsia="zh-CN"/>
              </w:rPr>
              <w:t>7</w:t>
            </w:r>
            <w:r>
              <w:rPr>
                <w:rFonts w:hint="eastAsia" w:ascii="宋体" w:hAnsi="宋体" w:eastAsia="宋体" w:cs="宋体"/>
                <w:i w:val="0"/>
                <w:iCs w:val="0"/>
                <w:color w:val="000000"/>
                <w:sz w:val="18"/>
                <w:szCs w:val="18"/>
                <w:highlight w:val="none"/>
                <w:u w:val="none"/>
              </w:rPr>
              <w:t>月</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1980CBF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2.5</w:t>
            </w:r>
          </w:p>
        </w:tc>
      </w:tr>
      <w:tr w14:paraId="49A936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68" w:type="pct"/>
            <w:vMerge w:val="continue"/>
            <w:tcBorders>
              <w:top w:val="single" w:color="auto" w:sz="4" w:space="0"/>
              <w:left w:val="single" w:color="auto" w:sz="4" w:space="0"/>
              <w:bottom w:val="single" w:color="auto" w:sz="4" w:space="0"/>
              <w:right w:val="single" w:color="auto" w:sz="4" w:space="0"/>
            </w:tcBorders>
            <w:noWrap w:val="0"/>
            <w:vAlign w:val="center"/>
          </w:tcPr>
          <w:p w14:paraId="365A8DA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highlight w:val="none"/>
              </w:rPr>
            </w:pPr>
          </w:p>
        </w:tc>
        <w:tc>
          <w:tcPr>
            <w:tcW w:w="197" w:type="pct"/>
            <w:vMerge w:val="continue"/>
            <w:tcBorders>
              <w:top w:val="single" w:color="auto" w:sz="4" w:space="0"/>
              <w:left w:val="single" w:color="auto" w:sz="4" w:space="0"/>
              <w:bottom w:val="single" w:color="auto" w:sz="4" w:space="0"/>
              <w:right w:val="single" w:color="auto" w:sz="4" w:space="0"/>
            </w:tcBorders>
            <w:noWrap w:val="0"/>
            <w:vAlign w:val="center"/>
          </w:tcPr>
          <w:p w14:paraId="06B62E5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highlight w:val="none"/>
              </w:rPr>
            </w:pPr>
          </w:p>
        </w:tc>
        <w:tc>
          <w:tcPr>
            <w:tcW w:w="196" w:type="pct"/>
            <w:vMerge w:val="continue"/>
            <w:tcBorders>
              <w:left w:val="single" w:color="auto" w:sz="4" w:space="0"/>
              <w:right w:val="single" w:color="auto" w:sz="4" w:space="0"/>
            </w:tcBorders>
            <w:noWrap w:val="0"/>
            <w:vAlign w:val="center"/>
          </w:tcPr>
          <w:p w14:paraId="519E005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highlight w:val="none"/>
              </w:rPr>
            </w:pPr>
          </w:p>
        </w:tc>
        <w:tc>
          <w:tcPr>
            <w:tcW w:w="199" w:type="pct"/>
            <w:vMerge w:val="continue"/>
            <w:tcBorders>
              <w:left w:val="single" w:color="auto" w:sz="4" w:space="0"/>
              <w:right w:val="single" w:color="auto" w:sz="4" w:space="0"/>
            </w:tcBorders>
            <w:noWrap w:val="0"/>
            <w:vAlign w:val="center"/>
          </w:tcPr>
          <w:p w14:paraId="5A27E20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highlight w:val="none"/>
              </w:rPr>
            </w:pPr>
          </w:p>
        </w:tc>
        <w:tc>
          <w:tcPr>
            <w:tcW w:w="242" w:type="pct"/>
            <w:vMerge w:val="continue"/>
            <w:tcBorders>
              <w:left w:val="single" w:color="auto" w:sz="4" w:space="0"/>
              <w:right w:val="single" w:color="auto" w:sz="4" w:space="0"/>
            </w:tcBorders>
            <w:noWrap w:val="0"/>
            <w:vAlign w:val="center"/>
          </w:tcPr>
          <w:p w14:paraId="06DF968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highlight w:val="none"/>
              </w:rPr>
            </w:pPr>
          </w:p>
        </w:tc>
        <w:tc>
          <w:tcPr>
            <w:tcW w:w="199" w:type="pct"/>
            <w:tcBorders>
              <w:top w:val="single" w:color="auto" w:sz="4" w:space="0"/>
              <w:left w:val="single" w:color="auto" w:sz="4" w:space="0"/>
              <w:bottom w:val="single" w:color="auto" w:sz="4" w:space="0"/>
              <w:right w:val="single" w:color="auto" w:sz="4" w:space="0"/>
            </w:tcBorders>
            <w:noWrap w:val="0"/>
            <w:vAlign w:val="center"/>
          </w:tcPr>
          <w:p w14:paraId="4213E33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eastAsia="仿宋_GB2312"/>
                <w:highlight w:val="none"/>
                <w:lang w:val="en-US" w:eastAsia="zh-CN"/>
              </w:rPr>
            </w:pPr>
            <w:r>
              <w:rPr>
                <w:rFonts w:hint="eastAsia" w:ascii="宋体" w:hAnsi="宋体" w:eastAsia="宋体" w:cs="宋体"/>
                <w:i w:val="0"/>
                <w:iCs w:val="0"/>
                <w:color w:val="000000"/>
                <w:sz w:val="18"/>
                <w:szCs w:val="18"/>
                <w:highlight w:val="none"/>
                <w:u w:val="none"/>
                <w:lang w:val="en-US" w:eastAsia="zh-CN"/>
              </w:rPr>
              <w:t>2.5</w:t>
            </w:r>
          </w:p>
        </w:tc>
        <w:tc>
          <w:tcPr>
            <w:tcW w:w="832" w:type="pct"/>
            <w:tcBorders>
              <w:top w:val="single" w:color="auto" w:sz="4" w:space="0"/>
              <w:left w:val="single" w:color="auto" w:sz="4" w:space="0"/>
              <w:bottom w:val="single" w:color="auto" w:sz="4" w:space="0"/>
              <w:right w:val="single" w:color="auto" w:sz="4" w:space="0"/>
            </w:tcBorders>
            <w:noWrap w:val="0"/>
            <w:vAlign w:val="center"/>
          </w:tcPr>
          <w:p w14:paraId="1F03DA7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项目完工时间</w:t>
            </w:r>
          </w:p>
        </w:tc>
        <w:tc>
          <w:tcPr>
            <w:tcW w:w="565" w:type="pct"/>
            <w:tcBorders>
              <w:top w:val="single" w:color="auto" w:sz="4" w:space="0"/>
              <w:left w:val="single" w:color="auto" w:sz="4" w:space="0"/>
              <w:bottom w:val="single" w:color="auto" w:sz="4" w:space="0"/>
              <w:right w:val="single" w:color="auto" w:sz="4" w:space="0"/>
            </w:tcBorders>
            <w:noWrap w:val="0"/>
            <w:vAlign w:val="center"/>
          </w:tcPr>
          <w:p w14:paraId="61466DC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w:t>
            </w:r>
            <w:r>
              <w:rPr>
                <w:rFonts w:hint="eastAsia" w:ascii="宋体" w:hAnsi="宋体" w:eastAsia="宋体" w:cs="宋体"/>
                <w:i w:val="0"/>
                <w:iCs w:val="0"/>
                <w:color w:val="000000"/>
                <w:sz w:val="18"/>
                <w:szCs w:val="18"/>
                <w:highlight w:val="none"/>
                <w:u w:val="none"/>
                <w:lang w:val="en-US" w:eastAsia="zh-CN"/>
              </w:rPr>
              <w:t>4</w:t>
            </w:r>
            <w:r>
              <w:rPr>
                <w:rFonts w:hint="eastAsia" w:ascii="宋体" w:hAnsi="宋体" w:eastAsia="宋体" w:cs="宋体"/>
                <w:i w:val="0"/>
                <w:iCs w:val="0"/>
                <w:color w:val="000000"/>
                <w:sz w:val="18"/>
                <w:szCs w:val="18"/>
                <w:highlight w:val="none"/>
                <w:u w:val="none"/>
              </w:rPr>
              <w:t>年</w:t>
            </w:r>
            <w:r>
              <w:rPr>
                <w:rFonts w:hint="eastAsia" w:ascii="宋体" w:hAnsi="宋体" w:eastAsia="宋体" w:cs="宋体"/>
                <w:i w:val="0"/>
                <w:iCs w:val="0"/>
                <w:color w:val="000000"/>
                <w:sz w:val="18"/>
                <w:szCs w:val="18"/>
                <w:highlight w:val="none"/>
                <w:u w:val="none"/>
                <w:lang w:val="en-US" w:eastAsia="zh-CN"/>
              </w:rPr>
              <w:t>12</w:t>
            </w:r>
            <w:r>
              <w:rPr>
                <w:rFonts w:hint="eastAsia" w:ascii="宋体" w:hAnsi="宋体" w:eastAsia="宋体" w:cs="宋体"/>
                <w:i w:val="0"/>
                <w:iCs w:val="0"/>
                <w:color w:val="000000"/>
                <w:sz w:val="18"/>
                <w:szCs w:val="18"/>
                <w:highlight w:val="none"/>
                <w:u w:val="none"/>
              </w:rPr>
              <w:t>月</w:t>
            </w:r>
          </w:p>
        </w:tc>
        <w:tc>
          <w:tcPr>
            <w:tcW w:w="1468" w:type="pct"/>
            <w:vMerge w:val="continue"/>
            <w:tcBorders>
              <w:left w:val="single" w:color="auto" w:sz="4" w:space="0"/>
              <w:right w:val="single" w:color="auto" w:sz="4" w:space="0"/>
            </w:tcBorders>
            <w:noWrap w:val="0"/>
            <w:vAlign w:val="center"/>
          </w:tcPr>
          <w:p w14:paraId="2A50800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478" w:type="pct"/>
            <w:tcBorders>
              <w:top w:val="single" w:color="auto" w:sz="4" w:space="0"/>
              <w:left w:val="single" w:color="auto" w:sz="4" w:space="0"/>
              <w:bottom w:val="single" w:color="auto" w:sz="4" w:space="0"/>
              <w:right w:val="single" w:color="auto" w:sz="4" w:space="0"/>
            </w:tcBorders>
            <w:noWrap w:val="0"/>
            <w:vAlign w:val="center"/>
          </w:tcPr>
          <w:p w14:paraId="080F11E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w:t>
            </w:r>
            <w:r>
              <w:rPr>
                <w:rFonts w:hint="eastAsia" w:ascii="宋体" w:hAnsi="宋体" w:eastAsia="宋体" w:cs="宋体"/>
                <w:i w:val="0"/>
                <w:iCs w:val="0"/>
                <w:color w:val="000000"/>
                <w:sz w:val="18"/>
                <w:szCs w:val="18"/>
                <w:highlight w:val="none"/>
                <w:u w:val="none"/>
                <w:lang w:val="en-US" w:eastAsia="zh-CN"/>
              </w:rPr>
              <w:t>4</w:t>
            </w:r>
            <w:r>
              <w:rPr>
                <w:rFonts w:hint="eastAsia" w:ascii="宋体" w:hAnsi="宋体" w:eastAsia="宋体" w:cs="宋体"/>
                <w:i w:val="0"/>
                <w:iCs w:val="0"/>
                <w:color w:val="000000"/>
                <w:sz w:val="18"/>
                <w:szCs w:val="18"/>
                <w:highlight w:val="none"/>
                <w:u w:val="none"/>
              </w:rPr>
              <w:t>年</w:t>
            </w:r>
            <w:r>
              <w:rPr>
                <w:rFonts w:hint="eastAsia" w:ascii="宋体" w:hAnsi="宋体" w:eastAsia="宋体" w:cs="宋体"/>
                <w:i w:val="0"/>
                <w:iCs w:val="0"/>
                <w:color w:val="000000"/>
                <w:sz w:val="18"/>
                <w:szCs w:val="18"/>
                <w:highlight w:val="none"/>
                <w:u w:val="none"/>
                <w:lang w:val="en-US" w:eastAsia="zh-CN"/>
              </w:rPr>
              <w:t>12</w:t>
            </w:r>
            <w:r>
              <w:rPr>
                <w:rFonts w:hint="eastAsia" w:ascii="宋体" w:hAnsi="宋体" w:eastAsia="宋体" w:cs="宋体"/>
                <w:i w:val="0"/>
                <w:iCs w:val="0"/>
                <w:color w:val="000000"/>
                <w:sz w:val="18"/>
                <w:szCs w:val="18"/>
                <w:highlight w:val="none"/>
                <w:u w:val="none"/>
              </w:rPr>
              <w:t>月</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3A55EC9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2.5</w:t>
            </w:r>
          </w:p>
        </w:tc>
      </w:tr>
      <w:tr w14:paraId="74D7A9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68" w:type="pct"/>
            <w:vMerge w:val="continue"/>
            <w:tcBorders>
              <w:left w:val="single" w:color="auto" w:sz="4" w:space="0"/>
              <w:bottom w:val="single" w:color="auto" w:sz="4" w:space="0"/>
              <w:right w:val="single" w:color="auto" w:sz="4" w:space="0"/>
            </w:tcBorders>
            <w:noWrap w:val="0"/>
            <w:vAlign w:val="center"/>
          </w:tcPr>
          <w:p w14:paraId="2A29949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7" w:type="pct"/>
            <w:vMerge w:val="continue"/>
            <w:tcBorders>
              <w:left w:val="single" w:color="auto" w:sz="4" w:space="0"/>
              <w:bottom w:val="single" w:color="auto" w:sz="4" w:space="0"/>
              <w:right w:val="single" w:color="auto" w:sz="4" w:space="0"/>
            </w:tcBorders>
            <w:noWrap w:val="0"/>
            <w:vAlign w:val="center"/>
          </w:tcPr>
          <w:p w14:paraId="7938BA3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6" w:type="pct"/>
            <w:vMerge w:val="continue"/>
            <w:tcBorders>
              <w:left w:val="single" w:color="auto" w:sz="4" w:space="0"/>
              <w:bottom w:val="single" w:color="auto" w:sz="4" w:space="0"/>
              <w:right w:val="single" w:color="auto" w:sz="4" w:space="0"/>
            </w:tcBorders>
            <w:noWrap w:val="0"/>
            <w:vAlign w:val="center"/>
          </w:tcPr>
          <w:p w14:paraId="64A7883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9" w:type="pct"/>
            <w:vMerge w:val="continue"/>
            <w:tcBorders>
              <w:left w:val="single" w:color="auto" w:sz="4" w:space="0"/>
              <w:bottom w:val="single" w:color="auto" w:sz="4" w:space="0"/>
              <w:right w:val="single" w:color="auto" w:sz="4" w:space="0"/>
            </w:tcBorders>
            <w:noWrap w:val="0"/>
            <w:vAlign w:val="center"/>
          </w:tcPr>
          <w:p w14:paraId="27B5FDC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42" w:type="pct"/>
            <w:vMerge w:val="continue"/>
            <w:tcBorders>
              <w:left w:val="single" w:color="auto" w:sz="4" w:space="0"/>
              <w:bottom w:val="single" w:color="auto" w:sz="4" w:space="0"/>
              <w:right w:val="single" w:color="auto" w:sz="4" w:space="0"/>
            </w:tcBorders>
            <w:noWrap w:val="0"/>
            <w:vAlign w:val="center"/>
          </w:tcPr>
          <w:p w14:paraId="3054BCC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9" w:type="pct"/>
            <w:tcBorders>
              <w:top w:val="single" w:color="auto" w:sz="4" w:space="0"/>
              <w:left w:val="single" w:color="auto" w:sz="4" w:space="0"/>
              <w:bottom w:val="single" w:color="auto" w:sz="4" w:space="0"/>
              <w:right w:val="single" w:color="auto" w:sz="4" w:space="0"/>
            </w:tcBorders>
            <w:noWrap w:val="0"/>
            <w:vAlign w:val="center"/>
          </w:tcPr>
          <w:p w14:paraId="385F020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2.5</w:t>
            </w:r>
          </w:p>
        </w:tc>
        <w:tc>
          <w:tcPr>
            <w:tcW w:w="832" w:type="pct"/>
            <w:tcBorders>
              <w:top w:val="single" w:color="auto" w:sz="4" w:space="0"/>
              <w:left w:val="single" w:color="auto" w:sz="4" w:space="0"/>
              <w:bottom w:val="single" w:color="auto" w:sz="4" w:space="0"/>
              <w:right w:val="single" w:color="auto" w:sz="4" w:space="0"/>
            </w:tcBorders>
            <w:noWrap w:val="0"/>
            <w:vAlign w:val="center"/>
          </w:tcPr>
          <w:p w14:paraId="3AE6DE4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项目按计划开工率</w:t>
            </w:r>
          </w:p>
        </w:tc>
        <w:tc>
          <w:tcPr>
            <w:tcW w:w="565" w:type="pct"/>
            <w:tcBorders>
              <w:top w:val="single" w:color="auto" w:sz="4" w:space="0"/>
              <w:left w:val="single" w:color="auto" w:sz="4" w:space="0"/>
              <w:bottom w:val="single" w:color="auto" w:sz="4" w:space="0"/>
              <w:right w:val="single" w:color="auto" w:sz="4" w:space="0"/>
            </w:tcBorders>
            <w:noWrap w:val="0"/>
            <w:vAlign w:val="center"/>
          </w:tcPr>
          <w:p w14:paraId="1DF7814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468" w:type="pct"/>
            <w:vMerge w:val="continue"/>
            <w:tcBorders>
              <w:left w:val="single" w:color="auto" w:sz="4" w:space="0"/>
              <w:right w:val="single" w:color="auto" w:sz="4" w:space="0"/>
            </w:tcBorders>
            <w:noWrap w:val="0"/>
            <w:vAlign w:val="center"/>
          </w:tcPr>
          <w:p w14:paraId="7104AEF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478" w:type="pct"/>
            <w:tcBorders>
              <w:top w:val="single" w:color="auto" w:sz="4" w:space="0"/>
              <w:left w:val="single" w:color="auto" w:sz="4" w:space="0"/>
              <w:bottom w:val="single" w:color="auto" w:sz="4" w:space="0"/>
              <w:right w:val="single" w:color="auto" w:sz="4" w:space="0"/>
            </w:tcBorders>
            <w:noWrap w:val="0"/>
            <w:vAlign w:val="center"/>
          </w:tcPr>
          <w:p w14:paraId="10CDFE6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6A5162E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2.5</w:t>
            </w:r>
          </w:p>
        </w:tc>
      </w:tr>
      <w:tr w14:paraId="5134DC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68" w:type="pct"/>
            <w:vMerge w:val="continue"/>
            <w:tcBorders>
              <w:left w:val="single" w:color="auto" w:sz="4" w:space="0"/>
              <w:bottom w:val="single" w:color="auto" w:sz="4" w:space="0"/>
              <w:right w:val="single" w:color="auto" w:sz="4" w:space="0"/>
            </w:tcBorders>
            <w:noWrap w:val="0"/>
            <w:vAlign w:val="center"/>
          </w:tcPr>
          <w:p w14:paraId="6A04692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7" w:type="pct"/>
            <w:vMerge w:val="continue"/>
            <w:tcBorders>
              <w:left w:val="single" w:color="auto" w:sz="4" w:space="0"/>
              <w:bottom w:val="single" w:color="auto" w:sz="4" w:space="0"/>
              <w:right w:val="single" w:color="auto" w:sz="4" w:space="0"/>
            </w:tcBorders>
            <w:noWrap w:val="0"/>
            <w:vAlign w:val="center"/>
          </w:tcPr>
          <w:p w14:paraId="43F1EA0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6" w:type="pct"/>
            <w:vMerge w:val="continue"/>
            <w:tcBorders>
              <w:left w:val="single" w:color="auto" w:sz="4" w:space="0"/>
              <w:bottom w:val="single" w:color="auto" w:sz="4" w:space="0"/>
              <w:right w:val="single" w:color="auto" w:sz="4" w:space="0"/>
            </w:tcBorders>
            <w:noWrap w:val="0"/>
            <w:vAlign w:val="center"/>
          </w:tcPr>
          <w:p w14:paraId="4796075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9" w:type="pct"/>
            <w:vMerge w:val="continue"/>
            <w:tcBorders>
              <w:left w:val="single" w:color="auto" w:sz="4" w:space="0"/>
              <w:bottom w:val="single" w:color="auto" w:sz="4" w:space="0"/>
              <w:right w:val="single" w:color="auto" w:sz="4" w:space="0"/>
            </w:tcBorders>
            <w:noWrap w:val="0"/>
            <w:vAlign w:val="center"/>
          </w:tcPr>
          <w:p w14:paraId="57B018C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42" w:type="pct"/>
            <w:vMerge w:val="continue"/>
            <w:tcBorders>
              <w:left w:val="single" w:color="auto" w:sz="4" w:space="0"/>
              <w:bottom w:val="single" w:color="auto" w:sz="4" w:space="0"/>
              <w:right w:val="single" w:color="auto" w:sz="4" w:space="0"/>
            </w:tcBorders>
            <w:noWrap w:val="0"/>
            <w:vAlign w:val="center"/>
          </w:tcPr>
          <w:p w14:paraId="222660A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9" w:type="pct"/>
            <w:tcBorders>
              <w:top w:val="single" w:color="auto" w:sz="4" w:space="0"/>
              <w:left w:val="single" w:color="auto" w:sz="4" w:space="0"/>
              <w:bottom w:val="single" w:color="auto" w:sz="4" w:space="0"/>
              <w:right w:val="single" w:color="auto" w:sz="4" w:space="0"/>
            </w:tcBorders>
            <w:noWrap w:val="0"/>
            <w:vAlign w:val="center"/>
          </w:tcPr>
          <w:p w14:paraId="36E7E96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2.5</w:t>
            </w:r>
          </w:p>
        </w:tc>
        <w:tc>
          <w:tcPr>
            <w:tcW w:w="832" w:type="pct"/>
            <w:tcBorders>
              <w:top w:val="single" w:color="auto" w:sz="4" w:space="0"/>
              <w:left w:val="single" w:color="auto" w:sz="4" w:space="0"/>
              <w:bottom w:val="single" w:color="auto" w:sz="4" w:space="0"/>
              <w:right w:val="single" w:color="auto" w:sz="4" w:space="0"/>
            </w:tcBorders>
            <w:noWrap w:val="0"/>
            <w:vAlign w:val="center"/>
          </w:tcPr>
          <w:p w14:paraId="4422F86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项目按计划完工率</w:t>
            </w:r>
          </w:p>
        </w:tc>
        <w:tc>
          <w:tcPr>
            <w:tcW w:w="565" w:type="pct"/>
            <w:tcBorders>
              <w:top w:val="single" w:color="auto" w:sz="4" w:space="0"/>
              <w:left w:val="single" w:color="auto" w:sz="4" w:space="0"/>
              <w:bottom w:val="single" w:color="auto" w:sz="4" w:space="0"/>
              <w:right w:val="single" w:color="auto" w:sz="4" w:space="0"/>
            </w:tcBorders>
            <w:noWrap w:val="0"/>
            <w:vAlign w:val="center"/>
          </w:tcPr>
          <w:p w14:paraId="78686A4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468" w:type="pct"/>
            <w:vMerge w:val="continue"/>
            <w:tcBorders>
              <w:left w:val="single" w:color="auto" w:sz="4" w:space="0"/>
              <w:right w:val="single" w:color="auto" w:sz="4" w:space="0"/>
            </w:tcBorders>
            <w:noWrap w:val="0"/>
            <w:vAlign w:val="center"/>
          </w:tcPr>
          <w:p w14:paraId="4282808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478" w:type="pct"/>
            <w:tcBorders>
              <w:top w:val="single" w:color="auto" w:sz="4" w:space="0"/>
              <w:left w:val="single" w:color="auto" w:sz="4" w:space="0"/>
              <w:bottom w:val="single" w:color="auto" w:sz="4" w:space="0"/>
              <w:right w:val="single" w:color="auto" w:sz="4" w:space="0"/>
            </w:tcBorders>
            <w:noWrap w:val="0"/>
            <w:vAlign w:val="center"/>
          </w:tcPr>
          <w:p w14:paraId="618EB0F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4F0744C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2.5</w:t>
            </w:r>
          </w:p>
        </w:tc>
      </w:tr>
      <w:tr w14:paraId="54EAE0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6" w:hRule="atLeast"/>
        </w:trPr>
        <w:tc>
          <w:tcPr>
            <w:tcW w:w="368" w:type="pct"/>
            <w:vMerge w:val="continue"/>
            <w:tcBorders>
              <w:top w:val="single" w:color="auto" w:sz="4" w:space="0"/>
              <w:left w:val="single" w:color="auto" w:sz="4" w:space="0"/>
              <w:bottom w:val="single" w:color="auto" w:sz="4" w:space="0"/>
              <w:right w:val="single" w:color="auto" w:sz="4" w:space="0"/>
            </w:tcBorders>
            <w:noWrap w:val="0"/>
            <w:vAlign w:val="center"/>
          </w:tcPr>
          <w:p w14:paraId="468691C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7" w:type="pct"/>
            <w:vMerge w:val="continue"/>
            <w:tcBorders>
              <w:top w:val="single" w:color="auto" w:sz="4" w:space="0"/>
              <w:left w:val="single" w:color="auto" w:sz="4" w:space="0"/>
              <w:bottom w:val="single" w:color="auto" w:sz="4" w:space="0"/>
              <w:right w:val="single" w:color="auto" w:sz="4" w:space="0"/>
            </w:tcBorders>
            <w:noWrap w:val="0"/>
            <w:vAlign w:val="center"/>
          </w:tcPr>
          <w:p w14:paraId="1CEB8ED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6" w:type="pct"/>
            <w:tcBorders>
              <w:top w:val="single" w:color="auto" w:sz="4" w:space="0"/>
              <w:left w:val="single" w:color="auto" w:sz="4" w:space="0"/>
              <w:right w:val="single" w:color="auto" w:sz="4" w:space="0"/>
            </w:tcBorders>
            <w:noWrap w:val="0"/>
            <w:vAlign w:val="center"/>
          </w:tcPr>
          <w:p w14:paraId="02D6E70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产出成本</w:t>
            </w:r>
          </w:p>
        </w:tc>
        <w:tc>
          <w:tcPr>
            <w:tcW w:w="199" w:type="pct"/>
            <w:tcBorders>
              <w:top w:val="single" w:color="auto" w:sz="4" w:space="0"/>
              <w:left w:val="single" w:color="auto" w:sz="4" w:space="0"/>
              <w:right w:val="single" w:color="auto" w:sz="4" w:space="0"/>
            </w:tcBorders>
            <w:noWrap w:val="0"/>
            <w:vAlign w:val="center"/>
          </w:tcPr>
          <w:p w14:paraId="69A1FA1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w:t>
            </w:r>
          </w:p>
        </w:tc>
        <w:tc>
          <w:tcPr>
            <w:tcW w:w="242" w:type="pct"/>
            <w:tcBorders>
              <w:top w:val="single" w:color="auto" w:sz="4" w:space="0"/>
              <w:left w:val="single" w:color="auto" w:sz="4" w:space="0"/>
              <w:right w:val="single" w:color="auto" w:sz="4" w:space="0"/>
            </w:tcBorders>
            <w:noWrap w:val="0"/>
            <w:vAlign w:val="center"/>
          </w:tcPr>
          <w:p w14:paraId="6746C0B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成本节约率</w:t>
            </w:r>
          </w:p>
        </w:tc>
        <w:tc>
          <w:tcPr>
            <w:tcW w:w="199" w:type="pct"/>
            <w:tcBorders>
              <w:top w:val="single" w:color="auto" w:sz="4" w:space="0"/>
              <w:left w:val="single" w:color="auto" w:sz="4" w:space="0"/>
              <w:bottom w:val="single" w:color="auto" w:sz="4" w:space="0"/>
              <w:right w:val="single" w:color="auto" w:sz="4" w:space="0"/>
            </w:tcBorders>
            <w:noWrap w:val="0"/>
            <w:vAlign w:val="center"/>
          </w:tcPr>
          <w:p w14:paraId="762D6FD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10</w:t>
            </w:r>
          </w:p>
        </w:tc>
        <w:tc>
          <w:tcPr>
            <w:tcW w:w="832" w:type="pct"/>
            <w:tcBorders>
              <w:top w:val="single" w:color="auto" w:sz="4" w:space="0"/>
              <w:left w:val="single" w:color="auto" w:sz="4" w:space="0"/>
              <w:bottom w:val="single" w:color="auto" w:sz="4" w:space="0"/>
              <w:right w:val="single" w:color="auto" w:sz="4" w:space="0"/>
            </w:tcBorders>
            <w:noWrap w:val="0"/>
            <w:vAlign w:val="center"/>
          </w:tcPr>
          <w:p w14:paraId="4688D9A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项目建设费用</w:t>
            </w:r>
          </w:p>
        </w:tc>
        <w:tc>
          <w:tcPr>
            <w:tcW w:w="565" w:type="pct"/>
            <w:tcBorders>
              <w:top w:val="single" w:color="auto" w:sz="4" w:space="0"/>
              <w:left w:val="single" w:color="auto" w:sz="4" w:space="0"/>
              <w:bottom w:val="single" w:color="auto" w:sz="4" w:space="0"/>
              <w:right w:val="single" w:color="auto" w:sz="4" w:space="0"/>
            </w:tcBorders>
            <w:noWrap w:val="0"/>
            <w:vAlign w:val="center"/>
          </w:tcPr>
          <w:p w14:paraId="0F0895D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≤2400万元</w:t>
            </w:r>
          </w:p>
        </w:tc>
        <w:tc>
          <w:tcPr>
            <w:tcW w:w="1468" w:type="pct"/>
            <w:tcBorders>
              <w:top w:val="single" w:color="auto" w:sz="4" w:space="0"/>
              <w:left w:val="single" w:color="auto" w:sz="4" w:space="0"/>
              <w:right w:val="single" w:color="auto" w:sz="4" w:space="0"/>
            </w:tcBorders>
            <w:noWrap w:val="0"/>
            <w:vAlign w:val="center"/>
          </w:tcPr>
          <w:p w14:paraId="7ABE119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实际完成率=（实际支付资金数/计划应支付资金数）×100%。</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①实际完成率＞年度指标值，得0得分；</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②实际完成率≤年度指标值，且偏离程度＜20%，得满分；</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③实际完成率＜年度指标值，且偏离程度≥20%，得分=实际完成率×分值。</w:t>
            </w:r>
          </w:p>
        </w:tc>
        <w:tc>
          <w:tcPr>
            <w:tcW w:w="478" w:type="pct"/>
            <w:tcBorders>
              <w:top w:val="single" w:color="auto" w:sz="4" w:space="0"/>
              <w:left w:val="single" w:color="auto" w:sz="4" w:space="0"/>
              <w:bottom w:val="single" w:color="auto" w:sz="4" w:space="0"/>
              <w:right w:val="single" w:color="auto" w:sz="4" w:space="0"/>
            </w:tcBorders>
            <w:noWrap w:val="0"/>
            <w:vAlign w:val="center"/>
          </w:tcPr>
          <w:p w14:paraId="345C100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1687万元</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4B2FC21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r>
      <w:tr w14:paraId="7A39B3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3" w:hRule="atLeast"/>
        </w:trPr>
        <w:tc>
          <w:tcPr>
            <w:tcW w:w="368" w:type="pct"/>
            <w:vMerge w:val="restart"/>
            <w:tcBorders>
              <w:top w:val="single" w:color="auto" w:sz="4" w:space="0"/>
              <w:left w:val="single" w:color="auto" w:sz="4" w:space="0"/>
              <w:bottom w:val="single" w:color="auto" w:sz="4" w:space="0"/>
              <w:right w:val="single" w:color="auto" w:sz="4" w:space="0"/>
            </w:tcBorders>
            <w:noWrap w:val="0"/>
            <w:vAlign w:val="center"/>
          </w:tcPr>
          <w:p w14:paraId="1CF261A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项目效益</w:t>
            </w:r>
          </w:p>
        </w:tc>
        <w:tc>
          <w:tcPr>
            <w:tcW w:w="197" w:type="pct"/>
            <w:vMerge w:val="restart"/>
            <w:tcBorders>
              <w:top w:val="single" w:color="auto" w:sz="4" w:space="0"/>
              <w:left w:val="single" w:color="auto" w:sz="4" w:space="0"/>
              <w:bottom w:val="single" w:color="auto" w:sz="4" w:space="0"/>
              <w:right w:val="single" w:color="auto" w:sz="4" w:space="0"/>
            </w:tcBorders>
            <w:noWrap w:val="0"/>
            <w:vAlign w:val="center"/>
          </w:tcPr>
          <w:p w14:paraId="0DCE620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25</w:t>
            </w:r>
          </w:p>
        </w:tc>
        <w:tc>
          <w:tcPr>
            <w:tcW w:w="196" w:type="pct"/>
            <w:vMerge w:val="restart"/>
            <w:tcBorders>
              <w:top w:val="single" w:color="auto" w:sz="4" w:space="0"/>
              <w:left w:val="single" w:color="auto" w:sz="4" w:space="0"/>
              <w:bottom w:val="single" w:color="auto" w:sz="4" w:space="0"/>
              <w:right w:val="single" w:color="auto" w:sz="4" w:space="0"/>
            </w:tcBorders>
            <w:noWrap w:val="0"/>
            <w:vAlign w:val="center"/>
          </w:tcPr>
          <w:p w14:paraId="7078C52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项目效益</w:t>
            </w:r>
          </w:p>
        </w:tc>
        <w:tc>
          <w:tcPr>
            <w:tcW w:w="199" w:type="pct"/>
            <w:vMerge w:val="restart"/>
            <w:tcBorders>
              <w:top w:val="single" w:color="auto" w:sz="4" w:space="0"/>
              <w:left w:val="single" w:color="auto" w:sz="4" w:space="0"/>
              <w:bottom w:val="single" w:color="auto" w:sz="4" w:space="0"/>
              <w:right w:val="single" w:color="auto" w:sz="4" w:space="0"/>
            </w:tcBorders>
            <w:noWrap w:val="0"/>
            <w:vAlign w:val="center"/>
          </w:tcPr>
          <w:p w14:paraId="5DD6B34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25</w:t>
            </w:r>
          </w:p>
        </w:tc>
        <w:tc>
          <w:tcPr>
            <w:tcW w:w="242" w:type="pct"/>
            <w:tcBorders>
              <w:top w:val="single" w:color="auto" w:sz="4" w:space="0"/>
              <w:left w:val="single" w:color="auto" w:sz="4" w:space="0"/>
              <w:bottom w:val="single" w:color="auto" w:sz="4" w:space="0"/>
              <w:right w:val="single" w:color="auto" w:sz="4" w:space="0"/>
            </w:tcBorders>
            <w:noWrap w:val="0"/>
            <w:vAlign w:val="center"/>
          </w:tcPr>
          <w:p w14:paraId="2DE6BD7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社会效益</w:t>
            </w:r>
          </w:p>
        </w:tc>
        <w:tc>
          <w:tcPr>
            <w:tcW w:w="199" w:type="pct"/>
            <w:tcBorders>
              <w:top w:val="single" w:color="auto" w:sz="4" w:space="0"/>
              <w:left w:val="single" w:color="auto" w:sz="4" w:space="0"/>
              <w:bottom w:val="single" w:color="auto" w:sz="4" w:space="0"/>
              <w:right w:val="single" w:color="auto" w:sz="4" w:space="0"/>
            </w:tcBorders>
            <w:noWrap w:val="0"/>
            <w:vAlign w:val="center"/>
          </w:tcPr>
          <w:p w14:paraId="68A81F5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15</w:t>
            </w:r>
          </w:p>
        </w:tc>
        <w:tc>
          <w:tcPr>
            <w:tcW w:w="832" w:type="pct"/>
            <w:tcBorders>
              <w:top w:val="single" w:color="auto" w:sz="4" w:space="0"/>
              <w:left w:val="single" w:color="auto" w:sz="4" w:space="0"/>
              <w:bottom w:val="single" w:color="auto" w:sz="4" w:space="0"/>
              <w:right w:val="single" w:color="auto" w:sz="4" w:space="0"/>
            </w:tcBorders>
            <w:noWrap w:val="0"/>
            <w:vAlign w:val="center"/>
          </w:tcPr>
          <w:p w14:paraId="3A6B8D3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完善城区道路交通能力，改善群众日常出行安全</w:t>
            </w:r>
          </w:p>
        </w:tc>
        <w:tc>
          <w:tcPr>
            <w:tcW w:w="565" w:type="pct"/>
            <w:tcBorders>
              <w:top w:val="single" w:color="auto" w:sz="4" w:space="0"/>
              <w:left w:val="single" w:color="auto" w:sz="4" w:space="0"/>
              <w:bottom w:val="single" w:color="auto" w:sz="4" w:space="0"/>
              <w:right w:val="single" w:color="auto" w:sz="4" w:space="0"/>
            </w:tcBorders>
            <w:noWrap w:val="0"/>
            <w:vAlign w:val="center"/>
          </w:tcPr>
          <w:p w14:paraId="3834A4B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有效提高</w:t>
            </w:r>
          </w:p>
        </w:tc>
        <w:tc>
          <w:tcPr>
            <w:tcW w:w="1468" w:type="pct"/>
            <w:tcBorders>
              <w:top w:val="single" w:color="auto" w:sz="4" w:space="0"/>
              <w:left w:val="single" w:color="auto" w:sz="4" w:space="0"/>
              <w:bottom w:val="single" w:color="auto" w:sz="4" w:space="0"/>
              <w:right w:val="single" w:color="auto" w:sz="4" w:space="0"/>
            </w:tcBorders>
            <w:noWrap w:val="0"/>
            <w:vAlign w:val="center"/>
          </w:tcPr>
          <w:p w14:paraId="21E9E17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按评判等级赋分。分为基本达成目标、部分实现目标、实现目标程度较低三个档次，并分别按照该指标对应分值区间100%-80%（含）、80%-60%（含）、60%-0%合理确定分值。</w:t>
            </w:r>
          </w:p>
        </w:tc>
        <w:tc>
          <w:tcPr>
            <w:tcW w:w="478" w:type="pct"/>
            <w:tcBorders>
              <w:top w:val="single" w:color="auto" w:sz="4" w:space="0"/>
              <w:left w:val="single" w:color="auto" w:sz="4" w:space="0"/>
              <w:bottom w:val="single" w:color="auto" w:sz="4" w:space="0"/>
              <w:right w:val="single" w:color="auto" w:sz="4" w:space="0"/>
            </w:tcBorders>
            <w:noWrap w:val="0"/>
            <w:vAlign w:val="center"/>
          </w:tcPr>
          <w:p w14:paraId="40F93D2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有效提高</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045CF19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15</w:t>
            </w:r>
          </w:p>
        </w:tc>
      </w:tr>
      <w:tr w14:paraId="24D623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68" w:type="pct"/>
            <w:vMerge w:val="continue"/>
            <w:tcBorders>
              <w:top w:val="single" w:color="auto" w:sz="4" w:space="0"/>
              <w:left w:val="single" w:color="auto" w:sz="4" w:space="0"/>
              <w:bottom w:val="single" w:color="auto" w:sz="4" w:space="0"/>
              <w:right w:val="single" w:color="auto" w:sz="4" w:space="0"/>
            </w:tcBorders>
            <w:noWrap w:val="0"/>
            <w:vAlign w:val="center"/>
          </w:tcPr>
          <w:p w14:paraId="4081FEA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7" w:type="pct"/>
            <w:vMerge w:val="continue"/>
            <w:tcBorders>
              <w:top w:val="single" w:color="auto" w:sz="4" w:space="0"/>
              <w:left w:val="single" w:color="auto" w:sz="4" w:space="0"/>
              <w:bottom w:val="single" w:color="auto" w:sz="4" w:space="0"/>
              <w:right w:val="single" w:color="auto" w:sz="4" w:space="0"/>
            </w:tcBorders>
            <w:noWrap w:val="0"/>
            <w:vAlign w:val="center"/>
          </w:tcPr>
          <w:p w14:paraId="06757AC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6" w:type="pct"/>
            <w:vMerge w:val="continue"/>
            <w:tcBorders>
              <w:top w:val="single" w:color="auto" w:sz="4" w:space="0"/>
              <w:left w:val="single" w:color="auto" w:sz="4" w:space="0"/>
              <w:bottom w:val="single" w:color="auto" w:sz="4" w:space="0"/>
              <w:right w:val="single" w:color="auto" w:sz="4" w:space="0"/>
            </w:tcBorders>
            <w:noWrap w:val="0"/>
            <w:vAlign w:val="center"/>
          </w:tcPr>
          <w:p w14:paraId="3C28C73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9" w:type="pct"/>
            <w:vMerge w:val="continue"/>
            <w:tcBorders>
              <w:top w:val="single" w:color="auto" w:sz="4" w:space="0"/>
              <w:left w:val="single" w:color="auto" w:sz="4" w:space="0"/>
              <w:bottom w:val="single" w:color="auto" w:sz="4" w:space="0"/>
              <w:right w:val="single" w:color="auto" w:sz="4" w:space="0"/>
            </w:tcBorders>
            <w:noWrap w:val="0"/>
            <w:vAlign w:val="center"/>
          </w:tcPr>
          <w:p w14:paraId="0BAAC6E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42" w:type="pct"/>
            <w:tcBorders>
              <w:top w:val="single" w:color="auto" w:sz="4" w:space="0"/>
              <w:left w:val="single" w:color="auto" w:sz="4" w:space="0"/>
              <w:bottom w:val="single" w:color="auto" w:sz="4" w:space="0"/>
              <w:right w:val="single" w:color="auto" w:sz="4" w:space="0"/>
            </w:tcBorders>
            <w:noWrap w:val="0"/>
            <w:vAlign w:val="center"/>
          </w:tcPr>
          <w:p w14:paraId="473BD50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服务对象满意度</w:t>
            </w:r>
          </w:p>
        </w:tc>
        <w:tc>
          <w:tcPr>
            <w:tcW w:w="199" w:type="pct"/>
            <w:tcBorders>
              <w:top w:val="single" w:color="auto" w:sz="4" w:space="0"/>
              <w:left w:val="single" w:color="auto" w:sz="4" w:space="0"/>
              <w:bottom w:val="single" w:color="auto" w:sz="4" w:space="0"/>
              <w:right w:val="single" w:color="auto" w:sz="4" w:space="0"/>
            </w:tcBorders>
            <w:noWrap w:val="0"/>
            <w:vAlign w:val="center"/>
          </w:tcPr>
          <w:p w14:paraId="486CF1B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w:t>
            </w:r>
          </w:p>
        </w:tc>
        <w:tc>
          <w:tcPr>
            <w:tcW w:w="832" w:type="pct"/>
            <w:tcBorders>
              <w:top w:val="single" w:color="auto" w:sz="4" w:space="0"/>
              <w:left w:val="single" w:color="auto" w:sz="4" w:space="0"/>
              <w:bottom w:val="single" w:color="auto" w:sz="4" w:space="0"/>
              <w:right w:val="single" w:color="auto" w:sz="4" w:space="0"/>
            </w:tcBorders>
            <w:noWrap w:val="0"/>
            <w:vAlign w:val="center"/>
          </w:tcPr>
          <w:p w14:paraId="73A2E61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受益群众满意度</w:t>
            </w:r>
          </w:p>
        </w:tc>
        <w:tc>
          <w:tcPr>
            <w:tcW w:w="565" w:type="pct"/>
            <w:tcBorders>
              <w:top w:val="single" w:color="auto" w:sz="4" w:space="0"/>
              <w:left w:val="single" w:color="auto" w:sz="4" w:space="0"/>
              <w:bottom w:val="single" w:color="auto" w:sz="4" w:space="0"/>
              <w:right w:val="single" w:color="auto" w:sz="4" w:space="0"/>
            </w:tcBorders>
            <w:noWrap w:val="0"/>
            <w:vAlign w:val="center"/>
          </w:tcPr>
          <w:p w14:paraId="6ABF497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r>
              <w:rPr>
                <w:rFonts w:hint="eastAsia" w:ascii="宋体" w:hAnsi="宋体" w:eastAsia="宋体" w:cs="宋体"/>
                <w:i w:val="0"/>
                <w:iCs w:val="0"/>
                <w:color w:val="000000"/>
                <w:sz w:val="18"/>
                <w:szCs w:val="18"/>
                <w:highlight w:val="none"/>
                <w:u w:val="none"/>
              </w:rPr>
              <w:t>95%</w:t>
            </w:r>
          </w:p>
        </w:tc>
        <w:tc>
          <w:tcPr>
            <w:tcW w:w="1468" w:type="pct"/>
            <w:tcBorders>
              <w:top w:val="single" w:color="auto" w:sz="4" w:space="0"/>
              <w:left w:val="single" w:color="auto" w:sz="4" w:space="0"/>
              <w:bottom w:val="single" w:color="auto" w:sz="4" w:space="0"/>
              <w:right w:val="single" w:color="auto" w:sz="4" w:space="0"/>
            </w:tcBorders>
            <w:noWrap w:val="0"/>
            <w:vAlign w:val="center"/>
          </w:tcPr>
          <w:p w14:paraId="70551D7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根据问卷调查，满意度达到标杆值，得权重分的100%；否则低于95%，得分=实际满意度*指标分值。</w:t>
            </w:r>
          </w:p>
        </w:tc>
        <w:tc>
          <w:tcPr>
            <w:tcW w:w="478" w:type="pct"/>
            <w:tcBorders>
              <w:top w:val="single" w:color="auto" w:sz="4" w:space="0"/>
              <w:left w:val="single" w:color="auto" w:sz="4" w:space="0"/>
              <w:bottom w:val="single" w:color="auto" w:sz="4" w:space="0"/>
              <w:right w:val="single" w:color="auto" w:sz="4" w:space="0"/>
            </w:tcBorders>
            <w:noWrap w:val="0"/>
            <w:vAlign w:val="center"/>
          </w:tcPr>
          <w:p w14:paraId="4D5E499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95%</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1B8C8B5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10</w:t>
            </w:r>
          </w:p>
        </w:tc>
      </w:tr>
      <w:tr w14:paraId="39E484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 w:hRule="atLeast"/>
        </w:trPr>
        <w:tc>
          <w:tcPr>
            <w:tcW w:w="368" w:type="pct"/>
            <w:tcBorders>
              <w:top w:val="single" w:color="auto" w:sz="4" w:space="0"/>
              <w:left w:val="single" w:color="auto" w:sz="4" w:space="0"/>
              <w:bottom w:val="single" w:color="auto" w:sz="4" w:space="0"/>
              <w:right w:val="single" w:color="auto" w:sz="4" w:space="0"/>
            </w:tcBorders>
            <w:noWrap w:val="0"/>
            <w:vAlign w:val="center"/>
          </w:tcPr>
          <w:p w14:paraId="7747E8A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总分</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77AE783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100</w:t>
            </w:r>
          </w:p>
        </w:tc>
        <w:tc>
          <w:tcPr>
            <w:tcW w:w="196" w:type="pct"/>
            <w:tcBorders>
              <w:top w:val="single" w:color="auto" w:sz="4" w:space="0"/>
              <w:left w:val="single" w:color="auto" w:sz="4" w:space="0"/>
              <w:bottom w:val="single" w:color="auto" w:sz="4" w:space="0"/>
              <w:right w:val="single" w:color="auto" w:sz="4" w:space="0"/>
            </w:tcBorders>
            <w:noWrap w:val="0"/>
            <w:vAlign w:val="center"/>
          </w:tcPr>
          <w:p w14:paraId="68B3998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9" w:type="pct"/>
            <w:tcBorders>
              <w:top w:val="single" w:color="auto" w:sz="4" w:space="0"/>
              <w:left w:val="single" w:color="auto" w:sz="4" w:space="0"/>
              <w:bottom w:val="single" w:color="auto" w:sz="4" w:space="0"/>
              <w:right w:val="single" w:color="auto" w:sz="4" w:space="0"/>
            </w:tcBorders>
            <w:noWrap w:val="0"/>
            <w:vAlign w:val="center"/>
          </w:tcPr>
          <w:p w14:paraId="157ED78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100</w:t>
            </w:r>
          </w:p>
        </w:tc>
        <w:tc>
          <w:tcPr>
            <w:tcW w:w="242" w:type="pct"/>
            <w:tcBorders>
              <w:top w:val="single" w:color="auto" w:sz="4" w:space="0"/>
              <w:left w:val="single" w:color="auto" w:sz="4" w:space="0"/>
              <w:bottom w:val="single" w:color="auto" w:sz="4" w:space="0"/>
              <w:right w:val="single" w:color="auto" w:sz="4" w:space="0"/>
            </w:tcBorders>
            <w:noWrap w:val="0"/>
            <w:vAlign w:val="center"/>
          </w:tcPr>
          <w:p w14:paraId="5BA0D4C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9" w:type="pct"/>
            <w:tcBorders>
              <w:top w:val="single" w:color="auto" w:sz="4" w:space="0"/>
              <w:left w:val="single" w:color="auto" w:sz="4" w:space="0"/>
              <w:bottom w:val="single" w:color="auto" w:sz="4" w:space="0"/>
              <w:right w:val="single" w:color="auto" w:sz="4" w:space="0"/>
            </w:tcBorders>
            <w:noWrap w:val="0"/>
            <w:vAlign w:val="center"/>
          </w:tcPr>
          <w:p w14:paraId="597446B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100</w:t>
            </w:r>
          </w:p>
        </w:tc>
        <w:tc>
          <w:tcPr>
            <w:tcW w:w="832" w:type="pct"/>
            <w:tcBorders>
              <w:top w:val="single" w:color="auto" w:sz="4" w:space="0"/>
              <w:left w:val="single" w:color="auto" w:sz="4" w:space="0"/>
              <w:bottom w:val="single" w:color="auto" w:sz="4" w:space="0"/>
              <w:right w:val="single" w:color="auto" w:sz="4" w:space="0"/>
            </w:tcBorders>
            <w:noWrap w:val="0"/>
            <w:vAlign w:val="center"/>
          </w:tcPr>
          <w:p w14:paraId="05EC554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65" w:type="pct"/>
            <w:tcBorders>
              <w:top w:val="single" w:color="auto" w:sz="4" w:space="0"/>
              <w:left w:val="single" w:color="auto" w:sz="4" w:space="0"/>
              <w:bottom w:val="single" w:color="auto" w:sz="4" w:space="0"/>
              <w:right w:val="single" w:color="auto" w:sz="4" w:space="0"/>
            </w:tcBorders>
            <w:noWrap w:val="0"/>
            <w:vAlign w:val="center"/>
          </w:tcPr>
          <w:p w14:paraId="3A38F2D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w:t>
            </w:r>
          </w:p>
        </w:tc>
        <w:tc>
          <w:tcPr>
            <w:tcW w:w="1468" w:type="pct"/>
            <w:tcBorders>
              <w:top w:val="single" w:color="auto" w:sz="4" w:space="0"/>
              <w:left w:val="single" w:color="auto" w:sz="4" w:space="0"/>
              <w:bottom w:val="single" w:color="auto" w:sz="4" w:space="0"/>
              <w:right w:val="single" w:color="auto" w:sz="4" w:space="0"/>
            </w:tcBorders>
            <w:noWrap w:val="0"/>
            <w:vAlign w:val="center"/>
          </w:tcPr>
          <w:p w14:paraId="3AA2A11D">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highlight w:val="none"/>
                <w:u w:val="none"/>
              </w:rPr>
            </w:pPr>
          </w:p>
        </w:tc>
        <w:tc>
          <w:tcPr>
            <w:tcW w:w="478" w:type="pct"/>
            <w:tcBorders>
              <w:top w:val="single" w:color="auto" w:sz="4" w:space="0"/>
              <w:left w:val="single" w:color="auto" w:sz="4" w:space="0"/>
              <w:bottom w:val="single" w:color="auto" w:sz="4" w:space="0"/>
              <w:right w:val="single" w:color="auto" w:sz="4" w:space="0"/>
            </w:tcBorders>
            <w:noWrap w:val="0"/>
            <w:vAlign w:val="center"/>
          </w:tcPr>
          <w:p w14:paraId="54469DF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49" w:type="pct"/>
            <w:tcBorders>
              <w:top w:val="single" w:color="auto" w:sz="4" w:space="0"/>
              <w:left w:val="single" w:color="auto" w:sz="4" w:space="0"/>
              <w:bottom w:val="single" w:color="auto" w:sz="4" w:space="0"/>
              <w:right w:val="single" w:color="auto" w:sz="4" w:space="0"/>
            </w:tcBorders>
            <w:noWrap w:val="0"/>
            <w:vAlign w:val="center"/>
          </w:tcPr>
          <w:p w14:paraId="56602C4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96.44</w:t>
            </w:r>
          </w:p>
        </w:tc>
      </w:tr>
    </w:tbl>
    <w:p w14:paraId="3494AA71">
      <w:pPr>
        <w:pStyle w:val="2"/>
        <w:ind w:left="0" w:leftChars="0" w:firstLine="0" w:firstLineChars="0"/>
        <w:jc w:val="both"/>
        <w:rPr>
          <w:rFonts w:hint="eastAsia" w:ascii="宋体" w:hAnsi="宋体" w:eastAsia="宋体" w:cs="宋体"/>
          <w:sz w:val="24"/>
          <w:szCs w:val="24"/>
          <w:lang w:val="en-US" w:eastAsia="zh-CN"/>
        </w:rPr>
      </w:pPr>
    </w:p>
    <w:p w14:paraId="3E3DF29F">
      <w:pPr>
        <w:pStyle w:val="2"/>
        <w:ind w:left="0" w:leftChars="0" w:firstLine="0" w:firstLine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附件2：</w:t>
      </w:r>
    </w:p>
    <w:tbl>
      <w:tblPr>
        <w:tblStyle w:val="24"/>
        <w:tblW w:w="13021"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63"/>
        <w:gridCol w:w="1778"/>
        <w:gridCol w:w="2786"/>
        <w:gridCol w:w="2314"/>
        <w:gridCol w:w="3449"/>
        <w:gridCol w:w="1331"/>
      </w:tblGrid>
      <w:tr w14:paraId="39323C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trPr>
        <w:tc>
          <w:tcPr>
            <w:tcW w:w="1363" w:type="dxa"/>
            <w:tcBorders>
              <w:top w:val="nil"/>
              <w:left w:val="nil"/>
              <w:bottom w:val="nil"/>
              <w:right w:val="nil"/>
            </w:tcBorders>
            <w:noWrap/>
            <w:vAlign w:val="center"/>
          </w:tcPr>
          <w:p w14:paraId="0C9C114A">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sz w:val="22"/>
                <w:szCs w:val="22"/>
                <w:u w:val="none"/>
              </w:rPr>
            </w:pPr>
          </w:p>
        </w:tc>
        <w:tc>
          <w:tcPr>
            <w:tcW w:w="1778" w:type="dxa"/>
            <w:tcBorders>
              <w:top w:val="nil"/>
              <w:left w:val="nil"/>
              <w:bottom w:val="nil"/>
              <w:right w:val="nil"/>
            </w:tcBorders>
            <w:noWrap/>
            <w:vAlign w:val="center"/>
          </w:tcPr>
          <w:p w14:paraId="21129705">
            <w:pPr>
              <w:rPr>
                <w:rFonts w:hint="eastAsia" w:ascii="宋体" w:hAnsi="宋体" w:eastAsia="宋体" w:cs="宋体"/>
                <w:i w:val="0"/>
                <w:iCs w:val="0"/>
                <w:color w:val="000000"/>
                <w:sz w:val="22"/>
                <w:szCs w:val="22"/>
                <w:u w:val="none"/>
              </w:rPr>
            </w:pPr>
          </w:p>
        </w:tc>
        <w:tc>
          <w:tcPr>
            <w:tcW w:w="2786" w:type="dxa"/>
            <w:tcBorders>
              <w:top w:val="nil"/>
              <w:left w:val="nil"/>
              <w:bottom w:val="nil"/>
              <w:right w:val="nil"/>
            </w:tcBorders>
            <w:noWrap/>
            <w:vAlign w:val="center"/>
          </w:tcPr>
          <w:p w14:paraId="434E933C">
            <w:pPr>
              <w:rPr>
                <w:rFonts w:hint="eastAsia" w:ascii="宋体" w:hAnsi="宋体" w:eastAsia="宋体" w:cs="宋体"/>
                <w:i w:val="0"/>
                <w:iCs w:val="0"/>
                <w:color w:val="000000"/>
                <w:sz w:val="22"/>
                <w:szCs w:val="22"/>
                <w:u w:val="none"/>
              </w:rPr>
            </w:pPr>
          </w:p>
        </w:tc>
        <w:tc>
          <w:tcPr>
            <w:tcW w:w="2314" w:type="dxa"/>
            <w:tcBorders>
              <w:top w:val="nil"/>
              <w:left w:val="nil"/>
              <w:bottom w:val="nil"/>
              <w:right w:val="nil"/>
            </w:tcBorders>
            <w:noWrap/>
            <w:vAlign w:val="center"/>
          </w:tcPr>
          <w:p w14:paraId="0EBB3240">
            <w:pPr>
              <w:rPr>
                <w:rFonts w:hint="eastAsia" w:ascii="宋体" w:hAnsi="宋体" w:eastAsia="宋体" w:cs="宋体"/>
                <w:i w:val="0"/>
                <w:iCs w:val="0"/>
                <w:color w:val="000000"/>
                <w:sz w:val="22"/>
                <w:szCs w:val="22"/>
                <w:u w:val="none"/>
              </w:rPr>
            </w:pPr>
          </w:p>
        </w:tc>
        <w:tc>
          <w:tcPr>
            <w:tcW w:w="3449" w:type="dxa"/>
            <w:tcBorders>
              <w:top w:val="nil"/>
              <w:left w:val="nil"/>
              <w:bottom w:val="nil"/>
              <w:right w:val="nil"/>
            </w:tcBorders>
            <w:noWrap/>
            <w:vAlign w:val="center"/>
          </w:tcPr>
          <w:p w14:paraId="15D9D680">
            <w:pPr>
              <w:rPr>
                <w:rFonts w:hint="eastAsia" w:ascii="宋体" w:hAnsi="宋体" w:eastAsia="宋体" w:cs="宋体"/>
                <w:i w:val="0"/>
                <w:iCs w:val="0"/>
                <w:color w:val="000000"/>
                <w:sz w:val="22"/>
                <w:szCs w:val="22"/>
                <w:u w:val="none"/>
              </w:rPr>
            </w:pPr>
          </w:p>
        </w:tc>
        <w:tc>
          <w:tcPr>
            <w:tcW w:w="1331" w:type="dxa"/>
            <w:tcBorders>
              <w:top w:val="nil"/>
              <w:left w:val="nil"/>
              <w:bottom w:val="nil"/>
              <w:right w:val="nil"/>
            </w:tcBorders>
            <w:noWrap/>
            <w:vAlign w:val="center"/>
          </w:tcPr>
          <w:p w14:paraId="4F8584D8">
            <w:pPr>
              <w:rPr>
                <w:rFonts w:hint="eastAsia" w:ascii="宋体" w:hAnsi="宋体" w:eastAsia="宋体" w:cs="宋体"/>
                <w:i w:val="0"/>
                <w:iCs w:val="0"/>
                <w:color w:val="000000"/>
                <w:sz w:val="22"/>
                <w:szCs w:val="22"/>
                <w:u w:val="none"/>
              </w:rPr>
            </w:pPr>
          </w:p>
        </w:tc>
      </w:tr>
      <w:tr w14:paraId="757669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3021" w:type="dxa"/>
            <w:gridSpan w:val="6"/>
            <w:tcBorders>
              <w:top w:val="nil"/>
              <w:left w:val="nil"/>
              <w:bottom w:val="nil"/>
              <w:right w:val="nil"/>
            </w:tcBorders>
            <w:noWrap/>
            <w:vAlign w:val="center"/>
          </w:tcPr>
          <w:p w14:paraId="445208E0">
            <w:pPr>
              <w:keepNext w:val="0"/>
              <w:keepLines w:val="0"/>
              <w:widowControl/>
              <w:suppressLineNumbers w:val="0"/>
              <w:jc w:val="center"/>
              <w:textAlignment w:val="center"/>
              <w:rPr>
                <w:rFonts w:hint="eastAsia" w:ascii="宋体" w:hAnsi="宋体" w:eastAsia="宋体" w:cs="宋体"/>
                <w:b/>
                <w:bCs/>
                <w:i w:val="0"/>
                <w:iCs w:val="0"/>
                <w:color w:val="auto"/>
                <w:sz w:val="36"/>
                <w:szCs w:val="36"/>
                <w:u w:val="none"/>
              </w:rPr>
            </w:pPr>
            <w:r>
              <w:rPr>
                <w:rFonts w:hint="eastAsia" w:ascii="宋体" w:hAnsi="宋体" w:eastAsia="宋体" w:cs="宋体"/>
                <w:b/>
                <w:bCs/>
                <w:i w:val="0"/>
                <w:iCs w:val="0"/>
                <w:color w:val="auto"/>
                <w:kern w:val="0"/>
                <w:sz w:val="36"/>
                <w:szCs w:val="36"/>
                <w:u w:val="none"/>
                <w:lang w:val="en-US" w:eastAsia="zh-CN"/>
              </w:rPr>
              <w:t>和田地区洛浦县和田路至多鲁路路面提升改造建设项目综合得分表</w:t>
            </w:r>
          </w:p>
        </w:tc>
      </w:tr>
      <w:tr w14:paraId="2EF36A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373A6A5">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指标</w:t>
            </w:r>
          </w:p>
        </w:tc>
        <w:tc>
          <w:tcPr>
            <w:tcW w:w="1778"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659F0F7">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项目决策</w:t>
            </w:r>
          </w:p>
        </w:tc>
        <w:tc>
          <w:tcPr>
            <w:tcW w:w="2786"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DE6A329">
            <w:pPr>
              <w:keepNext w:val="0"/>
              <w:keepLines w:val="0"/>
              <w:widowControl/>
              <w:suppressLineNumbers w:val="0"/>
              <w:jc w:val="both"/>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项目过程</w:t>
            </w:r>
          </w:p>
        </w:tc>
        <w:tc>
          <w:tcPr>
            <w:tcW w:w="231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0567041">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项目产出</w:t>
            </w:r>
          </w:p>
        </w:tc>
        <w:tc>
          <w:tcPr>
            <w:tcW w:w="344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C4C8DA2">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项目效益</w:t>
            </w:r>
          </w:p>
        </w:tc>
        <w:tc>
          <w:tcPr>
            <w:tcW w:w="133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D68B336">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合计</w:t>
            </w:r>
          </w:p>
        </w:tc>
      </w:tr>
      <w:tr w14:paraId="78AA71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FEB5236">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权重</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10E7365A">
            <w:pPr>
              <w:keepNext w:val="0"/>
              <w:keepLines w:val="0"/>
              <w:widowControl/>
              <w:suppressLineNumbers w:val="0"/>
              <w:jc w:val="center"/>
              <w:textAlignment w:val="center"/>
              <w:rPr>
                <w:rFonts w:hint="default" w:ascii="宋体" w:hAnsi="宋体" w:eastAsia="宋体" w:cs="宋体"/>
                <w:i w:val="0"/>
                <w:iCs w:val="0"/>
                <w:color w:val="auto"/>
                <w:sz w:val="24"/>
                <w:szCs w:val="24"/>
                <w:u w:val="none"/>
                <w:lang w:val="en-US"/>
              </w:rPr>
            </w:pPr>
            <w:r>
              <w:rPr>
                <w:rFonts w:hint="eastAsia" w:ascii="宋体" w:hAnsi="宋体" w:eastAsia="宋体" w:cs="宋体"/>
                <w:i w:val="0"/>
                <w:iCs w:val="0"/>
                <w:color w:val="auto"/>
                <w:kern w:val="0"/>
                <w:sz w:val="24"/>
                <w:szCs w:val="24"/>
                <w:u w:val="none"/>
                <w:lang w:val="en-US" w:eastAsia="zh-CN"/>
              </w:rPr>
              <w:t>23.00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65C11C40">
            <w:pPr>
              <w:keepNext w:val="0"/>
              <w:keepLines w:val="0"/>
              <w:widowControl/>
              <w:suppressLineNumbers w:val="0"/>
              <w:jc w:val="center"/>
              <w:textAlignment w:val="center"/>
              <w:rPr>
                <w:rFonts w:hint="default" w:ascii="宋体" w:hAnsi="宋体" w:eastAsia="宋体" w:cs="宋体"/>
                <w:i w:val="0"/>
                <w:iCs w:val="0"/>
                <w:color w:val="auto"/>
                <w:sz w:val="24"/>
                <w:szCs w:val="24"/>
                <w:u w:val="none"/>
                <w:lang w:val="en-US" w:eastAsia="zh-CN"/>
              </w:rPr>
            </w:pPr>
            <w:r>
              <w:rPr>
                <w:rFonts w:hint="eastAsia" w:ascii="宋体" w:hAnsi="宋体" w:eastAsia="宋体" w:cs="宋体"/>
                <w:i w:val="0"/>
                <w:iCs w:val="0"/>
                <w:color w:val="auto"/>
                <w:sz w:val="24"/>
                <w:szCs w:val="24"/>
                <w:u w:val="none"/>
                <w:lang w:val="en-US" w:eastAsia="zh-CN"/>
              </w:rPr>
              <w:t>12.00</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65992F33">
            <w:pPr>
              <w:keepNext w:val="0"/>
              <w:keepLines w:val="0"/>
              <w:widowControl/>
              <w:suppressLineNumbers w:val="0"/>
              <w:jc w:val="center"/>
              <w:textAlignment w:val="center"/>
              <w:rPr>
                <w:rFonts w:hint="default" w:ascii="宋体" w:hAnsi="宋体" w:eastAsia="宋体" w:cs="宋体"/>
                <w:i w:val="0"/>
                <w:iCs w:val="0"/>
                <w:color w:val="auto"/>
                <w:sz w:val="24"/>
                <w:szCs w:val="24"/>
                <w:u w:val="none"/>
                <w:lang w:val="en-US"/>
              </w:rPr>
            </w:pPr>
            <w:r>
              <w:rPr>
                <w:rFonts w:hint="eastAsia" w:ascii="宋体" w:hAnsi="宋体" w:eastAsia="宋体" w:cs="宋体"/>
                <w:i w:val="0"/>
                <w:iCs w:val="0"/>
                <w:color w:val="auto"/>
                <w:kern w:val="0"/>
                <w:sz w:val="24"/>
                <w:szCs w:val="24"/>
                <w:u w:val="none"/>
                <w:lang w:val="en-US" w:eastAsia="zh-CN"/>
              </w:rPr>
              <w:t>40.00</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5AD2FF8E">
            <w:pPr>
              <w:keepNext w:val="0"/>
              <w:keepLines w:val="0"/>
              <w:widowControl/>
              <w:suppressLineNumbers w:val="0"/>
              <w:jc w:val="center"/>
              <w:textAlignment w:val="center"/>
              <w:rPr>
                <w:rFonts w:hint="default" w:ascii="宋体" w:hAnsi="宋体" w:eastAsia="宋体" w:cs="宋体"/>
                <w:i w:val="0"/>
                <w:iCs w:val="0"/>
                <w:color w:val="auto"/>
                <w:sz w:val="24"/>
                <w:szCs w:val="24"/>
                <w:u w:val="none"/>
                <w:lang w:val="en-US"/>
              </w:rPr>
            </w:pPr>
            <w:r>
              <w:rPr>
                <w:rFonts w:hint="eastAsia" w:ascii="宋体" w:hAnsi="宋体" w:eastAsia="宋体" w:cs="宋体"/>
                <w:i w:val="0"/>
                <w:iCs w:val="0"/>
                <w:color w:val="auto"/>
                <w:kern w:val="0"/>
                <w:sz w:val="24"/>
                <w:szCs w:val="24"/>
                <w:u w:val="none"/>
                <w:lang w:val="en-US" w:eastAsia="zh-CN"/>
              </w:rPr>
              <w:t>25.00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563117EA">
            <w:pPr>
              <w:keepNext w:val="0"/>
              <w:keepLines w:val="0"/>
              <w:widowControl/>
              <w:suppressLineNumbers w:val="0"/>
              <w:ind w:left="0" w:leftChars="0" w:firstLine="240" w:firstLineChars="100"/>
              <w:jc w:val="both"/>
              <w:textAlignment w:val="center"/>
              <w:rPr>
                <w:rFonts w:hint="default" w:ascii="宋体" w:hAnsi="宋体" w:eastAsia="宋体" w:cs="宋体"/>
                <w:i w:val="0"/>
                <w:iCs w:val="0"/>
                <w:color w:val="auto"/>
                <w:sz w:val="24"/>
                <w:szCs w:val="24"/>
                <w:u w:val="none"/>
                <w:lang w:val="en-US"/>
              </w:rPr>
            </w:pPr>
            <w:r>
              <w:rPr>
                <w:rFonts w:hint="eastAsia" w:ascii="宋体" w:hAnsi="宋体" w:eastAsia="宋体" w:cs="宋体"/>
                <w:i w:val="0"/>
                <w:iCs w:val="0"/>
                <w:color w:val="auto"/>
                <w:kern w:val="0"/>
                <w:sz w:val="24"/>
                <w:szCs w:val="24"/>
                <w:u w:val="none"/>
                <w:lang w:val="en-US" w:eastAsia="zh-CN"/>
              </w:rPr>
              <w:t>100.00</w:t>
            </w:r>
          </w:p>
        </w:tc>
      </w:tr>
      <w:tr w14:paraId="17B6EE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1A6FF6B">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得分</w:t>
            </w:r>
          </w:p>
        </w:tc>
        <w:tc>
          <w:tcPr>
            <w:tcW w:w="177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47EBBF0">
            <w:pPr>
              <w:keepNext w:val="0"/>
              <w:keepLines w:val="0"/>
              <w:widowControl/>
              <w:suppressLineNumbers w:val="0"/>
              <w:jc w:val="center"/>
              <w:textAlignment w:val="center"/>
              <w:rPr>
                <w:rFonts w:hint="default" w:ascii="宋体" w:hAnsi="宋体" w:eastAsia="宋体" w:cs="宋体"/>
                <w:i w:val="0"/>
                <w:iCs w:val="0"/>
                <w:color w:val="auto"/>
                <w:sz w:val="24"/>
                <w:szCs w:val="24"/>
                <w:u w:val="none"/>
                <w:lang w:val="en-US"/>
              </w:rPr>
            </w:pPr>
            <w:r>
              <w:rPr>
                <w:rFonts w:hint="eastAsia" w:ascii="宋体" w:hAnsi="宋体" w:eastAsia="宋体" w:cs="宋体"/>
                <w:i w:val="0"/>
                <w:iCs w:val="0"/>
                <w:color w:val="auto"/>
                <w:kern w:val="0"/>
                <w:sz w:val="24"/>
                <w:szCs w:val="24"/>
                <w:u w:val="none"/>
                <w:lang w:val="en-US" w:eastAsia="zh-CN"/>
              </w:rPr>
              <w:t>23.00</w:t>
            </w:r>
          </w:p>
        </w:tc>
        <w:tc>
          <w:tcPr>
            <w:tcW w:w="278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16BA05E">
            <w:pPr>
              <w:keepNext w:val="0"/>
              <w:keepLines w:val="0"/>
              <w:widowControl/>
              <w:suppressLineNumbers w:val="0"/>
              <w:jc w:val="center"/>
              <w:textAlignment w:val="center"/>
              <w:rPr>
                <w:rFonts w:hint="default" w:ascii="宋体" w:hAnsi="宋体" w:eastAsia="宋体" w:cs="宋体"/>
                <w:i w:val="0"/>
                <w:iCs w:val="0"/>
                <w:color w:val="auto"/>
                <w:sz w:val="24"/>
                <w:szCs w:val="24"/>
                <w:u w:val="none"/>
                <w:lang w:val="en-US"/>
              </w:rPr>
            </w:pPr>
            <w:r>
              <w:rPr>
                <w:rFonts w:hint="eastAsia" w:ascii="宋体" w:hAnsi="宋体" w:eastAsia="宋体" w:cs="宋体"/>
                <w:i w:val="0"/>
                <w:iCs w:val="0"/>
                <w:color w:val="auto"/>
                <w:kern w:val="0"/>
                <w:sz w:val="24"/>
                <w:szCs w:val="24"/>
                <w:u w:val="none"/>
                <w:lang w:val="en-US" w:eastAsia="zh-CN"/>
              </w:rPr>
              <w:t>11.41</w:t>
            </w:r>
          </w:p>
        </w:tc>
        <w:tc>
          <w:tcPr>
            <w:tcW w:w="231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20DAB4D">
            <w:pPr>
              <w:keepNext w:val="0"/>
              <w:keepLines w:val="0"/>
              <w:widowControl/>
              <w:suppressLineNumbers w:val="0"/>
              <w:jc w:val="center"/>
              <w:textAlignment w:val="center"/>
              <w:rPr>
                <w:rFonts w:hint="default" w:ascii="宋体" w:hAnsi="宋体" w:eastAsia="宋体" w:cs="宋体"/>
                <w:i w:val="0"/>
                <w:iCs w:val="0"/>
                <w:color w:val="auto"/>
                <w:sz w:val="24"/>
                <w:szCs w:val="24"/>
                <w:u w:val="none"/>
                <w:lang w:val="en-US" w:eastAsia="zh-CN"/>
              </w:rPr>
            </w:pPr>
            <w:r>
              <w:rPr>
                <w:rFonts w:hint="eastAsia" w:ascii="宋体" w:hAnsi="宋体" w:eastAsia="宋体" w:cs="宋体"/>
                <w:i w:val="0"/>
                <w:iCs w:val="0"/>
                <w:color w:val="auto"/>
                <w:sz w:val="24"/>
                <w:szCs w:val="24"/>
                <w:u w:val="none"/>
                <w:lang w:val="en-US" w:eastAsia="zh-CN"/>
              </w:rPr>
              <w:t>37.03</w:t>
            </w:r>
          </w:p>
        </w:tc>
        <w:tc>
          <w:tcPr>
            <w:tcW w:w="344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E8C5E79">
            <w:pPr>
              <w:keepNext w:val="0"/>
              <w:keepLines w:val="0"/>
              <w:widowControl/>
              <w:suppressLineNumbers w:val="0"/>
              <w:jc w:val="center"/>
              <w:textAlignment w:val="center"/>
              <w:rPr>
                <w:rFonts w:hint="default" w:ascii="宋体" w:hAnsi="宋体" w:eastAsia="宋体" w:cs="宋体"/>
                <w:i w:val="0"/>
                <w:iCs w:val="0"/>
                <w:color w:val="auto"/>
                <w:sz w:val="24"/>
                <w:szCs w:val="24"/>
                <w:u w:val="none"/>
                <w:lang w:val="en-US"/>
              </w:rPr>
            </w:pPr>
            <w:r>
              <w:rPr>
                <w:rFonts w:hint="eastAsia" w:ascii="宋体" w:hAnsi="宋体" w:eastAsia="宋体" w:cs="宋体"/>
                <w:i w:val="0"/>
                <w:iCs w:val="0"/>
                <w:color w:val="auto"/>
                <w:kern w:val="0"/>
                <w:sz w:val="24"/>
                <w:szCs w:val="24"/>
                <w:u w:val="none"/>
                <w:lang w:val="en-US" w:eastAsia="zh-CN"/>
              </w:rPr>
              <w:t>25.00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0078ED3D">
            <w:pPr>
              <w:keepNext w:val="0"/>
              <w:keepLines w:val="0"/>
              <w:widowControl/>
              <w:suppressLineNumbers w:val="0"/>
              <w:ind w:left="0" w:leftChars="0" w:firstLine="240" w:firstLineChars="100"/>
              <w:jc w:val="both"/>
              <w:textAlignment w:val="center"/>
              <w:rPr>
                <w:rFonts w:hint="default" w:ascii="宋体" w:hAnsi="宋体" w:eastAsia="宋体" w:cs="宋体"/>
                <w:i w:val="0"/>
                <w:iCs w:val="0"/>
                <w:color w:val="auto"/>
                <w:sz w:val="24"/>
                <w:szCs w:val="24"/>
                <w:u w:val="none"/>
                <w:lang w:val="en-US"/>
              </w:rPr>
            </w:pPr>
            <w:r>
              <w:rPr>
                <w:rFonts w:hint="eastAsia" w:ascii="宋体" w:hAnsi="宋体" w:eastAsia="宋体" w:cs="宋体"/>
                <w:i w:val="0"/>
                <w:iCs w:val="0"/>
                <w:color w:val="auto"/>
                <w:kern w:val="0"/>
                <w:sz w:val="24"/>
                <w:szCs w:val="24"/>
                <w:u w:val="none"/>
                <w:lang w:val="en-US" w:eastAsia="zh-CN"/>
              </w:rPr>
              <w:t>96.44</w:t>
            </w:r>
          </w:p>
        </w:tc>
      </w:tr>
      <w:tr w14:paraId="509F37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431B8C8">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得分率</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0C9DD15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0638CE3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95.08%</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20A658B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92.58%</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15ED8F8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55778590">
            <w:pPr>
              <w:keepNext w:val="0"/>
              <w:keepLines w:val="0"/>
              <w:widowControl/>
              <w:suppressLineNumbers w:val="0"/>
              <w:ind w:left="0" w:leftChars="0" w:firstLine="240" w:firstLineChars="100"/>
              <w:jc w:val="both"/>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96.44%</w:t>
            </w:r>
          </w:p>
        </w:tc>
      </w:tr>
    </w:tbl>
    <w:p w14:paraId="59596227">
      <w:pPr>
        <w:pStyle w:val="2"/>
        <w:ind w:left="0" w:leftChars="0" w:firstLine="0" w:firstLineChars="0"/>
        <w:jc w:val="both"/>
        <w:rPr>
          <w:rFonts w:hint="default" w:ascii="宋体" w:hAnsi="宋体" w:eastAsia="宋体" w:cs="宋体"/>
          <w:sz w:val="24"/>
          <w:szCs w:val="24"/>
          <w:lang w:val="en-US" w:eastAsia="zh-CN"/>
        </w:rPr>
      </w:pPr>
    </w:p>
    <w:p w14:paraId="3F365CD0">
      <w:pPr>
        <w:pStyle w:val="2"/>
        <w:ind w:left="0" w:leftChars="0" w:firstLine="0" w:firstLineChars="0"/>
        <w:jc w:val="both"/>
        <w:rPr>
          <w:rFonts w:hint="eastAsia" w:ascii="宋体" w:hAnsi="宋体" w:eastAsia="宋体" w:cs="宋体"/>
          <w:sz w:val="24"/>
          <w:szCs w:val="24"/>
          <w:lang w:eastAsia="zh-CN"/>
        </w:rPr>
        <w:sectPr>
          <w:pgSz w:w="16838" w:h="11906" w:orient="landscape"/>
          <w:pgMar w:top="1531" w:right="1985" w:bottom="1531" w:left="1701" w:header="851" w:footer="992" w:gutter="0"/>
          <w:pgNumType w:start="1"/>
          <w:cols w:space="720" w:num="1"/>
          <w:docGrid w:type="linesAndChars" w:linePitch="386" w:charSpace="0"/>
        </w:sectPr>
      </w:pPr>
    </w:p>
    <w:p w14:paraId="09E1FB9F">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default"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附件3：</w:t>
      </w:r>
    </w:p>
    <w:p w14:paraId="584A7A82">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center"/>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和田地区洛浦县和田路至多鲁路路面提升改造建设项目</w:t>
      </w:r>
    </w:p>
    <w:p w14:paraId="06CB78E4">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center"/>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满意度调查问卷分析报告</w:t>
      </w:r>
    </w:p>
    <w:p w14:paraId="4E58B2D8">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jc w:val="both"/>
        <w:textAlignment w:val="auto"/>
        <w:rPr>
          <w:rFonts w:hint="eastAsia" w:ascii="宋体" w:hAnsi="宋体" w:eastAsia="宋体" w:cs="宋体"/>
          <w:b/>
          <w:bCs/>
          <w:color w:val="auto"/>
          <w:sz w:val="28"/>
          <w:szCs w:val="28"/>
          <w:highlight w:val="none"/>
        </w:rPr>
      </w:pPr>
    </w:p>
    <w:p w14:paraId="194E36C6">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为客观评价该项目的社会效果，了解</w:t>
      </w:r>
      <w:r>
        <w:rPr>
          <w:rFonts w:hint="eastAsia" w:ascii="宋体" w:hAnsi="宋体" w:eastAsia="宋体" w:cs="宋体"/>
          <w:color w:val="000000"/>
          <w:sz w:val="24"/>
          <w:szCs w:val="24"/>
          <w:highlight w:val="none"/>
          <w:lang w:val="en-US" w:eastAsia="zh-CN"/>
        </w:rPr>
        <w:t>项目受益群体</w:t>
      </w:r>
      <w:r>
        <w:rPr>
          <w:rFonts w:hint="eastAsia" w:ascii="宋体" w:hAnsi="宋体" w:eastAsia="宋体" w:cs="宋体"/>
          <w:color w:val="000000"/>
          <w:sz w:val="24"/>
          <w:szCs w:val="24"/>
          <w:highlight w:val="none"/>
        </w:rPr>
        <w:t>对项目</w:t>
      </w:r>
      <w:r>
        <w:rPr>
          <w:rFonts w:hint="eastAsia" w:ascii="宋体" w:hAnsi="宋体" w:eastAsia="宋体" w:cs="宋体"/>
          <w:color w:val="000000"/>
          <w:sz w:val="24"/>
          <w:szCs w:val="24"/>
          <w:highlight w:val="none"/>
          <w:lang w:val="en-US" w:eastAsia="zh-CN"/>
        </w:rPr>
        <w:t>实施后</w:t>
      </w:r>
      <w:r>
        <w:rPr>
          <w:rFonts w:hint="eastAsia" w:ascii="宋体" w:hAnsi="宋体" w:eastAsia="宋体" w:cs="宋体"/>
          <w:color w:val="000000"/>
          <w:sz w:val="24"/>
          <w:szCs w:val="24"/>
          <w:highlight w:val="none"/>
        </w:rPr>
        <w:t>的</w:t>
      </w:r>
      <w:r>
        <w:rPr>
          <w:rFonts w:hint="eastAsia" w:ascii="宋体" w:hAnsi="宋体" w:eastAsia="宋体" w:cs="宋体"/>
          <w:color w:val="000000"/>
          <w:sz w:val="24"/>
          <w:szCs w:val="24"/>
          <w:highlight w:val="none"/>
          <w:lang w:val="en-US" w:eastAsia="zh-CN"/>
        </w:rPr>
        <w:t>真实</w:t>
      </w:r>
      <w:r>
        <w:rPr>
          <w:rFonts w:hint="eastAsia" w:ascii="宋体" w:hAnsi="宋体" w:eastAsia="宋体" w:cs="宋体"/>
          <w:color w:val="000000"/>
          <w:sz w:val="24"/>
          <w:szCs w:val="24"/>
          <w:highlight w:val="none"/>
        </w:rPr>
        <w:t>评价情况，对本项目</w:t>
      </w:r>
      <w:r>
        <w:rPr>
          <w:rFonts w:hint="eastAsia" w:ascii="宋体" w:hAnsi="宋体" w:eastAsia="宋体" w:cs="宋体"/>
          <w:color w:val="000000"/>
          <w:sz w:val="24"/>
          <w:szCs w:val="24"/>
          <w:highlight w:val="none"/>
          <w:lang w:eastAsia="zh-CN"/>
        </w:rPr>
        <w:t>开展</w:t>
      </w:r>
      <w:r>
        <w:rPr>
          <w:rFonts w:hint="eastAsia" w:ascii="宋体" w:hAnsi="宋体" w:eastAsia="宋体" w:cs="宋体"/>
          <w:color w:val="000000"/>
          <w:sz w:val="24"/>
          <w:szCs w:val="24"/>
          <w:highlight w:val="none"/>
        </w:rPr>
        <w:t>满意度问卷调查。问卷调查工作情况如下。问卷调查工作情况如下：</w:t>
      </w:r>
    </w:p>
    <w:p w14:paraId="35D57121">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一、该问卷调查从2025年3月1日开始至2025年3月10日结束，调查问卷共设置3道题目。</w:t>
      </w:r>
    </w:p>
    <w:p w14:paraId="708DCA36">
      <w:pPr>
        <w:pStyle w:val="2"/>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1.</w:t>
      </w:r>
      <w:r>
        <w:rPr>
          <w:rFonts w:hint="eastAsia" w:ascii="宋体" w:hAnsi="宋体" w:eastAsia="宋体" w:cs="宋体"/>
          <w:b/>
          <w:bCs/>
          <w:color w:val="000000"/>
          <w:sz w:val="24"/>
          <w:szCs w:val="24"/>
          <w:highlight w:val="none"/>
          <w:lang w:eastAsia="zh-CN"/>
        </w:rPr>
        <w:t>调查</w:t>
      </w:r>
      <w:r>
        <w:rPr>
          <w:rFonts w:hint="eastAsia" w:ascii="宋体" w:hAnsi="宋体" w:eastAsia="宋体" w:cs="宋体"/>
          <w:b/>
          <w:bCs/>
          <w:color w:val="000000"/>
          <w:sz w:val="24"/>
          <w:szCs w:val="24"/>
          <w:highlight w:val="none"/>
        </w:rPr>
        <w:t>对象</w:t>
      </w:r>
    </w:p>
    <w:p w14:paraId="58C7304F">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本次</w:t>
      </w:r>
      <w:r>
        <w:rPr>
          <w:rFonts w:hint="eastAsia" w:ascii="宋体" w:hAnsi="宋体" w:eastAsia="宋体" w:cs="宋体"/>
          <w:color w:val="000000"/>
          <w:sz w:val="24"/>
          <w:szCs w:val="24"/>
          <w:highlight w:val="none"/>
          <w:lang w:eastAsia="zh-CN"/>
        </w:rPr>
        <w:t>调查</w:t>
      </w:r>
      <w:r>
        <w:rPr>
          <w:rFonts w:hint="eastAsia" w:ascii="宋体" w:hAnsi="宋体" w:eastAsia="宋体" w:cs="宋体"/>
          <w:color w:val="000000"/>
          <w:sz w:val="24"/>
          <w:szCs w:val="24"/>
          <w:highlight w:val="none"/>
        </w:rPr>
        <w:t>的受益对象为</w:t>
      </w:r>
      <w:r>
        <w:rPr>
          <w:rFonts w:hint="eastAsia" w:ascii="宋体" w:hAnsi="宋体" w:eastAsia="宋体" w:cs="宋体"/>
          <w:color w:val="000000"/>
          <w:sz w:val="24"/>
          <w:szCs w:val="24"/>
          <w:highlight w:val="none"/>
          <w:lang w:eastAsia="zh-CN"/>
        </w:rPr>
        <w:t>学生、农民、工作人员等</w:t>
      </w:r>
      <w:r>
        <w:rPr>
          <w:rFonts w:hint="eastAsia" w:ascii="宋体" w:hAnsi="宋体" w:eastAsia="宋体" w:cs="宋体"/>
          <w:color w:val="000000"/>
          <w:sz w:val="24"/>
          <w:szCs w:val="24"/>
          <w:highlight w:val="none"/>
        </w:rPr>
        <w:t>。</w:t>
      </w:r>
    </w:p>
    <w:p w14:paraId="522D8B6B">
      <w:pPr>
        <w:pStyle w:val="2"/>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rPr>
        <w:t>2.</w:t>
      </w:r>
      <w:r>
        <w:rPr>
          <w:rFonts w:hint="eastAsia" w:ascii="宋体" w:hAnsi="宋体" w:eastAsia="宋体" w:cs="宋体"/>
          <w:b/>
          <w:bCs/>
          <w:color w:val="000000"/>
          <w:sz w:val="24"/>
          <w:szCs w:val="24"/>
          <w:highlight w:val="none"/>
          <w:lang w:eastAsia="zh-CN"/>
        </w:rPr>
        <w:t>调查</w:t>
      </w:r>
      <w:r>
        <w:rPr>
          <w:rFonts w:hint="eastAsia" w:ascii="宋体" w:hAnsi="宋体" w:eastAsia="宋体" w:cs="宋体"/>
          <w:b/>
          <w:bCs/>
          <w:color w:val="000000"/>
          <w:sz w:val="24"/>
          <w:szCs w:val="24"/>
          <w:highlight w:val="none"/>
        </w:rPr>
        <w:t>内容</w:t>
      </w:r>
    </w:p>
    <w:p w14:paraId="0DCF6FFC">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①您对和田地区洛浦县和田路至多鲁路路面提升改造建设项目完善城区道路交通能力，改善群众日常出行安全是否满意?</w:t>
      </w:r>
    </w:p>
    <w:p w14:paraId="3CE36081">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②您对和田地区洛浦县和田路至多鲁路路面提升改造建设项目工程质量是否满意？</w:t>
      </w:r>
    </w:p>
    <w:p w14:paraId="0DE37597">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③总的来说，您对目前和田地区洛浦县和田路至多鲁路路面提升改造建设项目实施后的整体满意程度如何？</w:t>
      </w:r>
    </w:p>
    <w:p w14:paraId="294359D1">
      <w:pPr>
        <w:pStyle w:val="2"/>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3.</w:t>
      </w:r>
      <w:r>
        <w:rPr>
          <w:rFonts w:hint="eastAsia" w:ascii="宋体" w:hAnsi="宋体" w:eastAsia="宋体" w:cs="宋体"/>
          <w:b/>
          <w:bCs/>
          <w:color w:val="000000"/>
          <w:sz w:val="24"/>
          <w:szCs w:val="24"/>
          <w:highlight w:val="none"/>
          <w:lang w:eastAsia="zh-CN"/>
        </w:rPr>
        <w:t>调查</w:t>
      </w:r>
      <w:r>
        <w:rPr>
          <w:rFonts w:hint="eastAsia" w:ascii="宋体" w:hAnsi="宋体" w:eastAsia="宋体" w:cs="宋体"/>
          <w:b/>
          <w:bCs/>
          <w:color w:val="000000"/>
          <w:sz w:val="24"/>
          <w:szCs w:val="24"/>
          <w:highlight w:val="none"/>
        </w:rPr>
        <w:t>方法</w:t>
      </w:r>
    </w:p>
    <w:p w14:paraId="3111FDBC">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问卷调查采取</w:t>
      </w:r>
      <w:r>
        <w:rPr>
          <w:rFonts w:hint="eastAsia" w:ascii="宋体" w:hAnsi="宋体" w:eastAsia="宋体" w:cs="宋体"/>
          <w:color w:val="000000"/>
          <w:sz w:val="24"/>
          <w:szCs w:val="24"/>
          <w:highlight w:val="none"/>
          <w:lang w:val="en-US" w:eastAsia="zh-CN"/>
        </w:rPr>
        <w:t>分层</w:t>
      </w:r>
      <w:r>
        <w:rPr>
          <w:rFonts w:hint="eastAsia" w:ascii="宋体" w:hAnsi="宋体" w:eastAsia="宋体" w:cs="宋体"/>
          <w:color w:val="000000"/>
          <w:sz w:val="24"/>
          <w:szCs w:val="24"/>
          <w:highlight w:val="none"/>
        </w:rPr>
        <w:t>抽样和</w:t>
      </w:r>
      <w:r>
        <w:rPr>
          <w:rFonts w:hint="eastAsia" w:ascii="宋体" w:hAnsi="宋体" w:eastAsia="宋体" w:cs="宋体"/>
          <w:color w:val="000000"/>
          <w:sz w:val="24"/>
          <w:szCs w:val="24"/>
          <w:highlight w:val="none"/>
          <w:lang w:val="en-US" w:eastAsia="zh-CN"/>
        </w:rPr>
        <w:t>随机抽样相结合</w:t>
      </w:r>
      <w:r>
        <w:rPr>
          <w:rFonts w:hint="eastAsia" w:ascii="宋体" w:hAnsi="宋体" w:eastAsia="宋体" w:cs="宋体"/>
          <w:color w:val="000000"/>
          <w:sz w:val="24"/>
          <w:szCs w:val="24"/>
          <w:highlight w:val="none"/>
        </w:rPr>
        <w:t>的方式进行。在全面</w:t>
      </w:r>
      <w:r>
        <w:rPr>
          <w:rFonts w:hint="eastAsia" w:ascii="宋体" w:hAnsi="宋体" w:eastAsia="宋体" w:cs="宋体"/>
          <w:color w:val="000000"/>
          <w:sz w:val="24"/>
          <w:szCs w:val="24"/>
          <w:highlight w:val="none"/>
          <w:lang w:eastAsia="zh-CN"/>
        </w:rPr>
        <w:t>调查</w:t>
      </w:r>
      <w:r>
        <w:rPr>
          <w:rFonts w:hint="eastAsia" w:ascii="宋体" w:hAnsi="宋体" w:eastAsia="宋体" w:cs="宋体"/>
          <w:color w:val="000000"/>
          <w:sz w:val="24"/>
          <w:szCs w:val="24"/>
          <w:highlight w:val="none"/>
        </w:rPr>
        <w:t>开展之前会先进行论证，依据论证结果对问卷和抽样方案再进行一次修改和调整</w:t>
      </w:r>
      <w:r>
        <w:rPr>
          <w:rFonts w:hint="eastAsia" w:ascii="宋体" w:hAnsi="宋体" w:eastAsia="宋体" w:cs="宋体"/>
          <w:color w:val="000000"/>
          <w:sz w:val="24"/>
          <w:szCs w:val="24"/>
          <w:highlight w:val="none"/>
          <w:lang w:val="en-US" w:eastAsia="zh-CN"/>
        </w:rPr>
        <w:t>之后再付诸实施</w:t>
      </w:r>
      <w:r>
        <w:rPr>
          <w:rFonts w:hint="eastAsia" w:ascii="宋体" w:hAnsi="宋体" w:eastAsia="宋体" w:cs="宋体"/>
          <w:color w:val="000000"/>
          <w:sz w:val="24"/>
          <w:szCs w:val="24"/>
          <w:highlight w:val="none"/>
        </w:rPr>
        <w:t>。</w:t>
      </w:r>
    </w:p>
    <w:p w14:paraId="2BD422AA">
      <w:pPr>
        <w:pStyle w:val="2"/>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4.</w:t>
      </w:r>
      <w:r>
        <w:rPr>
          <w:rFonts w:hint="eastAsia" w:ascii="宋体" w:hAnsi="宋体" w:eastAsia="宋体" w:cs="宋体"/>
          <w:b/>
          <w:bCs/>
          <w:color w:val="000000"/>
          <w:sz w:val="24"/>
          <w:szCs w:val="24"/>
          <w:highlight w:val="none"/>
        </w:rPr>
        <w:t>抽样方式</w:t>
      </w:r>
    </w:p>
    <w:p w14:paraId="01993F8B">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为确保问卷</w:t>
      </w:r>
      <w:r>
        <w:rPr>
          <w:rFonts w:hint="eastAsia" w:ascii="宋体" w:hAnsi="宋体" w:eastAsia="宋体" w:cs="宋体"/>
          <w:color w:val="000000"/>
          <w:sz w:val="24"/>
          <w:szCs w:val="24"/>
          <w:highlight w:val="none"/>
          <w:lang w:eastAsia="zh-CN"/>
        </w:rPr>
        <w:t>调查</w:t>
      </w:r>
      <w:r>
        <w:rPr>
          <w:rFonts w:hint="eastAsia" w:ascii="宋体" w:hAnsi="宋体" w:eastAsia="宋体" w:cs="宋体"/>
          <w:color w:val="000000"/>
          <w:sz w:val="24"/>
          <w:szCs w:val="24"/>
          <w:highlight w:val="none"/>
        </w:rPr>
        <w:t>的全面性和代表性，本次</w:t>
      </w:r>
      <w:r>
        <w:rPr>
          <w:rFonts w:hint="eastAsia" w:ascii="宋体" w:hAnsi="宋体" w:eastAsia="宋体" w:cs="宋体"/>
          <w:color w:val="000000"/>
          <w:sz w:val="24"/>
          <w:szCs w:val="24"/>
          <w:highlight w:val="none"/>
          <w:lang w:eastAsia="zh-CN"/>
        </w:rPr>
        <w:t>调查</w:t>
      </w:r>
      <w:r>
        <w:rPr>
          <w:rFonts w:hint="eastAsia" w:ascii="宋体" w:hAnsi="宋体" w:eastAsia="宋体" w:cs="宋体"/>
          <w:color w:val="000000"/>
          <w:sz w:val="24"/>
          <w:szCs w:val="24"/>
          <w:highlight w:val="none"/>
        </w:rPr>
        <w:t>问卷调查采取</w:t>
      </w:r>
      <w:r>
        <w:rPr>
          <w:rFonts w:hint="eastAsia" w:ascii="宋体" w:hAnsi="宋体" w:eastAsia="宋体" w:cs="宋体"/>
          <w:color w:val="000000"/>
          <w:sz w:val="24"/>
          <w:szCs w:val="24"/>
          <w:highlight w:val="none"/>
          <w:lang w:val="en-US" w:eastAsia="zh-CN"/>
        </w:rPr>
        <w:t>随机</w:t>
      </w:r>
      <w:r>
        <w:rPr>
          <w:rFonts w:hint="eastAsia" w:ascii="宋体" w:hAnsi="宋体" w:eastAsia="宋体" w:cs="宋体"/>
          <w:color w:val="000000"/>
          <w:sz w:val="24"/>
          <w:szCs w:val="24"/>
          <w:highlight w:val="none"/>
        </w:rPr>
        <w:t>抽样和</w:t>
      </w:r>
      <w:r>
        <w:rPr>
          <w:rFonts w:hint="eastAsia" w:ascii="宋体" w:hAnsi="宋体" w:eastAsia="宋体" w:cs="宋体"/>
          <w:color w:val="000000"/>
          <w:sz w:val="24"/>
          <w:szCs w:val="24"/>
          <w:highlight w:val="none"/>
          <w:lang w:val="en-US" w:eastAsia="zh-CN"/>
        </w:rPr>
        <w:t>分层抽样相结合</w:t>
      </w:r>
      <w:r>
        <w:rPr>
          <w:rFonts w:hint="eastAsia" w:ascii="宋体" w:hAnsi="宋体" w:eastAsia="宋体" w:cs="宋体"/>
          <w:color w:val="000000"/>
          <w:sz w:val="24"/>
          <w:szCs w:val="24"/>
          <w:highlight w:val="none"/>
        </w:rPr>
        <w:t>方式进行。</w:t>
      </w:r>
    </w:p>
    <w:p w14:paraId="18B69C33">
      <w:pPr>
        <w:pStyle w:val="2"/>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rPr>
        <w:t>5.问卷的发放和回收</w:t>
      </w:r>
    </w:p>
    <w:p w14:paraId="01DF5BEE">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为了给调查对象营造良好的作答环境，保证调查的科学性和严谨性，由我单位工作人员在线下发放问卷，邀请相应的调查对象填写问卷。到目前为止共回收问卷30份，其中有效问卷30份，有效问卷回收率为100%。</w:t>
      </w:r>
    </w:p>
    <w:p w14:paraId="1191981F">
      <w:pPr>
        <w:pStyle w:val="2"/>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6.问卷调查分析结果</w:t>
      </w:r>
    </w:p>
    <w:p w14:paraId="6E3D8FE5">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本次调查过程中，评价小组实际发放问卷30份，回收问卷30份，问卷回收率为100.00%，有效问卷30份，有效回收率100.00%，本次调查的整体情况如下：</w:t>
      </w:r>
    </w:p>
    <w:p w14:paraId="1B0F91FC">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第一个问题：该项统计有效问卷数量30份，选择非常满意的人数为30人。选择比较满意的人数为0人，选择一般的人数0人，选择不满意的人数0人，选择非常不满意的人数0人。</w:t>
      </w:r>
    </w:p>
    <w:p w14:paraId="50C9D7F1">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第二个问题：该项统计有效问卷数量30份，选择非常满意的人数为30人。选择比较满意的人数为0人，选择一般的人数0人，选择不满意的人数0人，选择非常不满意的人数0人。</w:t>
      </w:r>
    </w:p>
    <w:p w14:paraId="2F27473A">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第三个问题：该项统计有效问卷数量30份，选择非常满意的人数为30人。选择比较满意的人数为0人，选择一般的人数0人，选择不满意的人数0人，选择非常不满意的人数0人。</w:t>
      </w:r>
    </w:p>
    <w:p w14:paraId="6BCC9B7B">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二、调查结果统计</w:t>
      </w:r>
    </w:p>
    <w:p w14:paraId="4207C3C6">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和田地区洛浦县和田路至多鲁路路面提升改造建设项目针对受益人员发放30份调查问卷，最终统计受益人群满意度为100%。</w:t>
      </w:r>
    </w:p>
    <w:p w14:paraId="02BA7837">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p>
    <w:p w14:paraId="3305B14F">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3840" w:firstLineChars="1600"/>
        <w:jc w:val="both"/>
        <w:textAlignment w:val="auto"/>
        <w:rPr>
          <w:rFonts w:hint="eastAsia" w:ascii="宋体" w:hAnsi="宋体" w:eastAsia="宋体" w:cs="宋体"/>
          <w:color w:val="auto"/>
          <w:sz w:val="24"/>
          <w:szCs w:val="24"/>
          <w:highlight w:val="none"/>
          <w:lang w:val="en-US" w:eastAsia="zh-CN"/>
        </w:rPr>
      </w:pPr>
    </w:p>
    <w:p w14:paraId="3C3F8666">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right"/>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洛浦县住房和城乡建设局</w:t>
      </w:r>
    </w:p>
    <w:p w14:paraId="3083D786">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righ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000000"/>
          <w:sz w:val="24"/>
          <w:szCs w:val="24"/>
          <w:highlight w:val="none"/>
          <w:lang w:val="en-US" w:eastAsia="zh-CN"/>
        </w:rPr>
        <w:t>2025年3月15日</w:t>
      </w:r>
    </w:p>
    <w:sectPr>
      <w:pgSz w:w="11906" w:h="16838"/>
      <w:pgMar w:top="1985" w:right="1531" w:bottom="1701" w:left="1531" w:header="851" w:footer="992" w:gutter="0"/>
      <w:pgNumType w:start="1"/>
      <w:cols w:space="720" w:num="1"/>
      <w:docGrid w:type="linesAndChars" w:linePitch="38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41DE7A">
    <w:pPr>
      <w:pStyle w:val="15"/>
      <w:ind w:firstLine="360"/>
    </w:pPr>
    <w: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aspectratio="f"/>
          <v:textbox inset="0mm,0mm,0mm,0mm" style="mso-fit-shape-to-text:t;">
            <w:txbxContent>
              <w:p w14:paraId="7D8599A1">
                <w:pPr>
                  <w:pStyle w:val="15"/>
                  <w:ind w:firstLine="420"/>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rPr>
                  <w:t>13</w:t>
                </w:r>
                <w:r>
                  <w:rPr>
                    <w:sz w:val="21"/>
                    <w:szCs w:val="21"/>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333528">
    <w:pPr>
      <w:pStyle w:val="16"/>
      <w:pBdr>
        <w:bottom w:val="none" w:color="auto" w:sz="0" w:space="1"/>
      </w:pBdr>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HorizontalSpacing w:val="140"/>
  <w:drawingGridVerticalSpacing w:val="193"/>
  <w:noPunctuationKerning w:val="1"/>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YzIzNjhjZjkxMjg2OGJjOTQ0NThhNzBhOGI4YTVmYWYifQ=="/>
  </w:docVars>
  <w:rsids>
    <w:rsidRoot w:val="00000000"/>
    <w:rsid w:val="652028D6"/>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39" w:semiHidden="0" w:name="toc 8"/>
    <w:lsdException w:uiPriority="39" w:semiHidden="0" w:name="toc 9"/>
    <w:lsdException w:uiPriority="99" w:name="Normal Indent"/>
    <w:lsdException w:uiPriority="99" w:name="footnote text"/>
    <w:lsdException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3">
    <w:name w:val="heading 1"/>
    <w:basedOn w:val="1"/>
    <w:next w:val="4"/>
    <w:link w:val="32"/>
    <w:qFormat/>
    <w:uiPriority w:val="9"/>
    <w:pPr>
      <w:keepNext/>
      <w:keepLines/>
      <w:spacing w:before="340" w:after="330" w:line="578" w:lineRule="auto"/>
      <w:jc w:val="left"/>
      <w:outlineLvl w:val="0"/>
    </w:pPr>
    <w:rPr>
      <w:rFonts w:ascii="Times New Roman" w:hAnsi="Times New Roman" w:cs="Times New Roman"/>
      <w:b/>
      <w:bCs/>
      <w:kern w:val="44"/>
      <w:sz w:val="32"/>
      <w:szCs w:val="44"/>
    </w:rPr>
  </w:style>
  <w:style w:type="paragraph" w:styleId="6">
    <w:name w:val="heading 2"/>
    <w:basedOn w:val="1"/>
    <w:next w:val="1"/>
    <w:link w:val="35"/>
    <w:qFormat/>
    <w:uiPriority w:val="0"/>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7">
    <w:name w:val="heading 3"/>
    <w:basedOn w:val="1"/>
    <w:next w:val="1"/>
    <w:link w:val="36"/>
    <w:qFormat/>
    <w:uiPriority w:val="9"/>
    <w:pPr>
      <w:keepNext/>
      <w:keepLines/>
      <w:spacing w:before="260" w:after="260" w:line="416" w:lineRule="auto"/>
      <w:jc w:val="left"/>
      <w:outlineLvl w:val="2"/>
    </w:pPr>
    <w:rPr>
      <w:rFonts w:cs="Times New Roman"/>
      <w:bCs/>
      <w:kern w:val="0"/>
      <w:szCs w:val="32"/>
    </w:rPr>
  </w:style>
  <w:style w:type="paragraph" w:styleId="8">
    <w:name w:val="heading 4"/>
    <w:basedOn w:val="1"/>
    <w:next w:val="1"/>
    <w:link w:val="37"/>
    <w:qFormat/>
    <w:uiPriority w:val="9"/>
    <w:pPr>
      <w:keepNext/>
      <w:keepLines/>
      <w:spacing w:before="280" w:after="290" w:line="376" w:lineRule="auto"/>
      <w:outlineLvl w:val="3"/>
    </w:pPr>
    <w:rPr>
      <w:rFonts w:ascii="Cambria" w:hAnsi="Cambria" w:eastAsia="宋体" w:cs="Times New Roman"/>
      <w:b/>
      <w:bCs/>
      <w:kern w:val="0"/>
      <w:szCs w:val="28"/>
    </w:rPr>
  </w:style>
  <w:style w:type="character" w:default="1" w:styleId="26">
    <w:name w:val="Default Paragraph Font"/>
    <w:unhideWhenUsed/>
    <w:qFormat/>
    <w:uiPriority w:val="1"/>
  </w:style>
  <w:style w:type="table" w:default="1" w:styleId="24">
    <w:name w:val="Normal Table"/>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before="240" w:after="240" w:line="360" w:lineRule="auto"/>
      <w:jc w:val="center"/>
    </w:pPr>
    <w:rPr>
      <w:b/>
      <w:sz w:val="44"/>
    </w:rPr>
  </w:style>
  <w:style w:type="paragraph" w:styleId="4">
    <w:name w:val="Body Text First Indent 2"/>
    <w:basedOn w:val="5"/>
    <w:link w:val="34"/>
    <w:unhideWhenUsed/>
    <w:qFormat/>
    <w:uiPriority w:val="0"/>
    <w:pPr>
      <w:ind w:firstLine="420"/>
    </w:pPr>
  </w:style>
  <w:style w:type="paragraph" w:styleId="5">
    <w:name w:val="Body Text Indent"/>
    <w:basedOn w:val="1"/>
    <w:link w:val="33"/>
    <w:unhideWhenUsed/>
    <w:uiPriority w:val="99"/>
    <w:pPr>
      <w:spacing w:after="120"/>
      <w:ind w:left="420" w:leftChars="200"/>
    </w:pPr>
    <w:rPr>
      <w:rFonts w:cs="Times New Roman"/>
      <w:kern w:val="0"/>
      <w:szCs w:val="20"/>
    </w:rPr>
  </w:style>
  <w:style w:type="paragraph" w:styleId="9">
    <w:name w:val="toc 7"/>
    <w:basedOn w:val="1"/>
    <w:next w:val="1"/>
    <w:unhideWhenUsed/>
    <w:uiPriority w:val="39"/>
    <w:pPr>
      <w:ind w:left="1680"/>
      <w:jc w:val="left"/>
    </w:pPr>
    <w:rPr>
      <w:rFonts w:ascii="Calibri" w:hAnsi="Calibri" w:cs="Calibri"/>
      <w:sz w:val="18"/>
      <w:szCs w:val="18"/>
    </w:rPr>
  </w:style>
  <w:style w:type="paragraph" w:styleId="10">
    <w:name w:val="Document Map"/>
    <w:basedOn w:val="1"/>
    <w:link w:val="38"/>
    <w:unhideWhenUsed/>
    <w:uiPriority w:val="99"/>
    <w:rPr>
      <w:rFonts w:ascii="宋体" w:eastAsia="宋体" w:cs="Times New Roman"/>
      <w:kern w:val="0"/>
      <w:sz w:val="18"/>
      <w:szCs w:val="18"/>
    </w:rPr>
  </w:style>
  <w:style w:type="paragraph" w:styleId="11">
    <w:name w:val="toc 5"/>
    <w:basedOn w:val="1"/>
    <w:next w:val="1"/>
    <w:unhideWhenUsed/>
    <w:uiPriority w:val="39"/>
    <w:pPr>
      <w:ind w:left="1120"/>
      <w:jc w:val="left"/>
    </w:pPr>
    <w:rPr>
      <w:rFonts w:ascii="Calibri" w:hAnsi="Calibri" w:cs="Calibri"/>
      <w:sz w:val="18"/>
      <w:szCs w:val="18"/>
    </w:rPr>
  </w:style>
  <w:style w:type="paragraph" w:styleId="12">
    <w:name w:val="toc 3"/>
    <w:basedOn w:val="1"/>
    <w:next w:val="1"/>
    <w:unhideWhenUsed/>
    <w:uiPriority w:val="39"/>
    <w:pPr>
      <w:ind w:left="560"/>
      <w:jc w:val="left"/>
    </w:pPr>
    <w:rPr>
      <w:rFonts w:ascii="Calibri" w:hAnsi="Calibri" w:cs="Calibri"/>
      <w:i/>
      <w:iCs/>
      <w:sz w:val="20"/>
      <w:szCs w:val="20"/>
    </w:rPr>
  </w:style>
  <w:style w:type="paragraph" w:styleId="13">
    <w:name w:val="toc 8"/>
    <w:basedOn w:val="1"/>
    <w:next w:val="1"/>
    <w:unhideWhenUsed/>
    <w:uiPriority w:val="39"/>
    <w:pPr>
      <w:ind w:left="1960"/>
      <w:jc w:val="left"/>
    </w:pPr>
    <w:rPr>
      <w:rFonts w:ascii="Calibri" w:hAnsi="Calibri" w:cs="Calibri"/>
      <w:sz w:val="18"/>
      <w:szCs w:val="18"/>
    </w:rPr>
  </w:style>
  <w:style w:type="paragraph" w:styleId="14">
    <w:name w:val="Balloon Text"/>
    <w:basedOn w:val="1"/>
    <w:link w:val="40"/>
    <w:unhideWhenUsed/>
    <w:uiPriority w:val="99"/>
    <w:rPr>
      <w:rFonts w:cs="Times New Roman"/>
      <w:kern w:val="0"/>
      <w:sz w:val="18"/>
      <w:szCs w:val="18"/>
    </w:rPr>
  </w:style>
  <w:style w:type="paragraph" w:styleId="15">
    <w:name w:val="footer"/>
    <w:basedOn w:val="1"/>
    <w:link w:val="41"/>
    <w:unhideWhenUsed/>
    <w:qFormat/>
    <w:uiPriority w:val="99"/>
    <w:pPr>
      <w:tabs>
        <w:tab w:val="center" w:pos="4153"/>
        <w:tab w:val="right" w:pos="8306"/>
      </w:tabs>
      <w:snapToGrid w:val="0"/>
      <w:jc w:val="left"/>
    </w:pPr>
    <w:rPr>
      <w:rFonts w:cs="Times New Roman"/>
      <w:kern w:val="0"/>
      <w:sz w:val="18"/>
      <w:szCs w:val="18"/>
    </w:rPr>
  </w:style>
  <w:style w:type="paragraph" w:styleId="16">
    <w:name w:val="header"/>
    <w:basedOn w:val="1"/>
    <w:link w:val="42"/>
    <w:unhideWhenUsed/>
    <w:qFormat/>
    <w:uiPriority w:val="99"/>
    <w:pPr>
      <w:pBdr>
        <w:bottom w:val="single" w:color="auto" w:sz="6" w:space="1"/>
      </w:pBdr>
      <w:tabs>
        <w:tab w:val="center" w:pos="4153"/>
        <w:tab w:val="right" w:pos="8306"/>
      </w:tabs>
      <w:snapToGrid w:val="0"/>
      <w:jc w:val="center"/>
    </w:pPr>
    <w:rPr>
      <w:rFonts w:cs="Times New Roman"/>
      <w:kern w:val="0"/>
      <w:sz w:val="18"/>
      <w:szCs w:val="18"/>
    </w:rPr>
  </w:style>
  <w:style w:type="paragraph" w:styleId="17">
    <w:name w:val="toc 1"/>
    <w:basedOn w:val="1"/>
    <w:next w:val="1"/>
    <w:unhideWhenUsed/>
    <w:uiPriority w:val="39"/>
    <w:pPr>
      <w:spacing w:before="120" w:after="120"/>
      <w:jc w:val="left"/>
    </w:pPr>
    <w:rPr>
      <w:rFonts w:ascii="Calibri" w:hAnsi="Calibri" w:cs="Calibri"/>
      <w:b/>
      <w:bCs/>
      <w:caps/>
      <w:sz w:val="20"/>
      <w:szCs w:val="20"/>
    </w:rPr>
  </w:style>
  <w:style w:type="paragraph" w:styleId="18">
    <w:name w:val="toc 4"/>
    <w:basedOn w:val="1"/>
    <w:next w:val="1"/>
    <w:unhideWhenUsed/>
    <w:uiPriority w:val="39"/>
    <w:pPr>
      <w:ind w:left="840"/>
      <w:jc w:val="left"/>
    </w:pPr>
    <w:rPr>
      <w:rFonts w:ascii="Calibri" w:hAnsi="Calibri" w:cs="Calibri"/>
      <w:sz w:val="18"/>
      <w:szCs w:val="18"/>
    </w:rPr>
  </w:style>
  <w:style w:type="paragraph" w:styleId="19">
    <w:name w:val="List"/>
    <w:basedOn w:val="1"/>
    <w:uiPriority w:val="0"/>
    <w:pPr>
      <w:ind w:left="200" w:hanging="200" w:hangingChars="200"/>
      <w:contextualSpacing/>
    </w:pPr>
  </w:style>
  <w:style w:type="paragraph" w:styleId="20">
    <w:name w:val="toc 6"/>
    <w:basedOn w:val="1"/>
    <w:next w:val="1"/>
    <w:unhideWhenUsed/>
    <w:uiPriority w:val="39"/>
    <w:pPr>
      <w:ind w:left="1400"/>
      <w:jc w:val="left"/>
    </w:pPr>
    <w:rPr>
      <w:rFonts w:ascii="Calibri" w:hAnsi="Calibri" w:cs="Calibri"/>
      <w:sz w:val="18"/>
      <w:szCs w:val="18"/>
    </w:rPr>
  </w:style>
  <w:style w:type="paragraph" w:styleId="21">
    <w:name w:val="toc 2"/>
    <w:basedOn w:val="1"/>
    <w:next w:val="1"/>
    <w:unhideWhenUsed/>
    <w:uiPriority w:val="39"/>
    <w:pPr>
      <w:ind w:left="280"/>
      <w:jc w:val="left"/>
    </w:pPr>
    <w:rPr>
      <w:rFonts w:ascii="Calibri" w:hAnsi="Calibri" w:cs="Calibri"/>
      <w:smallCaps/>
      <w:sz w:val="20"/>
      <w:szCs w:val="20"/>
    </w:rPr>
  </w:style>
  <w:style w:type="paragraph" w:styleId="22">
    <w:name w:val="toc 9"/>
    <w:basedOn w:val="1"/>
    <w:next w:val="1"/>
    <w:unhideWhenUsed/>
    <w:uiPriority w:val="39"/>
    <w:pPr>
      <w:ind w:left="2240"/>
      <w:jc w:val="left"/>
    </w:pPr>
    <w:rPr>
      <w:rFonts w:ascii="Calibri" w:hAnsi="Calibri" w:cs="Calibri"/>
      <w:sz w:val="18"/>
      <w:szCs w:val="18"/>
    </w:rPr>
  </w:style>
  <w:style w:type="paragraph" w:styleId="23">
    <w:name w:val="Title"/>
    <w:basedOn w:val="1"/>
    <w:next w:val="1"/>
    <w:link w:val="43"/>
    <w:qFormat/>
    <w:uiPriority w:val="10"/>
    <w:pPr>
      <w:spacing w:before="240" w:after="60"/>
      <w:jc w:val="center"/>
      <w:outlineLvl w:val="0"/>
    </w:pPr>
    <w:rPr>
      <w:rFonts w:ascii="Cambria" w:hAnsi="Cambria" w:eastAsia="宋体" w:cs="Times New Roman"/>
      <w:b/>
      <w:bCs/>
      <w:sz w:val="32"/>
      <w:szCs w:val="32"/>
    </w:rPr>
  </w:style>
  <w:style w:type="table" w:styleId="25">
    <w:name w:val="Table Grid"/>
    <w:basedOn w:val="24"/>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basedOn w:val="26"/>
    <w:qFormat/>
    <w:uiPriority w:val="0"/>
    <w:rPr>
      <w:b/>
      <w:bCs/>
    </w:rPr>
  </w:style>
  <w:style w:type="character" w:styleId="28">
    <w:name w:val="Hyperlink"/>
    <w:unhideWhenUsed/>
    <w:uiPriority w:val="99"/>
    <w:rPr>
      <w:color w:val="0000FF"/>
      <w:u w:val="single"/>
    </w:rPr>
  </w:style>
  <w:style w:type="paragraph" w:customStyle="1" w:styleId="29">
    <w:name w:val="Comment Text"/>
    <w:basedOn w:val="1"/>
    <w:link w:val="39"/>
    <w:unhideWhenUsed/>
    <w:uiPriority w:val="99"/>
    <w:rPr>
      <w:rFonts w:cs="Times New Roman"/>
      <w:kern w:val="0"/>
      <w:sz w:val="20"/>
      <w:szCs w:val="20"/>
    </w:rPr>
  </w:style>
  <w:style w:type="paragraph" w:customStyle="1" w:styleId="30">
    <w:name w:val="Comment Subject"/>
    <w:basedOn w:val="29"/>
    <w:next w:val="29"/>
    <w:link w:val="44"/>
    <w:unhideWhenUsed/>
    <w:uiPriority w:val="99"/>
    <w:rPr>
      <w:b/>
      <w:bCs/>
    </w:rPr>
  </w:style>
  <w:style w:type="character" w:customStyle="1" w:styleId="31">
    <w:name w:val="Comment Reference"/>
    <w:unhideWhenUsed/>
    <w:uiPriority w:val="99"/>
    <w:rPr>
      <w:sz w:val="16"/>
      <w:szCs w:val="16"/>
    </w:rPr>
  </w:style>
  <w:style w:type="character" w:customStyle="1" w:styleId="32">
    <w:name w:val="标题 1 Char"/>
    <w:link w:val="3"/>
    <w:uiPriority w:val="9"/>
    <w:rPr>
      <w:rFonts w:ascii="Times New Roman" w:hAnsi="Times New Roman" w:eastAsia="仿宋_GB2312" w:cs="Times New Roman"/>
      <w:b/>
      <w:bCs/>
      <w:kern w:val="44"/>
      <w:sz w:val="32"/>
      <w:szCs w:val="44"/>
    </w:rPr>
  </w:style>
  <w:style w:type="character" w:customStyle="1" w:styleId="33">
    <w:name w:val="正文文本缩进 Char"/>
    <w:link w:val="5"/>
    <w:semiHidden/>
    <w:uiPriority w:val="99"/>
    <w:rPr>
      <w:rFonts w:ascii="Calibri" w:hAnsi="Calibri" w:eastAsia="仿宋_GB2312" w:cs="黑体"/>
      <w:sz w:val="28"/>
    </w:rPr>
  </w:style>
  <w:style w:type="character" w:customStyle="1" w:styleId="34">
    <w:name w:val="正文首行缩进 2 Char"/>
    <w:link w:val="4"/>
    <w:uiPriority w:val="0"/>
    <w:rPr>
      <w:rFonts w:ascii="Calibri" w:hAnsi="Calibri" w:eastAsia="仿宋_GB2312" w:cs="黑体"/>
      <w:sz w:val="28"/>
    </w:rPr>
  </w:style>
  <w:style w:type="character" w:customStyle="1" w:styleId="35">
    <w:name w:val="标题 2 Char"/>
    <w:link w:val="6"/>
    <w:uiPriority w:val="0"/>
    <w:rPr>
      <w:rFonts w:ascii="Cambria" w:hAnsi="Cambria" w:eastAsia="仿宋_GB2312" w:cs="Times New Roman"/>
      <w:b/>
      <w:bCs/>
      <w:kern w:val="0"/>
      <w:sz w:val="30"/>
      <w:szCs w:val="32"/>
    </w:rPr>
  </w:style>
  <w:style w:type="character" w:customStyle="1" w:styleId="36">
    <w:name w:val="标题 3 Char"/>
    <w:link w:val="7"/>
    <w:uiPriority w:val="9"/>
    <w:rPr>
      <w:rFonts w:ascii="Calibri" w:hAnsi="Calibri" w:eastAsia="仿宋_GB2312" w:cs="黑体"/>
      <w:bCs/>
      <w:sz w:val="28"/>
      <w:szCs w:val="32"/>
    </w:rPr>
  </w:style>
  <w:style w:type="character" w:customStyle="1" w:styleId="37">
    <w:name w:val="标题 4 Char"/>
    <w:link w:val="8"/>
    <w:semiHidden/>
    <w:uiPriority w:val="9"/>
    <w:rPr>
      <w:rFonts w:ascii="Cambria" w:hAnsi="Cambria" w:eastAsia="宋体" w:cs="Times New Roman"/>
      <w:b/>
      <w:bCs/>
      <w:sz w:val="28"/>
      <w:szCs w:val="28"/>
    </w:rPr>
  </w:style>
  <w:style w:type="character" w:customStyle="1" w:styleId="38">
    <w:name w:val="文档结构图 Char"/>
    <w:link w:val="10"/>
    <w:semiHidden/>
    <w:uiPriority w:val="99"/>
    <w:rPr>
      <w:rFonts w:ascii="宋体" w:hAnsi="Calibri" w:eastAsia="宋体" w:cs="黑体"/>
      <w:sz w:val="18"/>
      <w:szCs w:val="18"/>
    </w:rPr>
  </w:style>
  <w:style w:type="character" w:customStyle="1" w:styleId="39">
    <w:name w:val="批注文字 Char"/>
    <w:link w:val="29"/>
    <w:semiHidden/>
    <w:uiPriority w:val="99"/>
    <w:rPr>
      <w:rFonts w:ascii="Calibri" w:hAnsi="Calibri" w:eastAsia="仿宋_GB2312" w:cs="黑体"/>
      <w:sz w:val="20"/>
      <w:szCs w:val="20"/>
    </w:rPr>
  </w:style>
  <w:style w:type="character" w:customStyle="1" w:styleId="40">
    <w:name w:val="批注框文本 Char"/>
    <w:link w:val="14"/>
    <w:semiHidden/>
    <w:uiPriority w:val="99"/>
    <w:rPr>
      <w:rFonts w:ascii="Calibri" w:hAnsi="Calibri" w:eastAsia="仿宋_GB2312" w:cs="黑体"/>
      <w:sz w:val="18"/>
      <w:szCs w:val="18"/>
    </w:rPr>
  </w:style>
  <w:style w:type="character" w:customStyle="1" w:styleId="41">
    <w:name w:val="页脚 Char"/>
    <w:link w:val="15"/>
    <w:uiPriority w:val="99"/>
    <w:rPr>
      <w:rFonts w:ascii="Calibri" w:hAnsi="Calibri" w:eastAsia="仿宋_GB2312" w:cs="黑体"/>
      <w:sz w:val="18"/>
      <w:szCs w:val="18"/>
    </w:rPr>
  </w:style>
  <w:style w:type="character" w:customStyle="1" w:styleId="42">
    <w:name w:val="页眉 Char"/>
    <w:link w:val="16"/>
    <w:uiPriority w:val="99"/>
    <w:rPr>
      <w:rFonts w:ascii="Calibri" w:hAnsi="Calibri" w:eastAsia="仿宋_GB2312" w:cs="黑体"/>
      <w:sz w:val="18"/>
      <w:szCs w:val="18"/>
    </w:rPr>
  </w:style>
  <w:style w:type="character" w:customStyle="1" w:styleId="43">
    <w:name w:val="标题 Char"/>
    <w:link w:val="23"/>
    <w:uiPriority w:val="10"/>
    <w:rPr>
      <w:rFonts w:ascii="Cambria" w:hAnsi="Cambria"/>
      <w:b/>
      <w:bCs/>
      <w:kern w:val="2"/>
      <w:sz w:val="32"/>
      <w:szCs w:val="32"/>
    </w:rPr>
  </w:style>
  <w:style w:type="character" w:customStyle="1" w:styleId="44">
    <w:name w:val="批注主题 Char"/>
    <w:link w:val="30"/>
    <w:semiHidden/>
    <w:uiPriority w:val="99"/>
    <w:rPr>
      <w:rFonts w:ascii="Calibri" w:hAnsi="Calibri" w:eastAsia="仿宋_GB2312" w:cs="黑体"/>
      <w:b/>
      <w:bCs/>
      <w:sz w:val="20"/>
      <w:szCs w:val="20"/>
    </w:rPr>
  </w:style>
  <w:style w:type="character" w:customStyle="1" w:styleId="45">
    <w:name w:val="闻政-正文一级标题 Char"/>
    <w:link w:val="46"/>
    <w:uiPriority w:val="3"/>
    <w:rPr>
      <w:rFonts w:ascii="黑体" w:hAnsi="黑体" w:eastAsia="黑体"/>
      <w:bCs/>
      <w:sz w:val="32"/>
      <w:szCs w:val="32"/>
    </w:rPr>
  </w:style>
  <w:style w:type="paragraph" w:customStyle="1" w:styleId="46">
    <w:name w:val="闻政-正文一级标题"/>
    <w:basedOn w:val="7"/>
    <w:next w:val="47"/>
    <w:link w:val="45"/>
    <w:qFormat/>
    <w:uiPriority w:val="3"/>
    <w:pPr>
      <w:spacing w:before="120" w:after="60" w:line="500" w:lineRule="exact"/>
      <w:ind w:firstLine="0" w:firstLineChars="0"/>
      <w:outlineLvl w:val="0"/>
    </w:pPr>
    <w:rPr>
      <w:rFonts w:ascii="黑体" w:hAnsi="黑体" w:eastAsia="黑体"/>
      <w:sz w:val="32"/>
    </w:rPr>
  </w:style>
  <w:style w:type="paragraph" w:customStyle="1" w:styleId="47">
    <w:name w:val="闻政-正文段落文字"/>
    <w:basedOn w:val="1"/>
    <w:link w:val="48"/>
    <w:qFormat/>
    <w:uiPriority w:val="3"/>
    <w:pPr>
      <w:spacing w:line="500" w:lineRule="exact"/>
      <w:ind w:firstLine="200"/>
    </w:pPr>
    <w:rPr>
      <w:rFonts w:ascii="Times New Roman" w:hAnsi="Times New Roman" w:cs="Times New Roman"/>
      <w:kern w:val="0"/>
      <w:szCs w:val="28"/>
    </w:rPr>
  </w:style>
  <w:style w:type="character" w:customStyle="1" w:styleId="48">
    <w:name w:val="闻政-正文段落文字 Char"/>
    <w:link w:val="47"/>
    <w:uiPriority w:val="3"/>
    <w:rPr>
      <w:rFonts w:ascii="Times New Roman" w:hAnsi="Times New Roman" w:eastAsia="仿宋_GB2312"/>
      <w:sz w:val="28"/>
      <w:szCs w:val="28"/>
    </w:rPr>
  </w:style>
  <w:style w:type="character" w:customStyle="1" w:styleId="49">
    <w:name w:val="闻政-正文二级标题 Char"/>
    <w:link w:val="50"/>
    <w:uiPriority w:val="3"/>
    <w:rPr>
      <w:rFonts w:ascii="Times New Roman" w:hAnsi="Times New Roman" w:eastAsia="仿宋_GB2312"/>
      <w:b/>
      <w:bCs/>
      <w:sz w:val="28"/>
      <w:szCs w:val="32"/>
    </w:rPr>
  </w:style>
  <w:style w:type="paragraph" w:customStyle="1" w:styleId="50">
    <w:name w:val="闻政-正文二级标题"/>
    <w:basedOn w:val="6"/>
    <w:next w:val="47"/>
    <w:link w:val="49"/>
    <w:qFormat/>
    <w:uiPriority w:val="3"/>
    <w:pPr>
      <w:spacing w:before="120" w:after="60" w:line="500" w:lineRule="exact"/>
      <w:ind w:left="200" w:leftChars="200" w:firstLine="0" w:firstLineChars="0"/>
    </w:pPr>
    <w:rPr>
      <w:rFonts w:ascii="Times New Roman" w:hAnsi="Times New Roman"/>
      <w:sz w:val="28"/>
    </w:rPr>
  </w:style>
  <w:style w:type="character" w:customStyle="1" w:styleId="51">
    <w:name w:val="font11"/>
    <w:uiPriority w:val="0"/>
    <w:rPr>
      <w:rFonts w:hint="eastAsia" w:ascii="方正仿宋_GBK" w:hAnsi="方正仿宋_GBK" w:eastAsia="方正仿宋_GBK" w:cs="方正仿宋_GBK"/>
      <w:color w:val="000000"/>
      <w:sz w:val="24"/>
      <w:szCs w:val="24"/>
      <w:u w:val="none"/>
    </w:rPr>
  </w:style>
  <w:style w:type="character" w:customStyle="1" w:styleId="52">
    <w:name w:val="52"/>
    <w:qFormat/>
    <w:uiPriority w:val="0"/>
    <w:rPr>
      <w:b/>
      <w:bCs/>
      <w:smallCaps/>
      <w:color w:val="C0504D"/>
      <w:spacing w:val="5"/>
      <w:u w:val="single"/>
    </w:rPr>
  </w:style>
  <w:style w:type="character" w:customStyle="1" w:styleId="53">
    <w:name w:val="闻政-正文三级标题 Char"/>
    <w:link w:val="54"/>
    <w:uiPriority w:val="3"/>
    <w:rPr>
      <w:rFonts w:ascii="Times New Roman" w:hAnsi="Times New Roman" w:eastAsia="仿宋_GB2312"/>
      <w:b/>
      <w:snapToGrid w:val="0"/>
      <w:sz w:val="28"/>
      <w:szCs w:val="28"/>
    </w:rPr>
  </w:style>
  <w:style w:type="paragraph" w:customStyle="1" w:styleId="54">
    <w:name w:val="闻政-正文三级标题"/>
    <w:basedOn w:val="1"/>
    <w:next w:val="47"/>
    <w:link w:val="53"/>
    <w:qFormat/>
    <w:uiPriority w:val="3"/>
    <w:pPr>
      <w:widowControl/>
      <w:spacing w:before="120" w:after="60" w:line="500" w:lineRule="exact"/>
      <w:ind w:left="200" w:leftChars="200" w:firstLine="0" w:firstLineChars="0"/>
    </w:pPr>
    <w:rPr>
      <w:rFonts w:ascii="Times New Roman" w:hAnsi="Times New Roman" w:cs="Times New Roman"/>
      <w:b/>
      <w:snapToGrid w:val="0"/>
      <w:kern w:val="0"/>
      <w:szCs w:val="28"/>
    </w:rPr>
  </w:style>
  <w:style w:type="character" w:customStyle="1" w:styleId="55">
    <w:name w:val="font21"/>
    <w:uiPriority w:val="0"/>
    <w:rPr>
      <w:rFonts w:hint="default" w:ascii="Times New Roman" w:hAnsi="Times New Roman" w:cs="Times New Roman"/>
      <w:color w:val="000000"/>
      <w:sz w:val="24"/>
      <w:szCs w:val="24"/>
      <w:u w:val="none"/>
    </w:rPr>
  </w:style>
  <w:style w:type="character" w:customStyle="1" w:styleId="56">
    <w:name w:val="无间隔 Char"/>
    <w:link w:val="57"/>
    <w:uiPriority w:val="1"/>
    <w:rPr>
      <w:rFonts w:eastAsia="仿宋_GB2312" w:cs="黑体"/>
      <w:kern w:val="2"/>
      <w:sz w:val="28"/>
      <w:szCs w:val="22"/>
      <w:lang w:val="en-US" w:eastAsia="zh-CN" w:bidi="ar-SA"/>
    </w:rPr>
  </w:style>
  <w:style w:type="paragraph" w:styleId="57">
    <w:name w:val="No Spacing"/>
    <w:link w:val="56"/>
    <w:qFormat/>
    <w:uiPriority w:val="1"/>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58">
    <w:name w:val="List Paragraph"/>
    <w:basedOn w:val="1"/>
    <w:qFormat/>
    <w:uiPriority w:val="34"/>
    <w:pPr>
      <w:ind w:firstLine="420"/>
    </w:pPr>
  </w:style>
  <w:style w:type="paragraph" w:customStyle="1" w:styleId="59">
    <w:name w:val="和田正文1a"/>
    <w:basedOn w:val="1"/>
    <w:qFormat/>
    <w:uiPriority w:val="0"/>
    <w:pPr>
      <w:spacing w:line="560" w:lineRule="exact"/>
      <w:ind w:firstLine="1004" w:firstLineChars="200"/>
      <w:jc w:val="left"/>
    </w:pPr>
    <w:rPr>
      <w:rFonts w:ascii="Times New Roman" w:hAnsi="Times New Roman" w:cs="Times New Roman"/>
      <w:kern w:val="0"/>
      <w:sz w:val="32"/>
      <w:szCs w:val="32"/>
      <w:lang w:bidi="en-US"/>
    </w:rPr>
  </w:style>
  <w:style w:type="character" w:customStyle="1" w:styleId="60">
    <w:name w:val="font71"/>
    <w:basedOn w:val="26"/>
    <w:uiPriority w:val="0"/>
    <w:rPr>
      <w:rFonts w:hint="eastAsia" w:ascii="微软雅黑" w:hAnsi="微软雅黑" w:eastAsia="微软雅黑" w:cs="微软雅黑"/>
      <w:b/>
      <w:bCs/>
      <w:color w:val="000000"/>
      <w:sz w:val="32"/>
      <w:szCs w:val="32"/>
      <w:u w:val="none"/>
    </w:rPr>
  </w:style>
  <w:style w:type="paragraph" w:customStyle="1" w:styleId="61">
    <w:name w:val="闻政正文"/>
    <w:basedOn w:val="1"/>
    <w:qFormat/>
    <w:uiPriority w:val="0"/>
    <w:pPr>
      <w:spacing w:line="500" w:lineRule="exact"/>
      <w:ind w:firstLine="560" w:firstLineChars="200"/>
    </w:pPr>
    <w:rPr>
      <w:kern w:val="0"/>
      <w:sz w:val="28"/>
      <w:szCs w:val="28"/>
    </w:rPr>
  </w:style>
  <w:style w:type="character" w:customStyle="1" w:styleId="62">
    <w:name w:val="font31"/>
    <w:basedOn w:val="26"/>
    <w:uiPriority w:val="0"/>
    <w:rPr>
      <w:rFonts w:hint="eastAsia" w:ascii="宋体" w:hAnsi="宋体" w:eastAsia="宋体" w:cs="宋体"/>
      <w:b/>
      <w:bCs/>
      <w:color w:val="00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5F466B1897B34DA9A419736F6AA6BA63_13</vt:lpwstr>
  </property>
  <property fmtid="{D5CDD505-2E9C-101B-9397-08002B2CF9AE}" pid="4" name="KSOTemplateDocerSaveRecord">
    <vt:lpwstr>eyJoZGlkIjoiZDE5MGZhMTJhZDM2OTQwYzkzYWVjM2FhZDUxN2Q0M2IiLCJ1c2VySWQiOiI2NTE5NDIwMjYifQ==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e8d25c-d1e8-4e70-a71a-53f3c2e2ebcd}">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28</Pages>
  <Words>10787</Words>
  <Characters>11367</Characters>
  <Lines>44</Lines>
  <Paragraphs>12</Paragraphs>
  <TotalTime>3</TotalTime>
  <ScaleCrop>false</ScaleCrop>
  <LinksUpToDate>false</LinksUpToDate>
  <CharactersWithSpaces>11419</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2021-04-03T09:53:00Z</dcterms:created>
  <dc:creator>User</dc:creator>
  <cp:lastModifiedBy>Administrator</cp:lastModifiedBy>
  <cp:lastPrinted>2025-03-06T09:43:00Z</cp:lastPrinted>
  <dcterms:modified xsi:type="dcterms:W3CDTF">2025-10-10T10:03:05Z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5F466B1897B34DA9A419736F6AA6BA63_13</vt:lpwstr>
  </property>
  <property fmtid="{D5CDD505-2E9C-101B-9397-08002B2CF9AE}" pid="4" name="KSOTemplateDocerSaveRecord">
    <vt:lpwstr>eyJoZGlkIjoiZDE5MGZhMTJhZDM2OTQwYzkzYWVjM2FhZDUxN2Q0M2IiLCJ1c2VySWQiOiI2NTE5NDIwMjYifQ_x003D__x003D_</vt:lpwstr>
  </property>
</Properties>
</file>