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6DC57">
      <w:bookmarkStart w:id="16" w:name="_GoBack"/>
      <w:bookmarkEnd w:id="16"/>
    </w:p>
    <w:p w14:paraId="5AFA384B">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4BB99B0B">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和田地区2021年煤改电居民入户工程</w:t>
      </w:r>
    </w:p>
    <w:p w14:paraId="02CB6BF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建设项目支出绩效评价报告</w:t>
      </w:r>
    </w:p>
    <w:p w14:paraId="4C0457D5">
      <w:pPr>
        <w:pStyle w:val="7"/>
        <w:jc w:val="center"/>
        <w:rPr>
          <w:rFonts w:hint="eastAsia" w:ascii="宋体" w:hAnsi="宋体" w:eastAsia="宋体" w:cs="宋体"/>
          <w:color w:val="auto"/>
          <w:lang w:eastAsia="zh-CN"/>
        </w:rPr>
      </w:pPr>
    </w:p>
    <w:p w14:paraId="5728101C">
      <w:pPr>
        <w:pStyle w:val="7"/>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065C2B8C">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10775907">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16800EB3">
      <w:pPr>
        <w:pStyle w:val="7"/>
        <w:rPr>
          <w:rFonts w:hint="eastAsia" w:eastAsia="方正仿宋_GBK" w:cs="方正仿宋_GBK"/>
          <w:b/>
          <w:color w:val="auto"/>
          <w:kern w:val="0"/>
          <w:sz w:val="32"/>
          <w:szCs w:val="32"/>
          <w:lang w:bidi="en-US"/>
        </w:rPr>
      </w:pPr>
    </w:p>
    <w:p w14:paraId="3032DC5E">
      <w:pPr>
        <w:rPr>
          <w:rFonts w:hint="eastAsia" w:eastAsia="方正仿宋_GBK" w:cs="方正仿宋_GBK"/>
          <w:b/>
          <w:color w:val="auto"/>
          <w:kern w:val="0"/>
          <w:sz w:val="32"/>
          <w:szCs w:val="32"/>
          <w:lang w:bidi="en-US"/>
        </w:rPr>
      </w:pPr>
    </w:p>
    <w:p w14:paraId="3C6C1942">
      <w:pPr>
        <w:pStyle w:val="7"/>
        <w:pageBreakBefore w:val="0"/>
        <w:widowControl w:val="0"/>
        <w:kinsoku/>
        <w:wordWrap/>
        <w:topLinePunct w:val="0"/>
        <w:autoSpaceDE/>
        <w:autoSpaceDN/>
        <w:bidi w:val="0"/>
        <w:spacing w:before="0" w:after="0" w:line="560" w:lineRule="exact"/>
        <w:ind w:left="0" w:leftChars="0" w:firstLine="0" w:firstLineChars="0"/>
        <w:textAlignment w:val="auto"/>
        <w:rPr>
          <w:rFonts w:hint="eastAsia" w:eastAsia="方正仿宋_GBK" w:cs="方正仿宋_GBK"/>
          <w:b/>
          <w:color w:val="auto"/>
          <w:sz w:val="32"/>
          <w:lang w:bidi="en-US"/>
        </w:rPr>
      </w:pPr>
    </w:p>
    <w:p w14:paraId="1C7116CD">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2FE57B3F">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1591782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项目名称：2021年煤改电居民入户工程建设项目</w:t>
      </w:r>
    </w:p>
    <w:p w14:paraId="2E02FD7D">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洛浦县住房和城乡建设局</w:t>
      </w:r>
    </w:p>
    <w:p w14:paraId="78BA8327">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洛浦县发展和改革委员会</w:t>
      </w:r>
    </w:p>
    <w:p w14:paraId="01011EBC">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王文举</w:t>
      </w:r>
    </w:p>
    <w:p w14:paraId="6232A95E">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sz w:val="24"/>
          <w:szCs w:val="24"/>
          <w:lang w:val="en-US" w:eastAsia="zh-CN"/>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15</w:t>
      </w:r>
      <w:r>
        <w:rPr>
          <w:rFonts w:hint="eastAsia" w:ascii="宋体" w:hAnsi="宋体" w:eastAsia="宋体" w:cs="宋体"/>
          <w:b/>
          <w:bCs/>
          <w:color w:val="000000"/>
          <w:kern w:val="0"/>
          <w:sz w:val="28"/>
          <w:szCs w:val="28"/>
          <w:highlight w:val="none"/>
          <w:lang w:bidi="en-US"/>
        </w:rPr>
        <w:t>日</w:t>
      </w:r>
      <w:bookmarkStart w:id="0" w:name="_Toc68364657"/>
    </w:p>
    <w:bookmarkEnd w:id="0"/>
    <w:p w14:paraId="5EB398D4">
      <w:pPr>
        <w:pStyle w:val="4"/>
        <w:ind w:left="0" w:leftChars="0" w:firstLine="0" w:firstLineChars="0"/>
        <w:rPr>
          <w:rFonts w:hint="eastAsia"/>
          <w:lang w:val="en-US" w:eastAsia="zh-CN"/>
        </w:rPr>
      </w:pPr>
    </w:p>
    <w:p w14:paraId="078A2963">
      <w:pPr>
        <w:pStyle w:val="3"/>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531E34DF">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1"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1"/>
    </w:p>
    <w:p w14:paraId="2755804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7754349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深入贯彻习近平总书记关于“要按照政府推动、居民可承受的方针，宜气则气、宜电则电、聚焦新疆社会稳定和长治久安总目标，以人民为中心，坚持市场化、保基本、经济性的原则，因地制宜在和田地区农村推进煤改电工程，降低农村居民供暖成本，改善农村居民供暖条件，增加农村居民获得感，让农村居民更多享受电气化成果。</w:t>
      </w:r>
    </w:p>
    <w:p w14:paraId="138F4E5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0B3EB914">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426DEFBE">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lang w:val="en-US" w:eastAsia="zh-CN" w:bidi="en-US"/>
        </w:rPr>
      </w:pPr>
      <w:r>
        <w:rPr>
          <w:rFonts w:hint="eastAsia" w:ascii="宋体" w:hAnsi="宋体" w:eastAsia="宋体" w:cs="宋体"/>
          <w:color w:val="auto"/>
          <w:kern w:val="0"/>
          <w:sz w:val="24"/>
          <w:szCs w:val="24"/>
          <w:lang w:bidi="en-US"/>
        </w:rPr>
        <w:t>2021年煤改电居民入户工程</w:t>
      </w:r>
      <w:r>
        <w:rPr>
          <w:rFonts w:hint="eastAsia" w:ascii="宋体" w:hAnsi="宋体" w:eastAsia="宋体" w:cs="宋体"/>
          <w:color w:val="auto"/>
          <w:kern w:val="0"/>
          <w:sz w:val="24"/>
          <w:szCs w:val="24"/>
          <w:lang w:eastAsia="zh-CN" w:bidi="en-US"/>
        </w:rPr>
        <w:t>共涉及</w:t>
      </w:r>
      <w:r>
        <w:rPr>
          <w:rFonts w:hint="eastAsia" w:ascii="宋体" w:hAnsi="宋体" w:eastAsia="宋体" w:cs="宋体"/>
          <w:color w:val="auto"/>
          <w:kern w:val="0"/>
          <w:sz w:val="24"/>
          <w:szCs w:val="24"/>
          <w:lang w:val="en-US" w:eastAsia="zh-CN" w:bidi="en-US"/>
        </w:rPr>
        <w:t>8个乡镇47个村13090户居民，其中布亚乡7个村1715户、多鲁乡8个村2188户、洛浦镇4个村1353户、恰尔巴格乡9个村2549户、山普鲁镇2个村560户、杭桂镇10个村3295户，拜什托格拉克乡3村265户，纳瓦乡4村1165户。每户按照50平方米、4千瓦标准配置采暖设备。</w:t>
      </w:r>
    </w:p>
    <w:p w14:paraId="0E73B453">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77D0024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75C099E8">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lang w:val="en-US" w:eastAsia="zh-CN" w:bidi="en-US"/>
        </w:rPr>
      </w:pPr>
      <w:r>
        <w:rPr>
          <w:rFonts w:hint="eastAsia" w:ascii="宋体" w:hAnsi="宋体" w:eastAsia="宋体" w:cs="宋体"/>
          <w:color w:val="auto"/>
          <w:kern w:val="0"/>
          <w:sz w:val="24"/>
          <w:szCs w:val="24"/>
          <w:lang w:val="en-US" w:eastAsia="zh-CN" w:bidi="en-US"/>
        </w:rPr>
        <w:t>本项目主管部门为洛浦县发展和改革委员会，实施单位为洛浦县住房和城乡建设局。</w:t>
      </w:r>
    </w:p>
    <w:p w14:paraId="29E9C0C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1C9EF409">
      <w:pPr>
        <w:pStyle w:val="47"/>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2024年1月-2024年12月</w:t>
      </w:r>
    </w:p>
    <w:p w14:paraId="735B3E3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4F61E1DA">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本项目于2024年12月30日前资金已全部支付完毕。</w:t>
      </w:r>
    </w:p>
    <w:p w14:paraId="4D5609AF">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val="0"/>
          <w:bCs w:val="0"/>
          <w:color w:val="auto"/>
          <w:sz w:val="24"/>
          <w:szCs w:val="24"/>
          <w:lang w:val="en-US" w:eastAsia="zh-CN"/>
        </w:rPr>
        <w:t>本项目2021年2月经洛浦县发改委下达关于对《</w:t>
      </w:r>
      <w:r>
        <w:rPr>
          <w:rFonts w:hint="eastAsia" w:ascii="宋体" w:hAnsi="宋体" w:eastAsia="宋体" w:cs="宋体"/>
          <w:color w:val="auto"/>
          <w:kern w:val="0"/>
          <w:sz w:val="24"/>
          <w:szCs w:val="24"/>
          <w:lang w:bidi="en-US"/>
        </w:rPr>
        <w:t>2021年煤改电居民入户工程</w:t>
      </w:r>
      <w:r>
        <w:rPr>
          <w:rFonts w:hint="eastAsia" w:ascii="宋体" w:hAnsi="宋体" w:eastAsia="宋体" w:cs="宋体"/>
          <w:b w:val="0"/>
          <w:bCs w:val="0"/>
          <w:color w:val="auto"/>
          <w:sz w:val="24"/>
          <w:szCs w:val="24"/>
          <w:lang w:val="en-US" w:eastAsia="zh-CN"/>
        </w:rPr>
        <w:t>实施方案的批复》（洛发改项目【2021】26号），项目采用公开招标方式确定施工单位为四川尚易建设工程有限公司、新疆高顺建设工程有限公司、新疆开城佳怡建设工程有限责任公司、世昌建设集团有限公司、新疆建河建设工程有限公司，并签订了施工合同，确定监理单位为新疆红宇建业项目管理有限公司，并签订监理合同。项目已竣工验收，已完成决算审计，已投入使用。</w:t>
      </w:r>
    </w:p>
    <w:p w14:paraId="71D91C7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0CD5DD2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197766AA">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本项目预算安排总额为1510.64万元，资金来源为自治区专项资金，其中：财政资金</w:t>
      </w:r>
      <w:r>
        <w:rPr>
          <w:rFonts w:hint="eastAsia" w:ascii="宋体" w:hAnsi="宋体" w:eastAsia="宋体" w:cs="宋体"/>
          <w:color w:val="auto"/>
          <w:sz w:val="24"/>
          <w:szCs w:val="24"/>
          <w:lang w:val="en-US" w:eastAsia="zh-CN"/>
        </w:rPr>
        <w:t>1510.64</w:t>
      </w:r>
      <w:r>
        <w:rPr>
          <w:rFonts w:hint="eastAsia" w:ascii="宋体" w:hAnsi="宋体" w:eastAsia="宋体" w:cs="宋体"/>
          <w:color w:val="auto"/>
          <w:sz w:val="24"/>
          <w:szCs w:val="24"/>
          <w:lang w:eastAsia="zh-CN"/>
        </w:rPr>
        <w:t>万元，其他资金</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lang w:eastAsia="zh-CN"/>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年实际收到预算资金</w:t>
      </w:r>
      <w:r>
        <w:rPr>
          <w:rFonts w:hint="eastAsia" w:ascii="宋体" w:hAnsi="宋体" w:eastAsia="宋体" w:cs="宋体"/>
          <w:color w:val="auto"/>
          <w:sz w:val="24"/>
          <w:szCs w:val="24"/>
          <w:lang w:val="en-US" w:eastAsia="zh-CN"/>
        </w:rPr>
        <w:t>1510.64</w:t>
      </w:r>
      <w:r>
        <w:rPr>
          <w:rFonts w:hint="eastAsia" w:ascii="宋体" w:hAnsi="宋体" w:eastAsia="宋体" w:cs="宋体"/>
          <w:color w:val="auto"/>
          <w:sz w:val="24"/>
          <w:szCs w:val="24"/>
          <w:lang w:eastAsia="zh-CN"/>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lang w:eastAsia="zh-CN"/>
        </w:rPr>
        <w:t>%。</w:t>
      </w:r>
    </w:p>
    <w:p w14:paraId="33A77E6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0BFFF893">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本项目实际支付资金</w:t>
      </w:r>
      <w:r>
        <w:rPr>
          <w:rFonts w:hint="eastAsia" w:ascii="宋体" w:hAnsi="宋体" w:eastAsia="宋体" w:cs="宋体"/>
          <w:color w:val="auto"/>
          <w:sz w:val="24"/>
          <w:szCs w:val="24"/>
          <w:lang w:val="en-US" w:eastAsia="zh-CN"/>
        </w:rPr>
        <w:t>1510.64</w:t>
      </w:r>
      <w:r>
        <w:rPr>
          <w:rFonts w:hint="eastAsia" w:ascii="宋体" w:hAnsi="宋体" w:eastAsia="宋体" w:cs="宋体"/>
          <w:color w:val="auto"/>
          <w:sz w:val="24"/>
          <w:szCs w:val="24"/>
          <w:lang w:eastAsia="zh-CN"/>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lang w:eastAsia="zh-CN"/>
        </w:rPr>
        <w:t>%。本项目资金主要用于支付工程款</w:t>
      </w:r>
      <w:r>
        <w:rPr>
          <w:rFonts w:hint="eastAsia" w:ascii="宋体" w:hAnsi="宋体" w:eastAsia="宋体" w:cs="宋体"/>
          <w:color w:val="auto"/>
          <w:sz w:val="24"/>
          <w:szCs w:val="24"/>
          <w:lang w:val="en-US" w:eastAsia="zh-CN"/>
        </w:rPr>
        <w:t>1449.31</w:t>
      </w:r>
      <w:r>
        <w:rPr>
          <w:rFonts w:hint="eastAsia" w:ascii="宋体" w:hAnsi="宋体" w:eastAsia="宋体" w:cs="宋体"/>
          <w:color w:val="auto"/>
          <w:sz w:val="24"/>
          <w:szCs w:val="24"/>
          <w:lang w:eastAsia="zh-CN"/>
        </w:rPr>
        <w:t>万元、监理费</w:t>
      </w:r>
      <w:r>
        <w:rPr>
          <w:rFonts w:hint="eastAsia" w:ascii="宋体" w:hAnsi="宋体" w:eastAsia="宋体" w:cs="宋体"/>
          <w:color w:val="auto"/>
          <w:sz w:val="24"/>
          <w:szCs w:val="24"/>
          <w:lang w:val="en-US" w:eastAsia="zh-CN"/>
        </w:rPr>
        <w:t>33.96</w:t>
      </w:r>
      <w:r>
        <w:rPr>
          <w:rFonts w:hint="eastAsia" w:ascii="宋体" w:hAnsi="宋体" w:eastAsia="宋体" w:cs="宋体"/>
          <w:color w:val="auto"/>
          <w:sz w:val="24"/>
          <w:szCs w:val="24"/>
          <w:lang w:eastAsia="zh-CN"/>
        </w:rPr>
        <w:t>万元、</w:t>
      </w:r>
      <w:r>
        <w:rPr>
          <w:rFonts w:hint="eastAsia" w:ascii="宋体" w:hAnsi="宋体" w:eastAsia="宋体" w:cs="宋体"/>
          <w:color w:val="auto"/>
          <w:sz w:val="24"/>
          <w:szCs w:val="24"/>
          <w:lang w:val="en-US" w:eastAsia="zh-CN"/>
        </w:rPr>
        <w:t>工程结算、财务审计费27.37万元。</w:t>
      </w:r>
    </w:p>
    <w:p w14:paraId="542A0926">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500215A8">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578AB8F5">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0E582550">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对洛浦县8个乡镇13090户居民，按照每户50平方米、4千瓦标准配置采暖设备。通过该项目实施，减少煤取暖对环境污染，逐步代替燃煤取暖，解决污染问题，提高卫生水平，保护人民身体健康，保护自然风景，促进经济发展。</w:t>
      </w:r>
    </w:p>
    <w:p w14:paraId="3BA2A876">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阶段性目标</w:t>
      </w:r>
    </w:p>
    <w:p w14:paraId="719B61D5">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7CD45788">
      <w:pPr>
        <w:pStyle w:val="47"/>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137C8CE1">
      <w:pPr>
        <w:pStyle w:val="47"/>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597708CA">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指标1：</w:t>
      </w:r>
      <w:r>
        <w:rPr>
          <w:rFonts w:hint="eastAsia" w:ascii="宋体" w:hAnsi="宋体" w:eastAsia="宋体" w:cs="宋体"/>
          <w:color w:val="auto"/>
          <w:sz w:val="24"/>
          <w:szCs w:val="24"/>
        </w:rPr>
        <w:t>配置采暖设备户数</w:t>
      </w:r>
      <w:r>
        <w:rPr>
          <w:rFonts w:hint="eastAsia" w:ascii="宋体" w:hAnsi="宋体" w:eastAsia="宋体" w:cs="宋体"/>
          <w:color w:val="auto"/>
          <w:sz w:val="24"/>
          <w:szCs w:val="24"/>
          <w:lang w:eastAsia="zh-CN"/>
        </w:rPr>
        <w:t>，预期指标值</w:t>
      </w:r>
      <w:r>
        <w:rPr>
          <w:rFonts w:hint="eastAsia" w:ascii="宋体" w:hAnsi="宋体" w:eastAsia="宋体" w:cs="宋体"/>
          <w:color w:val="auto"/>
          <w:sz w:val="24"/>
          <w:szCs w:val="24"/>
        </w:rPr>
        <w:t>≥13090户</w:t>
      </w:r>
      <w:r>
        <w:rPr>
          <w:rFonts w:hint="eastAsia" w:ascii="宋体" w:hAnsi="宋体" w:eastAsia="宋体" w:cs="宋体"/>
          <w:color w:val="auto"/>
          <w:sz w:val="24"/>
          <w:szCs w:val="24"/>
          <w:lang w:eastAsia="zh-CN"/>
        </w:rPr>
        <w:t>；</w:t>
      </w:r>
    </w:p>
    <w:p w14:paraId="5DC115B7">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指标2：</w:t>
      </w:r>
      <w:r>
        <w:rPr>
          <w:rFonts w:hint="eastAsia" w:ascii="宋体" w:hAnsi="宋体" w:eastAsia="宋体" w:cs="宋体"/>
          <w:color w:val="auto"/>
          <w:sz w:val="24"/>
          <w:szCs w:val="24"/>
        </w:rPr>
        <w:t>配置设备房屋面积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预期指标值=50平方米/户</w:t>
      </w:r>
      <w:r>
        <w:rPr>
          <w:rFonts w:hint="eastAsia" w:ascii="宋体" w:hAnsi="宋体" w:eastAsia="宋体" w:cs="宋体"/>
          <w:color w:val="auto"/>
          <w:sz w:val="24"/>
          <w:szCs w:val="24"/>
          <w:lang w:eastAsia="zh-CN"/>
        </w:rPr>
        <w:t>；</w:t>
      </w:r>
    </w:p>
    <w:p w14:paraId="5377723A">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7FF1E5D6">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指标1：</w:t>
      </w:r>
      <w:r>
        <w:rPr>
          <w:rFonts w:hint="eastAsia" w:ascii="宋体" w:hAnsi="宋体" w:eastAsia="宋体" w:cs="宋体"/>
          <w:color w:val="auto"/>
          <w:sz w:val="24"/>
          <w:szCs w:val="24"/>
        </w:rPr>
        <w:t>工程验收合格率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p>
    <w:p w14:paraId="49114EBA">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指标2：</w:t>
      </w:r>
      <w:r>
        <w:rPr>
          <w:rFonts w:hint="eastAsia" w:ascii="宋体" w:hAnsi="宋体" w:eastAsia="宋体" w:cs="宋体"/>
          <w:color w:val="auto"/>
          <w:sz w:val="24"/>
          <w:szCs w:val="24"/>
        </w:rPr>
        <w:t>设备质量合格率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p>
    <w:p w14:paraId="24D2406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指标3：</w:t>
      </w:r>
      <w:r>
        <w:rPr>
          <w:rFonts w:hint="eastAsia" w:ascii="宋体" w:hAnsi="宋体" w:eastAsia="宋体" w:cs="宋体"/>
          <w:color w:val="auto"/>
          <w:sz w:val="24"/>
          <w:szCs w:val="24"/>
        </w:rPr>
        <w:t>资金使用合规率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p>
    <w:p w14:paraId="4C754577">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3）时效指标：</w:t>
      </w:r>
    </w:p>
    <w:p w14:paraId="4BC52F25">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w:t>
      </w:r>
      <w:r>
        <w:rPr>
          <w:rFonts w:hint="eastAsia" w:ascii="宋体" w:hAnsi="宋体" w:eastAsia="宋体" w:cs="宋体"/>
          <w:color w:val="auto"/>
          <w:sz w:val="24"/>
          <w:szCs w:val="24"/>
        </w:rPr>
        <w:t>项目开始时间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2024年1月；</w:t>
      </w:r>
    </w:p>
    <w:p w14:paraId="39B727E6">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指标2：</w:t>
      </w:r>
      <w:r>
        <w:rPr>
          <w:rFonts w:hint="eastAsia" w:ascii="宋体" w:hAnsi="宋体" w:eastAsia="宋体" w:cs="宋体"/>
          <w:color w:val="auto"/>
          <w:sz w:val="24"/>
          <w:szCs w:val="24"/>
        </w:rPr>
        <w:t>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2024年12月；</w:t>
      </w:r>
    </w:p>
    <w:p w14:paraId="4FFADA90">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指标3：</w:t>
      </w:r>
      <w:r>
        <w:rPr>
          <w:rFonts w:hint="eastAsia" w:ascii="宋体" w:hAnsi="宋体" w:eastAsia="宋体" w:cs="宋体"/>
          <w:color w:val="auto"/>
          <w:sz w:val="24"/>
          <w:szCs w:val="24"/>
        </w:rPr>
        <w:t>资金支付及时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p>
    <w:p w14:paraId="5ED83CB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（2）成本指标：</w:t>
      </w:r>
    </w:p>
    <w:p w14:paraId="669B454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52ACB48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指标1：</w:t>
      </w:r>
      <w:r>
        <w:rPr>
          <w:rFonts w:hint="eastAsia" w:ascii="宋体" w:hAnsi="宋体" w:eastAsia="宋体" w:cs="宋体"/>
          <w:color w:val="auto"/>
          <w:sz w:val="24"/>
          <w:szCs w:val="24"/>
        </w:rPr>
        <w:t>项目</w:t>
      </w:r>
      <w:r>
        <w:rPr>
          <w:rFonts w:hint="eastAsia" w:ascii="宋体" w:hAnsi="宋体" w:eastAsia="宋体" w:cs="宋体"/>
          <w:color w:val="auto"/>
          <w:sz w:val="24"/>
          <w:szCs w:val="24"/>
          <w:lang w:eastAsia="zh-CN"/>
        </w:rPr>
        <w:t>资金，</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1510.64</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p>
    <w:p w14:paraId="2E7F056E">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65934AB5">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该项目不涉及社会成本指标；</w:t>
      </w:r>
    </w:p>
    <w:p w14:paraId="39ADD92B">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3）生态成本指标;</w:t>
      </w:r>
    </w:p>
    <w:p w14:paraId="2512DF9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该项目不涉及生态成本指标；</w:t>
      </w:r>
    </w:p>
    <w:p w14:paraId="7822363C">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49FB10C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0553553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w:t>
      </w:r>
      <w:r>
        <w:rPr>
          <w:rFonts w:hint="eastAsia" w:ascii="宋体" w:hAnsi="宋体" w:eastAsia="宋体" w:cs="宋体"/>
          <w:color w:val="auto"/>
          <w:sz w:val="24"/>
          <w:szCs w:val="24"/>
        </w:rPr>
        <w:t>经济效益</w:t>
      </w:r>
      <w:r>
        <w:rPr>
          <w:rFonts w:hint="eastAsia" w:ascii="宋体" w:hAnsi="宋体" w:eastAsia="宋体" w:cs="宋体"/>
          <w:color w:val="auto"/>
          <w:sz w:val="24"/>
          <w:szCs w:val="24"/>
          <w:lang w:val="en-US" w:eastAsia="zh-CN"/>
        </w:rPr>
        <w:t>指标；</w:t>
      </w:r>
    </w:p>
    <w:p w14:paraId="0264588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0233D14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指标1：</w:t>
      </w:r>
      <w:r>
        <w:rPr>
          <w:rFonts w:hint="eastAsia" w:ascii="宋体" w:hAnsi="宋体" w:eastAsia="宋体" w:cs="宋体"/>
          <w:color w:val="auto"/>
          <w:sz w:val="24"/>
          <w:szCs w:val="24"/>
        </w:rPr>
        <w:t>提高卫生水平，保护人民身体健康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预期指标值为有效</w:t>
      </w:r>
      <w:r>
        <w:rPr>
          <w:rFonts w:hint="eastAsia" w:ascii="宋体" w:hAnsi="宋体" w:eastAsia="宋体" w:cs="宋体"/>
          <w:color w:val="auto"/>
          <w:sz w:val="24"/>
          <w:szCs w:val="24"/>
          <w:lang w:eastAsia="zh-CN"/>
        </w:rPr>
        <w:t>提高；</w:t>
      </w:r>
    </w:p>
    <w:p w14:paraId="693FD827">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5EF3977C">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该项目不涉及生态</w:t>
      </w:r>
      <w:r>
        <w:rPr>
          <w:rFonts w:hint="eastAsia" w:ascii="宋体" w:hAnsi="宋体" w:eastAsia="宋体" w:cs="宋体"/>
          <w:color w:val="auto"/>
          <w:sz w:val="24"/>
          <w:szCs w:val="24"/>
        </w:rPr>
        <w:t>效益</w:t>
      </w:r>
      <w:r>
        <w:rPr>
          <w:rFonts w:hint="eastAsia" w:ascii="宋体" w:hAnsi="宋体" w:eastAsia="宋体" w:cs="宋体"/>
          <w:color w:val="auto"/>
          <w:sz w:val="24"/>
          <w:szCs w:val="24"/>
          <w:lang w:val="en-US" w:eastAsia="zh-CN"/>
        </w:rPr>
        <w:t>指标；</w:t>
      </w:r>
    </w:p>
    <w:p w14:paraId="49C5382D">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2D61898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指标1：</w:t>
      </w:r>
      <w:r>
        <w:rPr>
          <w:rFonts w:hint="eastAsia" w:ascii="宋体" w:hAnsi="宋体" w:eastAsia="宋体" w:cs="宋体"/>
          <w:color w:val="auto"/>
          <w:sz w:val="24"/>
          <w:szCs w:val="24"/>
        </w:rPr>
        <w:t>人民群众满意度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预期指标值≥95%</w:t>
      </w:r>
      <w:r>
        <w:rPr>
          <w:rFonts w:hint="eastAsia" w:ascii="宋体" w:hAnsi="宋体" w:eastAsia="宋体" w:cs="宋体"/>
          <w:color w:val="auto"/>
          <w:sz w:val="24"/>
          <w:szCs w:val="24"/>
          <w:lang w:eastAsia="zh-CN"/>
        </w:rPr>
        <w:t>。</w:t>
      </w:r>
    </w:p>
    <w:p w14:paraId="16666C4F">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二、绩效评价工作开展情况</w:t>
      </w:r>
      <w:bookmarkEnd w:id="3"/>
    </w:p>
    <w:p w14:paraId="72007069">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7969A41F">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1.绩效评价目的</w:t>
      </w:r>
    </w:p>
    <w:p w14:paraId="603CE755">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定，对2021年煤改电居民入户工程项目开展本次部门项目支出绩效评价工作。全面了解</w:t>
      </w:r>
      <w:r>
        <w:rPr>
          <w:rFonts w:hint="eastAsia" w:ascii="宋体" w:hAnsi="宋体" w:eastAsia="宋体" w:cs="宋体"/>
          <w:color w:val="auto"/>
          <w:sz w:val="24"/>
          <w:szCs w:val="24"/>
          <w:lang w:val="en-US" w:eastAsia="zh-CN"/>
        </w:rPr>
        <w:t>2021年煤改电居民入户工程</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48F3E5C6">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1038C345">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2A2163C1">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617EA83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174D7F2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2021年煤改电居民入户工程</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452180EC">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3.绩效评价范围</w:t>
      </w:r>
    </w:p>
    <w:p w14:paraId="2A75484A">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2021年煤改电居民入户工程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1629A22A">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12154F56">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1.绩效评价原则</w:t>
      </w:r>
    </w:p>
    <w:p w14:paraId="53FFC59E">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32914DB5">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（1）科学公正。绩效评价应当运用科学合理的方法，按照规范的程序，对项目绩效进行客观、公正的反映。</w:t>
      </w:r>
    </w:p>
    <w:p w14:paraId="0D07016D">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79817FB">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（3）激励约束。绩效评价结果应与预算安排、政策调整、改进管理实质性挂钩，体现奖优罚劣和激励相容导向，有效要安排、低效要压减、无效要问责。</w:t>
      </w:r>
    </w:p>
    <w:p w14:paraId="19C72462">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（4）公开透明。绩效评价结果应依法依规公开，并自觉接受社会监督。</w:t>
      </w:r>
    </w:p>
    <w:p w14:paraId="56DC09A3">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根据以上原则，绩效评价应遵循如下要求:</w:t>
      </w:r>
    </w:p>
    <w:p w14:paraId="77B31499">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1151C48C">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6E7B5FB2">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08EAB6B6">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2.绩效评价指标体系</w:t>
      </w:r>
    </w:p>
    <w:p w14:paraId="3165E22C">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3570ED05">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3.绩效评价方法</w:t>
      </w:r>
    </w:p>
    <w:p w14:paraId="57BC97CB">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D172A82">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78B629E6">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3FC29A73">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778363E6">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4389227A">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3D422E9F">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13B23825">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542704D8">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6A8693F1">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7A1E7CF3">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163BCF9D">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125B9E31">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681969C2">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1E34D27">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572FFC41">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4.绩效评价标准</w:t>
      </w:r>
    </w:p>
    <w:p w14:paraId="11E633D3">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lang w:eastAsia="zh-CN"/>
        </w:rPr>
        <w:t>计划</w:t>
      </w:r>
      <w:r>
        <w:rPr>
          <w:rFonts w:hint="eastAsia" w:ascii="宋体" w:hAnsi="宋体" w:eastAsia="宋体" w:cs="宋体"/>
          <w:color w:val="auto"/>
          <w:sz w:val="24"/>
          <w:szCs w:val="24"/>
        </w:rPr>
        <w:t>标准。</w:t>
      </w:r>
    </w:p>
    <w:p w14:paraId="2E179727">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1FC0F00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7" w:name="_Toc68364664"/>
      <w:r>
        <w:rPr>
          <w:rFonts w:hint="eastAsia" w:ascii="宋体" w:hAnsi="宋体" w:eastAsia="宋体" w:cs="宋体"/>
          <w:b/>
          <w:bCs/>
          <w:color w:val="000000"/>
          <w:sz w:val="24"/>
          <w:szCs w:val="24"/>
          <w:highlight w:val="none"/>
        </w:rPr>
        <w:t>1.前期准备</w:t>
      </w:r>
    </w:p>
    <w:p w14:paraId="50290D1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2A58493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王文举</w:t>
      </w:r>
      <w:r>
        <w:rPr>
          <w:rFonts w:hint="eastAsia" w:ascii="宋体" w:hAnsi="宋体" w:eastAsia="宋体" w:cs="宋体"/>
          <w:color w:val="auto"/>
          <w:sz w:val="24"/>
          <w:szCs w:val="24"/>
        </w:rPr>
        <w:t>（评价小组组长）：主要负责</w:t>
      </w:r>
      <w:r>
        <w:rPr>
          <w:rFonts w:hint="eastAsia" w:ascii="宋体" w:hAnsi="宋体" w:eastAsia="宋体" w:cs="宋体"/>
          <w:b w:val="0"/>
          <w:bCs w:val="0"/>
          <w:color w:val="auto"/>
          <w:sz w:val="24"/>
          <w:szCs w:val="24"/>
          <w:lang w:val="en-US" w:eastAsia="zh-CN"/>
        </w:rPr>
        <w:t>组织安排绩效评价工作；</w:t>
      </w:r>
    </w:p>
    <w:p w14:paraId="0BE085E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徐元芬</w:t>
      </w:r>
      <w:r>
        <w:rPr>
          <w:rFonts w:hint="eastAsia" w:ascii="宋体" w:hAnsi="宋体" w:eastAsia="宋体" w:cs="宋体"/>
          <w:color w:val="auto"/>
          <w:sz w:val="24"/>
          <w:szCs w:val="24"/>
        </w:rPr>
        <w:t>（评价小组组员）：主要负责</w:t>
      </w:r>
      <w:r>
        <w:rPr>
          <w:rFonts w:hint="eastAsia" w:ascii="宋体" w:hAnsi="宋体" w:eastAsia="宋体" w:cs="宋体"/>
          <w:b w:val="0"/>
          <w:bCs w:val="0"/>
          <w:color w:val="auto"/>
          <w:sz w:val="24"/>
          <w:szCs w:val="24"/>
          <w:lang w:val="en-US" w:eastAsia="zh-CN"/>
        </w:rPr>
        <w:t>资料整理及信息汇总工作；</w:t>
      </w:r>
    </w:p>
    <w:p w14:paraId="6FD7D0E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冯伟</w:t>
      </w:r>
      <w:r>
        <w:rPr>
          <w:rFonts w:hint="eastAsia" w:ascii="宋体" w:hAnsi="宋体" w:eastAsia="宋体" w:cs="宋体"/>
          <w:color w:val="auto"/>
          <w:sz w:val="24"/>
          <w:szCs w:val="24"/>
        </w:rPr>
        <w:t>（评价小组组员）：主要负责</w:t>
      </w:r>
      <w:r>
        <w:rPr>
          <w:rFonts w:hint="eastAsia" w:ascii="宋体" w:hAnsi="宋体" w:eastAsia="宋体" w:cs="宋体"/>
          <w:b w:val="0"/>
          <w:bCs w:val="0"/>
          <w:color w:val="auto"/>
          <w:sz w:val="24"/>
          <w:szCs w:val="24"/>
          <w:lang w:val="en-US" w:eastAsia="zh-CN"/>
        </w:rPr>
        <w:t>出具项目绩效评价报告</w:t>
      </w:r>
    </w:p>
    <w:p w14:paraId="362DB7B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21954F1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0945F55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w:t>
      </w:r>
      <w:r>
        <w:rPr>
          <w:rFonts w:hint="eastAsia" w:ascii="宋体" w:hAnsi="宋体" w:eastAsia="宋体" w:cs="宋体"/>
          <w:b/>
          <w:bCs/>
          <w:color w:val="000000"/>
          <w:sz w:val="24"/>
          <w:szCs w:val="24"/>
          <w:highlight w:val="none"/>
          <w:lang w:val="en-US" w:eastAsia="zh-CN"/>
        </w:rPr>
        <w:t>.分析评价</w:t>
      </w:r>
    </w:p>
    <w:p w14:paraId="1A1F237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3D4D7E9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12AB70B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17B4B33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03876B1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52E282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621C09E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73563F52">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7"/>
    </w:p>
    <w:p w14:paraId="450B5231">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8" w:name="_Toc68364665"/>
      <w:r>
        <w:rPr>
          <w:rFonts w:hint="eastAsia" w:ascii="宋体" w:hAnsi="宋体" w:eastAsia="宋体" w:cs="宋体"/>
          <w:color w:val="auto"/>
          <w:sz w:val="24"/>
          <w:szCs w:val="24"/>
        </w:rPr>
        <w:t>（一）综合评价情况</w:t>
      </w:r>
      <w:bookmarkEnd w:id="8"/>
    </w:p>
    <w:p w14:paraId="05C75FD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bookmarkStart w:id="9" w:name="_Toc68364666"/>
      <w:r>
        <w:rPr>
          <w:rFonts w:hint="eastAsia" w:ascii="宋体" w:hAnsi="宋体" w:eastAsia="宋体" w:cs="宋体"/>
          <w:color w:val="auto"/>
          <w:sz w:val="24"/>
          <w:szCs w:val="24"/>
        </w:rPr>
        <w:t>通过实施2021年煤改电居民入户工程</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减少煤取暖对环境污染，逐步代替燃煤取暖，解决污染问题，提高卫生水平，保护人民身体健康，保护自然风景，促进经济发展。项目实施主要通过项目决策、项目过程、项目产出以及项目效益等方面进行评价，其中：</w:t>
      </w:r>
    </w:p>
    <w:p w14:paraId="0AD84F1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项目决策：该项目主要通过</w:t>
      </w:r>
      <w:r>
        <w:rPr>
          <w:rFonts w:hint="eastAsia" w:ascii="宋体" w:hAnsi="宋体" w:eastAsia="宋体" w:cs="宋体"/>
          <w:color w:val="auto"/>
          <w:sz w:val="24"/>
          <w:szCs w:val="24"/>
          <w:lang w:eastAsia="zh-CN"/>
        </w:rPr>
        <w:t>关于对《洛浦县</w:t>
      </w:r>
      <w:r>
        <w:rPr>
          <w:rFonts w:hint="eastAsia" w:ascii="宋体" w:hAnsi="宋体" w:eastAsia="宋体" w:cs="宋体"/>
          <w:color w:val="auto"/>
          <w:sz w:val="24"/>
          <w:szCs w:val="24"/>
          <w:lang w:val="en-US" w:eastAsia="zh-CN"/>
        </w:rPr>
        <w:t>2021年煤改电居民入户工程实施方案的批复</w:t>
      </w:r>
      <w:r>
        <w:rPr>
          <w:rFonts w:hint="eastAsia" w:ascii="宋体" w:hAnsi="宋体" w:eastAsia="宋体" w:cs="宋体"/>
          <w:color w:val="auto"/>
          <w:sz w:val="24"/>
          <w:szCs w:val="24"/>
          <w:lang w:eastAsia="zh-CN"/>
        </w:rPr>
        <w:t>》洛发改项目【</w:t>
      </w:r>
      <w:r>
        <w:rPr>
          <w:rFonts w:hint="eastAsia" w:ascii="宋体" w:hAnsi="宋体" w:eastAsia="宋体" w:cs="宋体"/>
          <w:color w:val="auto"/>
          <w:sz w:val="24"/>
          <w:szCs w:val="24"/>
          <w:lang w:val="en-US" w:eastAsia="zh-CN"/>
        </w:rPr>
        <w:t>2021】26号</w:t>
      </w:r>
      <w:r>
        <w:rPr>
          <w:rFonts w:hint="eastAsia" w:ascii="宋体" w:hAnsi="宋体" w:eastAsia="宋体" w:cs="宋体"/>
          <w:color w:val="auto"/>
          <w:sz w:val="24"/>
          <w:szCs w:val="24"/>
        </w:rPr>
        <w:t>文件立项，项目实施符合相关法规政策及部门职责要求，项目立项依据充分，立项程序规范。</w:t>
      </w:r>
    </w:p>
    <w:p w14:paraId="1F26DE9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项目过程：2021年煤改电居民入户工程预算安排</w:t>
      </w:r>
      <w:r>
        <w:rPr>
          <w:rFonts w:hint="eastAsia" w:ascii="宋体" w:hAnsi="宋体" w:eastAsia="宋体" w:cs="宋体"/>
          <w:color w:val="auto"/>
          <w:sz w:val="24"/>
          <w:szCs w:val="24"/>
          <w:lang w:val="en-US" w:eastAsia="zh-CN"/>
        </w:rPr>
        <w:t>1510.64</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1510.64</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212C7DA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项目产出：配置采暖设备</w:t>
      </w:r>
      <w:r>
        <w:rPr>
          <w:rFonts w:hint="eastAsia" w:ascii="宋体" w:hAnsi="宋体" w:eastAsia="宋体" w:cs="宋体"/>
          <w:color w:val="auto"/>
          <w:sz w:val="24"/>
          <w:szCs w:val="24"/>
          <w:lang w:val="en-US" w:eastAsia="zh-CN"/>
        </w:rPr>
        <w:t>13090户，配置设备房屋面积50平方米/户，工程验收合格率100%，设备质量合格率100%，资金使用合规率100%。</w:t>
      </w:r>
    </w:p>
    <w:p w14:paraId="5C35742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项目效益：通过该项目实施，减少煤取暖对环境污染，逐步代替燃煤取暖，解决污染问题，提高卫生水平，保护人民身体健康，保护自然风景，促进经济发展。</w:t>
      </w:r>
    </w:p>
    <w:p w14:paraId="3BBF8273">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（二）综合评价结论</w:t>
      </w:r>
    </w:p>
    <w:p w14:paraId="565246D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2021年煤改电居民入户工程进行客观评价，最终评分结</w:t>
      </w:r>
      <w:r>
        <w:rPr>
          <w:rFonts w:hint="eastAsia" w:ascii="宋体" w:hAnsi="宋体" w:eastAsia="宋体" w:cs="宋体"/>
          <w:color w:val="auto"/>
          <w:sz w:val="24"/>
          <w:szCs w:val="24"/>
          <w:highlight w:val="none"/>
        </w:rPr>
        <w:t>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bookmarkEnd w:id="9"/>
      <w:bookmarkStart w:id="10" w:name="_Toc68364667"/>
    </w:p>
    <w:p w14:paraId="0802B8F5">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0"/>
    </w:p>
    <w:p w14:paraId="7CDF85E5">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1" w:name="_Toc68364668"/>
      <w:r>
        <w:rPr>
          <w:rFonts w:hint="eastAsia" w:ascii="宋体" w:hAnsi="宋体" w:eastAsia="宋体" w:cs="宋体"/>
          <w:color w:val="auto"/>
          <w:sz w:val="24"/>
          <w:szCs w:val="24"/>
          <w:highlight w:val="none"/>
        </w:rPr>
        <w:t>（一）项目决策情况</w:t>
      </w:r>
    </w:p>
    <w:p w14:paraId="61D6A78F">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3CBF90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0D0B140D">
      <w:pPr>
        <w:pageBreakBefore w:val="0"/>
        <w:kinsoku/>
        <w:wordWrap/>
        <w:topLinePunct w:val="0"/>
        <w:autoSpaceDE/>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eastAsia="zh-CN"/>
        </w:rPr>
        <w:t>洛浦县住房和城乡建设局</w:t>
      </w:r>
      <w:r>
        <w:rPr>
          <w:rFonts w:hint="eastAsia" w:ascii="宋体" w:hAnsi="宋体" w:eastAsia="宋体" w:cs="宋体"/>
          <w:color w:val="auto"/>
          <w:sz w:val="24"/>
          <w:szCs w:val="24"/>
          <w:highlight w:val="none"/>
        </w:rPr>
        <w:t>配置内设机构和人员编制规定》中职责范围中的</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承担规范和指导村镇建设的责任。指导实施国家和自治区、地区村庄和小城镇建设政策，指导农村住房建设和安全及危房改造，指导村庄和小城镇人居生态环境的改善工作;指导县域重点(示范)镇的建设。</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color w:val="auto"/>
          <w:sz w:val="24"/>
          <w:szCs w:val="24"/>
          <w:highlight w:val="none"/>
        </w:rPr>
        <w:t>属于我单位履职所需；根据《财政资金直接支付申请书》，本项目资金性质为“公共财政预算”功能分类为</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2111407能源行业管理</w:t>
      </w:r>
      <w:r>
        <w:rPr>
          <w:rFonts w:hint="eastAsia" w:ascii="宋体" w:hAnsi="宋体" w:eastAsia="宋体" w:cs="宋体"/>
          <w:color w:val="auto"/>
          <w:sz w:val="24"/>
          <w:szCs w:val="24"/>
          <w:highlight w:val="none"/>
        </w:rPr>
        <w:t>”经济分类为“</w:t>
      </w:r>
      <w:r>
        <w:rPr>
          <w:rFonts w:hint="eastAsia" w:ascii="宋体" w:hAnsi="宋体" w:eastAsia="宋体" w:cs="宋体"/>
          <w:color w:val="auto"/>
          <w:sz w:val="24"/>
          <w:szCs w:val="24"/>
          <w:highlight w:val="none"/>
          <w:lang w:val="en-US" w:eastAsia="zh-CN"/>
        </w:rPr>
        <w:t>30905基础设施建设</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0DFB24C8">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44A3D10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4DE8480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eastAsia="zh-CN"/>
        </w:rPr>
        <w:t>特定</w:t>
      </w:r>
      <w:r>
        <w:rPr>
          <w:rFonts w:hint="eastAsia" w:ascii="宋体" w:hAnsi="宋体" w:eastAsia="宋体" w:cs="宋体"/>
          <w:color w:val="auto"/>
          <w:sz w:val="24"/>
          <w:szCs w:val="24"/>
          <w:highlight w:val="none"/>
        </w:rPr>
        <w:t>类项目，属于经常性项目，项目预算金额为1510.64万元，不涉及事前绩效评估和风险评估，已</w:t>
      </w:r>
      <w:r>
        <w:rPr>
          <w:rFonts w:hint="eastAsia" w:ascii="宋体" w:hAnsi="宋体" w:eastAsia="宋体" w:cs="宋体"/>
          <w:color w:val="auto"/>
          <w:sz w:val="24"/>
          <w:szCs w:val="24"/>
          <w:highlight w:val="none"/>
          <w:lang w:eastAsia="zh-CN"/>
        </w:rPr>
        <w:t>制定实施方案</w:t>
      </w:r>
      <w:r>
        <w:rPr>
          <w:rFonts w:hint="eastAsia" w:ascii="宋体" w:hAnsi="宋体" w:eastAsia="宋体" w:cs="宋体"/>
          <w:color w:val="auto"/>
          <w:sz w:val="24"/>
          <w:szCs w:val="24"/>
          <w:highlight w:val="none"/>
        </w:rPr>
        <w:t>，并经过专家论证。</w:t>
      </w:r>
    </w:p>
    <w:p w14:paraId="551A5D5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p>
    <w:p w14:paraId="0236AF3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b/>
          <w:bCs/>
          <w:color w:val="000000"/>
          <w:sz w:val="24"/>
          <w:szCs w:val="24"/>
          <w:highlight w:val="none"/>
          <w:lang w:val="en-US" w:eastAsia="zh-CN"/>
        </w:rPr>
        <w:t>3.绩效目标合理性</w:t>
      </w:r>
    </w:p>
    <w:p w14:paraId="3AB6F40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对洛浦县8个乡镇13090户居民，按照每户50平方米、4千瓦标准配置采暖设备。通过该项目实施，减少煤取暖对环境污染，逐步代替燃煤取暖，解决污染问题，提高卫生水平，保护人民身体健康，保护自然风景，促进经济发展。”。</w:t>
      </w:r>
    </w:p>
    <w:p w14:paraId="605052E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截止2024年12月31日，该项目已实施完毕，已支付资金1510.64万元。项目已完成的主要内容：对洛浦县8个乡镇13090户居民，按照每户50平方米、4千瓦标准配置采暖设备；通过该项目实施，减少了用煤取暖对环境污染，逐步代替燃煤取暖，解决了污染问题，提高卫生水平，保护了居民身体健康，保护了自然风景，促进了经济发展。绩效目标与实际工作内容一致，两者具有相关性。</w:t>
      </w:r>
    </w:p>
    <w:p w14:paraId="509AA86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eastAsia="zh-CN"/>
        </w:rPr>
        <w:t>各项指标任务</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eastAsia="zh-CN"/>
        </w:rPr>
        <w:t>设定的预期</w:t>
      </w:r>
      <w:r>
        <w:rPr>
          <w:rFonts w:hint="eastAsia" w:ascii="宋体" w:hAnsi="宋体" w:eastAsia="宋体" w:cs="宋体"/>
          <w:color w:val="auto"/>
          <w:sz w:val="24"/>
          <w:szCs w:val="24"/>
          <w:highlight w:val="none"/>
        </w:rPr>
        <w:t>效益，预期产出效益和效果符合正常的业绩水平。</w:t>
      </w:r>
    </w:p>
    <w:p w14:paraId="4A68333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1510.64</w:t>
      </w:r>
      <w:r>
        <w:rPr>
          <w:rFonts w:hint="eastAsia" w:ascii="宋体" w:hAnsi="宋体" w:eastAsia="宋体" w:cs="宋体"/>
          <w:color w:val="auto"/>
          <w:sz w:val="24"/>
          <w:szCs w:val="24"/>
          <w:highlight w:val="none"/>
        </w:rPr>
        <w:t>万元，《2021年煤改电居民入户工程项目支出绩效目标表》中预算金额为</w:t>
      </w:r>
      <w:r>
        <w:rPr>
          <w:rFonts w:hint="eastAsia" w:ascii="宋体" w:hAnsi="宋体" w:eastAsia="宋体" w:cs="宋体"/>
          <w:color w:val="auto"/>
          <w:sz w:val="24"/>
          <w:szCs w:val="24"/>
          <w:highlight w:val="none"/>
          <w:lang w:val="en-US" w:eastAsia="zh-CN"/>
        </w:rPr>
        <w:t>1510.64</w:t>
      </w:r>
      <w:r>
        <w:rPr>
          <w:rFonts w:hint="eastAsia" w:ascii="宋体" w:hAnsi="宋体" w:eastAsia="宋体" w:cs="宋体"/>
          <w:color w:val="auto"/>
          <w:sz w:val="24"/>
          <w:szCs w:val="24"/>
          <w:highlight w:val="none"/>
        </w:rPr>
        <w:t>万元，预算确定的项目资金与预算确定的项目投资额相匹配。</w:t>
      </w:r>
    </w:p>
    <w:p w14:paraId="41B4ED1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w:t>
      </w:r>
      <w:r>
        <w:rPr>
          <w:rFonts w:hint="eastAsia" w:ascii="宋体" w:hAnsi="宋体" w:eastAsia="宋体" w:cs="宋体"/>
          <w:color w:val="auto"/>
          <w:sz w:val="24"/>
          <w:szCs w:val="24"/>
          <w:highlight w:val="none"/>
          <w:lang w:eastAsia="zh-CN"/>
        </w:rPr>
        <w:t>。</w:t>
      </w:r>
    </w:p>
    <w:p w14:paraId="15A383B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2361569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22567FD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经检查我单位年初设置的《2021年煤改电居民入户工项目支出绩效目标表》，得出如下结论：本项目已将年度绩效目标进行细化为绩效指标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11</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90.91</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1FEFA36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该《2021年煤改电居民入户工项目绩效目标申报表》中，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val="en-US" w:eastAsia="zh-CN"/>
        </w:rPr>
        <w:t>“配置采暖设备户数≥13090户、配置设备房屋面积=50平方米/户”，</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项目开始时间2024年1月、项目完成时间2024年12月、资金支付及时率=100%</w:t>
      </w:r>
      <w:r>
        <w:rPr>
          <w:rFonts w:hint="eastAsia" w:ascii="宋体" w:hAnsi="宋体" w:eastAsia="宋体" w:cs="宋体"/>
          <w:color w:val="000000"/>
          <w:sz w:val="24"/>
          <w:szCs w:val="24"/>
          <w:highlight w:val="none"/>
        </w:rPr>
        <w:t>”。已设置的绩效目标具备明确性、可衡量性、可实现性、相关性、时限性。</w:t>
      </w:r>
    </w:p>
    <w:p w14:paraId="6A9DD50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328F6C0D">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56AA94E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对洛浦县8个乡镇13090户居民，按照每户50平方米、4千瓦标准配置采暖设备。通过该项目实施，减少煤取暖对环境污染，逐步代替燃煤取暖，解决污染问题，提高卫生水平，保护人民身体健康，保护自然风景，促进经济发展。</w:t>
      </w:r>
      <w:r>
        <w:rPr>
          <w:rFonts w:hint="eastAsia" w:ascii="宋体" w:hAnsi="宋体" w:eastAsia="宋体" w:cs="宋体"/>
          <w:color w:val="000000"/>
          <w:sz w:val="24"/>
          <w:szCs w:val="24"/>
          <w:highlight w:val="none"/>
        </w:rPr>
        <w:t>预算申请与《2021年煤改电居民入户工程项目实施方案》中涉及的项目内容匹配；</w:t>
      </w:r>
    </w:p>
    <w:p w14:paraId="37B1502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1510.64</w:t>
      </w:r>
      <w:r>
        <w:rPr>
          <w:rFonts w:hint="eastAsia" w:ascii="宋体" w:hAnsi="宋体" w:eastAsia="宋体" w:cs="宋体"/>
          <w:color w:val="000000"/>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eastAsia="zh-CN"/>
        </w:rPr>
        <w:t>支付工程款</w:t>
      </w:r>
      <w:r>
        <w:rPr>
          <w:rFonts w:hint="eastAsia" w:ascii="宋体" w:hAnsi="宋体" w:eastAsia="宋体" w:cs="宋体"/>
          <w:color w:val="000000"/>
          <w:sz w:val="24"/>
          <w:szCs w:val="24"/>
          <w:highlight w:val="none"/>
          <w:lang w:val="en-US" w:eastAsia="zh-CN"/>
        </w:rPr>
        <w:t>1449.31</w:t>
      </w:r>
      <w:r>
        <w:rPr>
          <w:rFonts w:hint="eastAsia" w:ascii="宋体" w:hAnsi="宋体" w:eastAsia="宋体" w:cs="宋体"/>
          <w:color w:val="000000"/>
          <w:sz w:val="24"/>
          <w:szCs w:val="24"/>
          <w:highlight w:val="none"/>
          <w:lang w:eastAsia="zh-CN"/>
        </w:rPr>
        <w:t>万元、监理费</w:t>
      </w:r>
      <w:r>
        <w:rPr>
          <w:rFonts w:hint="eastAsia" w:ascii="宋体" w:hAnsi="宋体" w:eastAsia="宋体" w:cs="宋体"/>
          <w:color w:val="000000"/>
          <w:sz w:val="24"/>
          <w:szCs w:val="24"/>
          <w:highlight w:val="none"/>
          <w:lang w:val="en-US" w:eastAsia="zh-CN"/>
        </w:rPr>
        <w:t>33.96</w:t>
      </w:r>
      <w:r>
        <w:rPr>
          <w:rFonts w:hint="eastAsia" w:ascii="宋体" w:hAnsi="宋体" w:eastAsia="宋体" w:cs="宋体"/>
          <w:color w:val="000000"/>
          <w:sz w:val="24"/>
          <w:szCs w:val="24"/>
          <w:highlight w:val="none"/>
          <w:lang w:eastAsia="zh-CN"/>
        </w:rPr>
        <w:t>万元、</w:t>
      </w:r>
      <w:r>
        <w:rPr>
          <w:rFonts w:hint="eastAsia" w:ascii="宋体" w:hAnsi="宋体" w:eastAsia="宋体" w:cs="宋体"/>
          <w:color w:val="000000"/>
          <w:sz w:val="24"/>
          <w:szCs w:val="24"/>
          <w:highlight w:val="none"/>
          <w:lang w:val="en-US" w:eastAsia="zh-CN"/>
        </w:rPr>
        <w:t>工程结算、财务审计费27.37万元。</w:t>
      </w:r>
      <w:r>
        <w:rPr>
          <w:rFonts w:hint="eastAsia" w:ascii="宋体" w:hAnsi="宋体" w:eastAsia="宋体" w:cs="宋体"/>
          <w:color w:val="000000"/>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254887B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444A3DF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656DC67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本项目实际分配资金以《关于申请2021年煤改电居民入户工程项目资金的请示》和《2021年煤改电居民入户工程项目实施方案》为依据进行资金分配，预算资金分配依据充分。根据《</w:t>
      </w:r>
      <w:r>
        <w:rPr>
          <w:rFonts w:hint="eastAsia" w:ascii="宋体" w:hAnsi="宋体" w:eastAsia="宋体" w:cs="宋体"/>
          <w:color w:val="000000"/>
          <w:sz w:val="24"/>
          <w:szCs w:val="24"/>
          <w:highlight w:val="none"/>
          <w:lang w:eastAsia="zh-CN"/>
        </w:rPr>
        <w:t>洛浦县委财经委员会第三次会议纪要</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洛财纪字【2024】3号</w:t>
      </w:r>
      <w:r>
        <w:rPr>
          <w:rFonts w:hint="eastAsia" w:ascii="宋体" w:hAnsi="宋体" w:eastAsia="宋体" w:cs="宋体"/>
          <w:color w:val="000000"/>
          <w:sz w:val="24"/>
          <w:szCs w:val="24"/>
          <w:highlight w:val="none"/>
          <w:lang w:eastAsia="zh-CN"/>
        </w:rPr>
        <w:t>）、2021年南疆四地州煤改电工程自治区补助资金（和地财建【2021】6号）</w:t>
      </w:r>
      <w:r>
        <w:rPr>
          <w:rFonts w:hint="eastAsia" w:ascii="宋体" w:hAnsi="宋体" w:eastAsia="宋体" w:cs="宋体"/>
          <w:color w:val="000000"/>
          <w:sz w:val="24"/>
          <w:szCs w:val="24"/>
          <w:highlight w:val="none"/>
        </w:rPr>
        <w:t>，本项目实际到位资金</w:t>
      </w:r>
      <w:r>
        <w:rPr>
          <w:rFonts w:hint="eastAsia" w:ascii="宋体" w:hAnsi="宋体" w:eastAsia="宋体" w:cs="宋体"/>
          <w:color w:val="000000"/>
          <w:sz w:val="24"/>
          <w:szCs w:val="24"/>
          <w:highlight w:val="none"/>
          <w:lang w:val="en-US" w:eastAsia="zh-CN"/>
        </w:rPr>
        <w:t>1510.64</w:t>
      </w:r>
      <w:r>
        <w:rPr>
          <w:rFonts w:hint="eastAsia" w:ascii="宋体" w:hAnsi="宋体" w:eastAsia="宋体" w:cs="宋体"/>
          <w:color w:val="000000"/>
          <w:sz w:val="24"/>
          <w:szCs w:val="24"/>
          <w:highlight w:val="none"/>
        </w:rPr>
        <w:t>万元，资金分配额度合理，与我单位实际需求相适应</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资金分配与实际相适应</w:t>
      </w:r>
      <w:r>
        <w:rPr>
          <w:rFonts w:hint="eastAsia" w:ascii="宋体" w:hAnsi="宋体" w:eastAsia="宋体" w:cs="宋体"/>
          <w:color w:val="000000"/>
          <w:sz w:val="24"/>
          <w:szCs w:val="24"/>
          <w:highlight w:val="none"/>
          <w:lang w:eastAsia="zh-CN"/>
        </w:rPr>
        <w:t>。</w:t>
      </w:r>
    </w:p>
    <w:p w14:paraId="2A424F2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28A6BB39">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4E769EB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D035A7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5480FDF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本项目预算资金为</w:t>
      </w:r>
      <w:r>
        <w:rPr>
          <w:rFonts w:hint="eastAsia" w:ascii="宋体" w:hAnsi="宋体" w:eastAsia="宋体" w:cs="宋体"/>
          <w:color w:val="auto"/>
          <w:sz w:val="24"/>
          <w:szCs w:val="24"/>
          <w:highlight w:val="none"/>
          <w:lang w:val="en-US" w:eastAsia="zh-CN"/>
        </w:rPr>
        <w:t>1510.64</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1510.64</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1510.64</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p>
    <w:p w14:paraId="3E903D6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01253F1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428893D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1510.64</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w:t>
      </w:r>
      <w:r>
        <w:rPr>
          <w:rFonts w:hint="eastAsia" w:ascii="宋体" w:hAnsi="宋体" w:eastAsia="宋体" w:cs="宋体"/>
          <w:color w:val="auto"/>
          <w:sz w:val="24"/>
          <w:szCs w:val="24"/>
          <w:highlight w:val="none"/>
          <w:lang w:val="en-US" w:eastAsia="zh-CN"/>
        </w:rPr>
        <w:t>.</w:t>
      </w:r>
    </w:p>
    <w:p w14:paraId="3BCA143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631024BB">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5D21EE2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洛浦县住房和城乡建设局</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洛浦县住房和城乡建设局建设项目</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w:t>
      </w:r>
      <w:r>
        <w:rPr>
          <w:rFonts w:hint="eastAsia" w:ascii="宋体" w:hAnsi="宋体" w:eastAsia="宋体" w:cs="宋体"/>
          <w:color w:val="auto"/>
          <w:sz w:val="24"/>
          <w:szCs w:val="24"/>
          <w:highlight w:val="none"/>
          <w:lang w:eastAsia="zh-CN"/>
        </w:rPr>
        <w:t>。</w:t>
      </w:r>
    </w:p>
    <w:p w14:paraId="0FEBB59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23C5EE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6304C17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我单位已制定《</w:t>
      </w:r>
      <w:r>
        <w:rPr>
          <w:rFonts w:hint="eastAsia" w:ascii="宋体" w:hAnsi="宋体" w:eastAsia="宋体" w:cs="宋体"/>
          <w:color w:val="auto"/>
          <w:sz w:val="24"/>
          <w:szCs w:val="24"/>
          <w:highlight w:val="none"/>
          <w:lang w:eastAsia="zh-CN"/>
        </w:rPr>
        <w:t>洛浦县住房和城乡建设局建设项目</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洛浦县住房和城乡建设局建设项目资金</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洛浦县住房和城乡建设局</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洛浦县住房和城乡建设局建设项目</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w:t>
      </w:r>
    </w:p>
    <w:p w14:paraId="33AD91D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E5E8E3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26A5D30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eastAsia="zh-CN"/>
        </w:rPr>
        <w:t>洛浦县住房和城乡建设局建设项目</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洛浦县住房和城乡建设局建设项目资金</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洛浦县住房和城乡建设局</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洛浦县住房和城乡建设局建设项目</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3F36EFF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605B405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5BC4AC4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2021年煤改电居民入户工程项目工作领导小组，由</w:t>
      </w:r>
      <w:r>
        <w:rPr>
          <w:rFonts w:hint="eastAsia" w:ascii="宋体" w:hAnsi="宋体" w:eastAsia="宋体" w:cs="宋体"/>
          <w:color w:val="auto"/>
          <w:sz w:val="24"/>
          <w:szCs w:val="24"/>
          <w:highlight w:val="none"/>
          <w:lang w:eastAsia="zh-CN"/>
        </w:rPr>
        <w:t>王文举</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赵佳鹏</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徐元芬</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冯伟</w:t>
      </w:r>
      <w:r>
        <w:rPr>
          <w:rFonts w:hint="eastAsia" w:ascii="宋体" w:hAnsi="宋体" w:eastAsia="宋体" w:cs="宋体"/>
          <w:color w:val="auto"/>
          <w:sz w:val="24"/>
          <w:szCs w:val="24"/>
          <w:highlight w:val="none"/>
        </w:rPr>
        <w:t>，主要负责项目监督管理、验收以及资金核拨等工作。</w:t>
      </w:r>
    </w:p>
    <w:p w14:paraId="5F0461C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E8C575D">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2F1086B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6E2A0C9">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582A00B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配置采暖设备户数，预期指标值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13090户，实际完成值13090户，指标完成率为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5FC876C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配置设备房屋面积，预期指标值</w:t>
      </w:r>
      <w:r>
        <w:rPr>
          <w:rFonts w:hint="eastAsia" w:ascii="宋体" w:hAnsi="宋体" w:eastAsia="宋体" w:cs="宋体"/>
          <w:color w:val="000000"/>
          <w:sz w:val="24"/>
          <w:szCs w:val="24"/>
          <w:highlight w:val="none"/>
          <w:lang w:val="en-US" w:eastAsia="zh-CN"/>
        </w:rPr>
        <w:t>等于</w:t>
      </w:r>
      <w:r>
        <w:rPr>
          <w:rFonts w:hint="eastAsia" w:ascii="宋体" w:hAnsi="宋体" w:eastAsia="宋体" w:cs="宋体"/>
          <w:color w:val="000000"/>
          <w:sz w:val="24"/>
          <w:szCs w:val="24"/>
          <w:highlight w:val="none"/>
        </w:rPr>
        <w:t>50平方米/户，实际完成值50平方米/户，指标完成率为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2ADB327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012CF39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70040B3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设备质量合格率，预期指标值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DA732E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工程验收合格率，预期指标值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94A97F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资金使用合规性，预期指标值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w:t>
      </w:r>
    </w:p>
    <w:p w14:paraId="082EDF8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17ECBE9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7E8864CC">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项目开始时间，预期指标值202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w:t>
      </w:r>
      <w:r>
        <w:rPr>
          <w:rFonts w:hint="eastAsia" w:ascii="宋体" w:hAnsi="宋体" w:eastAsia="宋体" w:cs="宋体"/>
          <w:b w:val="0"/>
          <w:color w:val="000000"/>
          <w:sz w:val="24"/>
          <w:szCs w:val="24"/>
          <w:highlight w:val="none"/>
          <w:lang w:val="en-US" w:eastAsia="zh-CN"/>
        </w:rPr>
        <w:t>1</w:t>
      </w:r>
      <w:r>
        <w:rPr>
          <w:rFonts w:hint="eastAsia" w:ascii="宋体" w:hAnsi="宋体" w:eastAsia="宋体" w:cs="宋体"/>
          <w:b w:val="0"/>
          <w:color w:val="000000"/>
          <w:sz w:val="24"/>
          <w:szCs w:val="24"/>
          <w:highlight w:val="none"/>
        </w:rPr>
        <w:t>月，实际完成值202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w:t>
      </w:r>
      <w:r>
        <w:rPr>
          <w:rFonts w:hint="eastAsia" w:ascii="宋体" w:hAnsi="宋体" w:eastAsia="宋体" w:cs="宋体"/>
          <w:b w:val="0"/>
          <w:color w:val="000000"/>
          <w:sz w:val="24"/>
          <w:szCs w:val="24"/>
          <w:highlight w:val="none"/>
          <w:lang w:val="en-US" w:eastAsia="zh-CN"/>
        </w:rPr>
        <w:t>1</w:t>
      </w:r>
      <w:r>
        <w:rPr>
          <w:rFonts w:hint="eastAsia" w:ascii="宋体" w:hAnsi="宋体" w:eastAsia="宋体" w:cs="宋体"/>
          <w:b w:val="0"/>
          <w:color w:val="000000"/>
          <w:sz w:val="24"/>
          <w:szCs w:val="24"/>
          <w:highlight w:val="none"/>
        </w:rPr>
        <w:t>月，指标完成率为</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3</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7DE7D42C">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w:t>
      </w:r>
      <w:r>
        <w:rPr>
          <w:rFonts w:hint="eastAsia" w:ascii="宋体" w:hAnsi="宋体" w:eastAsia="宋体" w:cs="宋体"/>
          <w:b w:val="0"/>
          <w:color w:val="000000"/>
          <w:sz w:val="24"/>
          <w:szCs w:val="24"/>
          <w:highlight w:val="none"/>
          <w:lang w:val="en-US" w:eastAsia="zh-CN"/>
        </w:rPr>
        <w:t>完成</w:t>
      </w:r>
      <w:r>
        <w:rPr>
          <w:rFonts w:hint="eastAsia" w:ascii="宋体" w:hAnsi="宋体" w:eastAsia="宋体" w:cs="宋体"/>
          <w:b w:val="0"/>
          <w:color w:val="000000"/>
          <w:sz w:val="24"/>
          <w:szCs w:val="24"/>
          <w:highlight w:val="none"/>
        </w:rPr>
        <w:t>时间，预期指标值2024年</w:t>
      </w:r>
      <w:r>
        <w:rPr>
          <w:rFonts w:hint="eastAsia" w:ascii="宋体" w:hAnsi="宋体" w:eastAsia="宋体" w:cs="宋体"/>
          <w:b w:val="0"/>
          <w:color w:val="000000"/>
          <w:sz w:val="24"/>
          <w:szCs w:val="24"/>
          <w:highlight w:val="none"/>
          <w:lang w:val="en-US" w:eastAsia="zh-CN"/>
        </w:rPr>
        <w:t>5</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5</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3</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179FA48F">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资金支付及时率，预期指标值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4</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5621B8C4">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780C43F6">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0599894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项目资金，预期指标值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1510.64万元，实际完成值1510.64万元，指标完成率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0FADB6C9">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2845E2C4">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2C43C8D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项目效益类指标包括项目效益1个方面的内容，由2个三级指标构成，权重分为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p>
    <w:p w14:paraId="2B68CC5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3C0FFC03">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提高卫生水平，保护人民身体健康，</w:t>
      </w:r>
      <w:r>
        <w:rPr>
          <w:rFonts w:hint="eastAsia" w:ascii="宋体" w:hAnsi="宋体" w:eastAsia="宋体" w:cs="宋体"/>
          <w:b w:val="0"/>
          <w:bCs w:val="0"/>
          <w:color w:val="auto"/>
          <w:sz w:val="24"/>
          <w:szCs w:val="24"/>
          <w:highlight w:val="none"/>
        </w:rPr>
        <w:t>预期指标值为</w:t>
      </w:r>
      <w:r>
        <w:rPr>
          <w:rFonts w:hint="eastAsia" w:ascii="宋体" w:hAnsi="宋体" w:eastAsia="宋体" w:cs="宋体"/>
          <w:b w:val="0"/>
          <w:bCs w:val="0"/>
          <w:color w:val="auto"/>
          <w:sz w:val="24"/>
          <w:szCs w:val="24"/>
          <w:highlight w:val="none"/>
          <w:lang w:val="en-US" w:eastAsia="zh-CN"/>
        </w:rPr>
        <w:t>有效提高</w:t>
      </w:r>
      <w:r>
        <w:rPr>
          <w:rFonts w:hint="eastAsia" w:ascii="宋体" w:hAnsi="宋体" w:eastAsia="宋体" w:cs="宋体"/>
          <w:b w:val="0"/>
          <w:bCs w:val="0"/>
          <w:color w:val="auto"/>
          <w:sz w:val="24"/>
          <w:szCs w:val="24"/>
          <w:highlight w:val="none"/>
        </w:rPr>
        <w:t>，实际完成值</w:t>
      </w:r>
      <w:r>
        <w:rPr>
          <w:rFonts w:hint="eastAsia" w:ascii="宋体" w:hAnsi="宋体" w:eastAsia="宋体" w:cs="宋体"/>
          <w:b w:val="0"/>
          <w:bCs w:val="0"/>
          <w:color w:val="auto"/>
          <w:sz w:val="24"/>
          <w:szCs w:val="24"/>
          <w:highlight w:val="none"/>
          <w:lang w:val="en-US" w:eastAsia="zh-CN"/>
        </w:rPr>
        <w:t>为有效提高，</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194C1F36">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0D658113">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558F869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589EEF40">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28CC15B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bookmarkEnd w:id="11"/>
    </w:p>
    <w:p w14:paraId="6C5D4C2A">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人民群众满意度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3218591A">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61FC7817">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243A8B48">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本项目年初预算资金总额为1</w:t>
      </w:r>
      <w:r>
        <w:rPr>
          <w:rFonts w:hint="eastAsia" w:ascii="宋体" w:hAnsi="宋体" w:eastAsia="宋体" w:cs="宋体"/>
          <w:color w:val="auto"/>
          <w:sz w:val="24"/>
          <w:szCs w:val="24"/>
          <w:lang w:val="en-US" w:eastAsia="zh-CN"/>
        </w:rPr>
        <w:t>510.64</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1510.64</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1510.64</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A308C45">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016918AC">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rPr>
        <w:t>综上所述本项目预算执行率与总体完成率之间</w:t>
      </w:r>
      <w:r>
        <w:rPr>
          <w:rFonts w:hint="eastAsia" w:ascii="宋体" w:hAnsi="宋体" w:eastAsia="宋体" w:cs="宋体"/>
          <w:color w:val="auto"/>
          <w:sz w:val="24"/>
          <w:szCs w:val="24"/>
          <w:lang w:val="en-US" w:eastAsia="zh-CN"/>
        </w:rPr>
        <w:t>无偏差</w:t>
      </w:r>
      <w:r>
        <w:rPr>
          <w:rFonts w:hint="eastAsia" w:ascii="宋体" w:hAnsi="宋体" w:eastAsia="宋体" w:cs="宋体"/>
          <w:color w:val="auto"/>
          <w:sz w:val="24"/>
          <w:szCs w:val="24"/>
        </w:rPr>
        <w:t>。</w:t>
      </w:r>
      <w:bookmarkStart w:id="12" w:name="_Toc68364673"/>
    </w:p>
    <w:p w14:paraId="58F1B042">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rPr>
      </w:pPr>
      <w:r>
        <w:rPr>
          <w:rFonts w:hint="eastAsia" w:ascii="黑体" w:hAnsi="黑体" w:eastAsia="黑体" w:cs="黑体"/>
          <w:b/>
          <w:bCs/>
          <w:color w:val="000000"/>
          <w:sz w:val="24"/>
          <w:szCs w:val="24"/>
          <w:highlight w:val="none"/>
        </w:rPr>
        <w:t>六、主要经验及做法、存在的问题及原因分析</w:t>
      </w:r>
    </w:p>
    <w:p w14:paraId="67CA7837">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lang w:eastAsia="zh-CN"/>
        </w:rPr>
      </w:pPr>
      <w:r>
        <w:rPr>
          <w:rFonts w:hint="eastAsia" w:ascii="宋体" w:hAnsi="宋体" w:eastAsia="宋体" w:cs="宋体"/>
          <w:color w:val="auto"/>
          <w:sz w:val="24"/>
          <w:szCs w:val="24"/>
        </w:rPr>
        <w:t>（一）主要经验及做法</w:t>
      </w:r>
      <w:bookmarkEnd w:id="12"/>
    </w:p>
    <w:p w14:paraId="36C780EB">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1、加强领导，落实责任，成立了以由党组书记王文举任组长，负责项目的组织工作；赵佳鹏任副组长，负责项目的实施工作；组员包括：徐元芬和冯伟，主要负责项目监督管理、验收以及资金核拨等工作。</w:t>
      </w:r>
    </w:p>
    <w:p w14:paraId="60C1277B">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２、强化监管，确保质量，为确保工程质量监管到位，聘请专业监理公司负责整个工程的监督管理，单位选派工作责任心强、熟悉工程业务人员为负责人，负责施工监督，做好隐蔽工程监管工作。</w:t>
      </w:r>
    </w:p>
    <w:p w14:paraId="561902C2">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严格程序，确保资金效益。项目建设坚持层层审批原则，做到操作程序规范，严格按照上级审批项目建设规模、工程项目管理办法，工程进度款拨付管理等相关要求开展工作，并严格按照资金使用的相关管理要淾执行，严格资金使用范围，保证项目专款专用。</w:t>
      </w:r>
      <w:bookmarkStart w:id="13" w:name="_Toc68364674"/>
    </w:p>
    <w:p w14:paraId="3AB5525B">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（二）存在问题及原因分析</w:t>
      </w:r>
      <w:bookmarkEnd w:id="13"/>
      <w:bookmarkStart w:id="14" w:name="_Toc68364675"/>
    </w:p>
    <w:p w14:paraId="4BF904E9">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1.部门沟通协调不足，监督责任不明确。</w:t>
      </w:r>
    </w:p>
    <w:p w14:paraId="5AD19B87">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2.项目资金监督和管理需进一步完善。</w:t>
      </w:r>
    </w:p>
    <w:p w14:paraId="677133B2">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3.现场评价的工作量少，后续效益评价具体措施和方法较少。</w:t>
      </w:r>
    </w:p>
    <w:p w14:paraId="23DE4E73">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七、有关建议</w:t>
      </w:r>
      <w:bookmarkEnd w:id="14"/>
    </w:p>
    <w:p w14:paraId="0D6CC830">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6BD1CCF1">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2.项目评价资料有待进一步完善。项目启动时同步做好档案的归纳与整理，及时整理、收集、汇总，健全档案资料。项目后续管理有待进一步加强和跟踪。</w:t>
      </w:r>
    </w:p>
    <w:p w14:paraId="5800089A">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3.通过绩效管理，发现实施中存在漏洞，以后加强管理，及时掌握与之相关的各类信息，减少成本，使资金效益最大化。</w:t>
      </w:r>
    </w:p>
    <w:p w14:paraId="169ABE08">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b w:val="0"/>
          <w:bCs w:val="0"/>
          <w:color w:val="auto"/>
          <w:kern w:val="0"/>
          <w:sz w:val="24"/>
          <w:szCs w:val="24"/>
          <w:lang w:val="en-US" w:eastAsia="zh-CN" w:bidi="ar-SA"/>
        </w:rPr>
      </w:pPr>
      <w:r>
        <w:rPr>
          <w:rFonts w:hint="eastAsia" w:ascii="宋体" w:hAnsi="宋体" w:eastAsia="宋体" w:cs="宋体"/>
          <w:b w:val="0"/>
          <w:bCs w:val="0"/>
          <w:color w:val="000000"/>
          <w:sz w:val="24"/>
          <w:szCs w:val="24"/>
          <w:highlight w:val="none"/>
          <w:lang w:val="en-US" w:eastAsia="zh-CN"/>
        </w:rPr>
        <w:t>4．评价工作应从项目实施方案源头抓起，评价工作和意识应贯穿项目整个过程。</w:t>
      </w:r>
      <w:bookmarkStart w:id="15" w:name="_Toc68364676"/>
    </w:p>
    <w:p w14:paraId="1A113E82">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kern w:val="0"/>
          <w:sz w:val="24"/>
          <w:szCs w:val="24"/>
          <w:lang w:val="en-US" w:eastAsia="zh-CN" w:bidi="ar-SA"/>
        </w:rPr>
      </w:pPr>
      <w:r>
        <w:rPr>
          <w:rFonts w:hint="eastAsia" w:ascii="黑体" w:hAnsi="黑体" w:eastAsia="黑体" w:cs="黑体"/>
          <w:b/>
          <w:bCs/>
          <w:color w:val="auto"/>
          <w:kern w:val="0"/>
          <w:sz w:val="24"/>
          <w:szCs w:val="24"/>
          <w:lang w:val="en-US" w:eastAsia="zh-CN" w:bidi="ar-SA"/>
        </w:rPr>
        <w:t>八、其他需要说明的问题</w:t>
      </w:r>
      <w:bookmarkEnd w:id="15"/>
    </w:p>
    <w:p w14:paraId="7C69370E">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我单位对上述项目支出绩效评价报告内反映内容的真实性、完整性负责，愿接受上级部门及社会公众监督。</w:t>
      </w:r>
    </w:p>
    <w:p w14:paraId="447C0FD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0"/>
          <w:sz w:val="24"/>
          <w:szCs w:val="24"/>
          <w:lang w:val="en-US" w:eastAsia="zh-CN" w:bidi="ar-SA"/>
        </w:rPr>
      </w:pPr>
    </w:p>
    <w:p w14:paraId="67BD6451">
      <w:pPr>
        <w:pageBreakBefore w:val="0"/>
        <w:kinsoku/>
        <w:wordWrap/>
        <w:topLinePunct w:val="0"/>
        <w:autoSpaceDE/>
        <w:bidi w:val="0"/>
        <w:adjustRightInd/>
        <w:snapToGrid/>
        <w:spacing w:line="360" w:lineRule="auto"/>
        <w:ind w:left="0" w:leftChars="0" w:firstLine="480" w:firstLineChars="200"/>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附件1：2021年煤改电居民入户工程建设项目绩效评价指标体系</w:t>
      </w:r>
    </w:p>
    <w:p w14:paraId="30664CC7">
      <w:pPr>
        <w:pageBreakBefore w:val="0"/>
        <w:kinsoku/>
        <w:wordWrap/>
        <w:topLinePunct w:val="0"/>
        <w:autoSpaceDE/>
        <w:bidi w:val="0"/>
        <w:adjustRightInd/>
        <w:snapToGrid/>
        <w:spacing w:line="360" w:lineRule="auto"/>
        <w:ind w:left="0" w:leftChars="0" w:firstLine="480" w:firstLineChars="200"/>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附件2：2021年煤改电居民入户工程建设项目综合得分表</w:t>
      </w:r>
    </w:p>
    <w:p w14:paraId="68A55953">
      <w:pPr>
        <w:pageBreakBefore w:val="0"/>
        <w:kinsoku/>
        <w:wordWrap/>
        <w:topLinePunct w:val="0"/>
        <w:autoSpaceDE/>
        <w:bidi w:val="0"/>
        <w:adjustRightInd/>
        <w:snapToGrid/>
        <w:spacing w:line="360" w:lineRule="auto"/>
        <w:ind w:left="0" w:leftChars="0" w:firstLine="480" w:firstLineChars="200"/>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附件3：满意度调查问分析情况</w:t>
      </w:r>
    </w:p>
    <w:p w14:paraId="3BF758D0">
      <w:pPr>
        <w:pStyle w:val="2"/>
        <w:pageBreakBefore w:val="0"/>
        <w:kinsoku/>
        <w:wordWrap/>
        <w:topLinePunct w:val="0"/>
        <w:autoSpaceDE/>
        <w:bidi w:val="0"/>
        <w:adjustRightInd/>
        <w:snapToGrid/>
        <w:spacing w:line="360" w:lineRule="auto"/>
        <w:ind w:left="0" w:leftChars="0" w:firstLine="0" w:firstLineChars="0"/>
        <w:jc w:val="both"/>
        <w:rPr>
          <w:rFonts w:hint="eastAsia" w:ascii="宋体" w:hAnsi="宋体" w:eastAsia="宋体" w:cs="宋体"/>
          <w:b w:val="0"/>
          <w:bCs w:val="0"/>
          <w:color w:val="auto"/>
          <w:kern w:val="0"/>
          <w:sz w:val="24"/>
          <w:szCs w:val="24"/>
          <w:lang w:val="en-US" w:eastAsia="zh-CN" w:bidi="ar-SA"/>
        </w:rPr>
        <w:sectPr>
          <w:footerReference r:id="rId7" w:type="default"/>
          <w:pgSz w:w="11906" w:h="16838"/>
          <w:pgMar w:top="1985" w:right="1531" w:bottom="1701" w:left="1531" w:header="851" w:footer="992" w:gutter="0"/>
          <w:pgNumType w:fmt="decimal" w:start="1"/>
          <w:cols w:space="720" w:num="1"/>
          <w:docGrid w:type="linesAndChars" w:linePitch="386" w:charSpace="0"/>
        </w:sectPr>
      </w:pPr>
    </w:p>
    <w:tbl>
      <w:tblPr>
        <w:tblStyle w:val="2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1"/>
        <w:gridCol w:w="575"/>
        <w:gridCol w:w="600"/>
        <w:gridCol w:w="487"/>
        <w:gridCol w:w="650"/>
        <w:gridCol w:w="525"/>
        <w:gridCol w:w="2538"/>
        <w:gridCol w:w="912"/>
        <w:gridCol w:w="4710"/>
        <w:gridCol w:w="865"/>
        <w:gridCol w:w="782"/>
      </w:tblGrid>
      <w:tr w14:paraId="67822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006" w:type="dxa"/>
            <w:gridSpan w:val="7"/>
            <w:tcBorders>
              <w:top w:val="nil"/>
              <w:left w:val="nil"/>
              <w:bottom w:val="nil"/>
              <w:right w:val="nil"/>
            </w:tcBorders>
            <w:noWrap/>
            <w:vAlign w:val="center"/>
          </w:tcPr>
          <w:p w14:paraId="32198F5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附件1：</w:t>
            </w:r>
          </w:p>
        </w:tc>
        <w:tc>
          <w:tcPr>
            <w:tcW w:w="912" w:type="dxa"/>
            <w:tcBorders>
              <w:top w:val="nil"/>
              <w:left w:val="nil"/>
              <w:bottom w:val="nil"/>
              <w:right w:val="nil"/>
            </w:tcBorders>
            <w:noWrap/>
            <w:vAlign w:val="center"/>
          </w:tcPr>
          <w:p w14:paraId="2A39543F">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b/>
                <w:bCs/>
                <w:i w:val="0"/>
                <w:iCs w:val="0"/>
                <w:color w:val="000000"/>
                <w:sz w:val="18"/>
                <w:szCs w:val="18"/>
                <w:u w:val="none"/>
              </w:rPr>
            </w:pPr>
          </w:p>
        </w:tc>
        <w:tc>
          <w:tcPr>
            <w:tcW w:w="4710" w:type="dxa"/>
            <w:tcBorders>
              <w:top w:val="nil"/>
              <w:left w:val="nil"/>
              <w:bottom w:val="nil"/>
              <w:right w:val="nil"/>
            </w:tcBorders>
            <w:noWrap/>
            <w:vAlign w:val="center"/>
          </w:tcPr>
          <w:p w14:paraId="57E95202">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b/>
                <w:bCs/>
                <w:i w:val="0"/>
                <w:iCs w:val="0"/>
                <w:color w:val="000000"/>
                <w:sz w:val="18"/>
                <w:szCs w:val="18"/>
                <w:u w:val="none"/>
              </w:rPr>
            </w:pPr>
          </w:p>
        </w:tc>
        <w:tc>
          <w:tcPr>
            <w:tcW w:w="865" w:type="dxa"/>
            <w:tcBorders>
              <w:top w:val="nil"/>
              <w:left w:val="nil"/>
              <w:bottom w:val="nil"/>
              <w:right w:val="nil"/>
            </w:tcBorders>
            <w:noWrap/>
            <w:vAlign w:val="center"/>
          </w:tcPr>
          <w:p w14:paraId="6B3B2934">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b/>
                <w:bCs/>
                <w:i w:val="0"/>
                <w:iCs w:val="0"/>
                <w:color w:val="000000"/>
                <w:sz w:val="18"/>
                <w:szCs w:val="18"/>
                <w:u w:val="none"/>
              </w:rPr>
            </w:pPr>
          </w:p>
        </w:tc>
        <w:tc>
          <w:tcPr>
            <w:tcW w:w="782" w:type="dxa"/>
            <w:tcBorders>
              <w:top w:val="nil"/>
              <w:left w:val="nil"/>
              <w:bottom w:val="nil"/>
              <w:right w:val="nil"/>
            </w:tcBorders>
            <w:noWrap/>
            <w:vAlign w:val="center"/>
          </w:tcPr>
          <w:p w14:paraId="03F8AF78">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b/>
                <w:bCs/>
                <w:i w:val="0"/>
                <w:iCs w:val="0"/>
                <w:color w:val="000000"/>
                <w:sz w:val="18"/>
                <w:szCs w:val="18"/>
                <w:u w:val="none"/>
              </w:rPr>
            </w:pPr>
          </w:p>
        </w:tc>
      </w:tr>
      <w:tr w14:paraId="05D4D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3275" w:type="dxa"/>
            <w:gridSpan w:val="11"/>
            <w:tcBorders>
              <w:top w:val="nil"/>
              <w:left w:val="nil"/>
              <w:bottom w:val="nil"/>
              <w:right w:val="nil"/>
            </w:tcBorders>
            <w:noWrap w:val="0"/>
            <w:vAlign w:val="center"/>
          </w:tcPr>
          <w:p w14:paraId="0AC452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22"/>
                <w:szCs w:val="22"/>
                <w:u w:val="none"/>
                <w:lang w:val="en-US" w:eastAsia="zh-CN"/>
              </w:rPr>
              <w:t>2021年煤改电居民入户工程</w:t>
            </w:r>
            <w:r>
              <w:rPr>
                <w:rStyle w:val="62"/>
                <w:rFonts w:hint="eastAsia" w:ascii="宋体" w:hAnsi="宋体" w:eastAsia="宋体" w:cs="宋体"/>
                <w:sz w:val="22"/>
                <w:szCs w:val="22"/>
                <w:lang w:val="en-US" w:eastAsia="zh-CN"/>
              </w:rPr>
              <w:t>绩效评价指标体系综合评分表</w:t>
            </w:r>
          </w:p>
        </w:tc>
      </w:tr>
      <w:tr w14:paraId="06557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1" w:type="dxa"/>
            <w:tcBorders>
              <w:top w:val="single" w:color="auto" w:sz="4" w:space="0"/>
              <w:left w:val="single" w:color="auto" w:sz="4" w:space="0"/>
              <w:bottom w:val="single" w:color="auto" w:sz="4" w:space="0"/>
              <w:right w:val="single" w:color="auto" w:sz="4" w:space="0"/>
            </w:tcBorders>
            <w:noWrap w:val="0"/>
            <w:vAlign w:val="center"/>
          </w:tcPr>
          <w:p w14:paraId="501D40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一级指标</w:t>
            </w:r>
          </w:p>
        </w:tc>
        <w:tc>
          <w:tcPr>
            <w:tcW w:w="575" w:type="dxa"/>
            <w:tcBorders>
              <w:top w:val="single" w:color="auto" w:sz="4" w:space="0"/>
              <w:left w:val="single" w:color="auto" w:sz="4" w:space="0"/>
              <w:bottom w:val="single" w:color="auto" w:sz="4" w:space="0"/>
              <w:right w:val="single" w:color="auto" w:sz="4" w:space="0"/>
            </w:tcBorders>
            <w:noWrap w:val="0"/>
            <w:vAlign w:val="center"/>
          </w:tcPr>
          <w:p w14:paraId="3ABCDA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分值</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70CF85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二级指标</w:t>
            </w:r>
          </w:p>
        </w:tc>
        <w:tc>
          <w:tcPr>
            <w:tcW w:w="487" w:type="dxa"/>
            <w:tcBorders>
              <w:top w:val="single" w:color="auto" w:sz="4" w:space="0"/>
              <w:left w:val="single" w:color="auto" w:sz="4" w:space="0"/>
              <w:bottom w:val="single" w:color="auto" w:sz="4" w:space="0"/>
              <w:right w:val="single" w:color="auto" w:sz="4" w:space="0"/>
            </w:tcBorders>
            <w:noWrap w:val="0"/>
            <w:vAlign w:val="center"/>
          </w:tcPr>
          <w:p w14:paraId="3425FB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分值</w:t>
            </w:r>
          </w:p>
        </w:tc>
        <w:tc>
          <w:tcPr>
            <w:tcW w:w="650" w:type="dxa"/>
            <w:tcBorders>
              <w:top w:val="single" w:color="auto" w:sz="4" w:space="0"/>
              <w:left w:val="single" w:color="auto" w:sz="4" w:space="0"/>
              <w:bottom w:val="single" w:color="auto" w:sz="4" w:space="0"/>
              <w:right w:val="single" w:color="auto" w:sz="4" w:space="0"/>
            </w:tcBorders>
            <w:noWrap w:val="0"/>
            <w:vAlign w:val="center"/>
          </w:tcPr>
          <w:p w14:paraId="709EA9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三级指标</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2BC2FA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分值</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798E49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指标解释</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0C753D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标杆值</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0EBA45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评分标准</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4BAB19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完成值</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35D72B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得分</w:t>
            </w:r>
          </w:p>
        </w:tc>
      </w:tr>
      <w:tr w14:paraId="579F3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restart"/>
            <w:tcBorders>
              <w:top w:val="single" w:color="auto" w:sz="4" w:space="0"/>
              <w:left w:val="single" w:color="auto" w:sz="4" w:space="0"/>
              <w:bottom w:val="single" w:color="auto" w:sz="4" w:space="0"/>
              <w:right w:val="single" w:color="auto" w:sz="4" w:space="0"/>
            </w:tcBorders>
            <w:noWrap w:val="0"/>
            <w:vAlign w:val="center"/>
          </w:tcPr>
          <w:p w14:paraId="7A0D8C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项目决策</w:t>
            </w:r>
          </w:p>
        </w:tc>
        <w:tc>
          <w:tcPr>
            <w:tcW w:w="575" w:type="dxa"/>
            <w:vMerge w:val="restart"/>
            <w:tcBorders>
              <w:top w:val="single" w:color="auto" w:sz="4" w:space="0"/>
              <w:left w:val="single" w:color="auto" w:sz="4" w:space="0"/>
              <w:bottom w:val="single" w:color="auto" w:sz="4" w:space="0"/>
              <w:right w:val="single" w:color="auto" w:sz="4" w:space="0"/>
            </w:tcBorders>
            <w:noWrap w:val="0"/>
            <w:vAlign w:val="center"/>
          </w:tcPr>
          <w:p w14:paraId="63EA4D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23</w:t>
            </w: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41B1EE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项目立项</w:t>
            </w:r>
          </w:p>
        </w:tc>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14:paraId="5B7957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w:t>
            </w:r>
          </w:p>
        </w:tc>
        <w:tc>
          <w:tcPr>
            <w:tcW w:w="650" w:type="dxa"/>
            <w:tcBorders>
              <w:top w:val="single" w:color="auto" w:sz="4" w:space="0"/>
              <w:left w:val="single" w:color="auto" w:sz="4" w:space="0"/>
              <w:bottom w:val="single" w:color="auto" w:sz="4" w:space="0"/>
              <w:right w:val="single" w:color="auto" w:sz="4" w:space="0"/>
            </w:tcBorders>
            <w:noWrap w:val="0"/>
            <w:vAlign w:val="center"/>
          </w:tcPr>
          <w:p w14:paraId="082003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立项依据充分性</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773323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36FFF7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项目立项是否符合法律法规、相关政策、发展规划以及部门职责，用以反映和考核项目立项依据情况。</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67F1E4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充分</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6FD8B4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①项目立项是否符合国家法律法规、国民经济发展规划和相关政策；</w:t>
            </w:r>
          </w:p>
          <w:p w14:paraId="2A002E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②项目立项是否符合行业发展规划和政策要求；</w:t>
            </w:r>
          </w:p>
          <w:p w14:paraId="2F9CC4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③项目立项是否与部门职责范围相符，属于部门履职所需；</w:t>
            </w:r>
          </w:p>
          <w:p w14:paraId="4CF92A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④项目是否属于公共财政支持范围，是否符合中央、地方事权支出责任划分原则；</w:t>
            </w:r>
          </w:p>
          <w:p w14:paraId="5988F9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⑤项目是否与相关部门同类项目或部门内部相关项目重复。</w:t>
            </w:r>
          </w:p>
          <w:p w14:paraId="546E8D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以上每条要素占权重分的20%，每有一条不符合，扣除对应权重分，扣完为止。</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43ECC3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充分</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4B6938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w:t>
            </w:r>
          </w:p>
        </w:tc>
      </w:tr>
      <w:tr w14:paraId="28026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7AA30C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3C7FF5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1A71AF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53AE3F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tcBorders>
              <w:top w:val="single" w:color="auto" w:sz="4" w:space="0"/>
              <w:left w:val="single" w:color="auto" w:sz="4" w:space="0"/>
              <w:bottom w:val="single" w:color="auto" w:sz="4" w:space="0"/>
              <w:right w:val="single" w:color="auto" w:sz="4" w:space="0"/>
            </w:tcBorders>
            <w:noWrap w:val="0"/>
            <w:vAlign w:val="center"/>
          </w:tcPr>
          <w:p w14:paraId="668911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立项程序规范性</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445BD6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48A411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项目申请、设立过程是否符合相关要求，用以反映和考核项目立项的规范情况。</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794FFE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规范</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66141E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①项目是否按照规定的程序申请设立；</w:t>
            </w:r>
          </w:p>
          <w:p w14:paraId="118814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②审批文件、材料是否符合相关要求；</w:t>
            </w:r>
          </w:p>
          <w:p w14:paraId="3334AF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③事前是否已经过必要的可行性研究、专家论证、风险评估、绩效评估、集体决策。</w:t>
            </w:r>
          </w:p>
          <w:p w14:paraId="56CFEF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①②③齐全得权重分的100%，缺①扣权重分的40%，缺②扣权重分的30%，缺③扣权重分的30%。</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20661C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规范</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0961DD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w:t>
            </w:r>
          </w:p>
        </w:tc>
      </w:tr>
      <w:tr w14:paraId="54838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4C0E17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64DC50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2776B5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绩效目标</w:t>
            </w:r>
          </w:p>
        </w:tc>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14:paraId="5792E6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650" w:type="dxa"/>
            <w:tcBorders>
              <w:top w:val="single" w:color="auto" w:sz="4" w:space="0"/>
              <w:left w:val="single" w:color="auto" w:sz="4" w:space="0"/>
              <w:bottom w:val="single" w:color="auto" w:sz="4" w:space="0"/>
              <w:right w:val="single" w:color="auto" w:sz="4" w:space="0"/>
            </w:tcBorders>
            <w:noWrap w:val="0"/>
            <w:vAlign w:val="center"/>
          </w:tcPr>
          <w:p w14:paraId="281338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绩效目标合理性</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2B950D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3575E0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项目所设定的绩效目标是否依据充分，是否符合客观实际，用以反映和考核项目绩效目标与项目实施的相符情况。</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58B4C7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合理</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5F36F2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①项目是否有绩效目标；</w:t>
            </w:r>
          </w:p>
          <w:p w14:paraId="2A2C53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②项目绩效目标与实际工作内容是否具有相关性；</w:t>
            </w:r>
          </w:p>
          <w:p w14:paraId="7F1340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③项目预期产出效益和效果是否符合正常的业绩水平；</w:t>
            </w:r>
          </w:p>
          <w:p w14:paraId="05D718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④是否与预算确定的项目投资额或资金量相匹配。</w:t>
            </w:r>
          </w:p>
          <w:p w14:paraId="4478BB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以上每条要素各占权重的25%，每有一条不符合，扣除对应的权重分，扣完为止。</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4D31AA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合理</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7C3F6E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w:t>
            </w:r>
          </w:p>
        </w:tc>
      </w:tr>
      <w:tr w14:paraId="70BE4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493767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0C996A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63753A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53E99C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tcBorders>
              <w:top w:val="single" w:color="auto" w:sz="4" w:space="0"/>
              <w:left w:val="single" w:color="auto" w:sz="4" w:space="0"/>
              <w:bottom w:val="single" w:color="auto" w:sz="4" w:space="0"/>
              <w:right w:val="single" w:color="auto" w:sz="4" w:space="0"/>
            </w:tcBorders>
            <w:noWrap w:val="0"/>
            <w:vAlign w:val="center"/>
          </w:tcPr>
          <w:p w14:paraId="4EB213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绩效指标明确性</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5EFD56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564611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依据绩效目标设定的绩效指标是否清晰、细化、可衡量等，用以反映和考核项目绩效目标的明细化情况。</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4C372D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明确</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54F175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①是否将项目绩效目标细化分解为具体的绩效指标；</w:t>
            </w:r>
          </w:p>
          <w:p w14:paraId="280987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②是否通过清晰、可衡量的指标值予以体现；</w:t>
            </w:r>
          </w:p>
          <w:p w14:paraId="4C668D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③是否与项目目标任务数或计划数相对应。</w:t>
            </w:r>
          </w:p>
          <w:p w14:paraId="3FEEAC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①②③齐全得权重分的100%，缺①扣权重分的20%，缺②扣权重分的50%，缺③扣权重分的30%。</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655C1D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明确</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30284A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w:t>
            </w:r>
          </w:p>
        </w:tc>
      </w:tr>
      <w:tr w14:paraId="001F1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102552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18C2E9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1DD7DB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资金投入</w:t>
            </w:r>
          </w:p>
        </w:tc>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14:paraId="2980C0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8</w:t>
            </w:r>
          </w:p>
        </w:tc>
        <w:tc>
          <w:tcPr>
            <w:tcW w:w="650" w:type="dxa"/>
            <w:tcBorders>
              <w:top w:val="single" w:color="auto" w:sz="4" w:space="0"/>
              <w:left w:val="single" w:color="auto" w:sz="4" w:space="0"/>
              <w:bottom w:val="single" w:color="auto" w:sz="4" w:space="0"/>
              <w:right w:val="single" w:color="auto" w:sz="4" w:space="0"/>
            </w:tcBorders>
            <w:noWrap w:val="0"/>
            <w:vAlign w:val="center"/>
          </w:tcPr>
          <w:p w14:paraId="64B9D3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预算编制科学性</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545329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65DA57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项目预算编制是否经过科学论证、有明确标准，资金额度与年度目标是否相适应，用以反映和考核项目预算编制的科学性、合理性情况。</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130F8F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科学</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2CC531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①预算编制是否经过科学论证；</w:t>
            </w:r>
          </w:p>
          <w:p w14:paraId="58638B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②预算内容与项目内容是否匹配；</w:t>
            </w:r>
          </w:p>
          <w:p w14:paraId="5C0DFB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③预算额度测算依据是否充分，是否按照标准编制；</w:t>
            </w:r>
          </w:p>
          <w:p w14:paraId="2698FD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④预算确定的项目投资额或资金量是否与工作任务相匹配。</w:t>
            </w:r>
          </w:p>
          <w:p w14:paraId="6B44F9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以上每条要素各占权重的25%，每有一条不符合，扣除对应的权重分，扣完为止。</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114FFA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科学</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3CA7D9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w:t>
            </w:r>
          </w:p>
        </w:tc>
      </w:tr>
      <w:tr w14:paraId="332A9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6"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199B14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6DC086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0CDAA4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446285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tcBorders>
              <w:top w:val="single" w:color="auto" w:sz="4" w:space="0"/>
              <w:left w:val="single" w:color="auto" w:sz="4" w:space="0"/>
              <w:bottom w:val="single" w:color="auto" w:sz="4" w:space="0"/>
              <w:right w:val="single" w:color="auto" w:sz="4" w:space="0"/>
            </w:tcBorders>
            <w:noWrap w:val="0"/>
            <w:vAlign w:val="center"/>
          </w:tcPr>
          <w:p w14:paraId="31A8B9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资金分配合理性</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7EB50A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6BE84B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项目预算资金分配是否有测算依据，与补助单位或地方实际是否相适应，用以反映和考核项目预算资金分配的科学性、合理性情况。</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432084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合理</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0F04A2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①预算资金分配依据是否充分；</w:t>
            </w:r>
          </w:p>
          <w:p w14:paraId="708874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②资金分配额度是否合理，与项目单位或地方实际是否相适应。</w:t>
            </w:r>
          </w:p>
          <w:p w14:paraId="76A720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以上每条要素各占权重的50%，每有一条不符合，扣除对应的权重分，扣完为止。</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3ABFFB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合理</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4007B1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w:t>
            </w:r>
          </w:p>
        </w:tc>
      </w:tr>
      <w:tr w14:paraId="2B55C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631" w:type="dxa"/>
            <w:vMerge w:val="restart"/>
            <w:tcBorders>
              <w:top w:val="single" w:color="auto" w:sz="4" w:space="0"/>
              <w:left w:val="single" w:color="auto" w:sz="4" w:space="0"/>
              <w:bottom w:val="single" w:color="auto" w:sz="4" w:space="0"/>
              <w:right w:val="single" w:color="auto" w:sz="4" w:space="0"/>
            </w:tcBorders>
            <w:noWrap w:val="0"/>
            <w:vAlign w:val="center"/>
          </w:tcPr>
          <w:p w14:paraId="2EB3EB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项目过程</w:t>
            </w:r>
          </w:p>
        </w:tc>
        <w:tc>
          <w:tcPr>
            <w:tcW w:w="575" w:type="dxa"/>
            <w:vMerge w:val="restart"/>
            <w:tcBorders>
              <w:top w:val="single" w:color="auto" w:sz="4" w:space="0"/>
              <w:left w:val="single" w:color="auto" w:sz="4" w:space="0"/>
              <w:bottom w:val="single" w:color="auto" w:sz="4" w:space="0"/>
              <w:right w:val="single" w:color="auto" w:sz="4" w:space="0"/>
            </w:tcBorders>
            <w:noWrap w:val="0"/>
            <w:vAlign w:val="center"/>
          </w:tcPr>
          <w:p w14:paraId="3F87E3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12</w:t>
            </w: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30E60C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资金管理</w:t>
            </w:r>
          </w:p>
        </w:tc>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14:paraId="455E7A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650" w:type="dxa"/>
            <w:tcBorders>
              <w:top w:val="single" w:color="auto" w:sz="4" w:space="0"/>
              <w:left w:val="single" w:color="auto" w:sz="4" w:space="0"/>
              <w:bottom w:val="single" w:color="auto" w:sz="4" w:space="0"/>
              <w:right w:val="single" w:color="auto" w:sz="4" w:space="0"/>
            </w:tcBorders>
            <w:noWrap w:val="0"/>
            <w:vAlign w:val="center"/>
          </w:tcPr>
          <w:p w14:paraId="3B8C04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资金到位率</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7F1235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37F516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实际到位资金与预算资金的比率，用以反映和考核资金落实情况对项目实施的总体保障程度。</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0C7B04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7B010E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资金到位率=（实际到位资金/预算资金）×100%。</w:t>
            </w:r>
          </w:p>
          <w:p w14:paraId="257E27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资金到位率=100%，得权重分满分，每降低1%，扣除5%权重分，扣完为止。</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5158E8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255B8F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r>
      <w:tr w14:paraId="035D8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6C1E16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762453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329FE8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75C7E2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tcBorders>
              <w:top w:val="single" w:color="auto" w:sz="4" w:space="0"/>
              <w:left w:val="single" w:color="auto" w:sz="4" w:space="0"/>
              <w:bottom w:val="single" w:color="auto" w:sz="4" w:space="0"/>
              <w:right w:val="single" w:color="auto" w:sz="4" w:space="0"/>
            </w:tcBorders>
            <w:noWrap w:val="0"/>
            <w:vAlign w:val="center"/>
          </w:tcPr>
          <w:p w14:paraId="0C1C16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预算执行率</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60D5D5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01193F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项目预算资金是否按照计划执行，用以反映或考核项目预算执行情况。</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7C7729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48EE86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预算执行率=（实际支出资金/实际到位资金）×100%。</w:t>
            </w:r>
          </w:p>
          <w:p w14:paraId="130C25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预算执行率=100%，得权重分满分；若预算执行率＜100%，得分=预算执行率*分值；若执行率≤60%，则不得分。</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5D0C1A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3401DF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r>
      <w:tr w14:paraId="71BF1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1DC402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340CBB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304102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7D61B3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tcBorders>
              <w:top w:val="single" w:color="auto" w:sz="4" w:space="0"/>
              <w:left w:val="single" w:color="auto" w:sz="4" w:space="0"/>
              <w:bottom w:val="single" w:color="auto" w:sz="4" w:space="0"/>
              <w:right w:val="single" w:color="auto" w:sz="4" w:space="0"/>
            </w:tcBorders>
            <w:noWrap w:val="0"/>
            <w:vAlign w:val="center"/>
          </w:tcPr>
          <w:p w14:paraId="4B9B26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资金使用合规性</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5E8BDC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0B2C69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项目资金使用是否符合相关的财务管理制度规定，用以反映和考核项目资金的规范运行情况。</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7D94FC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合规</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134E1F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①否符合国家财经法规和财务管理制度以及有关专项资金管理办法的规定；</w:t>
            </w:r>
          </w:p>
          <w:p w14:paraId="42A33E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②资金的拨付是否有完整的审批程序和手续；</w:t>
            </w:r>
          </w:p>
          <w:p w14:paraId="7C5381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③是否符合项目预算批复或合同规定的用途；</w:t>
            </w:r>
          </w:p>
          <w:p w14:paraId="46FA90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④是否存在截留、挤占、挪用、虚列支出等情况。</w:t>
            </w:r>
          </w:p>
          <w:p w14:paraId="3F7538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以上每条指标各占权重分的25%，要素①②不符合，扣除对应权重分；要素③④不符合属于重大违纪，该指标不得分。</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3DD14E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合规</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62B4A8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w:t>
            </w:r>
          </w:p>
        </w:tc>
      </w:tr>
      <w:tr w14:paraId="6FB5B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682AA1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5AA91B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093C7B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组织实施</w:t>
            </w:r>
          </w:p>
        </w:tc>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14:paraId="43B879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650" w:type="dxa"/>
            <w:tcBorders>
              <w:top w:val="single" w:color="auto" w:sz="4" w:space="0"/>
              <w:left w:val="single" w:color="auto" w:sz="4" w:space="0"/>
              <w:bottom w:val="single" w:color="auto" w:sz="4" w:space="0"/>
              <w:right w:val="single" w:color="auto" w:sz="4" w:space="0"/>
            </w:tcBorders>
            <w:noWrap w:val="0"/>
            <w:vAlign w:val="center"/>
          </w:tcPr>
          <w:p w14:paraId="55E131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管理制度健全性</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1AC7C0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53F698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项目实施单位的财务和业务管理制度是否健全，用以反映和考核财务和业务管理制度对项目顺利实施的保障情况。</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08A34A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健全</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0D9B16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①是否已制定或具有相应的财务和业务管理制度；</w:t>
            </w:r>
          </w:p>
          <w:p w14:paraId="6B18D1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②财务和业务管理制度是否合法、合规、完整。</w:t>
            </w:r>
          </w:p>
          <w:p w14:paraId="2A1FB6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以上每条要素各占权重的50%，每有一条不符合，扣除对应的权重分，扣完为止。</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2724BA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健全</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39113C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w:t>
            </w:r>
          </w:p>
        </w:tc>
      </w:tr>
      <w:tr w14:paraId="2F464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6097D4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69F90A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2859BE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4C9D2E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tcBorders>
              <w:top w:val="single" w:color="auto" w:sz="4" w:space="0"/>
              <w:left w:val="single" w:color="auto" w:sz="4" w:space="0"/>
              <w:bottom w:val="single" w:color="auto" w:sz="4" w:space="0"/>
              <w:right w:val="single" w:color="auto" w:sz="4" w:space="0"/>
            </w:tcBorders>
            <w:noWrap w:val="0"/>
            <w:vAlign w:val="center"/>
          </w:tcPr>
          <w:p w14:paraId="2DE768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制度执行有效性</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62CD9F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3FCF4D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项目实施是否符合相关管理规定，用以反映和考核相关管理制度的有效执行情况。</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13355F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有效</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734204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①否遵守相关法律法规和相关管理规定；</w:t>
            </w:r>
          </w:p>
          <w:p w14:paraId="39268E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②项目调整及支出调整手续是否完备；</w:t>
            </w:r>
          </w:p>
          <w:p w14:paraId="46AFEB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③项目资料是否齐全并及时归档。</w:t>
            </w:r>
          </w:p>
          <w:p w14:paraId="616656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①②③齐全得权重分的100%，缺①扣权重分的30%，缺②扣权重分的40%，缺③扣权重分的30%。</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0A1F79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有效</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51CBBF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r>
      <w:tr w14:paraId="4E086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restart"/>
            <w:tcBorders>
              <w:top w:val="single" w:color="auto" w:sz="4" w:space="0"/>
              <w:left w:val="single" w:color="auto" w:sz="4" w:space="0"/>
              <w:bottom w:val="single" w:color="auto" w:sz="4" w:space="0"/>
              <w:right w:val="single" w:color="auto" w:sz="4" w:space="0"/>
            </w:tcBorders>
            <w:noWrap w:val="0"/>
            <w:vAlign w:val="center"/>
          </w:tcPr>
          <w:p w14:paraId="5BA91C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项目产出</w:t>
            </w:r>
          </w:p>
        </w:tc>
        <w:tc>
          <w:tcPr>
            <w:tcW w:w="575" w:type="dxa"/>
            <w:vMerge w:val="restart"/>
            <w:tcBorders>
              <w:top w:val="single" w:color="auto" w:sz="4" w:space="0"/>
              <w:left w:val="single" w:color="auto" w:sz="4" w:space="0"/>
              <w:bottom w:val="single" w:color="auto" w:sz="4" w:space="0"/>
              <w:right w:val="single" w:color="auto" w:sz="4" w:space="0"/>
            </w:tcBorders>
            <w:noWrap w:val="0"/>
            <w:vAlign w:val="center"/>
          </w:tcPr>
          <w:p w14:paraId="357597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40</w:t>
            </w: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429050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产出数量</w:t>
            </w:r>
          </w:p>
        </w:tc>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14:paraId="598ABD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650" w:type="dxa"/>
            <w:vMerge w:val="restart"/>
            <w:tcBorders>
              <w:top w:val="single" w:color="auto" w:sz="4" w:space="0"/>
              <w:left w:val="single" w:color="auto" w:sz="4" w:space="0"/>
              <w:bottom w:val="single" w:color="auto" w:sz="4" w:space="0"/>
              <w:right w:val="single" w:color="auto" w:sz="4" w:space="0"/>
            </w:tcBorders>
            <w:noWrap w:val="0"/>
            <w:vAlign w:val="center"/>
          </w:tcPr>
          <w:p w14:paraId="217D60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实际完成率</w:t>
            </w:r>
          </w:p>
        </w:tc>
        <w:tc>
          <w:tcPr>
            <w:tcW w:w="525" w:type="dxa"/>
            <w:vMerge w:val="restart"/>
            <w:tcBorders>
              <w:top w:val="single" w:color="auto" w:sz="4" w:space="0"/>
              <w:left w:val="single" w:color="auto" w:sz="4" w:space="0"/>
              <w:bottom w:val="single" w:color="auto" w:sz="4" w:space="0"/>
              <w:right w:val="single" w:color="auto" w:sz="4" w:space="0"/>
            </w:tcBorders>
            <w:noWrap w:val="0"/>
            <w:vAlign w:val="center"/>
          </w:tcPr>
          <w:p w14:paraId="0C8C62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3B4543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配置采暖设备户数</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1E2A48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≥13090户</w:t>
            </w:r>
          </w:p>
        </w:tc>
        <w:tc>
          <w:tcPr>
            <w:tcW w:w="4710" w:type="dxa"/>
            <w:vMerge w:val="restart"/>
            <w:tcBorders>
              <w:top w:val="single" w:color="auto" w:sz="4" w:space="0"/>
              <w:left w:val="single" w:color="auto" w:sz="4" w:space="0"/>
              <w:right w:val="single" w:color="auto" w:sz="4" w:space="0"/>
            </w:tcBorders>
            <w:noWrap w:val="0"/>
            <w:vAlign w:val="center"/>
          </w:tcPr>
          <w:p w14:paraId="4E6392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实际完成率=（实际完成/预期完成）×100%。</w:t>
            </w:r>
          </w:p>
          <w:p w14:paraId="266F47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①实际完成率≥100%，且偏离程度＜20%，得满分；</w:t>
            </w:r>
          </w:p>
          <w:p w14:paraId="53796A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②实际完成率≥100%，偏离程度≥20%，得0分；</w:t>
            </w:r>
          </w:p>
          <w:p w14:paraId="695068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③实际完成率×100%＜100%，得分=实际完成率×指标分值。</w:t>
            </w:r>
          </w:p>
          <w:p w14:paraId="42818C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若指标达到标杆值，则得100%权重分；否则，得分=（实际完成/预期完成）×100%×指标分值。若指标完成值达到标杆值，则得100%权重分；否则，不得分。</w:t>
            </w:r>
          </w:p>
        </w:tc>
        <w:tc>
          <w:tcPr>
            <w:tcW w:w="865" w:type="dxa"/>
            <w:vMerge w:val="restart"/>
            <w:tcBorders>
              <w:top w:val="single" w:color="auto" w:sz="4" w:space="0"/>
              <w:left w:val="single" w:color="auto" w:sz="4" w:space="0"/>
              <w:bottom w:val="single" w:color="auto" w:sz="4" w:space="0"/>
              <w:right w:val="single" w:color="auto" w:sz="4" w:space="0"/>
            </w:tcBorders>
            <w:noWrap w:val="0"/>
            <w:vAlign w:val="center"/>
          </w:tcPr>
          <w:p w14:paraId="640BD5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13090户</w:t>
            </w:r>
          </w:p>
        </w:tc>
        <w:tc>
          <w:tcPr>
            <w:tcW w:w="782" w:type="dxa"/>
            <w:vMerge w:val="restart"/>
            <w:tcBorders>
              <w:top w:val="single" w:color="auto" w:sz="4" w:space="0"/>
              <w:left w:val="single" w:color="auto" w:sz="4" w:space="0"/>
              <w:bottom w:val="single" w:color="auto" w:sz="4" w:space="0"/>
              <w:right w:val="single" w:color="auto" w:sz="4" w:space="0"/>
            </w:tcBorders>
            <w:noWrap w:val="0"/>
            <w:vAlign w:val="center"/>
          </w:tcPr>
          <w:p w14:paraId="02DCAC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r>
      <w:tr w14:paraId="3EBC3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144D5B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3CD9B1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21FA0C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3B0D0F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vMerge w:val="continue"/>
            <w:tcBorders>
              <w:top w:val="single" w:color="auto" w:sz="4" w:space="0"/>
              <w:left w:val="single" w:color="auto" w:sz="4" w:space="0"/>
              <w:bottom w:val="single" w:color="auto" w:sz="4" w:space="0"/>
              <w:right w:val="single" w:color="auto" w:sz="4" w:space="0"/>
            </w:tcBorders>
            <w:noWrap w:val="0"/>
            <w:vAlign w:val="center"/>
          </w:tcPr>
          <w:p w14:paraId="1B46DA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14:paraId="08F5A8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2538" w:type="dxa"/>
            <w:vMerge w:val="restart"/>
            <w:tcBorders>
              <w:top w:val="single" w:color="auto" w:sz="4" w:space="0"/>
              <w:left w:val="single" w:color="auto" w:sz="4" w:space="0"/>
              <w:bottom w:val="single" w:color="auto" w:sz="4" w:space="0"/>
              <w:right w:val="single" w:color="auto" w:sz="4" w:space="0"/>
            </w:tcBorders>
            <w:noWrap w:val="0"/>
            <w:vAlign w:val="center"/>
          </w:tcPr>
          <w:p w14:paraId="509358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配置设备房屋面积</w:t>
            </w:r>
          </w:p>
        </w:tc>
        <w:tc>
          <w:tcPr>
            <w:tcW w:w="912" w:type="dxa"/>
            <w:vMerge w:val="restart"/>
            <w:tcBorders>
              <w:top w:val="single" w:color="auto" w:sz="4" w:space="0"/>
              <w:left w:val="single" w:color="auto" w:sz="4" w:space="0"/>
              <w:bottom w:val="single" w:color="auto" w:sz="4" w:space="0"/>
              <w:right w:val="single" w:color="auto" w:sz="4" w:space="0"/>
            </w:tcBorders>
            <w:noWrap w:val="0"/>
            <w:vAlign w:val="center"/>
          </w:tcPr>
          <w:p w14:paraId="670173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=50平方米/户</w:t>
            </w:r>
          </w:p>
        </w:tc>
        <w:tc>
          <w:tcPr>
            <w:tcW w:w="4710" w:type="dxa"/>
            <w:vMerge w:val="continue"/>
            <w:tcBorders>
              <w:left w:val="single" w:color="auto" w:sz="4" w:space="0"/>
              <w:right w:val="single" w:color="auto" w:sz="4" w:space="0"/>
            </w:tcBorders>
            <w:noWrap w:val="0"/>
            <w:vAlign w:val="center"/>
          </w:tcPr>
          <w:p w14:paraId="6F85EC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p>
        </w:tc>
        <w:tc>
          <w:tcPr>
            <w:tcW w:w="865" w:type="dxa"/>
            <w:vMerge w:val="continue"/>
            <w:tcBorders>
              <w:top w:val="single" w:color="auto" w:sz="4" w:space="0"/>
              <w:left w:val="single" w:color="auto" w:sz="4" w:space="0"/>
              <w:bottom w:val="single" w:color="auto" w:sz="4" w:space="0"/>
              <w:right w:val="single" w:color="auto" w:sz="4" w:space="0"/>
            </w:tcBorders>
            <w:noWrap w:val="0"/>
            <w:vAlign w:val="center"/>
          </w:tcPr>
          <w:p w14:paraId="0BAC19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782" w:type="dxa"/>
            <w:vMerge w:val="continue"/>
            <w:tcBorders>
              <w:top w:val="single" w:color="auto" w:sz="4" w:space="0"/>
              <w:left w:val="single" w:color="auto" w:sz="4" w:space="0"/>
              <w:bottom w:val="single" w:color="auto" w:sz="4" w:space="0"/>
              <w:right w:val="single" w:color="auto" w:sz="4" w:space="0"/>
            </w:tcBorders>
            <w:noWrap w:val="0"/>
            <w:vAlign w:val="center"/>
          </w:tcPr>
          <w:p w14:paraId="7CF4E9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r>
      <w:tr w14:paraId="5D180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28983F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7AC091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41A09A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12AE38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vMerge w:val="continue"/>
            <w:tcBorders>
              <w:top w:val="single" w:color="auto" w:sz="4" w:space="0"/>
              <w:left w:val="single" w:color="auto" w:sz="4" w:space="0"/>
              <w:bottom w:val="single" w:color="auto" w:sz="4" w:space="0"/>
              <w:right w:val="single" w:color="auto" w:sz="4" w:space="0"/>
            </w:tcBorders>
            <w:noWrap w:val="0"/>
            <w:vAlign w:val="center"/>
          </w:tcPr>
          <w:p w14:paraId="4E3631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14:paraId="1E183C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2538" w:type="dxa"/>
            <w:vMerge w:val="continue"/>
            <w:tcBorders>
              <w:top w:val="single" w:color="auto" w:sz="4" w:space="0"/>
              <w:left w:val="single" w:color="auto" w:sz="4" w:space="0"/>
              <w:bottom w:val="single" w:color="auto" w:sz="4" w:space="0"/>
              <w:right w:val="single" w:color="auto" w:sz="4" w:space="0"/>
            </w:tcBorders>
            <w:noWrap w:val="0"/>
            <w:vAlign w:val="center"/>
          </w:tcPr>
          <w:p w14:paraId="2CBC7342">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18"/>
                <w:szCs w:val="18"/>
                <w:u w:val="none"/>
              </w:rPr>
            </w:pPr>
          </w:p>
        </w:tc>
        <w:tc>
          <w:tcPr>
            <w:tcW w:w="912" w:type="dxa"/>
            <w:vMerge w:val="continue"/>
            <w:tcBorders>
              <w:top w:val="single" w:color="auto" w:sz="4" w:space="0"/>
              <w:left w:val="single" w:color="auto" w:sz="4" w:space="0"/>
              <w:bottom w:val="single" w:color="auto" w:sz="4" w:space="0"/>
              <w:right w:val="single" w:color="auto" w:sz="4" w:space="0"/>
            </w:tcBorders>
            <w:noWrap w:val="0"/>
            <w:vAlign w:val="center"/>
          </w:tcPr>
          <w:p w14:paraId="748F8B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710" w:type="dxa"/>
            <w:vMerge w:val="continue"/>
            <w:tcBorders>
              <w:left w:val="single" w:color="auto" w:sz="4" w:space="0"/>
              <w:bottom w:val="single" w:color="auto" w:sz="4" w:space="0"/>
              <w:right w:val="single" w:color="auto" w:sz="4" w:space="0"/>
            </w:tcBorders>
            <w:noWrap w:val="0"/>
            <w:vAlign w:val="center"/>
          </w:tcPr>
          <w:p w14:paraId="2431A4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p>
        </w:tc>
        <w:tc>
          <w:tcPr>
            <w:tcW w:w="865" w:type="dxa"/>
            <w:tcBorders>
              <w:top w:val="single" w:color="auto" w:sz="4" w:space="0"/>
              <w:left w:val="single" w:color="auto" w:sz="4" w:space="0"/>
              <w:bottom w:val="single" w:color="auto" w:sz="4" w:space="0"/>
              <w:right w:val="single" w:color="auto" w:sz="4" w:space="0"/>
            </w:tcBorders>
            <w:noWrap w:val="0"/>
            <w:vAlign w:val="center"/>
          </w:tcPr>
          <w:p w14:paraId="2E0843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50平方米/户</w:t>
            </w:r>
          </w:p>
        </w:tc>
        <w:tc>
          <w:tcPr>
            <w:tcW w:w="782" w:type="dxa"/>
            <w:vMerge w:val="continue"/>
            <w:tcBorders>
              <w:top w:val="single" w:color="auto" w:sz="4" w:space="0"/>
              <w:left w:val="single" w:color="auto" w:sz="4" w:space="0"/>
              <w:bottom w:val="single" w:color="auto" w:sz="4" w:space="0"/>
              <w:right w:val="single" w:color="auto" w:sz="4" w:space="0"/>
            </w:tcBorders>
            <w:noWrap w:val="0"/>
            <w:vAlign w:val="center"/>
          </w:tcPr>
          <w:p w14:paraId="64EFAD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r>
      <w:tr w14:paraId="24DB3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0A450D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5775C9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588182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产出质量</w:t>
            </w:r>
          </w:p>
        </w:tc>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14:paraId="613E94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650" w:type="dxa"/>
            <w:vMerge w:val="restart"/>
            <w:tcBorders>
              <w:top w:val="single" w:color="auto" w:sz="4" w:space="0"/>
              <w:left w:val="single" w:color="auto" w:sz="4" w:space="0"/>
              <w:bottom w:val="single" w:color="auto" w:sz="4" w:space="0"/>
              <w:right w:val="single" w:color="auto" w:sz="4" w:space="0"/>
            </w:tcBorders>
            <w:noWrap w:val="0"/>
            <w:vAlign w:val="center"/>
          </w:tcPr>
          <w:p w14:paraId="6C4C1F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质量达标率</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4D18A1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199266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工程验收合格率</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75E0E2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4710" w:type="dxa"/>
            <w:vMerge w:val="restart"/>
            <w:tcBorders>
              <w:top w:val="single" w:color="auto" w:sz="4" w:space="0"/>
              <w:left w:val="single" w:color="auto" w:sz="4" w:space="0"/>
              <w:right w:val="single" w:color="auto" w:sz="4" w:space="0"/>
            </w:tcBorders>
            <w:noWrap w:val="0"/>
            <w:vAlign w:val="center"/>
          </w:tcPr>
          <w:p w14:paraId="335AC0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若指标完成值达到标杆值，则得100%权重分；否则，得分=（实际完成/预期完成）×100%×指标分值。</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40B2CF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169F15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w:t>
            </w:r>
          </w:p>
        </w:tc>
      </w:tr>
      <w:tr w14:paraId="2D74F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6E78A8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2730C8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440798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03B4A9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vMerge w:val="continue"/>
            <w:tcBorders>
              <w:top w:val="single" w:color="auto" w:sz="4" w:space="0"/>
              <w:left w:val="single" w:color="auto" w:sz="4" w:space="0"/>
              <w:bottom w:val="single" w:color="auto" w:sz="4" w:space="0"/>
              <w:right w:val="single" w:color="auto" w:sz="4" w:space="0"/>
            </w:tcBorders>
            <w:noWrap w:val="0"/>
            <w:vAlign w:val="center"/>
          </w:tcPr>
          <w:p w14:paraId="3037C0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25" w:type="dxa"/>
            <w:tcBorders>
              <w:top w:val="single" w:color="auto" w:sz="4" w:space="0"/>
              <w:left w:val="single" w:color="auto" w:sz="4" w:space="0"/>
              <w:bottom w:val="single" w:color="auto" w:sz="4" w:space="0"/>
              <w:right w:val="single" w:color="auto" w:sz="4" w:space="0"/>
            </w:tcBorders>
            <w:noWrap w:val="0"/>
            <w:vAlign w:val="center"/>
          </w:tcPr>
          <w:p w14:paraId="02FFE2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3D59A3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设备质量合格率</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036A3E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4710" w:type="dxa"/>
            <w:vMerge w:val="continue"/>
            <w:tcBorders>
              <w:left w:val="single" w:color="auto" w:sz="4" w:space="0"/>
              <w:right w:val="single" w:color="auto" w:sz="4" w:space="0"/>
            </w:tcBorders>
            <w:noWrap w:val="0"/>
            <w:vAlign w:val="center"/>
          </w:tcPr>
          <w:p w14:paraId="1144AD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p>
        </w:tc>
        <w:tc>
          <w:tcPr>
            <w:tcW w:w="865" w:type="dxa"/>
            <w:tcBorders>
              <w:top w:val="single" w:color="auto" w:sz="4" w:space="0"/>
              <w:left w:val="single" w:color="auto" w:sz="4" w:space="0"/>
              <w:bottom w:val="single" w:color="auto" w:sz="4" w:space="0"/>
              <w:right w:val="single" w:color="auto" w:sz="4" w:space="0"/>
            </w:tcBorders>
            <w:noWrap w:val="0"/>
            <w:vAlign w:val="center"/>
          </w:tcPr>
          <w:p w14:paraId="3D7864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6EECC8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3</w:t>
            </w:r>
          </w:p>
        </w:tc>
      </w:tr>
      <w:tr w14:paraId="5CF60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585F16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522726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2AFB15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730D6B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vMerge w:val="continue"/>
            <w:tcBorders>
              <w:top w:val="single" w:color="auto" w:sz="4" w:space="0"/>
              <w:left w:val="single" w:color="auto" w:sz="4" w:space="0"/>
              <w:bottom w:val="single" w:color="auto" w:sz="4" w:space="0"/>
              <w:right w:val="single" w:color="auto" w:sz="4" w:space="0"/>
            </w:tcBorders>
            <w:noWrap w:val="0"/>
            <w:vAlign w:val="center"/>
          </w:tcPr>
          <w:p w14:paraId="4D337C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25" w:type="dxa"/>
            <w:tcBorders>
              <w:top w:val="single" w:color="auto" w:sz="4" w:space="0"/>
              <w:left w:val="single" w:color="auto" w:sz="4" w:space="0"/>
              <w:bottom w:val="single" w:color="auto" w:sz="4" w:space="0"/>
              <w:right w:val="single" w:color="auto" w:sz="4" w:space="0"/>
            </w:tcBorders>
            <w:noWrap w:val="0"/>
            <w:vAlign w:val="center"/>
          </w:tcPr>
          <w:p w14:paraId="576628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103E3D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资金使用合规率</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700C9D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4710" w:type="dxa"/>
            <w:vMerge w:val="continue"/>
            <w:tcBorders>
              <w:left w:val="single" w:color="auto" w:sz="4" w:space="0"/>
              <w:bottom w:val="single" w:color="auto" w:sz="4" w:space="0"/>
              <w:right w:val="single" w:color="auto" w:sz="4" w:space="0"/>
            </w:tcBorders>
            <w:noWrap/>
            <w:vAlign w:val="center"/>
          </w:tcPr>
          <w:p w14:paraId="6C5641D5">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18"/>
                <w:szCs w:val="18"/>
                <w:u w:val="none"/>
              </w:rPr>
            </w:pPr>
          </w:p>
        </w:tc>
        <w:tc>
          <w:tcPr>
            <w:tcW w:w="865" w:type="dxa"/>
            <w:tcBorders>
              <w:top w:val="single" w:color="auto" w:sz="4" w:space="0"/>
              <w:left w:val="single" w:color="auto" w:sz="4" w:space="0"/>
              <w:bottom w:val="single" w:color="auto" w:sz="4" w:space="0"/>
              <w:right w:val="single" w:color="auto" w:sz="4" w:space="0"/>
            </w:tcBorders>
            <w:noWrap w:val="0"/>
            <w:vAlign w:val="center"/>
          </w:tcPr>
          <w:p w14:paraId="4BA6B2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00C039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4</w:t>
            </w:r>
          </w:p>
        </w:tc>
      </w:tr>
      <w:tr w14:paraId="7E798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5A9C55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21E404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79F2E6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产出时效</w:t>
            </w:r>
          </w:p>
        </w:tc>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14:paraId="3D5B3A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650" w:type="dxa"/>
            <w:vMerge w:val="restart"/>
            <w:tcBorders>
              <w:top w:val="single" w:color="auto" w:sz="4" w:space="0"/>
              <w:left w:val="single" w:color="auto" w:sz="4" w:space="0"/>
              <w:bottom w:val="single" w:color="auto" w:sz="4" w:space="0"/>
              <w:right w:val="single" w:color="auto" w:sz="4" w:space="0"/>
            </w:tcBorders>
            <w:noWrap w:val="0"/>
            <w:vAlign w:val="center"/>
          </w:tcPr>
          <w:p w14:paraId="2F9D41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完成及时率</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420644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463B56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项目开始时间</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44A8DE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2024年1月</w:t>
            </w:r>
          </w:p>
        </w:tc>
        <w:tc>
          <w:tcPr>
            <w:tcW w:w="4710" w:type="dxa"/>
            <w:vMerge w:val="restart"/>
            <w:tcBorders>
              <w:top w:val="single" w:color="auto" w:sz="4" w:space="0"/>
              <w:left w:val="single" w:color="auto" w:sz="4" w:space="0"/>
              <w:right w:val="single" w:color="auto" w:sz="4" w:space="0"/>
            </w:tcBorders>
            <w:noWrap w:val="0"/>
            <w:vAlign w:val="center"/>
          </w:tcPr>
          <w:p w14:paraId="43BB50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若在规定时间内完成，得100%权重分；若未在规定的时间内完成，得分=（1-未在规定时间内完成工作数/实际完成工作总数）×分值。</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7E67FC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2024年1月</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53A42B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w:t>
            </w:r>
          </w:p>
        </w:tc>
      </w:tr>
      <w:tr w14:paraId="4BA68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33B887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6B0401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44294F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17EC2D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vMerge w:val="continue"/>
            <w:tcBorders>
              <w:top w:val="single" w:color="auto" w:sz="4" w:space="0"/>
              <w:left w:val="single" w:color="auto" w:sz="4" w:space="0"/>
              <w:bottom w:val="single" w:color="auto" w:sz="4" w:space="0"/>
              <w:right w:val="single" w:color="auto" w:sz="4" w:space="0"/>
            </w:tcBorders>
            <w:noWrap w:val="0"/>
            <w:vAlign w:val="center"/>
          </w:tcPr>
          <w:p w14:paraId="7C8B3F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25" w:type="dxa"/>
            <w:tcBorders>
              <w:top w:val="single" w:color="auto" w:sz="4" w:space="0"/>
              <w:left w:val="single" w:color="auto" w:sz="4" w:space="0"/>
              <w:bottom w:val="single" w:color="auto" w:sz="4" w:space="0"/>
              <w:right w:val="single" w:color="auto" w:sz="4" w:space="0"/>
            </w:tcBorders>
            <w:noWrap w:val="0"/>
            <w:vAlign w:val="center"/>
          </w:tcPr>
          <w:p w14:paraId="27E8F3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3</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671F83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项目完成时间</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5038A6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2024年5月</w:t>
            </w:r>
          </w:p>
        </w:tc>
        <w:tc>
          <w:tcPr>
            <w:tcW w:w="4710" w:type="dxa"/>
            <w:vMerge w:val="continue"/>
            <w:tcBorders>
              <w:left w:val="single" w:color="auto" w:sz="4" w:space="0"/>
              <w:right w:val="single" w:color="auto" w:sz="4" w:space="0"/>
            </w:tcBorders>
            <w:noWrap w:val="0"/>
            <w:vAlign w:val="center"/>
          </w:tcPr>
          <w:p w14:paraId="24F5B8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p>
        </w:tc>
        <w:tc>
          <w:tcPr>
            <w:tcW w:w="865" w:type="dxa"/>
            <w:tcBorders>
              <w:top w:val="single" w:color="auto" w:sz="4" w:space="0"/>
              <w:left w:val="single" w:color="auto" w:sz="4" w:space="0"/>
              <w:bottom w:val="single" w:color="auto" w:sz="4" w:space="0"/>
              <w:right w:val="single" w:color="auto" w:sz="4" w:space="0"/>
            </w:tcBorders>
            <w:noWrap w:val="0"/>
            <w:vAlign w:val="center"/>
          </w:tcPr>
          <w:p w14:paraId="29DACD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2024年5月</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667160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3</w:t>
            </w:r>
          </w:p>
        </w:tc>
      </w:tr>
      <w:tr w14:paraId="110AF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0A7019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7A0D2B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3EB41E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7668E2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vMerge w:val="continue"/>
            <w:tcBorders>
              <w:top w:val="single" w:color="auto" w:sz="4" w:space="0"/>
              <w:left w:val="single" w:color="auto" w:sz="4" w:space="0"/>
              <w:bottom w:val="single" w:color="auto" w:sz="4" w:space="0"/>
              <w:right w:val="single" w:color="auto" w:sz="4" w:space="0"/>
            </w:tcBorders>
            <w:noWrap w:val="0"/>
            <w:vAlign w:val="center"/>
          </w:tcPr>
          <w:p w14:paraId="254202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25" w:type="dxa"/>
            <w:tcBorders>
              <w:top w:val="single" w:color="auto" w:sz="4" w:space="0"/>
              <w:left w:val="single" w:color="auto" w:sz="4" w:space="0"/>
              <w:bottom w:val="single" w:color="auto" w:sz="4" w:space="0"/>
              <w:right w:val="single" w:color="auto" w:sz="4" w:space="0"/>
            </w:tcBorders>
            <w:noWrap w:val="0"/>
            <w:vAlign w:val="center"/>
          </w:tcPr>
          <w:p w14:paraId="147A1A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4</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05A396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资金支付及时率</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503082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4710" w:type="dxa"/>
            <w:vMerge w:val="continue"/>
            <w:tcBorders>
              <w:left w:val="single" w:color="auto" w:sz="4" w:space="0"/>
              <w:bottom w:val="single" w:color="auto" w:sz="4" w:space="0"/>
              <w:right w:val="single" w:color="auto" w:sz="4" w:space="0"/>
            </w:tcBorders>
            <w:noWrap/>
            <w:vAlign w:val="center"/>
          </w:tcPr>
          <w:p w14:paraId="7DF92644">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18"/>
                <w:szCs w:val="18"/>
                <w:u w:val="none"/>
              </w:rPr>
            </w:pPr>
          </w:p>
        </w:tc>
        <w:tc>
          <w:tcPr>
            <w:tcW w:w="865" w:type="dxa"/>
            <w:tcBorders>
              <w:top w:val="single" w:color="auto" w:sz="4" w:space="0"/>
              <w:left w:val="single" w:color="auto" w:sz="4" w:space="0"/>
              <w:bottom w:val="single" w:color="auto" w:sz="4" w:space="0"/>
              <w:right w:val="single" w:color="auto" w:sz="4" w:space="0"/>
            </w:tcBorders>
            <w:noWrap w:val="0"/>
            <w:vAlign w:val="center"/>
          </w:tcPr>
          <w:p w14:paraId="4231E8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48289D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4</w:t>
            </w:r>
          </w:p>
        </w:tc>
      </w:tr>
      <w:tr w14:paraId="6F5AE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4"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4FB53F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5D5226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3683A5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产出成本</w:t>
            </w:r>
          </w:p>
        </w:tc>
        <w:tc>
          <w:tcPr>
            <w:tcW w:w="487" w:type="dxa"/>
            <w:tcBorders>
              <w:top w:val="single" w:color="auto" w:sz="4" w:space="0"/>
              <w:left w:val="single" w:color="auto" w:sz="4" w:space="0"/>
              <w:bottom w:val="single" w:color="auto" w:sz="4" w:space="0"/>
              <w:right w:val="single" w:color="auto" w:sz="4" w:space="0"/>
            </w:tcBorders>
            <w:noWrap w:val="0"/>
            <w:vAlign w:val="center"/>
          </w:tcPr>
          <w:p w14:paraId="06A127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650" w:type="dxa"/>
            <w:tcBorders>
              <w:top w:val="single" w:color="auto" w:sz="4" w:space="0"/>
              <w:left w:val="single" w:color="auto" w:sz="4" w:space="0"/>
              <w:bottom w:val="single" w:color="auto" w:sz="4" w:space="0"/>
              <w:right w:val="single" w:color="auto" w:sz="4" w:space="0"/>
            </w:tcBorders>
            <w:noWrap w:val="0"/>
            <w:vAlign w:val="center"/>
          </w:tcPr>
          <w:p w14:paraId="19CD1B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成本节约率</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31C339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2DEBA6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项目资金</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245E3C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≤1510.64万元</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6079EB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实际完成率=（实际支付资金数/计划应支付资金数）×100%。</w:t>
            </w:r>
          </w:p>
          <w:p w14:paraId="5F8CB8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①实际完成率＞年度指标值，得0得分；</w:t>
            </w:r>
          </w:p>
          <w:p w14:paraId="3E1DBA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②实际完成率≤年度指标值，且偏离程度＜20%，得满分；</w:t>
            </w:r>
          </w:p>
          <w:p w14:paraId="318558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③实际完成率＜年度指标值，且偏离程度≥20%，得分=实际完成率×分值。</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3217C4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1510.64万元</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11E7F2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r>
      <w:tr w14:paraId="20442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1" w:type="dxa"/>
            <w:vMerge w:val="restart"/>
            <w:tcBorders>
              <w:top w:val="single" w:color="auto" w:sz="4" w:space="0"/>
              <w:left w:val="single" w:color="auto" w:sz="4" w:space="0"/>
              <w:bottom w:val="single" w:color="auto" w:sz="4" w:space="0"/>
              <w:right w:val="single" w:color="auto" w:sz="4" w:space="0"/>
            </w:tcBorders>
            <w:noWrap w:val="0"/>
            <w:vAlign w:val="center"/>
          </w:tcPr>
          <w:p w14:paraId="4081BD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项目效益</w:t>
            </w:r>
          </w:p>
        </w:tc>
        <w:tc>
          <w:tcPr>
            <w:tcW w:w="575" w:type="dxa"/>
            <w:vMerge w:val="restart"/>
            <w:tcBorders>
              <w:top w:val="single" w:color="auto" w:sz="4" w:space="0"/>
              <w:left w:val="single" w:color="auto" w:sz="4" w:space="0"/>
              <w:bottom w:val="single" w:color="auto" w:sz="4" w:space="0"/>
              <w:right w:val="single" w:color="auto" w:sz="4" w:space="0"/>
            </w:tcBorders>
            <w:noWrap w:val="0"/>
            <w:vAlign w:val="center"/>
          </w:tcPr>
          <w:p w14:paraId="6080C5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1948F8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项目效益</w:t>
            </w:r>
          </w:p>
        </w:tc>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14:paraId="16F52F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650" w:type="dxa"/>
            <w:tcBorders>
              <w:top w:val="single" w:color="auto" w:sz="4" w:space="0"/>
              <w:left w:val="single" w:color="auto" w:sz="4" w:space="0"/>
              <w:bottom w:val="single" w:color="auto" w:sz="4" w:space="0"/>
              <w:right w:val="single" w:color="auto" w:sz="4" w:space="0"/>
            </w:tcBorders>
            <w:noWrap w:val="0"/>
            <w:vAlign w:val="center"/>
          </w:tcPr>
          <w:p w14:paraId="1788C0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社会效益</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46497D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rPr>
              <w:t>15</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2C1801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提高卫生水平，保护人民身体健康</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246899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有效提高</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517E2F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按评判等级赋分。分为基本达成目标、部分实现目标、实现目标程度较低三个档次，并分别按照该指标对应分值区间100%-80%（含）、80%-60%（含）、60%-0%合理确定分值。</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49970E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有效提高</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74186B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rPr>
              <w:t>15</w:t>
            </w:r>
          </w:p>
        </w:tc>
      </w:tr>
      <w:tr w14:paraId="6D31C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14:paraId="54D68E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5" w:type="dxa"/>
            <w:vMerge w:val="continue"/>
            <w:tcBorders>
              <w:top w:val="single" w:color="auto" w:sz="4" w:space="0"/>
              <w:left w:val="single" w:color="auto" w:sz="4" w:space="0"/>
              <w:bottom w:val="single" w:color="auto" w:sz="4" w:space="0"/>
              <w:right w:val="single" w:color="auto" w:sz="4" w:space="0"/>
            </w:tcBorders>
            <w:noWrap w:val="0"/>
            <w:vAlign w:val="center"/>
          </w:tcPr>
          <w:p w14:paraId="1E2913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4659C3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14:paraId="08C30A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50" w:type="dxa"/>
            <w:tcBorders>
              <w:top w:val="single" w:color="auto" w:sz="4" w:space="0"/>
              <w:left w:val="single" w:color="auto" w:sz="4" w:space="0"/>
              <w:bottom w:val="single" w:color="auto" w:sz="4" w:space="0"/>
              <w:right w:val="single" w:color="auto" w:sz="4" w:space="0"/>
            </w:tcBorders>
            <w:noWrap w:val="0"/>
            <w:vAlign w:val="center"/>
          </w:tcPr>
          <w:p w14:paraId="7CF70B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服务对象满意度</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0827CA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21F32B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人民群众满意度</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428B10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≥95%</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234E25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根据问卷调查，满意度达到标杆值，得权重分的100%；否则低于95%，得分=实际满意度*指标分值。</w:t>
            </w:r>
          </w:p>
        </w:tc>
        <w:tc>
          <w:tcPr>
            <w:tcW w:w="865" w:type="dxa"/>
            <w:tcBorders>
              <w:top w:val="single" w:color="auto" w:sz="4" w:space="0"/>
              <w:left w:val="single" w:color="auto" w:sz="4" w:space="0"/>
              <w:bottom w:val="single" w:color="auto" w:sz="4" w:space="0"/>
              <w:right w:val="single" w:color="auto" w:sz="4" w:space="0"/>
            </w:tcBorders>
            <w:noWrap w:val="0"/>
            <w:vAlign w:val="center"/>
          </w:tcPr>
          <w:p w14:paraId="4DAD60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1F9563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r>
      <w:tr w14:paraId="1112E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1" w:type="dxa"/>
            <w:tcBorders>
              <w:top w:val="single" w:color="auto" w:sz="4" w:space="0"/>
              <w:left w:val="single" w:color="auto" w:sz="4" w:space="0"/>
              <w:bottom w:val="single" w:color="auto" w:sz="4" w:space="0"/>
              <w:right w:val="single" w:color="auto" w:sz="4" w:space="0"/>
            </w:tcBorders>
            <w:noWrap w:val="0"/>
            <w:vAlign w:val="center"/>
          </w:tcPr>
          <w:p w14:paraId="1A69B9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总分</w:t>
            </w:r>
          </w:p>
        </w:tc>
        <w:tc>
          <w:tcPr>
            <w:tcW w:w="575" w:type="dxa"/>
            <w:tcBorders>
              <w:top w:val="single" w:color="auto" w:sz="4" w:space="0"/>
              <w:left w:val="single" w:color="auto" w:sz="4" w:space="0"/>
              <w:bottom w:val="single" w:color="auto" w:sz="4" w:space="0"/>
              <w:right w:val="single" w:color="auto" w:sz="4" w:space="0"/>
            </w:tcBorders>
            <w:noWrap w:val="0"/>
            <w:vAlign w:val="center"/>
          </w:tcPr>
          <w:p w14:paraId="716CFA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548043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87" w:type="dxa"/>
            <w:tcBorders>
              <w:top w:val="single" w:color="auto" w:sz="4" w:space="0"/>
              <w:left w:val="single" w:color="auto" w:sz="4" w:space="0"/>
              <w:bottom w:val="single" w:color="auto" w:sz="4" w:space="0"/>
              <w:right w:val="single" w:color="auto" w:sz="4" w:space="0"/>
            </w:tcBorders>
            <w:noWrap w:val="0"/>
            <w:vAlign w:val="center"/>
          </w:tcPr>
          <w:p w14:paraId="7BB1A7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650" w:type="dxa"/>
            <w:tcBorders>
              <w:top w:val="single" w:color="auto" w:sz="4" w:space="0"/>
              <w:left w:val="single" w:color="auto" w:sz="4" w:space="0"/>
              <w:bottom w:val="single" w:color="auto" w:sz="4" w:space="0"/>
              <w:right w:val="single" w:color="auto" w:sz="4" w:space="0"/>
            </w:tcBorders>
            <w:noWrap w:val="0"/>
            <w:vAlign w:val="center"/>
          </w:tcPr>
          <w:p w14:paraId="42C7BA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25" w:type="dxa"/>
            <w:tcBorders>
              <w:top w:val="single" w:color="auto" w:sz="4" w:space="0"/>
              <w:left w:val="single" w:color="auto" w:sz="4" w:space="0"/>
              <w:bottom w:val="single" w:color="auto" w:sz="4" w:space="0"/>
              <w:right w:val="single" w:color="auto" w:sz="4" w:space="0"/>
            </w:tcBorders>
            <w:noWrap w:val="0"/>
            <w:vAlign w:val="center"/>
          </w:tcPr>
          <w:p w14:paraId="1339BD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2538" w:type="dxa"/>
            <w:tcBorders>
              <w:top w:val="single" w:color="auto" w:sz="4" w:space="0"/>
              <w:left w:val="single" w:color="auto" w:sz="4" w:space="0"/>
              <w:bottom w:val="single" w:color="auto" w:sz="4" w:space="0"/>
              <w:right w:val="single" w:color="auto" w:sz="4" w:space="0"/>
            </w:tcBorders>
            <w:noWrap w:val="0"/>
            <w:vAlign w:val="center"/>
          </w:tcPr>
          <w:p w14:paraId="3F027F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912" w:type="dxa"/>
            <w:tcBorders>
              <w:top w:val="single" w:color="auto" w:sz="4" w:space="0"/>
              <w:left w:val="single" w:color="auto" w:sz="4" w:space="0"/>
              <w:bottom w:val="single" w:color="auto" w:sz="4" w:space="0"/>
              <w:right w:val="single" w:color="auto" w:sz="4" w:space="0"/>
            </w:tcBorders>
            <w:noWrap w:val="0"/>
            <w:vAlign w:val="center"/>
          </w:tcPr>
          <w:p w14:paraId="1A9763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301F456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u w:val="none"/>
              </w:rPr>
            </w:pPr>
          </w:p>
        </w:tc>
        <w:tc>
          <w:tcPr>
            <w:tcW w:w="865" w:type="dxa"/>
            <w:tcBorders>
              <w:top w:val="single" w:color="auto" w:sz="4" w:space="0"/>
              <w:left w:val="single" w:color="auto" w:sz="4" w:space="0"/>
              <w:bottom w:val="single" w:color="auto" w:sz="4" w:space="0"/>
              <w:right w:val="single" w:color="auto" w:sz="4" w:space="0"/>
            </w:tcBorders>
            <w:noWrap w:val="0"/>
            <w:vAlign w:val="center"/>
          </w:tcPr>
          <w:p w14:paraId="7CAD6E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782" w:type="dxa"/>
            <w:tcBorders>
              <w:top w:val="single" w:color="auto" w:sz="4" w:space="0"/>
              <w:left w:val="single" w:color="auto" w:sz="4" w:space="0"/>
              <w:bottom w:val="single" w:color="auto" w:sz="4" w:space="0"/>
              <w:right w:val="single" w:color="auto" w:sz="4" w:space="0"/>
            </w:tcBorders>
            <w:noWrap w:val="0"/>
            <w:vAlign w:val="center"/>
          </w:tcPr>
          <w:p w14:paraId="073305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r>
    </w:tbl>
    <w:p w14:paraId="7F4E3F33">
      <w:pPr>
        <w:pStyle w:val="2"/>
        <w:pageBreakBefore w:val="0"/>
        <w:kinsoku/>
        <w:wordWrap/>
        <w:topLinePunct w:val="0"/>
        <w:autoSpaceDE/>
        <w:bidi w:val="0"/>
        <w:adjustRightInd/>
        <w:snapToGrid/>
        <w:spacing w:line="360" w:lineRule="auto"/>
        <w:ind w:left="0" w:leftChars="0" w:firstLine="480" w:firstLineChars="200"/>
        <w:jc w:val="both"/>
        <w:rPr>
          <w:rFonts w:hint="eastAsia" w:ascii="宋体" w:hAnsi="宋体" w:eastAsia="宋体" w:cs="宋体"/>
          <w:color w:val="auto"/>
          <w:sz w:val="24"/>
          <w:szCs w:val="24"/>
          <w:lang w:eastAsia="zh-CN"/>
        </w:rPr>
      </w:pPr>
    </w:p>
    <w:p w14:paraId="70E2DBE9">
      <w:pPr>
        <w:pStyle w:val="2"/>
        <w:pageBreakBefore w:val="0"/>
        <w:kinsoku/>
        <w:wordWrap/>
        <w:topLinePunct w:val="0"/>
        <w:autoSpaceDE/>
        <w:bidi w:val="0"/>
        <w:adjustRightInd/>
        <w:snapToGrid/>
        <w:spacing w:line="360" w:lineRule="auto"/>
        <w:ind w:left="0" w:leftChars="0" w:firstLine="480" w:firstLineChars="200"/>
        <w:rPr>
          <w:rFonts w:hint="eastAsia" w:ascii="宋体" w:hAnsi="宋体" w:eastAsia="宋体" w:cs="宋体"/>
          <w:color w:val="auto"/>
          <w:sz w:val="24"/>
          <w:szCs w:val="24"/>
          <w:lang w:eastAsia="zh-CN"/>
        </w:rPr>
      </w:pPr>
    </w:p>
    <w:p w14:paraId="55E4F87C">
      <w:pPr>
        <w:pStyle w:val="2"/>
        <w:pageBreakBefore w:val="0"/>
        <w:kinsoku/>
        <w:wordWrap/>
        <w:topLinePunct w:val="0"/>
        <w:autoSpaceDE/>
        <w:bidi w:val="0"/>
        <w:adjustRightInd/>
        <w:snapToGrid/>
        <w:spacing w:line="360" w:lineRule="auto"/>
        <w:ind w:left="0" w:leftChars="0"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4"/>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5001C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5F01523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sz w:val="24"/>
                <w:szCs w:val="24"/>
                <w:u w:val="none"/>
              </w:rPr>
            </w:pPr>
          </w:p>
        </w:tc>
        <w:tc>
          <w:tcPr>
            <w:tcW w:w="1778" w:type="dxa"/>
            <w:tcBorders>
              <w:top w:val="nil"/>
              <w:left w:val="nil"/>
              <w:bottom w:val="nil"/>
              <w:right w:val="nil"/>
            </w:tcBorders>
            <w:noWrap/>
            <w:vAlign w:val="center"/>
          </w:tcPr>
          <w:p w14:paraId="5F049451">
            <w:pPr>
              <w:keepNext w:val="0"/>
              <w:keepLines w:val="0"/>
              <w:pageBreakBefore w:val="0"/>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i w:val="0"/>
                <w:iCs w:val="0"/>
                <w:color w:val="auto"/>
                <w:sz w:val="24"/>
                <w:szCs w:val="24"/>
                <w:u w:val="none"/>
              </w:rPr>
            </w:pPr>
          </w:p>
        </w:tc>
        <w:tc>
          <w:tcPr>
            <w:tcW w:w="2786" w:type="dxa"/>
            <w:tcBorders>
              <w:top w:val="nil"/>
              <w:left w:val="nil"/>
              <w:bottom w:val="nil"/>
              <w:right w:val="nil"/>
            </w:tcBorders>
            <w:noWrap/>
            <w:vAlign w:val="center"/>
          </w:tcPr>
          <w:p w14:paraId="554E4227">
            <w:pPr>
              <w:keepNext w:val="0"/>
              <w:keepLines w:val="0"/>
              <w:pageBreakBefore w:val="0"/>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i w:val="0"/>
                <w:iCs w:val="0"/>
                <w:color w:val="auto"/>
                <w:sz w:val="24"/>
                <w:szCs w:val="24"/>
                <w:u w:val="none"/>
              </w:rPr>
            </w:pPr>
          </w:p>
        </w:tc>
        <w:tc>
          <w:tcPr>
            <w:tcW w:w="2314" w:type="dxa"/>
            <w:tcBorders>
              <w:top w:val="nil"/>
              <w:left w:val="nil"/>
              <w:bottom w:val="nil"/>
              <w:right w:val="nil"/>
            </w:tcBorders>
            <w:noWrap/>
            <w:vAlign w:val="center"/>
          </w:tcPr>
          <w:p w14:paraId="04A4D0F8">
            <w:pPr>
              <w:keepNext w:val="0"/>
              <w:keepLines w:val="0"/>
              <w:pageBreakBefore w:val="0"/>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i w:val="0"/>
                <w:iCs w:val="0"/>
                <w:color w:val="auto"/>
                <w:sz w:val="24"/>
                <w:szCs w:val="24"/>
                <w:u w:val="none"/>
              </w:rPr>
            </w:pPr>
          </w:p>
        </w:tc>
        <w:tc>
          <w:tcPr>
            <w:tcW w:w="3449" w:type="dxa"/>
            <w:tcBorders>
              <w:top w:val="nil"/>
              <w:left w:val="nil"/>
              <w:bottom w:val="nil"/>
              <w:right w:val="nil"/>
            </w:tcBorders>
            <w:noWrap/>
            <w:vAlign w:val="center"/>
          </w:tcPr>
          <w:p w14:paraId="59BD0B85">
            <w:pPr>
              <w:keepNext w:val="0"/>
              <w:keepLines w:val="0"/>
              <w:pageBreakBefore w:val="0"/>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i w:val="0"/>
                <w:iCs w:val="0"/>
                <w:color w:val="auto"/>
                <w:sz w:val="24"/>
                <w:szCs w:val="24"/>
                <w:u w:val="none"/>
              </w:rPr>
            </w:pPr>
          </w:p>
        </w:tc>
        <w:tc>
          <w:tcPr>
            <w:tcW w:w="1331" w:type="dxa"/>
            <w:tcBorders>
              <w:top w:val="nil"/>
              <w:left w:val="nil"/>
              <w:bottom w:val="nil"/>
              <w:right w:val="nil"/>
            </w:tcBorders>
            <w:noWrap/>
            <w:vAlign w:val="center"/>
          </w:tcPr>
          <w:p w14:paraId="6104F6E7">
            <w:pPr>
              <w:keepNext w:val="0"/>
              <w:keepLines w:val="0"/>
              <w:pageBreakBefore w:val="0"/>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i w:val="0"/>
                <w:iCs w:val="0"/>
                <w:color w:val="auto"/>
                <w:sz w:val="24"/>
                <w:szCs w:val="24"/>
                <w:u w:val="none"/>
              </w:rPr>
            </w:pPr>
          </w:p>
        </w:tc>
      </w:tr>
      <w:tr w14:paraId="17192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3" w:hRule="atLeast"/>
        </w:trPr>
        <w:tc>
          <w:tcPr>
            <w:tcW w:w="13021" w:type="dxa"/>
            <w:gridSpan w:val="6"/>
            <w:tcBorders>
              <w:top w:val="nil"/>
              <w:left w:val="nil"/>
              <w:bottom w:val="nil"/>
              <w:right w:val="nil"/>
            </w:tcBorders>
            <w:noWrap/>
            <w:vAlign w:val="center"/>
          </w:tcPr>
          <w:p w14:paraId="70B3877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2021年煤改电居民入户工程建设项目综合得分表</w:t>
            </w:r>
          </w:p>
        </w:tc>
      </w:tr>
      <w:tr w14:paraId="4281A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0F9AA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98DB9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ACAA8E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5083B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75A547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095564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31891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99199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1BD27D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162703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047D29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3AF00B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5BC7D9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r>
      <w:tr w14:paraId="0093B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4D9DF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A9DF2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95AB0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33913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810181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ED209B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r>
      <w:tr w14:paraId="2120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070BF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F39006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F7F2B5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19813A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3BBEB3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82364C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r>
    </w:tbl>
    <w:p w14:paraId="57F355AC">
      <w:pPr>
        <w:pStyle w:val="2"/>
        <w:pageBreakBefore w:val="0"/>
        <w:kinsoku/>
        <w:wordWrap/>
        <w:topLinePunct w:val="0"/>
        <w:autoSpaceDE/>
        <w:bidi w:val="0"/>
        <w:adjustRightInd/>
        <w:snapToGrid/>
        <w:spacing w:line="360" w:lineRule="auto"/>
        <w:ind w:left="0" w:leftChars="0" w:firstLine="480" w:firstLineChars="200"/>
        <w:jc w:val="both"/>
        <w:rPr>
          <w:rFonts w:hint="eastAsia" w:ascii="宋体" w:hAnsi="宋体" w:eastAsia="宋体" w:cs="宋体"/>
          <w:color w:val="auto"/>
          <w:sz w:val="24"/>
          <w:szCs w:val="24"/>
          <w:lang w:val="en-US" w:eastAsia="zh-CN"/>
        </w:rPr>
      </w:pPr>
    </w:p>
    <w:p w14:paraId="651D232B">
      <w:pPr>
        <w:pStyle w:val="2"/>
        <w:pageBreakBefore w:val="0"/>
        <w:kinsoku/>
        <w:wordWrap/>
        <w:topLinePunct w:val="0"/>
        <w:autoSpaceDE/>
        <w:bidi w:val="0"/>
        <w:adjustRightInd/>
        <w:snapToGrid/>
        <w:spacing w:line="360" w:lineRule="auto"/>
        <w:ind w:left="0" w:leftChars="0" w:firstLine="480" w:firstLineChars="20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0D3039C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17B0876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2021年煤改电居民入户工程满意度</w:t>
      </w:r>
    </w:p>
    <w:p w14:paraId="5C925E9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调查问卷分析报告</w:t>
      </w:r>
    </w:p>
    <w:p w14:paraId="47B99B0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48F0C44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一、该问卷调查从2025年3月1日开始至2025年3月10日结束，调查问卷共设置3道题目。</w:t>
      </w:r>
    </w:p>
    <w:p w14:paraId="4AFB041C">
      <w:pPr>
        <w:pStyle w:val="2"/>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1FED3DE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eastAsia="zh-CN"/>
        </w:rPr>
        <w:t>各乡镇农户</w:t>
      </w:r>
      <w:r>
        <w:rPr>
          <w:rFonts w:hint="eastAsia" w:ascii="宋体" w:hAnsi="宋体" w:eastAsia="宋体" w:cs="宋体"/>
          <w:color w:val="000000"/>
          <w:sz w:val="24"/>
          <w:szCs w:val="24"/>
          <w:highlight w:val="none"/>
        </w:rPr>
        <w:t>。</w:t>
      </w:r>
    </w:p>
    <w:p w14:paraId="31EC8D8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67B7DEE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①您对洛浦县2021年煤改电居民入户工程安装的电暖气质量是否满意?</w:t>
      </w:r>
    </w:p>
    <w:p w14:paraId="419B438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②您对洛浦县2021年煤改电居民入户工程对降低环境污染，是否满意？</w:t>
      </w:r>
    </w:p>
    <w:p w14:paraId="5849888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③总的来说，您对目前2021年煤改电居民入户工程实施后的整体满意程度如何？</w:t>
      </w:r>
    </w:p>
    <w:p w14:paraId="14DF1BE7">
      <w:pPr>
        <w:pStyle w:val="2"/>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350005D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44A62AF4">
      <w:pPr>
        <w:pStyle w:val="2"/>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06CED74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66ECEEA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092C835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3EAA3932">
      <w:pPr>
        <w:pStyle w:val="2"/>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5B63C84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1F4D0F8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05D9BDD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0FAEB39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46F66A1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433D2BD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洛浦县2021年煤改电居民入户工程针对受益人员发放30份调查问卷，最终统计受益人群满意度为100%。</w:t>
      </w:r>
    </w:p>
    <w:p w14:paraId="3DE7FCF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color w:val="auto"/>
          <w:sz w:val="24"/>
          <w:szCs w:val="24"/>
          <w:highlight w:val="none"/>
          <w:lang w:val="en-US" w:eastAsia="zh-CN"/>
        </w:rPr>
      </w:pPr>
    </w:p>
    <w:p w14:paraId="69F6EBB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洛浦县住房和城乡建设局</w:t>
      </w:r>
    </w:p>
    <w:p w14:paraId="0E349F1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2025年3月15日</w:t>
      </w: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8F282">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2A3C8">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4D2D2FD7">
                <w:pPr>
                  <w:pStyle w:val="15"/>
                  <w:rPr>
                    <w:rFonts w:hint="eastAsia" w:ascii="黑体" w:hAnsi="黑体" w:eastAsia="黑体" w:cs="黑体"/>
                    <w:b w:val="0"/>
                    <w:bCs w:val="0"/>
                    <w:sz w:val="18"/>
                    <w:szCs w:val="18"/>
                  </w:rPr>
                </w:pPr>
                <w:r>
                  <w:rPr>
                    <w:rFonts w:hint="eastAsia" w:ascii="黑体" w:hAnsi="黑体" w:eastAsia="黑体" w:cs="黑体"/>
                    <w:b w:val="0"/>
                    <w:bCs w:val="0"/>
                    <w:sz w:val="18"/>
                    <w:szCs w:val="18"/>
                  </w:rPr>
                  <w:t>第</w:t>
                </w:r>
                <w:r>
                  <w:rPr>
                    <w:rFonts w:hint="eastAsia" w:ascii="黑体" w:hAnsi="黑体" w:eastAsia="黑体" w:cs="黑体"/>
                    <w:b w:val="0"/>
                    <w:bCs w:val="0"/>
                    <w:sz w:val="18"/>
                    <w:szCs w:val="18"/>
                  </w:rPr>
                  <w:fldChar w:fldCharType="begin"/>
                </w:r>
                <w:r>
                  <w:rPr>
                    <w:rFonts w:hint="eastAsia" w:ascii="黑体" w:hAnsi="黑体" w:eastAsia="黑体" w:cs="黑体"/>
                    <w:b w:val="0"/>
                    <w:bCs w:val="0"/>
                    <w:sz w:val="18"/>
                    <w:szCs w:val="18"/>
                  </w:rPr>
                  <w:instrText xml:space="preserve"> PAGE  \* MERGEFORMAT </w:instrText>
                </w:r>
                <w:r>
                  <w:rPr>
                    <w:rFonts w:hint="eastAsia" w:ascii="黑体" w:hAnsi="黑体" w:eastAsia="黑体" w:cs="黑体"/>
                    <w:b w:val="0"/>
                    <w:bCs w:val="0"/>
                    <w:sz w:val="18"/>
                    <w:szCs w:val="18"/>
                  </w:rPr>
                  <w:fldChar w:fldCharType="separate"/>
                </w:r>
                <w:r>
                  <w:rPr>
                    <w:rFonts w:hint="eastAsia" w:ascii="黑体" w:hAnsi="黑体" w:eastAsia="黑体" w:cs="黑体"/>
                    <w:b w:val="0"/>
                    <w:bCs w:val="0"/>
                    <w:sz w:val="18"/>
                    <w:szCs w:val="18"/>
                  </w:rPr>
                  <w:t>1</w:t>
                </w:r>
                <w:r>
                  <w:rPr>
                    <w:rFonts w:hint="eastAsia" w:ascii="黑体" w:hAnsi="黑体" w:eastAsia="黑体" w:cs="黑体"/>
                    <w:b w:val="0"/>
                    <w:bCs w:val="0"/>
                    <w:sz w:val="18"/>
                    <w:szCs w:val="18"/>
                  </w:rPr>
                  <w:fldChar w:fldCharType="end"/>
                </w:r>
                <w:r>
                  <w:rPr>
                    <w:rFonts w:hint="eastAsia" w:ascii="黑体" w:hAnsi="黑体" w:eastAsia="黑体" w:cs="黑体"/>
                    <w:b w:val="0"/>
                    <w:bCs w:val="0"/>
                    <w:sz w:val="18"/>
                    <w:szCs w:val="18"/>
                  </w:rPr>
                  <w:t>页共</w:t>
                </w:r>
                <w:r>
                  <w:rPr>
                    <w:rFonts w:hint="eastAsia" w:ascii="黑体" w:hAnsi="黑体" w:eastAsia="黑体" w:cs="黑体"/>
                    <w:b w:val="0"/>
                    <w:bCs w:val="0"/>
                    <w:sz w:val="18"/>
                    <w:szCs w:val="18"/>
                    <w:lang w:val="en-US" w:eastAsia="zh-CN"/>
                  </w:rPr>
                  <w:t>27</w:t>
                </w:r>
                <w:r>
                  <w:rPr>
                    <w:rFonts w:hint="eastAsia" w:ascii="黑体" w:hAnsi="黑体" w:eastAsia="黑体" w:cs="黑体"/>
                    <w:b w:val="0"/>
                    <w:bCs w:val="0"/>
                    <w:sz w:val="18"/>
                    <w:szCs w:val="18"/>
                  </w:rPr>
                  <w:t>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FD8CB">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6C05585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qFormat="1" w:uiPriority="39" w:semiHidden="0" w:name="toc 7"/>
    <w:lsdException w:qFormat="1"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5"/>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7">
    <w:name w:val="heading 3"/>
    <w:basedOn w:val="1"/>
    <w:next w:val="1"/>
    <w:link w:val="36"/>
    <w:qFormat/>
    <w:uiPriority w:val="9"/>
    <w:pPr>
      <w:keepNext/>
      <w:keepLines/>
      <w:spacing w:before="260" w:after="260" w:line="416" w:lineRule="auto"/>
      <w:jc w:val="left"/>
      <w:outlineLvl w:val="2"/>
    </w:pPr>
    <w:rPr>
      <w:rFonts w:cs="Times New Roman"/>
      <w:bCs/>
      <w:kern w:val="0"/>
      <w:szCs w:val="32"/>
    </w:rPr>
  </w:style>
  <w:style w:type="paragraph" w:styleId="8">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qFormat/>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4">
    <w:name w:val="Body Text First Indent 2"/>
    <w:basedOn w:val="5"/>
    <w:link w:val="34"/>
    <w:unhideWhenUsed/>
    <w:qFormat/>
    <w:uiPriority w:val="0"/>
    <w:pPr>
      <w:ind w:firstLine="420"/>
    </w:pPr>
  </w:style>
  <w:style w:type="paragraph" w:styleId="5">
    <w:name w:val="Body Text Indent"/>
    <w:basedOn w:val="1"/>
    <w:link w:val="33"/>
    <w:unhideWhenUsed/>
    <w:qFormat/>
    <w:uiPriority w:val="99"/>
    <w:pPr>
      <w:spacing w:after="120"/>
      <w:ind w:left="420" w:leftChars="200"/>
    </w:pPr>
    <w:rPr>
      <w:rFonts w:cs="Times New Roman"/>
      <w:kern w:val="0"/>
      <w:szCs w:val="20"/>
    </w:rPr>
  </w:style>
  <w:style w:type="paragraph" w:styleId="9">
    <w:name w:val="toc 7"/>
    <w:basedOn w:val="1"/>
    <w:next w:val="1"/>
    <w:unhideWhenUsed/>
    <w:qFormat/>
    <w:uiPriority w:val="39"/>
    <w:pPr>
      <w:ind w:left="1680"/>
      <w:jc w:val="left"/>
    </w:pPr>
    <w:rPr>
      <w:rFonts w:ascii="Calibri" w:hAnsi="Calibri" w:cs="Calibri"/>
      <w:sz w:val="18"/>
      <w:szCs w:val="18"/>
    </w:rPr>
  </w:style>
  <w:style w:type="paragraph" w:styleId="10">
    <w:name w:val="Document Map"/>
    <w:basedOn w:val="1"/>
    <w:link w:val="38"/>
    <w:unhideWhenUsed/>
    <w:qFormat/>
    <w:uiPriority w:val="99"/>
    <w:rPr>
      <w:rFonts w:ascii="宋体" w:eastAsia="宋体" w:cs="Times New Roman"/>
      <w:kern w:val="0"/>
      <w:sz w:val="18"/>
      <w:szCs w:val="18"/>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40"/>
    <w:unhideWhenUsed/>
    <w:qFormat/>
    <w:uiPriority w:val="99"/>
    <w:rPr>
      <w:rFonts w:cs="Times New Roman"/>
      <w:kern w:val="0"/>
      <w:sz w:val="18"/>
      <w:szCs w:val="18"/>
    </w:rPr>
  </w:style>
  <w:style w:type="paragraph" w:styleId="15">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List"/>
    <w:basedOn w:val="1"/>
    <w:uiPriority w:val="0"/>
    <w:pPr>
      <w:ind w:left="200" w:hanging="200" w:hangingChars="200"/>
      <w:contextualSpacing/>
    </w:pPr>
  </w:style>
  <w:style w:type="paragraph" w:styleId="20">
    <w:name w:val="toc 6"/>
    <w:basedOn w:val="1"/>
    <w:next w:val="1"/>
    <w:unhideWhenUsed/>
    <w:uiPriority w:val="39"/>
    <w:pPr>
      <w:ind w:left="1400"/>
      <w:jc w:val="left"/>
    </w:pPr>
    <w:rPr>
      <w:rFonts w:ascii="Calibri" w:hAnsi="Calibri" w:cs="Calibri"/>
      <w:sz w:val="18"/>
      <w:szCs w:val="18"/>
    </w:rPr>
  </w:style>
  <w:style w:type="paragraph" w:styleId="21">
    <w:name w:val="toc 2"/>
    <w:basedOn w:val="1"/>
    <w:next w:val="1"/>
    <w:unhideWhenUsed/>
    <w:uiPriority w:val="39"/>
    <w:pPr>
      <w:ind w:left="280"/>
      <w:jc w:val="left"/>
    </w:pPr>
    <w:rPr>
      <w:rFonts w:ascii="Calibri" w:hAnsi="Calibri" w:cs="Calibri"/>
      <w:smallCaps/>
      <w:sz w:val="20"/>
      <w:szCs w:val="20"/>
    </w:rPr>
  </w:style>
  <w:style w:type="paragraph" w:styleId="22">
    <w:name w:val="toc 9"/>
    <w:basedOn w:val="1"/>
    <w:next w:val="1"/>
    <w:unhideWhenUsed/>
    <w:uiPriority w:val="39"/>
    <w:pPr>
      <w:ind w:left="2240"/>
      <w:jc w:val="left"/>
    </w:pPr>
    <w:rPr>
      <w:rFonts w:ascii="Calibri" w:hAnsi="Calibri" w:cs="Calibri"/>
      <w:sz w:val="18"/>
      <w:szCs w:val="18"/>
    </w:rPr>
  </w:style>
  <w:style w:type="paragraph" w:styleId="23">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unhideWhenUsed/>
    <w:uiPriority w:val="99"/>
    <w:rPr>
      <w:color w:val="0000FF"/>
      <w:u w:val="single"/>
    </w:rPr>
  </w:style>
  <w:style w:type="paragraph" w:customStyle="1" w:styleId="29">
    <w:name w:val="Comment Text"/>
    <w:basedOn w:val="1"/>
    <w:link w:val="39"/>
    <w:unhideWhenUsed/>
    <w:qFormat/>
    <w:uiPriority w:val="99"/>
    <w:rPr>
      <w:rFonts w:cs="Times New Roman"/>
      <w:kern w:val="0"/>
      <w:sz w:val="20"/>
      <w:szCs w:val="20"/>
    </w:rPr>
  </w:style>
  <w:style w:type="paragraph" w:customStyle="1" w:styleId="30">
    <w:name w:val="Comment Subject"/>
    <w:basedOn w:val="29"/>
    <w:next w:val="29"/>
    <w:link w:val="44"/>
    <w:unhideWhenUsed/>
    <w:uiPriority w:val="99"/>
    <w:rPr>
      <w:b/>
      <w:bCs/>
    </w:rPr>
  </w:style>
  <w:style w:type="character" w:customStyle="1" w:styleId="31">
    <w:name w:val="Comment Reference"/>
    <w:unhideWhenUsed/>
    <w:uiPriority w:val="99"/>
    <w:rPr>
      <w:sz w:val="16"/>
      <w:szCs w:val="16"/>
    </w:rPr>
  </w:style>
  <w:style w:type="character" w:customStyle="1" w:styleId="32">
    <w:name w:val="标题 1 Char"/>
    <w:link w:val="3"/>
    <w:uiPriority w:val="9"/>
    <w:rPr>
      <w:rFonts w:ascii="Times New Roman" w:hAnsi="Times New Roman" w:eastAsia="仿宋_GB2312" w:cs="Times New Roman"/>
      <w:b/>
      <w:bCs/>
      <w:kern w:val="44"/>
      <w:sz w:val="32"/>
      <w:szCs w:val="44"/>
    </w:rPr>
  </w:style>
  <w:style w:type="character" w:customStyle="1" w:styleId="33">
    <w:name w:val="正文文本缩进 Char"/>
    <w:link w:val="5"/>
    <w:semiHidden/>
    <w:uiPriority w:val="99"/>
    <w:rPr>
      <w:rFonts w:ascii="Calibri" w:hAnsi="Calibri" w:eastAsia="仿宋_GB2312" w:cs="黑体"/>
      <w:sz w:val="28"/>
    </w:rPr>
  </w:style>
  <w:style w:type="character" w:customStyle="1" w:styleId="34">
    <w:name w:val="正文首行缩进 2 Char"/>
    <w:link w:val="4"/>
    <w:uiPriority w:val="0"/>
    <w:rPr>
      <w:rFonts w:ascii="Calibri" w:hAnsi="Calibri" w:eastAsia="仿宋_GB2312" w:cs="黑体"/>
      <w:sz w:val="28"/>
    </w:rPr>
  </w:style>
  <w:style w:type="character" w:customStyle="1" w:styleId="35">
    <w:name w:val="标题 2 Char"/>
    <w:link w:val="6"/>
    <w:uiPriority w:val="0"/>
    <w:rPr>
      <w:rFonts w:ascii="Cambria" w:hAnsi="Cambria" w:eastAsia="仿宋_GB2312" w:cs="Times New Roman"/>
      <w:b/>
      <w:bCs/>
      <w:kern w:val="0"/>
      <w:sz w:val="30"/>
      <w:szCs w:val="32"/>
    </w:rPr>
  </w:style>
  <w:style w:type="character" w:customStyle="1" w:styleId="36">
    <w:name w:val="标题 3 Char"/>
    <w:link w:val="7"/>
    <w:uiPriority w:val="9"/>
    <w:rPr>
      <w:rFonts w:ascii="Calibri" w:hAnsi="Calibri" w:eastAsia="仿宋_GB2312" w:cs="黑体"/>
      <w:bCs/>
      <w:sz w:val="28"/>
      <w:szCs w:val="32"/>
    </w:rPr>
  </w:style>
  <w:style w:type="character" w:customStyle="1" w:styleId="37">
    <w:name w:val="标题 4 Char"/>
    <w:link w:val="8"/>
    <w:semiHidden/>
    <w:uiPriority w:val="9"/>
    <w:rPr>
      <w:rFonts w:ascii="Cambria" w:hAnsi="Cambria" w:eastAsia="宋体" w:cs="Times New Roman"/>
      <w:b/>
      <w:bCs/>
      <w:sz w:val="28"/>
      <w:szCs w:val="28"/>
    </w:rPr>
  </w:style>
  <w:style w:type="character" w:customStyle="1" w:styleId="38">
    <w:name w:val="文档结构图 Char"/>
    <w:link w:val="10"/>
    <w:semiHidden/>
    <w:uiPriority w:val="99"/>
    <w:rPr>
      <w:rFonts w:ascii="宋体" w:hAnsi="Calibri" w:eastAsia="宋体" w:cs="黑体"/>
      <w:sz w:val="18"/>
      <w:szCs w:val="18"/>
    </w:rPr>
  </w:style>
  <w:style w:type="character" w:customStyle="1" w:styleId="39">
    <w:name w:val="批注文字 Char"/>
    <w:link w:val="29"/>
    <w:semiHidden/>
    <w:uiPriority w:val="99"/>
    <w:rPr>
      <w:rFonts w:ascii="Calibri" w:hAnsi="Calibri" w:eastAsia="仿宋_GB2312" w:cs="黑体"/>
      <w:sz w:val="20"/>
      <w:szCs w:val="20"/>
    </w:rPr>
  </w:style>
  <w:style w:type="character" w:customStyle="1" w:styleId="40">
    <w:name w:val="批注框文本 Char"/>
    <w:link w:val="14"/>
    <w:semiHidden/>
    <w:uiPriority w:val="99"/>
    <w:rPr>
      <w:rFonts w:ascii="Calibri" w:hAnsi="Calibri" w:eastAsia="仿宋_GB2312" w:cs="黑体"/>
      <w:sz w:val="18"/>
      <w:szCs w:val="18"/>
    </w:rPr>
  </w:style>
  <w:style w:type="character" w:customStyle="1" w:styleId="41">
    <w:name w:val="页脚 Char"/>
    <w:link w:val="15"/>
    <w:uiPriority w:val="99"/>
    <w:rPr>
      <w:rFonts w:ascii="Calibri" w:hAnsi="Calibri" w:eastAsia="仿宋_GB2312" w:cs="黑体"/>
      <w:sz w:val="18"/>
      <w:szCs w:val="18"/>
    </w:rPr>
  </w:style>
  <w:style w:type="character" w:customStyle="1" w:styleId="42">
    <w:name w:val="页眉 Char"/>
    <w:link w:val="16"/>
    <w:uiPriority w:val="99"/>
    <w:rPr>
      <w:rFonts w:ascii="Calibri" w:hAnsi="Calibri" w:eastAsia="仿宋_GB2312" w:cs="黑体"/>
      <w:sz w:val="18"/>
      <w:szCs w:val="18"/>
    </w:rPr>
  </w:style>
  <w:style w:type="character" w:customStyle="1" w:styleId="43">
    <w:name w:val="标题 Char"/>
    <w:link w:val="23"/>
    <w:uiPriority w:val="10"/>
    <w:rPr>
      <w:rFonts w:ascii="Cambria" w:hAnsi="Cambria"/>
      <w:b/>
      <w:bCs/>
      <w:kern w:val="2"/>
      <w:sz w:val="32"/>
      <w:szCs w:val="32"/>
    </w:rPr>
  </w:style>
  <w:style w:type="character" w:customStyle="1" w:styleId="44">
    <w:name w:val="批注主题 Char"/>
    <w:link w:val="30"/>
    <w:semiHidden/>
    <w:uiPriority w:val="99"/>
    <w:rPr>
      <w:rFonts w:ascii="Calibri" w:hAnsi="Calibri" w:eastAsia="仿宋_GB2312" w:cs="黑体"/>
      <w:b/>
      <w:bCs/>
      <w:sz w:val="20"/>
      <w:szCs w:val="20"/>
    </w:rPr>
  </w:style>
  <w:style w:type="character" w:customStyle="1" w:styleId="45">
    <w:name w:val="闻政-正文一级标题 Char"/>
    <w:link w:val="46"/>
    <w:uiPriority w:val="3"/>
    <w:rPr>
      <w:rFonts w:ascii="黑体" w:hAnsi="黑体" w:eastAsia="黑体"/>
      <w:bCs/>
      <w:sz w:val="32"/>
      <w:szCs w:val="32"/>
    </w:rPr>
  </w:style>
  <w:style w:type="paragraph" w:customStyle="1" w:styleId="46">
    <w:name w:val="闻政-正文一级标题"/>
    <w:basedOn w:val="7"/>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uiPriority w:val="3"/>
    <w:rPr>
      <w:rFonts w:ascii="Times New Roman" w:hAnsi="Times New Roman" w:eastAsia="仿宋_GB2312"/>
      <w:sz w:val="28"/>
      <w:szCs w:val="28"/>
    </w:rPr>
  </w:style>
  <w:style w:type="character" w:customStyle="1" w:styleId="49">
    <w:name w:val="闻政-正文二级标题 Char"/>
    <w:link w:val="50"/>
    <w:uiPriority w:val="3"/>
    <w:rPr>
      <w:rFonts w:ascii="Times New Roman" w:hAnsi="Times New Roman" w:eastAsia="仿宋_GB2312"/>
      <w:b/>
      <w:bCs/>
      <w:sz w:val="28"/>
      <w:szCs w:val="32"/>
    </w:rPr>
  </w:style>
  <w:style w:type="paragraph" w:customStyle="1" w:styleId="50">
    <w:name w:val="闻政-正文二级标题"/>
    <w:basedOn w:val="6"/>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uiPriority w:val="0"/>
    <w:rPr>
      <w:rFonts w:hint="default" w:ascii="Times New Roman" w:hAnsi="Times New Roman" w:cs="Times New Roman"/>
      <w:color w:val="000000"/>
      <w:sz w:val="24"/>
      <w:szCs w:val="24"/>
      <w:u w:val="none"/>
    </w:rPr>
  </w:style>
  <w:style w:type="character" w:customStyle="1" w:styleId="56">
    <w:name w:val="无间隔 Char"/>
    <w:link w:val="57"/>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basedOn w:val="26"/>
    <w:uiPriority w:val="0"/>
    <w:rPr>
      <w:rFonts w:hint="eastAsia" w:ascii="微软雅黑" w:hAnsi="微软雅黑" w:eastAsia="微软雅黑" w:cs="微软雅黑"/>
      <w:b/>
      <w:bCs/>
      <w:color w:val="000000"/>
      <w:sz w:val="32"/>
      <w:szCs w:val="32"/>
      <w:u w:val="none"/>
    </w:rPr>
  </w:style>
  <w:style w:type="paragraph" w:customStyle="1" w:styleId="61">
    <w:name w:val="闻政正文"/>
    <w:basedOn w:val="1"/>
    <w:qFormat/>
    <w:uiPriority w:val="0"/>
    <w:pPr>
      <w:spacing w:line="500" w:lineRule="exact"/>
      <w:ind w:firstLine="560" w:firstLineChars="200"/>
    </w:pPr>
    <w:rPr>
      <w:kern w:val="0"/>
      <w:sz w:val="28"/>
      <w:szCs w:val="28"/>
    </w:rPr>
  </w:style>
  <w:style w:type="character" w:customStyle="1" w:styleId="62">
    <w:name w:val="font31"/>
    <w:basedOn w:val="26"/>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3FC127F4D5784A6BBB8B418304A130B1_13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76717a-15bc-446e-91f1-11ce80aa34a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10787</Words>
  <Characters>11367</Characters>
  <Lines>44</Lines>
  <Paragraphs>12</Paragraphs>
  <TotalTime>4</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cp:lastPrinted>2025-03-06T09:43:00Z</cp:lastPrinted>
  <dcterms:modified xsi:type="dcterms:W3CDTF">2025-10-10T10:03:30Z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3FC127F4D5784A6BBB8B418304A130B1_13</vt:lpwstr>
  </property>
  <property fmtid="{D5CDD505-2E9C-101B-9397-08002B2CF9AE}" pid="4" name="KSOTemplateDocerSaveRecord">
    <vt:lpwstr>eyJoZGlkIjoiZDE5MGZhMTJhZDM2OTQwYzkzYWVjM2FhZDUxN2Q0M2IiLCJ1c2VySWQiOiI2NTE5NDIwMjYifQ_x003D__x003D_</vt:lpwstr>
  </property>
</Properties>
</file>