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46982C">
      <w:bookmarkStart w:id="22" w:name="_GoBack"/>
      <w:bookmarkEnd w:id="22"/>
    </w:p>
    <w:p w14:paraId="1A8AB002">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color w:val="auto"/>
          <w:kern w:val="0"/>
          <w:sz w:val="32"/>
          <w:szCs w:val="32"/>
          <w:lang w:val="en-US" w:eastAsia="zh-CN" w:bidi="en-US"/>
        </w:rPr>
      </w:pPr>
    </w:p>
    <w:p w14:paraId="5B423E3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803"/>
        <w:jc w:val="center"/>
        <w:textAlignment w:val="auto"/>
        <w:outlineLvl w:val="0"/>
        <w:rPr>
          <w:color w:val="auto"/>
        </w:rPr>
      </w:pPr>
      <w:r>
        <w:rPr>
          <w:rFonts w:hint="eastAsia" w:ascii="黑体" w:hAnsi="黑体" w:eastAsia="黑体" w:cs="黑体"/>
          <w:b/>
          <w:color w:val="auto"/>
          <w:sz w:val="36"/>
          <w:szCs w:val="36"/>
          <w:lang w:val="en-US" w:eastAsia="zh-CN"/>
        </w:rPr>
        <w:t>和田地区洛浦县文工团中央补助地方公共文化服务体系建设项目-戏曲进乡村支出绩效评价报告</w:t>
      </w:r>
    </w:p>
    <w:p w14:paraId="7474954F">
      <w:pPr>
        <w:pStyle w:val="6"/>
        <w:jc w:val="center"/>
        <w:rPr>
          <w:rFonts w:hint="eastAsia" w:eastAsia="仿宋_GB2312"/>
          <w:color w:val="auto"/>
          <w:lang w:eastAsia="zh-CN"/>
        </w:rPr>
      </w:pPr>
      <w:r>
        <w:rPr>
          <w:rFonts w:hint="eastAsia"/>
          <w:color w:val="auto"/>
          <w:lang w:eastAsia="zh-CN"/>
        </w:rPr>
        <w:t>（</w:t>
      </w:r>
      <w:r>
        <w:rPr>
          <w:rFonts w:hint="eastAsia"/>
          <w:color w:val="auto"/>
          <w:lang w:val="en-US" w:eastAsia="zh-CN"/>
        </w:rPr>
        <w:t>2024年度</w:t>
      </w:r>
      <w:r>
        <w:rPr>
          <w:rFonts w:hint="eastAsia"/>
          <w:color w:val="auto"/>
          <w:lang w:eastAsia="zh-CN"/>
        </w:rPr>
        <w:t>）</w:t>
      </w:r>
    </w:p>
    <w:p w14:paraId="6A21C840">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1747911D">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color w:val="auto"/>
          <w:kern w:val="0"/>
          <w:sz w:val="32"/>
          <w:szCs w:val="32"/>
          <w:lang w:bidi="en-US"/>
        </w:rPr>
      </w:pPr>
    </w:p>
    <w:p w14:paraId="331D549F">
      <w:pPr>
        <w:pStyle w:val="6"/>
        <w:rPr>
          <w:rFonts w:hint="eastAsia" w:eastAsia="方正仿宋_GBK" w:cs="方正仿宋_GBK"/>
          <w:b/>
          <w:color w:val="auto"/>
          <w:kern w:val="0"/>
          <w:sz w:val="32"/>
          <w:szCs w:val="32"/>
          <w:lang w:bidi="en-US"/>
        </w:rPr>
      </w:pPr>
    </w:p>
    <w:p w14:paraId="43999801">
      <w:pPr>
        <w:rPr>
          <w:rFonts w:hint="eastAsia" w:eastAsia="方正仿宋_GBK" w:cs="方正仿宋_GBK"/>
          <w:b/>
          <w:color w:val="auto"/>
          <w:kern w:val="0"/>
          <w:sz w:val="32"/>
          <w:szCs w:val="32"/>
          <w:lang w:bidi="en-US"/>
        </w:rPr>
      </w:pPr>
    </w:p>
    <w:p w14:paraId="00B112EE">
      <w:pPr>
        <w:pStyle w:val="6"/>
        <w:rPr>
          <w:rFonts w:hint="eastAsia"/>
          <w:color w:val="auto"/>
        </w:rPr>
      </w:pPr>
    </w:p>
    <w:p w14:paraId="287E0606">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color w:val="auto"/>
          <w:sz w:val="32"/>
          <w:lang w:bidi="en-US"/>
        </w:rPr>
      </w:pPr>
    </w:p>
    <w:p w14:paraId="764B4D95">
      <w:pPr>
        <w:pageBreakBefore w:val="0"/>
        <w:widowControl w:val="0"/>
        <w:kinsoku/>
        <w:wordWrap/>
        <w:topLinePunct w:val="0"/>
        <w:autoSpaceDE/>
        <w:autoSpaceDN/>
        <w:bidi w:val="0"/>
        <w:spacing w:line="560" w:lineRule="exact"/>
        <w:ind w:left="0" w:leftChars="0" w:firstLine="560"/>
        <w:textAlignment w:val="auto"/>
        <w:rPr>
          <w:rFonts w:hint="eastAsia"/>
          <w:color w:val="auto"/>
        </w:rPr>
      </w:pPr>
    </w:p>
    <w:p w14:paraId="09E86E20">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color w:val="auto"/>
          <w:kern w:val="0"/>
          <w:sz w:val="32"/>
          <w:szCs w:val="32"/>
          <w:lang w:bidi="en-US"/>
        </w:rPr>
      </w:pPr>
    </w:p>
    <w:p w14:paraId="7B33BA37">
      <w:pPr>
        <w:spacing w:line="700" w:lineRule="exact"/>
        <w:jc w:val="left"/>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项目名称：</w:t>
      </w:r>
      <w:r>
        <w:rPr>
          <w:rFonts w:hint="eastAsia" w:ascii="宋体" w:hAnsi="宋体" w:eastAsia="宋体" w:cs="宋体"/>
          <w:color w:val="auto"/>
          <w:kern w:val="0"/>
          <w:sz w:val="28"/>
          <w:szCs w:val="28"/>
          <w:lang w:val="en-US" w:eastAsia="zh-CN" w:bidi="en-US"/>
        </w:rPr>
        <w:t>中央补助地方公共文化服务体系建设项目-戏曲进乡村</w:t>
      </w:r>
    </w:p>
    <w:p w14:paraId="1198A868">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eastAsia="zh-CN" w:bidi="en-US"/>
        </w:rPr>
      </w:pPr>
      <w:r>
        <w:rPr>
          <w:rFonts w:hint="eastAsia" w:ascii="宋体" w:hAnsi="宋体" w:eastAsia="宋体" w:cs="宋体"/>
          <w:color w:val="auto"/>
          <w:kern w:val="0"/>
          <w:sz w:val="28"/>
          <w:szCs w:val="28"/>
          <w:lang w:bidi="en-US"/>
        </w:rPr>
        <w:t>项目单位：</w:t>
      </w:r>
      <w:r>
        <w:rPr>
          <w:rFonts w:hint="eastAsia" w:ascii="宋体" w:hAnsi="宋体" w:eastAsia="宋体" w:cs="宋体"/>
          <w:color w:val="auto"/>
          <w:kern w:val="0"/>
          <w:sz w:val="28"/>
          <w:szCs w:val="28"/>
          <w:lang w:val="en-US" w:eastAsia="zh-CN" w:bidi="en-US"/>
        </w:rPr>
        <w:t>洛浦县文工团</w:t>
      </w:r>
    </w:p>
    <w:p w14:paraId="59DDE8CD">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eastAsia="zh-CN" w:bidi="en-US"/>
        </w:rPr>
      </w:pPr>
      <w:r>
        <w:rPr>
          <w:rFonts w:hint="eastAsia" w:ascii="宋体" w:hAnsi="宋体" w:eastAsia="宋体" w:cs="宋体"/>
          <w:color w:val="auto"/>
          <w:kern w:val="0"/>
          <w:sz w:val="28"/>
          <w:szCs w:val="28"/>
          <w:lang w:bidi="en-US"/>
        </w:rPr>
        <w:t>主管部门：</w:t>
      </w:r>
      <w:r>
        <w:rPr>
          <w:rFonts w:hint="eastAsia" w:ascii="宋体" w:hAnsi="宋体" w:eastAsia="宋体" w:cs="宋体"/>
          <w:color w:val="auto"/>
          <w:kern w:val="0"/>
          <w:sz w:val="28"/>
          <w:szCs w:val="28"/>
          <w:lang w:val="en-US" w:eastAsia="zh-CN" w:bidi="en-US"/>
        </w:rPr>
        <w:t>洛浦县文旅局</w:t>
      </w:r>
    </w:p>
    <w:p w14:paraId="0E250018">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项目负责人：雪合热提·穆合塔尔</w:t>
      </w:r>
    </w:p>
    <w:p w14:paraId="1D77F92A">
      <w:pPr>
        <w:pageBreakBefore w:val="0"/>
        <w:widowControl w:val="0"/>
        <w:kinsoku/>
        <w:wordWrap/>
        <w:topLinePunct w:val="0"/>
        <w:autoSpaceDE/>
        <w:autoSpaceDN/>
        <w:bidi w:val="0"/>
        <w:spacing w:line="560" w:lineRule="exact"/>
        <w:jc w:val="left"/>
        <w:textAlignment w:val="auto"/>
        <w:rPr>
          <w:rFonts w:hint="eastAsia" w:ascii="宋体" w:hAnsi="宋体" w:eastAsia="宋体" w:cs="宋体"/>
          <w:color w:val="auto"/>
          <w:kern w:val="0"/>
          <w:sz w:val="28"/>
          <w:szCs w:val="28"/>
          <w:lang w:bidi="en-US"/>
        </w:rPr>
      </w:pPr>
      <w:r>
        <w:rPr>
          <w:rFonts w:hint="eastAsia" w:ascii="宋体" w:hAnsi="宋体" w:eastAsia="宋体" w:cs="宋体"/>
          <w:color w:val="auto"/>
          <w:kern w:val="0"/>
          <w:sz w:val="28"/>
          <w:szCs w:val="28"/>
          <w:lang w:bidi="en-US"/>
        </w:rPr>
        <w:t>填报时间：</w:t>
      </w:r>
      <w:r>
        <w:rPr>
          <w:rFonts w:hint="eastAsia" w:ascii="宋体" w:hAnsi="宋体" w:eastAsia="宋体" w:cs="宋体"/>
          <w:color w:val="auto"/>
          <w:kern w:val="0"/>
          <w:sz w:val="28"/>
          <w:szCs w:val="28"/>
          <w:lang w:val="en-US" w:eastAsia="zh-CN" w:bidi="en-US"/>
        </w:rPr>
        <w:t>2025</w:t>
      </w:r>
      <w:r>
        <w:rPr>
          <w:rFonts w:hint="eastAsia" w:ascii="宋体" w:hAnsi="宋体" w:eastAsia="宋体" w:cs="宋体"/>
          <w:color w:val="auto"/>
          <w:kern w:val="0"/>
          <w:sz w:val="28"/>
          <w:szCs w:val="28"/>
          <w:lang w:bidi="en-US"/>
        </w:rPr>
        <w:t>年</w:t>
      </w:r>
      <w:r>
        <w:rPr>
          <w:rFonts w:hint="eastAsia" w:ascii="宋体" w:hAnsi="宋体" w:eastAsia="宋体" w:cs="宋体"/>
          <w:color w:val="auto"/>
          <w:kern w:val="0"/>
          <w:sz w:val="28"/>
          <w:szCs w:val="28"/>
          <w:lang w:val="en-US" w:eastAsia="zh-CN" w:bidi="en-US"/>
        </w:rPr>
        <w:t>3</w:t>
      </w:r>
      <w:r>
        <w:rPr>
          <w:rFonts w:hint="eastAsia" w:ascii="宋体" w:hAnsi="宋体" w:eastAsia="宋体" w:cs="宋体"/>
          <w:color w:val="auto"/>
          <w:kern w:val="0"/>
          <w:sz w:val="28"/>
          <w:szCs w:val="28"/>
          <w:lang w:bidi="en-US"/>
        </w:rPr>
        <w:t>月</w:t>
      </w:r>
      <w:r>
        <w:rPr>
          <w:rFonts w:hint="eastAsia" w:ascii="宋体" w:hAnsi="宋体" w:eastAsia="宋体" w:cs="宋体"/>
          <w:color w:val="auto"/>
          <w:kern w:val="0"/>
          <w:sz w:val="28"/>
          <w:szCs w:val="28"/>
          <w:lang w:val="en-US" w:eastAsia="zh-CN" w:bidi="en-US"/>
        </w:rPr>
        <w:t>1</w:t>
      </w:r>
      <w:r>
        <w:rPr>
          <w:rFonts w:hint="eastAsia" w:ascii="宋体" w:hAnsi="宋体" w:eastAsia="宋体" w:cs="宋体"/>
          <w:color w:val="auto"/>
          <w:kern w:val="0"/>
          <w:sz w:val="28"/>
          <w:szCs w:val="28"/>
          <w:lang w:bidi="en-US"/>
        </w:rPr>
        <w:t>日</w:t>
      </w:r>
    </w:p>
    <w:p w14:paraId="08919027">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color w:val="auto"/>
          <w:kern w:val="0"/>
          <w:sz w:val="28"/>
          <w:szCs w:val="28"/>
          <w:lang w:bidi="en-US"/>
        </w:rPr>
      </w:pPr>
    </w:p>
    <w:p w14:paraId="67DA9420">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color w:val="auto"/>
          <w:sz w:val="24"/>
          <w:szCs w:val="24"/>
        </w:rPr>
      </w:pPr>
      <w:bookmarkStart w:id="0" w:name="_Toc68364657"/>
      <w:r>
        <w:rPr>
          <w:rFonts w:hint="eastAsia" w:ascii="黑体" w:hAnsi="黑体" w:eastAsia="黑体" w:cs="黑体"/>
          <w:color w:val="auto"/>
          <w:sz w:val="24"/>
          <w:szCs w:val="24"/>
          <w:lang w:val="en-US" w:eastAsia="zh-CN"/>
        </w:rPr>
        <w:t>一、</w:t>
      </w:r>
      <w:r>
        <w:rPr>
          <w:rFonts w:hint="eastAsia" w:ascii="黑体" w:hAnsi="黑体" w:eastAsia="黑体" w:cs="黑体"/>
          <w:color w:val="auto"/>
          <w:sz w:val="24"/>
          <w:szCs w:val="24"/>
        </w:rPr>
        <w:t>基本情况</w:t>
      </w:r>
      <w:bookmarkEnd w:id="0"/>
    </w:p>
    <w:p w14:paraId="52582A8C">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 w:name="_Toc68364658"/>
      <w:r>
        <w:rPr>
          <w:rFonts w:hint="eastAsia" w:ascii="宋体" w:hAnsi="宋体" w:eastAsia="宋体" w:cs="宋体"/>
          <w:color w:val="auto"/>
          <w:sz w:val="24"/>
          <w:szCs w:val="24"/>
          <w:lang w:eastAsia="zh-CN"/>
        </w:rPr>
        <w:t>（一）</w:t>
      </w:r>
      <w:r>
        <w:rPr>
          <w:rFonts w:hint="eastAsia" w:ascii="宋体" w:hAnsi="宋体" w:eastAsia="宋体" w:cs="宋体"/>
          <w:color w:val="auto"/>
          <w:sz w:val="24"/>
          <w:szCs w:val="24"/>
        </w:rPr>
        <w:t>项目概况</w:t>
      </w:r>
      <w:bookmarkEnd w:id="1"/>
    </w:p>
    <w:p w14:paraId="13355C18">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项目背景</w:t>
      </w:r>
    </w:p>
    <w:p w14:paraId="5E20AADA">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为深入贯彻党中央、国务院对推进大型灌区续建配套与现代化改造的战略部署和相关要求，水利部和国家发展改革委联合印发了《关于开展“十四五”大型灌区续建配套与现代化改造实施方案编制工作的通知》（办农水[2020]56 号），开始部署“十四五”大型灌区续建配套与现代化改造实施方案编制工作。计划从现有大型灌区中筛选出部分灌区纳入“十四五”实施范围。</w:t>
      </w:r>
    </w:p>
    <w:p w14:paraId="326F8C71">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随着公共文化服务体系构建进程的加速,保障群众的基本文化权益、促进基本公共文化服务标准化、均等化成为构建公共文化服务体系亟待解决的问题。中央补助地方地方公共文化服务体系的文件规范了专项资金的支出范围、分配方法、申报与审批、管理与使用、资金监管与绩效评价等方面进行了相应规定，这对于我国公共文化服务体系的构建具有重要意义。洛浦县文工团承担着文艺演出、从事美术生产和舞台艺术表演，开展文艺创作，挖掘和整理民间传统文化艺术并予以加工和保护，普及推广艺术创作，承办文艺下乡等大型文艺公益活动，完成上级主管部门交代的其他工作。</w:t>
      </w:r>
      <w:r>
        <w:rPr>
          <w:rFonts w:hint="eastAsia" w:ascii="宋体" w:hAnsi="宋体" w:eastAsia="宋体" w:cs="宋体"/>
          <w:color w:val="auto"/>
          <w:sz w:val="24"/>
          <w:szCs w:val="24"/>
          <w:lang w:val="en-US" w:eastAsia="zh-CN"/>
        </w:rPr>
        <w:t xml:space="preserve">   </w:t>
      </w:r>
    </w:p>
    <w:p w14:paraId="530994C2">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color w:val="auto"/>
          <w:sz w:val="24"/>
          <w:szCs w:val="24"/>
          <w:lang w:val="en-US" w:eastAsia="zh-CN"/>
        </w:rPr>
        <w:t>2.</w:t>
      </w:r>
      <w:r>
        <w:rPr>
          <w:rFonts w:hint="eastAsia" w:ascii="宋体" w:hAnsi="宋体" w:eastAsia="宋体" w:cs="宋体"/>
          <w:b/>
          <w:bCs/>
          <w:color w:val="auto"/>
          <w:sz w:val="24"/>
          <w:szCs w:val="24"/>
        </w:rPr>
        <w:t>主要内容及实施情况</w:t>
      </w:r>
    </w:p>
    <w:p w14:paraId="1000515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1）主要内容</w:t>
      </w:r>
    </w:p>
    <w:p w14:paraId="050B1AD3">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根据《财政厅关于下达2024年中央支持地方公共文化服务体系建设补助资金》本项目主要实施内容为：1.本项目主要实施内容为：购买服装、设备、道具不低于1批，保障2辆车，临聘人员不低于6人。购买服装、设备、道具5万元，戏曲下乡演出费22.5万元。通过实施本项目丰富群众生活，提高生活质量，促进文化的发展。</w:t>
      </w:r>
    </w:p>
    <w:p w14:paraId="428CF3B5">
      <w:pPr>
        <w:pStyle w:val="47"/>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实施本项目不仅有利于丰富了群众的精神生活，而且有利于促进文化的发展和繁荣，极大满足群众日益增长的精神文化需求，提高群众的幸福指数。</w:t>
      </w:r>
    </w:p>
    <w:p w14:paraId="3D225325">
      <w:pPr>
        <w:pStyle w:val="47"/>
        <w:pageBreakBefore w:val="0"/>
        <w:widowControl w:val="0"/>
        <w:numPr>
          <w:ilvl w:val="0"/>
          <w:numId w:val="0"/>
        </w:numPr>
        <w:kinsoku/>
        <w:wordWrap/>
        <w:overflowPunct/>
        <w:topLinePunct w:val="0"/>
        <w:autoSpaceDE/>
        <w:autoSpaceDN/>
        <w:bidi w:val="0"/>
        <w:adjustRightInd/>
        <w:snapToGrid/>
        <w:spacing w:line="360" w:lineRule="auto"/>
        <w:ind w:left="560" w:leftChars="200" w:firstLine="240" w:firstLineChars="100"/>
        <w:jc w:val="both"/>
        <w:textAlignment w:val="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2.实施情况</w:t>
      </w:r>
    </w:p>
    <w:p w14:paraId="0AA8005A">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1）项目实施主体</w:t>
      </w:r>
    </w:p>
    <w:p w14:paraId="53CC2124">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本项目主管部门为洛浦县文旅局局，实施单位为洛浦县文工团。</w:t>
      </w:r>
    </w:p>
    <w:p w14:paraId="09617020">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bCs/>
          <w:color w:val="auto"/>
          <w:sz w:val="24"/>
          <w:szCs w:val="24"/>
          <w:lang w:val="en-US" w:eastAsia="zh-CN"/>
        </w:rPr>
        <w:t>（2）项目实施时间：</w:t>
      </w:r>
      <w:r>
        <w:rPr>
          <w:rFonts w:hint="eastAsia" w:ascii="宋体" w:hAnsi="宋体" w:eastAsia="宋体" w:cs="宋体"/>
          <w:b w:val="0"/>
          <w:bCs w:val="0"/>
          <w:color w:val="auto"/>
          <w:sz w:val="24"/>
          <w:szCs w:val="24"/>
          <w:lang w:val="en-US" w:eastAsia="zh-CN"/>
        </w:rPr>
        <w:t>2024年1月-2024年12月</w:t>
      </w:r>
    </w:p>
    <w:p w14:paraId="3AE7D5A6">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（3）项目实施情况</w:t>
      </w:r>
    </w:p>
    <w:p w14:paraId="67D594F6">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截止到2024年12月31日，本项目已保障1-12月2辆车正常运转及6名临聘人员演出补贴发放，购买服装、设备、道具批数1批，已形成资金支付27.5万元。通过项目的实施，持续促进文化发展，有效提高生活质量，丰富群众生活，社会效益基本达成目标。</w:t>
      </w:r>
    </w:p>
    <w:p w14:paraId="5F92C97D">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val="0"/>
          <w:bCs w:val="0"/>
          <w:color w:val="auto"/>
          <w:sz w:val="24"/>
          <w:szCs w:val="24"/>
          <w:lang w:val="en-US" w:eastAsia="zh-CN"/>
        </w:rPr>
      </w:pPr>
      <w:r>
        <w:rPr>
          <w:rFonts w:hint="default" w:ascii="宋体" w:hAnsi="宋体" w:eastAsia="宋体" w:cs="宋体"/>
          <w:b w:val="0"/>
          <w:bCs w:val="0"/>
          <w:color w:val="auto"/>
          <w:sz w:val="24"/>
          <w:szCs w:val="24"/>
          <w:lang w:val="en-US" w:eastAsia="zh-CN"/>
        </w:rPr>
        <w:t>本</w:t>
      </w:r>
      <w:r>
        <w:rPr>
          <w:rFonts w:hint="eastAsia" w:ascii="宋体" w:hAnsi="宋体" w:eastAsia="宋体" w:cs="宋体"/>
          <w:b w:val="0"/>
          <w:bCs w:val="0"/>
          <w:color w:val="auto"/>
          <w:sz w:val="24"/>
          <w:szCs w:val="24"/>
          <w:lang w:val="en-US" w:eastAsia="zh-CN"/>
        </w:rPr>
        <w:t>项目</w:t>
      </w:r>
      <w:r>
        <w:rPr>
          <w:rFonts w:hint="default" w:ascii="宋体" w:hAnsi="宋体" w:eastAsia="宋体" w:cs="宋体"/>
          <w:b w:val="0"/>
          <w:bCs w:val="0"/>
          <w:color w:val="auto"/>
          <w:sz w:val="24"/>
          <w:szCs w:val="24"/>
          <w:lang w:val="en-US" w:eastAsia="zh-CN"/>
        </w:rPr>
        <w:t>于202</w:t>
      </w:r>
      <w:r>
        <w:rPr>
          <w:rFonts w:hint="eastAsia" w:ascii="宋体" w:hAnsi="宋体" w:eastAsia="宋体" w:cs="宋体"/>
          <w:b w:val="0"/>
          <w:bCs w:val="0"/>
          <w:color w:val="auto"/>
          <w:sz w:val="24"/>
          <w:szCs w:val="24"/>
          <w:lang w:val="en-US" w:eastAsia="zh-CN"/>
        </w:rPr>
        <w:t>4</w:t>
      </w:r>
      <w:r>
        <w:rPr>
          <w:rFonts w:hint="default" w:ascii="宋体" w:hAnsi="宋体" w:eastAsia="宋体" w:cs="宋体"/>
          <w:b w:val="0"/>
          <w:bCs w:val="0"/>
          <w:color w:val="auto"/>
          <w:sz w:val="24"/>
          <w:szCs w:val="24"/>
          <w:lang w:val="en-US" w:eastAsia="zh-CN"/>
        </w:rPr>
        <w:t>年12月25日前全部完工。</w:t>
      </w:r>
    </w:p>
    <w:p w14:paraId="5D5B032C">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资金投入和使用情况</w:t>
      </w:r>
    </w:p>
    <w:p w14:paraId="0B7005A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（1）项目资金安排</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投入情况</w:t>
      </w:r>
    </w:p>
    <w:p w14:paraId="68985A6A">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22.5</w:t>
      </w:r>
      <w:r>
        <w:rPr>
          <w:rFonts w:hint="eastAsia" w:ascii="宋体" w:hAnsi="宋体" w:eastAsia="宋体" w:cs="宋体"/>
          <w:color w:val="auto"/>
          <w:sz w:val="24"/>
          <w:szCs w:val="24"/>
        </w:rPr>
        <w:t>万元，资金来源为部门预算</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中央专项资金，202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27.5</w:t>
      </w:r>
      <w:r>
        <w:rPr>
          <w:rFonts w:hint="eastAsia" w:ascii="宋体" w:hAnsi="宋体" w:eastAsia="宋体" w:cs="宋体"/>
          <w:color w:val="auto"/>
          <w:sz w:val="24"/>
          <w:szCs w:val="24"/>
        </w:rPr>
        <w:t>万元，预算资金到位率为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 xml:space="preserve"> %。</w:t>
      </w:r>
    </w:p>
    <w:p w14:paraId="6C71A03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（2）项目资金实际使用情况分析</w:t>
      </w:r>
    </w:p>
    <w:p w14:paraId="4BFDA95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27.5</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w:t>
      </w:r>
    </w:p>
    <w:p w14:paraId="5A901FDC">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val="en-US" w:eastAsia="zh-CN"/>
        </w:rPr>
        <w:t>购买服装、设备、道具5万元，戏曲下乡演出费22.5万元等</w:t>
      </w:r>
      <w:r>
        <w:rPr>
          <w:rFonts w:hint="eastAsia" w:ascii="宋体" w:hAnsi="宋体" w:eastAsia="宋体" w:cs="宋体"/>
          <w:color w:val="auto"/>
          <w:sz w:val="24"/>
          <w:szCs w:val="24"/>
        </w:rPr>
        <w:t>。</w:t>
      </w:r>
    </w:p>
    <w:p w14:paraId="2C7F5FF1">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2" w:name="_Toc68364659"/>
      <w:r>
        <w:rPr>
          <w:rFonts w:hint="eastAsia" w:ascii="宋体" w:hAnsi="宋体" w:eastAsia="宋体" w:cs="宋体"/>
          <w:color w:val="auto"/>
          <w:sz w:val="24"/>
          <w:szCs w:val="24"/>
        </w:rPr>
        <w:t>（二）项目绩效目标</w:t>
      </w:r>
      <w:bookmarkEnd w:id="2"/>
    </w:p>
    <w:p w14:paraId="24DF374A">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根据《财政厅关于下达2024年中央支持地方公共文化服务体系建设补助资金》本项目主要实施内容为：1.本项目主要实施内容为：购买服装、设备、道具不低于1批，保障2辆车，临聘人员不低于6人，购买服装、设备、道具不高于12万元，车辆运行维修维护加油及保险费用不高于1.8万元，临聘人员生活补贴不低于8万元，文工团维护维修运行及下乡演出宣传品下乡演出印刷品宣传栏横幅不高于0.7万元。通过实施本项目丰富群众生活，提高生活质量，促进文化的发展</w:t>
      </w:r>
    </w:p>
    <w:p w14:paraId="1A957ADB">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1.总</w:t>
      </w:r>
      <w:r>
        <w:rPr>
          <w:rFonts w:hint="eastAsia" w:ascii="宋体" w:hAnsi="宋体" w:eastAsia="宋体" w:cs="宋体"/>
          <w:b/>
          <w:bCs/>
          <w:color w:val="auto"/>
          <w:sz w:val="24"/>
          <w:szCs w:val="24"/>
          <w:lang w:val="en-US" w:eastAsia="zh-CN"/>
        </w:rPr>
        <w:t>体</w:t>
      </w:r>
      <w:r>
        <w:rPr>
          <w:rFonts w:hint="eastAsia" w:ascii="宋体" w:hAnsi="宋体" w:eastAsia="宋体" w:cs="宋体"/>
          <w:b/>
          <w:bCs/>
          <w:color w:val="auto"/>
          <w:sz w:val="24"/>
          <w:szCs w:val="24"/>
        </w:rPr>
        <w:t>目标</w:t>
      </w:r>
    </w:p>
    <w:p w14:paraId="12793E69">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截止到2024年12月31日，本项目已保障1-12月2辆车正常运转及6名临聘人员演出补贴发放，购买服装、设备、道具批数1批，已形成资金支付2</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.5万元。通过项目的实施，持续促进文化发展，有效提高生活质量，丰富群众生活，社会效益基本达成目标。</w:t>
      </w:r>
    </w:p>
    <w:p w14:paraId="31682BA9">
      <w:pPr>
        <w:pStyle w:val="47"/>
        <w:pageBreakBefore w:val="0"/>
        <w:widowControl w:val="0"/>
        <w:numPr>
          <w:ilvl w:val="0"/>
          <w:numId w:val="2"/>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阶段性目标</w:t>
      </w:r>
    </w:p>
    <w:p w14:paraId="05E8B1B8">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bookmarkStart w:id="3" w:name="_Toc68364660"/>
      <w:r>
        <w:rPr>
          <w:rFonts w:hint="eastAsia" w:ascii="宋体" w:hAnsi="宋体" w:eastAsia="宋体" w:cs="宋体"/>
          <w:color w:val="auto"/>
          <w:sz w:val="24"/>
          <w:szCs w:val="24"/>
          <w:lang w:val="en-US" w:eastAsia="zh-CN"/>
        </w:rPr>
        <w:t>我</w:t>
      </w:r>
      <w:r>
        <w:rPr>
          <w:rFonts w:hint="eastAsia" w:ascii="宋体" w:hAnsi="宋体" w:eastAsia="宋体" w:cs="宋体"/>
          <w:color w:val="auto"/>
          <w:sz w:val="24"/>
          <w:szCs w:val="24"/>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7684E8BC">
      <w:pPr>
        <w:pStyle w:val="47"/>
        <w:pageBreakBefore w:val="0"/>
        <w:widowControl w:val="0"/>
        <w:numPr>
          <w:ilvl w:val="0"/>
          <w:numId w:val="3"/>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产出指标</w:t>
      </w:r>
    </w:p>
    <w:p w14:paraId="7A84F186">
      <w:pPr>
        <w:pStyle w:val="47"/>
        <w:pageBreakBefore w:val="0"/>
        <w:widowControl w:val="0"/>
        <w:numPr>
          <w:ilvl w:val="0"/>
          <w:numId w:val="4"/>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数量指标:</w:t>
      </w:r>
    </w:p>
    <w:p w14:paraId="6BCE6795">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指标1：预期指标值为购买服装、设备、道具批数</w:t>
      </w:r>
      <w:r>
        <w:rPr>
          <w:rFonts w:hint="eastAsia" w:ascii="宋体" w:hAnsi="宋体" w:eastAsia="宋体" w:cs="宋体"/>
          <w:color w:val="auto"/>
          <w:sz w:val="24"/>
          <w:szCs w:val="24"/>
          <w:lang w:val="en-US" w:eastAsia="zh-CN"/>
        </w:rPr>
        <w:t>1批</w:t>
      </w:r>
      <w:r>
        <w:rPr>
          <w:rFonts w:hint="eastAsia" w:ascii="宋体" w:hAnsi="宋体" w:eastAsia="宋体" w:cs="宋体"/>
          <w:color w:val="auto"/>
          <w:sz w:val="24"/>
          <w:szCs w:val="24"/>
        </w:rPr>
        <w:t>；</w:t>
      </w:r>
    </w:p>
    <w:p w14:paraId="663D9C80">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指标2：预期指标值为保障车辆数量</w:t>
      </w:r>
      <w:r>
        <w:rPr>
          <w:rFonts w:hint="eastAsia" w:ascii="宋体" w:hAnsi="宋体" w:eastAsia="宋体" w:cs="宋体"/>
          <w:color w:val="auto"/>
          <w:sz w:val="24"/>
          <w:szCs w:val="24"/>
          <w:lang w:val="en-US" w:eastAsia="zh-CN"/>
        </w:rPr>
        <w:t>2辆</w:t>
      </w:r>
      <w:r>
        <w:rPr>
          <w:rFonts w:hint="eastAsia" w:ascii="宋体" w:hAnsi="宋体" w:eastAsia="宋体" w:cs="宋体"/>
          <w:color w:val="auto"/>
          <w:sz w:val="24"/>
          <w:szCs w:val="24"/>
        </w:rPr>
        <w:t>；</w:t>
      </w:r>
    </w:p>
    <w:p w14:paraId="3EE9D118">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：预期指标值为临聘人员数量</w:t>
      </w:r>
      <w:r>
        <w:rPr>
          <w:rFonts w:hint="eastAsia" w:ascii="宋体" w:hAnsi="宋体" w:eastAsia="宋体" w:cs="宋体"/>
          <w:color w:val="auto"/>
          <w:sz w:val="24"/>
          <w:szCs w:val="24"/>
          <w:lang w:val="en-US" w:eastAsia="zh-CN"/>
        </w:rPr>
        <w:t>6人</w:t>
      </w:r>
      <w:r>
        <w:rPr>
          <w:rFonts w:hint="eastAsia" w:ascii="宋体" w:hAnsi="宋体" w:eastAsia="宋体" w:cs="宋体"/>
          <w:color w:val="auto"/>
          <w:sz w:val="24"/>
          <w:szCs w:val="24"/>
        </w:rPr>
        <w:t>；</w:t>
      </w:r>
    </w:p>
    <w:p w14:paraId="0100810A">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2）质量指标：</w:t>
      </w:r>
    </w:p>
    <w:p w14:paraId="6C923012">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指标1：预期指标值为演出合格率</w:t>
      </w:r>
      <w:r>
        <w:rPr>
          <w:rFonts w:hint="eastAsia" w:ascii="宋体" w:hAnsi="宋体" w:eastAsia="宋体" w:cs="宋体"/>
          <w:color w:val="auto"/>
          <w:sz w:val="24"/>
          <w:szCs w:val="24"/>
          <w:shd w:val="clear" w:color="auto" w:fill="auto"/>
          <w:lang w:val="en-US" w:eastAsia="zh-CN"/>
        </w:rPr>
        <w:t>100%</w:t>
      </w:r>
      <w:r>
        <w:rPr>
          <w:rFonts w:hint="eastAsia" w:ascii="宋体" w:hAnsi="宋体" w:eastAsia="宋体" w:cs="宋体"/>
          <w:color w:val="auto"/>
          <w:sz w:val="24"/>
          <w:szCs w:val="24"/>
          <w:shd w:val="clear" w:color="auto" w:fill="auto"/>
        </w:rPr>
        <w:t>；</w:t>
      </w:r>
    </w:p>
    <w:p w14:paraId="4696EACD">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指标2：预期指标值</w:t>
      </w:r>
      <w:r>
        <w:rPr>
          <w:rFonts w:hint="eastAsia" w:ascii="宋体" w:hAnsi="宋体" w:eastAsia="宋体" w:cs="宋体"/>
          <w:color w:val="auto"/>
          <w:sz w:val="24"/>
          <w:szCs w:val="24"/>
          <w:shd w:val="clear" w:color="auto" w:fill="auto"/>
          <w:lang w:val="en-US" w:eastAsia="zh-CN"/>
        </w:rPr>
        <w:t>为</w:t>
      </w:r>
      <w:r>
        <w:rPr>
          <w:rFonts w:hint="eastAsia" w:ascii="宋体" w:hAnsi="宋体" w:eastAsia="宋体" w:cs="宋体"/>
          <w:color w:val="auto"/>
          <w:sz w:val="24"/>
          <w:szCs w:val="24"/>
          <w:shd w:val="clear" w:color="auto" w:fill="auto"/>
        </w:rPr>
        <w:t>质量验收合格率</w:t>
      </w:r>
      <w:r>
        <w:rPr>
          <w:rFonts w:hint="eastAsia" w:ascii="宋体" w:hAnsi="宋体" w:eastAsia="宋体" w:cs="宋体"/>
          <w:color w:val="auto"/>
          <w:sz w:val="24"/>
          <w:szCs w:val="24"/>
          <w:shd w:val="clear" w:color="auto" w:fill="auto"/>
          <w:lang w:val="en-US" w:eastAsia="zh-CN"/>
        </w:rPr>
        <w:t>100%</w:t>
      </w:r>
      <w:r>
        <w:rPr>
          <w:rFonts w:hint="eastAsia" w:ascii="宋体" w:hAnsi="宋体" w:eastAsia="宋体" w:cs="宋体"/>
          <w:color w:val="auto"/>
          <w:sz w:val="24"/>
          <w:szCs w:val="24"/>
          <w:shd w:val="clear" w:color="auto" w:fill="auto"/>
        </w:rPr>
        <w:t>；</w:t>
      </w:r>
    </w:p>
    <w:p w14:paraId="0959834B">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指标</w:t>
      </w:r>
      <w:r>
        <w:rPr>
          <w:rFonts w:hint="eastAsia" w:ascii="宋体" w:hAnsi="宋体" w:eastAsia="宋体" w:cs="宋体"/>
          <w:color w:val="auto"/>
          <w:sz w:val="24"/>
          <w:szCs w:val="24"/>
          <w:shd w:val="clear" w:color="auto" w:fill="auto"/>
          <w:lang w:val="en-US" w:eastAsia="zh-CN"/>
        </w:rPr>
        <w:t>3</w:t>
      </w:r>
      <w:r>
        <w:rPr>
          <w:rFonts w:hint="eastAsia" w:ascii="宋体" w:hAnsi="宋体" w:eastAsia="宋体" w:cs="宋体"/>
          <w:color w:val="auto"/>
          <w:sz w:val="24"/>
          <w:szCs w:val="24"/>
          <w:shd w:val="clear" w:color="auto" w:fill="auto"/>
        </w:rPr>
        <w:t>：预期指标值</w:t>
      </w:r>
      <w:r>
        <w:rPr>
          <w:rFonts w:hint="eastAsia" w:ascii="宋体" w:hAnsi="宋体" w:eastAsia="宋体" w:cs="宋体"/>
          <w:color w:val="auto"/>
          <w:sz w:val="24"/>
          <w:szCs w:val="24"/>
          <w:shd w:val="clear" w:color="auto" w:fill="auto"/>
          <w:lang w:val="en-US" w:eastAsia="zh-CN"/>
        </w:rPr>
        <w:t>为</w:t>
      </w:r>
      <w:r>
        <w:rPr>
          <w:rFonts w:hint="eastAsia" w:ascii="宋体" w:hAnsi="宋体" w:eastAsia="宋体" w:cs="宋体"/>
          <w:color w:val="auto"/>
          <w:sz w:val="24"/>
          <w:szCs w:val="24"/>
          <w:shd w:val="clear" w:color="auto" w:fill="auto"/>
        </w:rPr>
        <w:t>资金使用合规率</w:t>
      </w:r>
      <w:r>
        <w:rPr>
          <w:rFonts w:hint="eastAsia" w:ascii="宋体" w:hAnsi="宋体" w:eastAsia="宋体" w:cs="宋体"/>
          <w:color w:val="auto"/>
          <w:sz w:val="24"/>
          <w:szCs w:val="24"/>
          <w:shd w:val="clear" w:color="auto" w:fill="auto"/>
          <w:lang w:val="en-US" w:eastAsia="zh-CN"/>
        </w:rPr>
        <w:t>100%</w:t>
      </w:r>
      <w:r>
        <w:rPr>
          <w:rFonts w:hint="eastAsia" w:ascii="宋体" w:hAnsi="宋体" w:eastAsia="宋体" w:cs="宋体"/>
          <w:color w:val="auto"/>
          <w:sz w:val="24"/>
          <w:szCs w:val="24"/>
          <w:shd w:val="clear" w:color="auto" w:fill="auto"/>
        </w:rPr>
        <w:t>；</w:t>
      </w:r>
    </w:p>
    <w:p w14:paraId="36CB84A1">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3）时效目标：</w:t>
      </w:r>
    </w:p>
    <w:p w14:paraId="7C781DDC">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指标1：预期指标值为项目完成时间</w:t>
      </w:r>
      <w:r>
        <w:rPr>
          <w:rFonts w:hint="eastAsia" w:ascii="宋体" w:hAnsi="宋体" w:eastAsia="宋体" w:cs="宋体"/>
          <w:color w:val="auto"/>
          <w:sz w:val="24"/>
          <w:szCs w:val="24"/>
          <w:shd w:val="clear" w:color="auto" w:fill="auto"/>
          <w:lang w:val="en-US" w:eastAsia="zh-CN"/>
        </w:rPr>
        <w:t>2024年12月</w:t>
      </w:r>
      <w:r>
        <w:rPr>
          <w:rFonts w:hint="eastAsia" w:ascii="宋体" w:hAnsi="宋体" w:eastAsia="宋体" w:cs="宋体"/>
          <w:color w:val="auto"/>
          <w:sz w:val="24"/>
          <w:szCs w:val="24"/>
          <w:shd w:val="clear" w:color="auto" w:fill="auto"/>
        </w:rPr>
        <w:t>；</w:t>
      </w:r>
    </w:p>
    <w:p w14:paraId="51750741">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指标2：预期指标值为资金支付及时率</w:t>
      </w:r>
      <w:r>
        <w:rPr>
          <w:rFonts w:hint="eastAsia" w:ascii="宋体" w:hAnsi="宋体" w:eastAsia="宋体" w:cs="宋体"/>
          <w:color w:val="auto"/>
          <w:sz w:val="24"/>
          <w:szCs w:val="24"/>
          <w:shd w:val="clear" w:color="auto" w:fill="auto"/>
          <w:lang w:val="en-US" w:eastAsia="zh-CN"/>
        </w:rPr>
        <w:t>100%</w:t>
      </w:r>
      <w:r>
        <w:rPr>
          <w:rFonts w:hint="eastAsia" w:ascii="宋体" w:hAnsi="宋体" w:eastAsia="宋体" w:cs="宋体"/>
          <w:color w:val="auto"/>
          <w:sz w:val="24"/>
          <w:szCs w:val="24"/>
          <w:shd w:val="clear" w:color="auto" w:fill="auto"/>
        </w:rPr>
        <w:t>；</w:t>
      </w:r>
    </w:p>
    <w:p w14:paraId="45006D14">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 xml:space="preserve">（2）成本指标： </w:t>
      </w:r>
    </w:p>
    <w:p w14:paraId="62C9DFF9">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1）经济成本指标</w:t>
      </w:r>
    </w:p>
    <w:p w14:paraId="3077FA1F">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rPr>
        <w:t>指标1：预期指标值为戏曲下乡演出费</w:t>
      </w:r>
      <w:r>
        <w:rPr>
          <w:rFonts w:hint="eastAsia" w:ascii="宋体" w:hAnsi="宋体" w:eastAsia="宋体" w:cs="宋体"/>
          <w:color w:val="auto"/>
          <w:sz w:val="24"/>
          <w:szCs w:val="24"/>
          <w:shd w:val="clear" w:color="auto" w:fill="auto"/>
          <w:lang w:val="en-US" w:eastAsia="zh-CN"/>
        </w:rPr>
        <w:t>22.5万元</w:t>
      </w:r>
    </w:p>
    <w:p w14:paraId="59FC78B5">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指标</w:t>
      </w:r>
      <w:r>
        <w:rPr>
          <w:rFonts w:hint="eastAsia" w:ascii="宋体" w:hAnsi="宋体" w:eastAsia="宋体" w:cs="宋体"/>
          <w:color w:val="auto"/>
          <w:sz w:val="24"/>
          <w:szCs w:val="24"/>
          <w:shd w:val="clear" w:color="auto" w:fill="auto"/>
          <w:lang w:val="en-US" w:eastAsia="zh-CN"/>
        </w:rPr>
        <w:t>2</w:t>
      </w:r>
      <w:r>
        <w:rPr>
          <w:rFonts w:hint="eastAsia" w:ascii="宋体" w:hAnsi="宋体" w:eastAsia="宋体" w:cs="宋体"/>
          <w:color w:val="auto"/>
          <w:sz w:val="24"/>
          <w:szCs w:val="24"/>
          <w:shd w:val="clear" w:color="auto" w:fill="auto"/>
        </w:rPr>
        <w:t>：预期指标值为购买设备、道具费用</w:t>
      </w:r>
      <w:r>
        <w:rPr>
          <w:rFonts w:hint="eastAsia" w:ascii="宋体" w:hAnsi="宋体" w:eastAsia="宋体" w:cs="宋体"/>
          <w:color w:val="auto"/>
          <w:sz w:val="24"/>
          <w:szCs w:val="24"/>
          <w:shd w:val="clear" w:color="auto" w:fill="auto"/>
          <w:lang w:val="en-US" w:eastAsia="zh-CN"/>
        </w:rPr>
        <w:t>5</w:t>
      </w:r>
      <w:r>
        <w:rPr>
          <w:rFonts w:hint="eastAsia" w:ascii="宋体" w:hAnsi="宋体" w:eastAsia="宋体" w:cs="宋体"/>
          <w:color w:val="auto"/>
          <w:sz w:val="24"/>
          <w:szCs w:val="24"/>
          <w:shd w:val="clear" w:color="auto" w:fill="auto"/>
        </w:rPr>
        <w:t>；</w:t>
      </w:r>
    </w:p>
    <w:p w14:paraId="34CD27DC">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2）社会成本指标</w:t>
      </w:r>
    </w:p>
    <w:p w14:paraId="46C1AF32">
      <w:pPr>
        <w:pStyle w:val="47"/>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该项目不涉及社会成本指标；</w:t>
      </w:r>
    </w:p>
    <w:p w14:paraId="75C181B4">
      <w:pPr>
        <w:pStyle w:val="47"/>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3）生态成本指标</w:t>
      </w:r>
    </w:p>
    <w:p w14:paraId="15D3E184">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default" w:ascii="宋体" w:hAnsi="宋体" w:eastAsia="宋体" w:cs="宋体"/>
          <w:color w:val="auto"/>
          <w:sz w:val="24"/>
          <w:szCs w:val="24"/>
          <w:shd w:val="clear" w:color="auto" w:fill="auto"/>
          <w:lang w:val="en-US" w:eastAsia="zh-CN"/>
        </w:rPr>
      </w:pPr>
      <w:r>
        <w:rPr>
          <w:rFonts w:hint="eastAsia" w:ascii="宋体" w:hAnsi="宋体" w:eastAsia="宋体" w:cs="宋体"/>
          <w:color w:val="auto"/>
          <w:sz w:val="24"/>
          <w:szCs w:val="24"/>
          <w:shd w:val="clear" w:color="auto" w:fill="auto"/>
          <w:lang w:val="en-US" w:eastAsia="zh-CN"/>
        </w:rPr>
        <w:t>该项目不涉及生态效益指标；</w:t>
      </w:r>
    </w:p>
    <w:p w14:paraId="0B23FF7F">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（3）效益指标：</w:t>
      </w:r>
    </w:p>
    <w:p w14:paraId="48979BCA">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1）经济效益指标：</w:t>
      </w:r>
    </w:p>
    <w:p w14:paraId="5F3B2DC1">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该项目不涉及经济效益指标</w:t>
      </w:r>
    </w:p>
    <w:p w14:paraId="41E90546">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2）社会效益指标：</w:t>
      </w:r>
    </w:p>
    <w:p w14:paraId="132B055A">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指标1：预期指标值为提高生活质量，丰富群众生活</w:t>
      </w:r>
      <w:r>
        <w:rPr>
          <w:rFonts w:hint="eastAsia" w:ascii="宋体" w:hAnsi="宋体" w:eastAsia="宋体" w:cs="宋体"/>
          <w:color w:val="auto"/>
          <w:sz w:val="24"/>
          <w:szCs w:val="24"/>
          <w:lang w:val="en-US" w:eastAsia="zh-CN"/>
        </w:rPr>
        <w:t>有效提高</w:t>
      </w:r>
      <w:r>
        <w:rPr>
          <w:rFonts w:hint="eastAsia" w:ascii="宋体" w:hAnsi="宋体" w:eastAsia="宋体" w:cs="宋体"/>
          <w:color w:val="auto"/>
          <w:sz w:val="24"/>
          <w:szCs w:val="24"/>
        </w:rPr>
        <w:t>；</w:t>
      </w:r>
    </w:p>
    <w:p w14:paraId="2CED5A05">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指标2:</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预期指标值为促进文化发展</w:t>
      </w:r>
      <w:r>
        <w:rPr>
          <w:rFonts w:hint="eastAsia" w:ascii="宋体" w:hAnsi="宋体" w:eastAsia="宋体" w:cs="宋体"/>
          <w:color w:val="auto"/>
          <w:sz w:val="24"/>
          <w:szCs w:val="24"/>
          <w:lang w:val="en-US" w:eastAsia="zh-CN"/>
        </w:rPr>
        <w:t>持续促进</w:t>
      </w:r>
      <w:r>
        <w:rPr>
          <w:rFonts w:hint="eastAsia" w:ascii="宋体" w:hAnsi="宋体" w:eastAsia="宋体" w:cs="宋体"/>
          <w:color w:val="auto"/>
          <w:sz w:val="24"/>
          <w:szCs w:val="24"/>
        </w:rPr>
        <w:t>；</w:t>
      </w:r>
    </w:p>
    <w:p w14:paraId="4D39C402">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3）生态效益指标：</w:t>
      </w:r>
    </w:p>
    <w:p w14:paraId="5EF59658">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该项目不涉及生态效益指标</w:t>
      </w:r>
      <w:r>
        <w:rPr>
          <w:rFonts w:hint="eastAsia" w:ascii="宋体" w:hAnsi="宋体" w:eastAsia="宋体" w:cs="宋体"/>
          <w:color w:val="auto"/>
          <w:sz w:val="24"/>
          <w:szCs w:val="24"/>
        </w:rPr>
        <w:t>；</w:t>
      </w:r>
    </w:p>
    <w:p w14:paraId="65AB70E0">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（4）服务对象满意度指标：</w:t>
      </w:r>
    </w:p>
    <w:p w14:paraId="71587924">
      <w:pPr>
        <w:pStyle w:val="47"/>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指标1：预期指标值为观看演出群众满意度</w:t>
      </w:r>
      <w:r>
        <w:rPr>
          <w:rFonts w:hint="eastAsia" w:ascii="宋体" w:hAnsi="宋体" w:eastAsia="宋体" w:cs="宋体"/>
          <w:color w:val="auto"/>
          <w:sz w:val="24"/>
          <w:szCs w:val="24"/>
          <w:lang w:val="en-US" w:eastAsia="zh-CN"/>
        </w:rPr>
        <w:t>95%</w:t>
      </w:r>
      <w:r>
        <w:rPr>
          <w:rFonts w:hint="eastAsia" w:ascii="宋体" w:hAnsi="宋体" w:eastAsia="宋体" w:cs="宋体"/>
          <w:color w:val="auto"/>
          <w:sz w:val="24"/>
          <w:szCs w:val="24"/>
        </w:rPr>
        <w:t>；</w:t>
      </w:r>
    </w:p>
    <w:p w14:paraId="427E0E20">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p>
    <w:p w14:paraId="2F9CA8C7">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二、绩效评价工作开展情况</w:t>
      </w:r>
      <w:bookmarkEnd w:id="3"/>
    </w:p>
    <w:p w14:paraId="5DE22A97">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4" w:name="_Toc68364661"/>
      <w:r>
        <w:rPr>
          <w:rFonts w:hint="eastAsia" w:ascii="宋体" w:hAnsi="宋体" w:eastAsia="宋体" w:cs="宋体"/>
          <w:color w:val="auto"/>
          <w:sz w:val="24"/>
          <w:szCs w:val="24"/>
        </w:rPr>
        <w:t>（一）绩效评价目的、对象和范围</w:t>
      </w:r>
      <w:bookmarkEnd w:id="4"/>
    </w:p>
    <w:p w14:paraId="0D9A3313">
      <w:pPr>
        <w:pStyle w:val="47"/>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绩效评价目的</w:t>
      </w:r>
    </w:p>
    <w:p w14:paraId="116FD83C">
      <w:pPr>
        <w:spacing w:line="700" w:lineRule="exact"/>
        <w:ind w:firstLine="600" w:firstLineChars="25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lang w:val="en-US" w:eastAsia="zh-CN"/>
        </w:rPr>
        <w:t>及</w:t>
      </w:r>
      <w:r>
        <w:rPr>
          <w:rFonts w:hint="eastAsia" w:ascii="宋体" w:hAnsi="宋体" w:eastAsia="宋体" w:cs="宋体"/>
          <w:color w:val="auto"/>
          <w:sz w:val="24"/>
          <w:szCs w:val="24"/>
        </w:rPr>
        <w:t>自治区财政厅《关于印发〈自治区项目支出绩效目标设置指引〉的通知》（新财预〔2022〕42号）</w:t>
      </w:r>
      <w:r>
        <w:rPr>
          <w:rFonts w:hint="eastAsia" w:ascii="宋体" w:hAnsi="宋体" w:eastAsia="宋体" w:cs="宋体"/>
          <w:color w:val="auto"/>
          <w:sz w:val="24"/>
          <w:szCs w:val="24"/>
          <w:highlight w:val="none"/>
        </w:rPr>
        <w:t>等相关政策文件与规</w:t>
      </w:r>
      <w:r>
        <w:rPr>
          <w:rFonts w:hint="eastAsia" w:ascii="宋体" w:hAnsi="宋体" w:eastAsia="宋体" w:cs="宋体"/>
          <w:color w:val="auto"/>
          <w:sz w:val="24"/>
          <w:szCs w:val="24"/>
        </w:rPr>
        <w:t>定，对</w:t>
      </w:r>
      <w:r>
        <w:rPr>
          <w:rFonts w:hint="eastAsia" w:ascii="宋体" w:hAnsi="宋体" w:eastAsia="宋体" w:cs="宋体"/>
          <w:color w:val="auto"/>
          <w:sz w:val="24"/>
          <w:szCs w:val="24"/>
          <w:lang w:val="en-US" w:eastAsia="zh-CN"/>
        </w:rPr>
        <w:t>中央补助地方公共文化服务体系建设项目</w:t>
      </w:r>
      <w:r>
        <w:rPr>
          <w:rFonts w:hint="eastAsia" w:ascii="宋体" w:hAnsi="宋体" w:eastAsia="宋体" w:cs="宋体"/>
          <w:color w:val="auto"/>
          <w:sz w:val="24"/>
          <w:szCs w:val="24"/>
        </w:rPr>
        <w:t>开展本次部门项目支出绩效评价工作。全面了解</w:t>
      </w:r>
      <w:r>
        <w:rPr>
          <w:rFonts w:hint="eastAsia" w:ascii="宋体" w:hAnsi="宋体" w:eastAsia="宋体" w:cs="宋体"/>
          <w:color w:val="auto"/>
          <w:sz w:val="24"/>
          <w:szCs w:val="24"/>
          <w:lang w:val="en-US" w:eastAsia="zh-CN"/>
        </w:rPr>
        <w:t>中央补助地方公共文化服务体系建设</w:t>
      </w:r>
      <w:r>
        <w:rPr>
          <w:rFonts w:hint="eastAsia" w:ascii="宋体" w:hAnsi="宋体" w:eastAsia="宋体" w:cs="宋体"/>
          <w:color w:val="auto"/>
          <w:sz w:val="24"/>
          <w:szCs w:val="24"/>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lang w:val="en-US" w:eastAsia="zh-CN"/>
        </w:rPr>
        <w:t>实施</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情况。</w:t>
      </w:r>
    </w:p>
    <w:p w14:paraId="77FAC9F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3F1CB8F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78F997C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color w:val="auto"/>
          <w:sz w:val="24"/>
          <w:szCs w:val="24"/>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rPr>
        <w:t>财政预算资金使用的效率及效益。</w:t>
      </w:r>
    </w:p>
    <w:p w14:paraId="0167909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2EC0EC4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auto"/>
          <w:sz w:val="24"/>
          <w:szCs w:val="24"/>
          <w:lang w:val="en-US" w:eastAsia="zh-CN"/>
        </w:rPr>
        <w:t>中央补助地方公共文化服务体系建设</w:t>
      </w:r>
      <w:r>
        <w:rPr>
          <w:rFonts w:hint="eastAsia" w:ascii="宋体" w:hAnsi="宋体" w:eastAsia="宋体" w:cs="宋体"/>
          <w:color w:val="auto"/>
          <w:sz w:val="24"/>
          <w:szCs w:val="24"/>
          <w:highlight w:val="none"/>
        </w:rPr>
        <w:t>项目为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7AC21D73">
      <w:pPr>
        <w:pStyle w:val="47"/>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绩效评价范围</w:t>
      </w:r>
    </w:p>
    <w:p w14:paraId="679150C9">
      <w:pPr>
        <w:pStyle w:val="47"/>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本次绩效评价主要围绕</w:t>
      </w:r>
      <w:r>
        <w:rPr>
          <w:rFonts w:hint="eastAsia" w:ascii="宋体" w:hAnsi="宋体" w:eastAsia="宋体" w:cs="宋体"/>
          <w:color w:val="auto"/>
          <w:sz w:val="24"/>
          <w:szCs w:val="24"/>
          <w:lang w:val="en-US" w:eastAsia="zh-CN"/>
        </w:rPr>
        <w:t>中央补助地方公共文化服务体系建设</w:t>
      </w:r>
      <w:r>
        <w:rPr>
          <w:rFonts w:hint="eastAsia" w:ascii="宋体" w:hAnsi="宋体" w:eastAsia="宋体" w:cs="宋体"/>
          <w:color w:val="auto"/>
          <w:sz w:val="24"/>
          <w:szCs w:val="24"/>
        </w:rPr>
        <w:t>项目决策、项目资金管理、项目实施过程管理，以及项目实施所带来的产出和效果等内容，进行综合评价。范围涵盖项目总体绩效目标、各项绩效指标完成情况以及预算执行情况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覆盖预算资金支出项目的所有内容进行评价。</w:t>
      </w:r>
    </w:p>
    <w:p w14:paraId="694822FD">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（二）绩效评价原则、评价指标体系、评价方法评价标准</w:t>
      </w:r>
      <w:bookmarkEnd w:id="5"/>
    </w:p>
    <w:p w14:paraId="04D87F7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1. 绩效评价原则</w:t>
      </w:r>
    </w:p>
    <w:p w14:paraId="51619E39">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49A019A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（1）科学公正。绩效评价应当运用科学合理的方法，按照规范的程序，对项目绩效进行客观、公正的反映。</w:t>
      </w:r>
    </w:p>
    <w:p w14:paraId="38C1369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10C2D54">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（3）激励约束。绩效评价结果应与预算安排、政策调整、改进管理实质性挂钩，体现奖优罚劣和激励相容导向，有效要安排、低效要压减、无效要问责。</w:t>
      </w:r>
    </w:p>
    <w:p w14:paraId="79D3804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（4）公开透明。绩效评价结果应依法依规公开，并自觉接受社会监督。</w:t>
      </w:r>
    </w:p>
    <w:p w14:paraId="4F618634">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根据以上原则，绩效评价应遵循如下要求:</w:t>
      </w:r>
    </w:p>
    <w:p w14:paraId="1053175C">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（1）在数据采集时，采取客观数据，主管部门审查、社会中介组织复查，与问卷调查相结合的形式，以保证各项指标的真实性。</w:t>
      </w:r>
    </w:p>
    <w:p w14:paraId="45F34A7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（2）保证评价结果的真实性、公正性，提高评价报告的公信力。</w:t>
      </w:r>
    </w:p>
    <w:p w14:paraId="03E1236C">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rPr>
        <w:t>（3）绩</w:t>
      </w:r>
      <w:r>
        <w:rPr>
          <w:rFonts w:hint="eastAsia" w:ascii="宋体" w:hAnsi="宋体" w:eastAsia="宋体" w:cs="宋体"/>
          <w:color w:val="auto"/>
          <w:sz w:val="24"/>
          <w:szCs w:val="24"/>
          <w:lang w:val="en-US" w:eastAsia="zh-CN"/>
        </w:rPr>
        <w:t>效</w:t>
      </w:r>
      <w:r>
        <w:rPr>
          <w:rFonts w:hint="eastAsia" w:ascii="宋体" w:hAnsi="宋体" w:eastAsia="宋体" w:cs="宋体"/>
          <w:color w:val="auto"/>
          <w:sz w:val="24"/>
          <w:szCs w:val="24"/>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1EE4E60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2. 绩效评价指标体系</w:t>
      </w:r>
    </w:p>
    <w:p w14:paraId="32D56FD9">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本项目绩效评价体系根据《关于印发〈项目支出绩效评价管理办法〉的通知》（财预﹝2020﹞10号）文件中共性指标及个性化指标设置，主要分为共性指标和个性指标两大类。共性指标下设决策与过程</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个二级指标。项目绩效评价体系</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详细指标体系见“附件1：项目支出绩效评价体系”。</w:t>
      </w:r>
    </w:p>
    <w:p w14:paraId="24B3F88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3. 绩效评价方法</w:t>
      </w:r>
    </w:p>
    <w:p w14:paraId="1BCB931E">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86D2B2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具体</w:t>
      </w:r>
      <w:r>
        <w:rPr>
          <w:rFonts w:hint="eastAsia" w:ascii="宋体" w:hAnsi="宋体" w:eastAsia="宋体" w:cs="宋体"/>
          <w:b w:val="0"/>
          <w:bCs/>
          <w:color w:val="auto"/>
          <w:sz w:val="24"/>
          <w:szCs w:val="24"/>
        </w:rPr>
        <w:t>评价方法的应用如下:</w:t>
      </w:r>
    </w:p>
    <w:p w14:paraId="30A0B5B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立项依据充分性：比较法、文献法，查找法律法规政策以及规划，对比实际执行内容和政策支持内容是否匹配。</w:t>
      </w:r>
    </w:p>
    <w:p w14:paraId="069B9A2C">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立项程序规范性：比较法、文献法，查找相关项目设立的政策和文件要求，对比分析实际执行程序是否按照政策及文件要求执行，分析立项程序的规范性。</w:t>
      </w:r>
    </w:p>
    <w:p w14:paraId="50DC225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绩效目标合理性：比较法，对比分析年初编制项目支出绩效目标表与项目内容的相关性、资金的匹配性等。</w:t>
      </w:r>
    </w:p>
    <w:p w14:paraId="43633F23">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绩效指标明确性：比较法，比较分析年初编制项目支出绩效目标表是否符合双七原则，是否可衡量。</w:t>
      </w:r>
    </w:p>
    <w:p w14:paraId="019B34E3">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预算编制科学性</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成本效益分析法</w:t>
      </w:r>
      <w:r>
        <w:rPr>
          <w:rFonts w:hint="eastAsia" w:ascii="宋体" w:hAnsi="宋体" w:eastAsia="宋体" w:cs="宋体"/>
          <w:b w:val="0"/>
          <w:bCs/>
          <w:color w:val="auto"/>
          <w:sz w:val="24"/>
          <w:szCs w:val="24"/>
          <w:lang w:eastAsia="zh-CN"/>
        </w:rPr>
        <w:t>，</w:t>
      </w:r>
      <w:r>
        <w:rPr>
          <w:rFonts w:hint="eastAsia" w:ascii="宋体" w:hAnsi="宋体" w:eastAsia="宋体" w:cs="宋体"/>
          <w:b w:val="0"/>
          <w:bCs/>
          <w:color w:val="auto"/>
          <w:sz w:val="24"/>
          <w:szCs w:val="24"/>
        </w:rPr>
        <w:t>分析在产出一定的情况下，成本取值是否有依据，是否经过询价，是否按照市场最低成本编制。</w:t>
      </w:r>
    </w:p>
    <w:p w14:paraId="53A3B39E">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lang w:eastAsia="zh-CN"/>
        </w:rPr>
      </w:pPr>
      <w:r>
        <w:rPr>
          <w:rFonts w:hint="eastAsia" w:ascii="宋体" w:hAnsi="宋体" w:eastAsia="宋体" w:cs="宋体"/>
          <w:b w:val="0"/>
          <w:bCs/>
          <w:color w:val="auto"/>
          <w:sz w:val="24"/>
          <w:szCs w:val="24"/>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lang w:eastAsia="zh-CN"/>
        </w:rPr>
        <w:t>。</w:t>
      </w:r>
    </w:p>
    <w:p w14:paraId="260F9F95">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资金到位率：比较法，资金到位率预期指标值应为100%，通过实际计算，分析实际完成值和预期指标值之间的差距和原因。</w:t>
      </w:r>
    </w:p>
    <w:p w14:paraId="038E458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预算执行率：比较法，预算执行率预期指标值应为100%，通过实际计算，分析实际完成值和预期指标值之间的差距和原因。</w:t>
      </w:r>
    </w:p>
    <w:p w14:paraId="2FFBF3C6">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资金使用合规性：文献法、实地勘察法，一是查找资金管理办法，包括专项资金管理办法和单位自有资金管理办法；二是通过查账了解具体开支情况，是否专用专用，是否按照标准支出。</w:t>
      </w:r>
    </w:p>
    <w:p w14:paraId="1FA07D8B">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管理制度健全性：文献法、比较法，查阅项目实施人员提供的财务和业务管理制度，将已建立的制度与现行的法律法规和政策要求进行对比，分析项目制度的合法性、合规性、完整性。</w:t>
      </w:r>
    </w:p>
    <w:p w14:paraId="58DC062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制度执行有效性：比较法，结合项目实际实施过程性文件，根据已建设的财务管理制度和项目管理制度综合分析制度执行的有效性。</w:t>
      </w:r>
    </w:p>
    <w:p w14:paraId="0B9EDF9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0DAC278B">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定性指标：公众评判法，通过问卷及抽样调查等方式评价本项目实施后社会公众对于其实施效果的满意程度。</w:t>
      </w:r>
    </w:p>
    <w:p w14:paraId="1236636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rPr>
      </w:pPr>
      <w:r>
        <w:rPr>
          <w:rFonts w:hint="eastAsia" w:ascii="宋体" w:hAnsi="宋体" w:eastAsia="宋体" w:cs="宋体"/>
          <w:b/>
          <w:bCs/>
          <w:color w:val="auto"/>
          <w:sz w:val="24"/>
          <w:szCs w:val="24"/>
        </w:rPr>
        <w:t>4. 绩效评价标准</w:t>
      </w:r>
    </w:p>
    <w:p w14:paraId="06FB814C">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auto"/>
          <w:sz w:val="24"/>
          <w:szCs w:val="24"/>
        </w:rPr>
      </w:pPr>
      <w:bookmarkStart w:id="6" w:name="_Toc68364663"/>
      <w:r>
        <w:rPr>
          <w:rFonts w:hint="eastAsia" w:ascii="宋体" w:hAnsi="宋体" w:eastAsia="宋体" w:cs="宋体"/>
          <w:color w:val="auto"/>
          <w:sz w:val="24"/>
          <w:szCs w:val="24"/>
        </w:rPr>
        <w:t>绩效评价标准通常包括计划标准、行业标准、历史标准等，用于对绩效指标完成情况进行比较、分析、评价。本次评价主要采用了计划标准。</w:t>
      </w:r>
    </w:p>
    <w:p w14:paraId="4E440BAD">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7" w:name="_Toc17882"/>
      <w:bookmarkStart w:id="8" w:name="_Toc31464"/>
      <w:r>
        <w:rPr>
          <w:rFonts w:hint="eastAsia" w:ascii="宋体" w:hAnsi="宋体" w:eastAsia="宋体" w:cs="宋体"/>
          <w:b/>
          <w:bCs/>
          <w:color w:val="auto"/>
          <w:sz w:val="24"/>
          <w:szCs w:val="24"/>
        </w:rPr>
        <w:t>计划标准：</w:t>
      </w:r>
      <w:r>
        <w:rPr>
          <w:rFonts w:hint="eastAsia" w:ascii="宋体" w:hAnsi="宋体" w:eastAsia="宋体" w:cs="宋体"/>
          <w:color w:val="auto"/>
          <w:sz w:val="24"/>
          <w:szCs w:val="24"/>
        </w:rPr>
        <w:t>指以预先制定的目标、计划、预算、定额等作为评价标准。</w:t>
      </w:r>
      <w:bookmarkEnd w:id="7"/>
      <w:bookmarkEnd w:id="8"/>
    </w:p>
    <w:p w14:paraId="4E24CA9D">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9" w:name="_Toc2318"/>
      <w:bookmarkStart w:id="10" w:name="_Toc5633"/>
      <w:r>
        <w:rPr>
          <w:rFonts w:hint="eastAsia" w:ascii="宋体" w:hAnsi="宋体" w:eastAsia="宋体" w:cs="宋体"/>
          <w:b/>
          <w:bCs/>
          <w:color w:val="auto"/>
          <w:sz w:val="24"/>
          <w:szCs w:val="24"/>
        </w:rPr>
        <w:t>行业标准：</w:t>
      </w:r>
      <w:r>
        <w:rPr>
          <w:rFonts w:hint="eastAsia" w:ascii="宋体" w:hAnsi="宋体" w:eastAsia="宋体" w:cs="宋体"/>
          <w:color w:val="auto"/>
          <w:sz w:val="24"/>
          <w:szCs w:val="24"/>
        </w:rPr>
        <w:t>指参照国家公布的行业指标数据制定的评价标准。</w:t>
      </w:r>
      <w:bookmarkEnd w:id="9"/>
      <w:bookmarkEnd w:id="10"/>
    </w:p>
    <w:p w14:paraId="6339CB36">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color w:val="auto"/>
          <w:sz w:val="24"/>
          <w:szCs w:val="24"/>
        </w:rPr>
      </w:pPr>
      <w:bookmarkStart w:id="11" w:name="_Toc16028"/>
      <w:bookmarkStart w:id="12" w:name="_Toc430"/>
      <w:r>
        <w:rPr>
          <w:rFonts w:hint="eastAsia" w:ascii="宋体" w:hAnsi="宋体" w:eastAsia="宋体" w:cs="宋体"/>
          <w:b/>
          <w:bCs/>
          <w:color w:val="auto"/>
          <w:sz w:val="24"/>
          <w:szCs w:val="24"/>
        </w:rPr>
        <w:t>历史标准：</w:t>
      </w:r>
      <w:r>
        <w:rPr>
          <w:rFonts w:hint="eastAsia" w:ascii="宋体" w:hAnsi="宋体" w:eastAsia="宋体" w:cs="宋体"/>
          <w:color w:val="auto"/>
          <w:sz w:val="24"/>
          <w:szCs w:val="24"/>
        </w:rPr>
        <w:t>指参照历史数据制定的评价标准，为体现绩效改进的原则，在可实现的条件下应当确定相对较高的评价标准。</w:t>
      </w:r>
      <w:bookmarkEnd w:id="11"/>
      <w:bookmarkEnd w:id="12"/>
    </w:p>
    <w:p w14:paraId="5C8C5BBC">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（三）绩效评价工作过程</w:t>
      </w:r>
      <w:bookmarkEnd w:id="6"/>
    </w:p>
    <w:p w14:paraId="279B3F38">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bookmarkStart w:id="13" w:name="_Toc68364664"/>
      <w:r>
        <w:rPr>
          <w:rFonts w:hint="eastAsia" w:ascii="宋体" w:hAnsi="宋体" w:eastAsia="宋体" w:cs="宋体"/>
          <w:color w:val="auto"/>
          <w:sz w:val="24"/>
          <w:szCs w:val="24"/>
        </w:rPr>
        <w:t>1.前期准备</w:t>
      </w:r>
    </w:p>
    <w:p w14:paraId="2CA66B3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202321F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雪合热提·穆合塔尔</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评价小组组长</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：主要负</w:t>
      </w:r>
      <w:r>
        <w:rPr>
          <w:rFonts w:hint="eastAsia" w:ascii="宋体" w:hAnsi="宋体" w:eastAsia="宋体" w:cs="宋体"/>
          <w:color w:val="auto"/>
          <w:sz w:val="24"/>
          <w:szCs w:val="24"/>
        </w:rPr>
        <w:tab/>
      </w:r>
      <w:r>
        <w:rPr>
          <w:rFonts w:hint="eastAsia" w:ascii="宋体" w:hAnsi="宋体" w:eastAsia="宋体" w:cs="宋体"/>
          <w:color w:val="auto"/>
          <w:sz w:val="24"/>
          <w:szCs w:val="24"/>
        </w:rPr>
        <w:t>组织安排绩效评价工作;</w:t>
      </w:r>
    </w:p>
    <w:p w14:paraId="77B2E32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艾力·买买提明</w:t>
      </w:r>
      <w:r>
        <w:rPr>
          <w:rFonts w:hint="eastAsia" w:ascii="宋体" w:hAnsi="宋体" w:eastAsia="宋体" w:cs="宋体"/>
          <w:color w:val="auto"/>
          <w:sz w:val="24"/>
          <w:szCs w:val="24"/>
        </w:rPr>
        <w:t>（评价小组组员）：主要负责资料整理及信息汇总工作;</w:t>
      </w:r>
    </w:p>
    <w:p w14:paraId="5684722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阿米乃·多来提（评价小组组员）：主要负责出具项目绩效评价报告。</w:t>
      </w:r>
    </w:p>
    <w:p w14:paraId="5CBD8BCD">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2.组织实施</w:t>
      </w:r>
    </w:p>
    <w:p w14:paraId="7307A01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31</w:t>
      </w:r>
      <w:r>
        <w:rPr>
          <w:rFonts w:hint="eastAsia" w:ascii="宋体" w:hAnsi="宋体" w:eastAsia="宋体" w:cs="宋体"/>
          <w:color w:val="auto"/>
          <w:sz w:val="24"/>
          <w:szCs w:val="24"/>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425AC5AB">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3.分析评价</w:t>
      </w:r>
    </w:p>
    <w:p w14:paraId="0AF0788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日，评价小组按照绩效评价的原则和规范，对取得的资料进行审查核实，对采集的数据进行分析，按照绩效评价指标评分表逐项进行打分、分析、汇总各方评价结果。</w:t>
      </w:r>
    </w:p>
    <w:p w14:paraId="4A6F2254">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4.撰写与提交评价报告</w:t>
      </w:r>
    </w:p>
    <w:p w14:paraId="1D59B55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6CD8CD80">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5.问题整改</w:t>
      </w:r>
    </w:p>
    <w:p w14:paraId="6C6EF5D5">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E4C5EC2">
      <w:pPr>
        <w:pStyle w:val="6"/>
        <w:pageBreakBefore w:val="0"/>
        <w:widowControl w:val="0"/>
        <w:kinsoku/>
        <w:wordWrap/>
        <w:overflowPunct/>
        <w:topLinePunct w:val="0"/>
        <w:autoSpaceDE/>
        <w:autoSpaceDN/>
        <w:bidi w:val="0"/>
        <w:adjustRightInd/>
        <w:snapToGrid/>
        <w:spacing w:before="0" w:after="0" w:line="360" w:lineRule="auto"/>
        <w:ind w:firstLine="562"/>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6.档案整理</w:t>
      </w:r>
    </w:p>
    <w:p w14:paraId="119A533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建立和落实档案管理制度，将项目相关资料存档，包括但不限于：评价项目基本情况和相关文件、评价实施方案、项目支付资料等相关档案。</w:t>
      </w:r>
    </w:p>
    <w:p w14:paraId="4BB2E487">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p>
    <w:p w14:paraId="25E1D77F">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三、综合评价情况及评价结论</w:t>
      </w:r>
      <w:bookmarkEnd w:id="13"/>
    </w:p>
    <w:p w14:paraId="5DB4E24F">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bookmarkStart w:id="14" w:name="_Toc68364665"/>
      <w:r>
        <w:rPr>
          <w:rFonts w:hint="eastAsia" w:ascii="宋体" w:hAnsi="宋体" w:eastAsia="宋体" w:cs="宋体"/>
          <w:color w:val="auto"/>
          <w:sz w:val="24"/>
          <w:szCs w:val="24"/>
        </w:rPr>
        <w:t>（一）综合评价情况</w:t>
      </w:r>
      <w:bookmarkEnd w:id="14"/>
    </w:p>
    <w:p w14:paraId="0B409B85">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bookmarkStart w:id="15" w:name="_Toc68364666"/>
      <w:r>
        <w:rPr>
          <w:rFonts w:hint="eastAsia" w:ascii="宋体" w:hAnsi="宋体" w:eastAsia="宋体" w:cs="宋体"/>
          <w:color w:val="auto"/>
          <w:sz w:val="24"/>
          <w:szCs w:val="24"/>
        </w:rPr>
        <w:t>通过实施中央补助地方公共文化服务体系建设项目产生资金投入与财务管理、组织管理、产出与效益效益。项目实施主要通过项目决策、项目过程、项目产出以及项目效益等方面进行评价，其中：</w:t>
      </w:r>
    </w:p>
    <w:p w14:paraId="7E588D2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 xml:space="preserve">项目决策：该项目主要通过和地财教（2023)47号文件立项，项目实施符合关于提前安排年中央补助地方公共文化服务体系建设资金2024年预算指标的通知要求，项目立项依据充分，立项程序规范。 </w:t>
      </w:r>
    </w:p>
    <w:p w14:paraId="4F6CD992">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项目过程：中央补助地方公共文化服务体系建设项目预算安排 </w:t>
      </w:r>
      <w:r>
        <w:rPr>
          <w:rFonts w:hint="eastAsia" w:ascii="宋体" w:hAnsi="宋体" w:eastAsia="宋体" w:cs="宋体"/>
          <w:color w:val="auto"/>
          <w:sz w:val="24"/>
          <w:szCs w:val="24"/>
          <w:lang w:val="en-US" w:eastAsia="zh-CN"/>
        </w:rPr>
        <w:t>22.5</w:t>
      </w:r>
      <w:r>
        <w:rPr>
          <w:rFonts w:hint="eastAsia" w:ascii="宋体" w:hAnsi="宋体" w:eastAsia="宋体" w:cs="宋体"/>
          <w:color w:val="auto"/>
          <w:sz w:val="24"/>
          <w:szCs w:val="24"/>
        </w:rPr>
        <w:t>万元，实际支出</w:t>
      </w:r>
      <w:r>
        <w:rPr>
          <w:rFonts w:hint="eastAsia" w:ascii="宋体" w:hAnsi="宋体" w:eastAsia="宋体" w:cs="宋体"/>
          <w:color w:val="auto"/>
          <w:sz w:val="24"/>
          <w:szCs w:val="24"/>
          <w:lang w:val="en-US" w:eastAsia="zh-CN"/>
        </w:rPr>
        <w:t>27.5</w:t>
      </w:r>
      <w:r>
        <w:rPr>
          <w:rFonts w:hint="eastAsia" w:ascii="宋体" w:hAnsi="宋体" w:eastAsia="宋体" w:cs="宋体"/>
          <w:color w:val="auto"/>
          <w:sz w:val="24"/>
          <w:szCs w:val="24"/>
        </w:rPr>
        <w:t>万元，预算执行率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%。项目资金使用合规，项目财务管理制度健全，财务监控到位，所有资金支付均按照国库集中支付制度严格执行，现有项目管理制度执行情况良好。</w:t>
      </w:r>
    </w:p>
    <w:p w14:paraId="7B219E5B">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项目产出：项目实施产生的数量、质量等</w:t>
      </w:r>
      <w:r>
        <w:rPr>
          <w:rFonts w:hint="eastAsia" w:ascii="宋体" w:hAnsi="宋体" w:eastAsia="宋体" w:cs="宋体"/>
          <w:color w:val="auto"/>
          <w:sz w:val="24"/>
          <w:szCs w:val="24"/>
          <w:lang w:val="en-US" w:eastAsia="zh-CN"/>
        </w:rPr>
        <w:t>完成情况。</w:t>
      </w:r>
    </w:p>
    <w:p w14:paraId="1301428B">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购买服装、设备、道具批数保障车辆数量临聘人员数量演出合格率质量验收合格率资金使用合规率等方面达标率100%</w:t>
      </w:r>
    </w:p>
    <w:p w14:paraId="027CAF13">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项目效益：通过实施此项目产生社会效益效益情况实施本项目不仅丰富群众的精神生活，而且促进文化的发展和繁荣，极大满足群众日益增长的精神文化需求，提高群众的幸福指数。</w:t>
      </w:r>
    </w:p>
    <w:p w14:paraId="7BF50E11">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（二）综合评价结论</w:t>
      </w:r>
    </w:p>
    <w:p w14:paraId="23F08293">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中央补助地方公共文化服务体系建设项目进行客观评价，最终评分结果：评价总分</w:t>
      </w:r>
      <w:r>
        <w:rPr>
          <w:rFonts w:hint="eastAsia" w:ascii="宋体" w:hAnsi="宋体" w:eastAsia="宋体" w:cs="宋体"/>
          <w:color w:val="auto"/>
          <w:sz w:val="24"/>
          <w:szCs w:val="24"/>
          <w:lang w:val="en-US" w:eastAsia="zh-CN"/>
        </w:rPr>
        <w:t>90</w:t>
      </w:r>
      <w:r>
        <w:rPr>
          <w:rFonts w:hint="eastAsia" w:ascii="宋体" w:hAnsi="宋体" w:eastAsia="宋体" w:cs="宋体"/>
          <w:color w:val="auto"/>
          <w:sz w:val="24"/>
          <w:szCs w:val="24"/>
        </w:rPr>
        <w:t>分，绩效等</w:t>
      </w:r>
      <w:r>
        <w:rPr>
          <w:rFonts w:hint="eastAsia" w:ascii="宋体" w:hAnsi="宋体" w:eastAsia="宋体" w:cs="宋体"/>
          <w:color w:val="auto"/>
          <w:sz w:val="24"/>
          <w:szCs w:val="24"/>
          <w:highlight w:val="none"/>
        </w:rPr>
        <w:t>级为“</w:t>
      </w:r>
      <w:r>
        <w:rPr>
          <w:rFonts w:hint="eastAsia" w:ascii="宋体" w:hAnsi="宋体" w:eastAsia="宋体" w:cs="宋体"/>
          <w:color w:val="auto"/>
          <w:sz w:val="24"/>
          <w:szCs w:val="24"/>
          <w:highlight w:val="none"/>
          <w:lang w:val="en-US" w:eastAsia="zh-CN"/>
        </w:rPr>
        <w:t>优</w:t>
      </w:r>
      <w:r>
        <w:rPr>
          <w:rFonts w:hint="eastAsia" w:ascii="宋体" w:hAnsi="宋体" w:eastAsia="宋体" w:cs="宋体"/>
          <w:color w:val="auto"/>
          <w:sz w:val="24"/>
          <w:szCs w:val="24"/>
          <w:highlight w:val="none"/>
        </w:rPr>
        <w:t>”。</w:t>
      </w:r>
      <w:bookmarkEnd w:id="15"/>
    </w:p>
    <w:p w14:paraId="69B8166F">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bookmarkStart w:id="16" w:name="_Toc68364667"/>
    </w:p>
    <w:p w14:paraId="0D7FE64F">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6"/>
    </w:p>
    <w:p w14:paraId="2A2DAB3D">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7" w:name="_Toc68364668"/>
      <w:r>
        <w:rPr>
          <w:rFonts w:hint="eastAsia" w:ascii="宋体" w:hAnsi="宋体" w:eastAsia="宋体" w:cs="宋体"/>
          <w:color w:val="auto"/>
          <w:sz w:val="24"/>
          <w:szCs w:val="24"/>
          <w:highlight w:val="none"/>
        </w:rPr>
        <w:t>（一）项目决策情况</w:t>
      </w:r>
    </w:p>
    <w:p w14:paraId="69A04849">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DF89B95">
      <w:pPr>
        <w:keepNext w:val="0"/>
        <w:keepLines w:val="0"/>
        <w:pageBreakBefore w:val="0"/>
        <w:widowControl w:val="0"/>
        <w:numPr>
          <w:ilvl w:val="0"/>
          <w:numId w:val="5"/>
        </w:numPr>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294671B7">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2023年</w:t>
      </w:r>
      <w:r>
        <w:rPr>
          <w:rFonts w:hint="eastAsia" w:ascii="宋体" w:hAnsi="宋体" w:eastAsia="宋体" w:cs="宋体"/>
          <w:color w:val="auto"/>
          <w:sz w:val="24"/>
          <w:szCs w:val="24"/>
          <w:highlight w:val="none"/>
        </w:rPr>
        <w:t>颁发的财教（2</w:t>
      </w:r>
      <w:r>
        <w:rPr>
          <w:rFonts w:hint="eastAsia" w:ascii="宋体" w:hAnsi="宋体" w:eastAsia="宋体" w:cs="宋体"/>
          <w:color w:val="auto"/>
          <w:sz w:val="24"/>
          <w:szCs w:val="24"/>
        </w:rPr>
        <w:t>023)</w:t>
      </w:r>
      <w:r>
        <w:rPr>
          <w:rFonts w:hint="eastAsia" w:ascii="宋体" w:hAnsi="宋体" w:eastAsia="宋体" w:cs="宋体"/>
          <w:color w:val="auto"/>
          <w:sz w:val="24"/>
          <w:szCs w:val="24"/>
          <w:lang w:val="en-US" w:eastAsia="zh-CN"/>
        </w:rPr>
        <w:t>185</w:t>
      </w:r>
      <w:r>
        <w:rPr>
          <w:rFonts w:hint="eastAsia" w:ascii="宋体" w:hAnsi="宋体" w:eastAsia="宋体" w:cs="宋体"/>
          <w:color w:val="auto"/>
          <w:sz w:val="24"/>
          <w:szCs w:val="24"/>
        </w:rPr>
        <w:t>号《关于</w:t>
      </w:r>
      <w:r>
        <w:rPr>
          <w:rFonts w:hint="eastAsia" w:ascii="宋体" w:hAnsi="宋体" w:eastAsia="宋体" w:cs="宋体"/>
          <w:color w:val="auto"/>
          <w:sz w:val="24"/>
          <w:szCs w:val="24"/>
          <w:lang w:val="en-US" w:eastAsia="zh-CN"/>
        </w:rPr>
        <w:t>下达</w:t>
      </w:r>
      <w:r>
        <w:rPr>
          <w:rFonts w:hint="eastAsia" w:ascii="宋体" w:hAnsi="宋体" w:eastAsia="宋体" w:cs="宋体"/>
          <w:color w:val="auto"/>
          <w:sz w:val="24"/>
          <w:szCs w:val="24"/>
        </w:rPr>
        <w:t>中央补助地方公共文化服务体系建设资金</w:t>
      </w:r>
      <w:r>
        <w:rPr>
          <w:rFonts w:hint="eastAsia" w:ascii="宋体" w:hAnsi="宋体" w:eastAsia="宋体" w:cs="宋体"/>
          <w:color w:val="auto"/>
          <w:sz w:val="24"/>
          <w:szCs w:val="24"/>
          <w:lang w:val="en-US" w:eastAsia="zh-CN"/>
        </w:rPr>
        <w:t>资金预算</w:t>
      </w:r>
      <w:r>
        <w:rPr>
          <w:rFonts w:hint="eastAsia" w:ascii="宋体" w:hAnsi="宋体" w:eastAsia="宋体" w:cs="宋体"/>
          <w:color w:val="auto"/>
          <w:sz w:val="24"/>
          <w:szCs w:val="24"/>
        </w:rPr>
        <w:t>通知》中：“和地财教（2023)47号《关于提前安排年中央补助地方公共文化服务体系建设资金2024年预算指标的通知》”；本项目立项符合《中央补助地方公共文化服务体系建设资金》中：“2024年中央乡村送戏下乡演出金使用方案”内容，符合行业发展规划和政策要求；本项目立项符合《中央补助地方公共文化服务体系建设资金》中职责范围中的“</w:t>
      </w:r>
      <w:r>
        <w:rPr>
          <w:rFonts w:hint="eastAsia" w:ascii="宋体" w:hAnsi="宋体" w:eastAsia="宋体" w:cs="宋体"/>
          <w:color w:val="auto"/>
          <w:sz w:val="24"/>
          <w:szCs w:val="24"/>
          <w:lang w:val="en-US" w:eastAsia="zh-CN"/>
        </w:rPr>
        <w:t>戏曲进乡村项目</w:t>
      </w:r>
      <w:r>
        <w:rPr>
          <w:rFonts w:hint="eastAsia" w:ascii="宋体" w:hAnsi="宋体" w:eastAsia="宋体" w:cs="宋体"/>
          <w:color w:val="auto"/>
          <w:sz w:val="24"/>
          <w:szCs w:val="24"/>
        </w:rPr>
        <w:t>”，属于我单位履职所需；根据《财政资金直接支付申请书》，本项目资金性质为“公共财政预算”功能分类为“</w:t>
      </w:r>
      <w:r>
        <w:rPr>
          <w:rFonts w:hint="eastAsia" w:ascii="宋体" w:hAnsi="宋体" w:eastAsia="宋体" w:cs="宋体"/>
          <w:color w:val="auto"/>
          <w:sz w:val="24"/>
          <w:szCs w:val="24"/>
          <w:lang w:val="en-US" w:eastAsia="zh-CN"/>
        </w:rPr>
        <w:t>207</w:t>
      </w:r>
      <w:r>
        <w:rPr>
          <w:rFonts w:hint="eastAsia" w:ascii="宋体" w:hAnsi="宋体" w:eastAsia="宋体" w:cs="宋体"/>
          <w:color w:val="auto"/>
          <w:sz w:val="24"/>
          <w:szCs w:val="24"/>
        </w:rPr>
        <w:t>”经济分类为“</w:t>
      </w:r>
      <w:r>
        <w:rPr>
          <w:rFonts w:hint="eastAsia" w:ascii="宋体" w:hAnsi="宋体" w:eastAsia="宋体" w:cs="宋体"/>
          <w:color w:val="auto"/>
          <w:sz w:val="24"/>
          <w:szCs w:val="24"/>
          <w:lang w:val="en-US" w:eastAsia="zh-CN"/>
        </w:rPr>
        <w:t>2079999</w:t>
      </w:r>
      <w:r>
        <w:rPr>
          <w:rFonts w:hint="eastAsia" w:ascii="宋体" w:hAnsi="宋体" w:eastAsia="宋体" w:cs="宋体"/>
          <w:color w:val="auto"/>
          <w:sz w:val="24"/>
          <w:szCs w:val="24"/>
        </w:rPr>
        <w:t>”属于公共财政支持范围，符合中央、地方事权支出责</w:t>
      </w:r>
      <w:r>
        <w:rPr>
          <w:rFonts w:hint="eastAsia" w:ascii="宋体" w:hAnsi="宋体" w:eastAsia="宋体" w:cs="宋体"/>
          <w:color w:val="auto"/>
          <w:sz w:val="24"/>
          <w:szCs w:val="24"/>
          <w:highlight w:val="none"/>
        </w:rPr>
        <w:t>任划分原则；经检查我单位财政应用平台指标，本项目不存在重复。</w:t>
      </w:r>
    </w:p>
    <w:p w14:paraId="146B7D78">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66391151">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475C6763">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rPr>
        <w:t>中央补助地方公共文化服务体系建设</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公共文化</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22.5</w:t>
      </w:r>
      <w:r>
        <w:rPr>
          <w:rFonts w:hint="eastAsia" w:ascii="宋体" w:hAnsi="宋体" w:eastAsia="宋体" w:cs="宋体"/>
          <w:color w:val="auto"/>
          <w:sz w:val="24"/>
          <w:szCs w:val="24"/>
          <w:highlight w:val="none"/>
        </w:rPr>
        <w:t>万元，不涉及事前绩效评估和风险评估，已委托</w:t>
      </w:r>
      <w:r>
        <w:rPr>
          <w:rFonts w:hint="eastAsia" w:ascii="宋体" w:hAnsi="宋体" w:eastAsia="宋体" w:cs="宋体"/>
          <w:color w:val="auto"/>
          <w:sz w:val="24"/>
          <w:szCs w:val="24"/>
          <w:highlight w:val="none"/>
          <w:lang w:val="en-US" w:eastAsia="zh-CN"/>
        </w:rPr>
        <w:t>洛浦县文工团</w:t>
      </w:r>
      <w:r>
        <w:rPr>
          <w:rFonts w:hint="eastAsia" w:ascii="宋体" w:hAnsi="宋体" w:eastAsia="宋体" w:cs="宋体"/>
          <w:color w:val="auto"/>
          <w:sz w:val="24"/>
          <w:szCs w:val="24"/>
          <w:highlight w:val="none"/>
        </w:rPr>
        <w:t>完成本项目可行性研究报告的编制，并经过专家论证。</w:t>
      </w:r>
    </w:p>
    <w:p w14:paraId="616E3948">
      <w:pPr>
        <w:keepNext w:val="0"/>
        <w:keepLines w:val="0"/>
        <w:pageBreakBefore w:val="0"/>
        <w:widowControl w:val="0"/>
        <w:kinsoku/>
        <w:wordWrap/>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r>
        <w:rPr>
          <w:rFonts w:hint="eastAsia" w:ascii="宋体" w:hAnsi="宋体" w:eastAsia="宋体" w:cs="宋体"/>
          <w:b/>
          <w:bCs/>
          <w:color w:val="auto"/>
          <w:sz w:val="24"/>
          <w:szCs w:val="24"/>
        </w:rPr>
        <w:t>（3）绩效目标合理性</w:t>
      </w:r>
      <w:r>
        <w:rPr>
          <w:rFonts w:hint="eastAsia" w:ascii="宋体" w:hAnsi="宋体" w:eastAsia="宋体" w:cs="宋体"/>
          <w:color w:val="auto"/>
          <w:sz w:val="24"/>
          <w:szCs w:val="24"/>
        </w:rPr>
        <w:t>：</w:t>
      </w:r>
    </w:p>
    <w:p w14:paraId="3605A80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①该项目已设置年度绩效目标，具体内容为“</w:t>
      </w:r>
      <w:r>
        <w:rPr>
          <w:rFonts w:hint="eastAsia" w:ascii="宋体" w:hAnsi="宋体" w:eastAsia="宋体" w:cs="宋体"/>
          <w:color w:val="auto"/>
          <w:sz w:val="24"/>
          <w:szCs w:val="24"/>
          <w:lang w:val="en-US" w:eastAsia="zh-CN"/>
        </w:rPr>
        <w:t>戏曲进乡村演出活动</w:t>
      </w:r>
      <w:r>
        <w:rPr>
          <w:rFonts w:hint="eastAsia" w:ascii="宋体" w:hAnsi="宋体" w:eastAsia="宋体" w:cs="宋体"/>
          <w:color w:val="auto"/>
          <w:sz w:val="24"/>
          <w:szCs w:val="24"/>
        </w:rPr>
        <w:t>”</w:t>
      </w:r>
      <w:r>
        <w:rPr>
          <w:rFonts w:hint="eastAsia" w:ascii="宋体" w:hAnsi="宋体" w:eastAsia="宋体" w:cs="宋体"/>
          <w:color w:val="auto"/>
          <w:sz w:val="24"/>
          <w:szCs w:val="24"/>
          <w:lang w:val="en-US" w:eastAsia="zh-CN"/>
        </w:rPr>
        <w:t>为主</w:t>
      </w:r>
      <w:r>
        <w:rPr>
          <w:rFonts w:hint="eastAsia" w:ascii="宋体" w:hAnsi="宋体" w:eastAsia="宋体" w:cs="宋体"/>
          <w:color w:val="auto"/>
          <w:sz w:val="24"/>
          <w:szCs w:val="24"/>
        </w:rPr>
        <w:t>。</w:t>
      </w:r>
    </w:p>
    <w:p w14:paraId="3C3B0687">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w:t>
      </w:r>
      <w:r>
        <w:rPr>
          <w:rFonts w:hint="eastAsia" w:ascii="宋体" w:hAnsi="宋体" w:eastAsia="宋体" w:cs="宋体"/>
          <w:color w:val="auto"/>
          <w:sz w:val="24"/>
          <w:szCs w:val="24"/>
          <w:lang w:val="en-US" w:eastAsia="zh-CN"/>
        </w:rPr>
        <w:t>戏曲进乡村演出活动</w:t>
      </w:r>
      <w:r>
        <w:rPr>
          <w:rFonts w:hint="eastAsia" w:ascii="宋体" w:hAnsi="宋体" w:eastAsia="宋体" w:cs="宋体"/>
          <w:color w:val="auto"/>
          <w:sz w:val="24"/>
          <w:szCs w:val="24"/>
          <w:highlight w:val="none"/>
        </w:rPr>
        <w:t>。绩效目标与实际工作内容一致，两者具有相关性。</w:t>
      </w:r>
    </w:p>
    <w:p w14:paraId="6EC1CB5D">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效益，预期产出效益和效果是否符合正常的业绩水平。</w:t>
      </w:r>
    </w:p>
    <w:p w14:paraId="7129120A">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22.5</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27.5</w:t>
      </w:r>
      <w:r>
        <w:rPr>
          <w:rFonts w:hint="eastAsia" w:ascii="宋体" w:hAnsi="宋体" w:eastAsia="宋体" w:cs="宋体"/>
          <w:color w:val="auto"/>
          <w:sz w:val="24"/>
          <w:szCs w:val="24"/>
          <w:highlight w:val="none"/>
        </w:rPr>
        <w:t>万元，预算确定的项目资金与预算确定的项目投资额相匹配。</w:t>
      </w:r>
    </w:p>
    <w:p w14:paraId="35C57CE5">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06C8F2DA">
      <w:pPr>
        <w:pageBreakBefore w:val="0"/>
        <w:widowControl w:val="0"/>
        <w:numPr>
          <w:ilvl w:val="0"/>
          <w:numId w:val="0"/>
        </w:numPr>
        <w:kinsoku/>
        <w:wordWrap/>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，共设置一级指标3个，二级指标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13</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76.92</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784F090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该《项目绩效目标申报表》中，数量指标指标值为戏曲下乡演出费</w:t>
      </w:r>
      <w:r>
        <w:rPr>
          <w:rFonts w:hint="eastAsia" w:ascii="宋体" w:hAnsi="宋体" w:eastAsia="宋体" w:cs="宋体"/>
          <w:color w:val="auto"/>
          <w:sz w:val="24"/>
          <w:szCs w:val="24"/>
          <w:highlight w:val="none"/>
          <w:lang w:eastAsia="zh-CN"/>
        </w:rPr>
        <w:t>，购买设备、道具费用</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社会效益指标</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79AEBFD8">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rPr>
        <w:t>中央补助地方公共文化服务体系建设</w:t>
      </w:r>
      <w:r>
        <w:rPr>
          <w:rFonts w:hint="eastAsia" w:ascii="宋体" w:hAnsi="宋体" w:eastAsia="宋体" w:cs="宋体"/>
          <w:color w:val="auto"/>
          <w:sz w:val="24"/>
          <w:szCs w:val="24"/>
          <w:highlight w:val="none"/>
        </w:rPr>
        <w:t>，即预算编制较科学且经过论证；</w:t>
      </w:r>
    </w:p>
    <w:p w14:paraId="49176B55">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rPr>
        <w:t>中央补助地方公共文化服务体系建设</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rPr>
        <w:t>中央补助地方公共文化服务体系建设</w:t>
      </w:r>
      <w:r>
        <w:rPr>
          <w:rFonts w:hint="eastAsia" w:ascii="宋体" w:hAnsi="宋体" w:eastAsia="宋体" w:cs="宋体"/>
          <w:color w:val="auto"/>
          <w:sz w:val="24"/>
          <w:szCs w:val="24"/>
          <w:highlight w:val="none"/>
        </w:rPr>
        <w:t>，预算申请与《</w:t>
      </w:r>
      <w:r>
        <w:rPr>
          <w:rFonts w:hint="eastAsia" w:ascii="宋体" w:hAnsi="宋体" w:eastAsia="宋体" w:cs="宋体"/>
          <w:color w:val="auto"/>
          <w:sz w:val="24"/>
          <w:szCs w:val="24"/>
        </w:rPr>
        <w:t>中央补助地方公共文化服务体系建设</w:t>
      </w:r>
      <w:r>
        <w:rPr>
          <w:rFonts w:hint="eastAsia" w:ascii="宋体" w:hAnsi="宋体" w:eastAsia="宋体" w:cs="宋体"/>
          <w:color w:val="auto"/>
          <w:sz w:val="24"/>
          <w:szCs w:val="24"/>
          <w:highlight w:val="none"/>
        </w:rPr>
        <w:t>项目实施方案》中涉及的项目内容匹配；</w:t>
      </w:r>
    </w:p>
    <w:p w14:paraId="246B3E74">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27.5</w:t>
      </w:r>
      <w:r>
        <w:rPr>
          <w:rFonts w:hint="eastAsia" w:ascii="宋体" w:hAnsi="宋体" w:eastAsia="宋体" w:cs="宋体"/>
          <w:color w:val="auto"/>
          <w:sz w:val="24"/>
          <w:szCs w:val="24"/>
          <w:highlight w:val="none"/>
        </w:rPr>
        <w:t>万元，我单位在预算申请中严格按照项目实施内容及测算标准进行核算，其中戏曲下乡演出费</w:t>
      </w:r>
      <w:r>
        <w:rPr>
          <w:rFonts w:hint="eastAsia" w:ascii="宋体" w:hAnsi="宋体" w:eastAsia="宋体" w:cs="宋体"/>
          <w:color w:val="auto"/>
          <w:sz w:val="24"/>
          <w:szCs w:val="24"/>
          <w:highlight w:val="none"/>
          <w:lang w:val="en-US" w:eastAsia="zh-CN"/>
        </w:rPr>
        <w:t>22.5万元</w:t>
      </w:r>
      <w:r>
        <w:rPr>
          <w:rFonts w:hint="eastAsia" w:ascii="宋体" w:hAnsi="宋体" w:eastAsia="宋体" w:cs="宋体"/>
          <w:color w:val="auto"/>
          <w:sz w:val="24"/>
          <w:szCs w:val="24"/>
          <w:highlight w:val="none"/>
          <w:lang w:eastAsia="zh-CN"/>
        </w:rPr>
        <w:t>，购买设备、道具费用</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color w:val="auto"/>
          <w:sz w:val="24"/>
          <w:szCs w:val="24"/>
          <w:highlight w:val="none"/>
          <w:lang w:val="en-US" w:eastAsia="zh-CN"/>
        </w:rPr>
        <w:t>2.5</w:t>
      </w:r>
      <w:r>
        <w:rPr>
          <w:rFonts w:hint="eastAsia" w:ascii="宋体" w:hAnsi="宋体" w:eastAsia="宋体" w:cs="宋体"/>
          <w:color w:val="auto"/>
          <w:sz w:val="24"/>
          <w:szCs w:val="24"/>
          <w:highlight w:val="none"/>
        </w:rPr>
        <w:t>分。</w:t>
      </w:r>
    </w:p>
    <w:p w14:paraId="4E18497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本项目实际分配资金以《关于</w:t>
      </w:r>
      <w:r>
        <w:rPr>
          <w:rFonts w:hint="eastAsia" w:ascii="宋体" w:hAnsi="宋体" w:eastAsia="宋体" w:cs="宋体"/>
          <w:color w:val="auto"/>
          <w:sz w:val="24"/>
          <w:szCs w:val="24"/>
        </w:rPr>
        <w:t>中央补助地方公共文化服务体系建设</w:t>
      </w:r>
      <w:r>
        <w:rPr>
          <w:rFonts w:hint="eastAsia" w:ascii="宋体" w:hAnsi="宋体" w:eastAsia="宋体" w:cs="宋体"/>
          <w:color w:val="auto"/>
          <w:sz w:val="24"/>
          <w:szCs w:val="24"/>
          <w:highlight w:val="none"/>
        </w:rPr>
        <w:t>申请项目资金的请示》和《</w:t>
      </w:r>
      <w:r>
        <w:rPr>
          <w:rFonts w:hint="eastAsia" w:ascii="宋体" w:hAnsi="宋体" w:eastAsia="宋体" w:cs="宋体"/>
          <w:color w:val="auto"/>
          <w:sz w:val="24"/>
          <w:szCs w:val="24"/>
        </w:rPr>
        <w:t>中央补助地方公共文化服务体系建设</w:t>
      </w:r>
      <w:r>
        <w:rPr>
          <w:rFonts w:hint="eastAsia" w:ascii="宋体" w:hAnsi="宋体" w:eastAsia="宋体" w:cs="宋体"/>
          <w:color w:val="auto"/>
          <w:sz w:val="24"/>
          <w:szCs w:val="24"/>
          <w:highlight w:val="none"/>
        </w:rPr>
        <w:t>项目实施方案》为依据进行资金分配，预算资金分配依据充分。根据《</w:t>
      </w:r>
      <w:r>
        <w:rPr>
          <w:rFonts w:hint="eastAsia" w:ascii="宋体" w:hAnsi="宋体" w:eastAsia="宋体" w:cs="宋体"/>
          <w:color w:val="auto"/>
          <w:sz w:val="24"/>
          <w:szCs w:val="24"/>
        </w:rPr>
        <w:t>中央补助地方公共文化服务体系建设</w:t>
      </w:r>
      <w:r>
        <w:rPr>
          <w:rFonts w:hint="eastAsia" w:ascii="宋体" w:hAnsi="宋体" w:eastAsia="宋体" w:cs="宋体"/>
          <w:color w:val="auto"/>
          <w:sz w:val="24"/>
          <w:szCs w:val="24"/>
          <w:highlight w:val="none"/>
        </w:rPr>
        <w:t>项目文</w:t>
      </w:r>
      <w:r>
        <w:rPr>
          <w:rFonts w:hint="eastAsia" w:ascii="宋体" w:hAnsi="宋体" w:eastAsia="宋体" w:cs="宋体"/>
          <w:color w:val="auto"/>
          <w:sz w:val="24"/>
          <w:szCs w:val="24"/>
        </w:rPr>
        <w:t>件》（和地财教（2023)47号），</w:t>
      </w:r>
      <w:r>
        <w:rPr>
          <w:rFonts w:hint="eastAsia" w:ascii="宋体" w:hAnsi="宋体" w:eastAsia="宋体" w:cs="宋体"/>
          <w:color w:val="auto"/>
          <w:sz w:val="24"/>
          <w:szCs w:val="24"/>
          <w:highlight w:val="none"/>
        </w:rPr>
        <w:t>本项目实际到位资金</w:t>
      </w:r>
      <w:r>
        <w:rPr>
          <w:rFonts w:hint="eastAsia" w:ascii="宋体" w:hAnsi="宋体" w:eastAsia="宋体" w:cs="宋体"/>
          <w:color w:val="auto"/>
          <w:sz w:val="24"/>
          <w:szCs w:val="24"/>
          <w:highlight w:val="none"/>
          <w:lang w:val="en-US" w:eastAsia="zh-CN"/>
        </w:rPr>
        <w:t>27.5</w:t>
      </w:r>
      <w:r>
        <w:rPr>
          <w:rFonts w:hint="eastAsia" w:ascii="宋体" w:hAnsi="宋体" w:eastAsia="宋体" w:cs="宋体"/>
          <w:color w:val="auto"/>
          <w:sz w:val="24"/>
          <w:szCs w:val="24"/>
          <w:highlight w:val="none"/>
        </w:rPr>
        <w:t>万元，资金分配额度合理，与我单位实际需求相适应。资金分配与实际相适应，根据评分标准，该指标不扣分，得2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699DF736">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7CBD5AF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项目过程类指标包括资金管理和组织实施两方面的内容，由 </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个三级指标构成，权重分为20分，实际得分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0E5319B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本项目预算资金为</w:t>
      </w:r>
      <w:r>
        <w:rPr>
          <w:rFonts w:hint="eastAsia" w:ascii="宋体" w:hAnsi="宋体" w:eastAsia="宋体" w:cs="宋体"/>
          <w:b w:val="0"/>
          <w:bCs w:val="0"/>
          <w:color w:val="auto"/>
          <w:sz w:val="24"/>
          <w:szCs w:val="24"/>
          <w:highlight w:val="none"/>
          <w:lang w:val="en-US" w:eastAsia="zh-CN"/>
        </w:rPr>
        <w:t>22.5</w:t>
      </w:r>
      <w:r>
        <w:rPr>
          <w:rFonts w:hint="eastAsia" w:ascii="宋体" w:hAnsi="宋体" w:eastAsia="宋体" w:cs="宋体"/>
          <w:b w:val="0"/>
          <w:bCs w:val="0"/>
          <w:color w:val="auto"/>
          <w:sz w:val="24"/>
          <w:szCs w:val="24"/>
          <w:highlight w:val="none"/>
        </w:rPr>
        <w:t>万元，其中：财政安排资金</w:t>
      </w:r>
      <w:r>
        <w:rPr>
          <w:rFonts w:hint="eastAsia" w:ascii="宋体" w:hAnsi="宋体" w:eastAsia="宋体" w:cs="宋体"/>
          <w:b w:val="0"/>
          <w:bCs w:val="0"/>
          <w:color w:val="auto"/>
          <w:sz w:val="24"/>
          <w:szCs w:val="24"/>
          <w:highlight w:val="none"/>
          <w:lang w:val="en-US" w:eastAsia="zh-CN"/>
        </w:rPr>
        <w:t>27.5</w:t>
      </w:r>
      <w:r>
        <w:rPr>
          <w:rFonts w:hint="eastAsia" w:ascii="宋体" w:hAnsi="宋体" w:eastAsia="宋体" w:cs="宋体"/>
          <w:b w:val="0"/>
          <w:bCs w:val="0"/>
          <w:color w:val="auto"/>
          <w:sz w:val="24"/>
          <w:szCs w:val="24"/>
          <w:highlight w:val="none"/>
        </w:rPr>
        <w:t>万元，其他资金</w:t>
      </w:r>
      <w:r>
        <w:rPr>
          <w:rFonts w:hint="eastAsia" w:ascii="宋体" w:hAnsi="宋体" w:eastAsia="宋体" w:cs="宋体"/>
          <w:b w:val="0"/>
          <w:bCs w:val="0"/>
          <w:color w:val="auto"/>
          <w:sz w:val="24"/>
          <w:szCs w:val="24"/>
          <w:highlight w:val="none"/>
          <w:lang w:val="en-US" w:eastAsia="zh-CN"/>
        </w:rPr>
        <w:t>0</w:t>
      </w:r>
      <w:r>
        <w:rPr>
          <w:rFonts w:hint="eastAsia" w:ascii="宋体" w:hAnsi="宋体" w:eastAsia="宋体" w:cs="宋体"/>
          <w:b w:val="0"/>
          <w:bCs w:val="0"/>
          <w:color w:val="auto"/>
          <w:sz w:val="24"/>
          <w:szCs w:val="24"/>
          <w:highlight w:val="none"/>
        </w:rPr>
        <w:t>万元，实际到位资金</w:t>
      </w:r>
      <w:r>
        <w:rPr>
          <w:rFonts w:hint="eastAsia" w:ascii="宋体" w:hAnsi="宋体" w:eastAsia="宋体" w:cs="宋体"/>
          <w:b w:val="0"/>
          <w:bCs w:val="0"/>
          <w:color w:val="auto"/>
          <w:sz w:val="24"/>
          <w:szCs w:val="24"/>
          <w:highlight w:val="none"/>
          <w:lang w:val="en-US" w:eastAsia="zh-CN"/>
        </w:rPr>
        <w:t>27.5</w:t>
      </w:r>
      <w:r>
        <w:rPr>
          <w:rFonts w:hint="eastAsia" w:ascii="宋体" w:hAnsi="宋体" w:eastAsia="宋体" w:cs="宋体"/>
          <w:b w:val="0"/>
          <w:bCs w:val="0"/>
          <w:color w:val="auto"/>
          <w:sz w:val="24"/>
          <w:szCs w:val="24"/>
          <w:highlight w:val="none"/>
        </w:rPr>
        <w:t>万元，资金到位率=</w:t>
      </w:r>
      <w:r>
        <w:rPr>
          <w:rFonts w:hint="eastAsia" w:ascii="宋体" w:hAnsi="宋体" w:eastAsia="宋体" w:cs="宋体"/>
          <w:b w:val="0"/>
          <w:bCs w:val="0"/>
          <w:color w:val="auto"/>
          <w:sz w:val="24"/>
          <w:szCs w:val="24"/>
          <w:highlight w:val="none"/>
          <w:lang w:val="en-US" w:eastAsia="zh-CN"/>
        </w:rPr>
        <w:t>122%；通过分析可知，该项目</w:t>
      </w:r>
      <w:r>
        <w:rPr>
          <w:rFonts w:hint="eastAsia" w:ascii="宋体" w:hAnsi="宋体" w:eastAsia="宋体" w:cs="宋体"/>
          <w:b w:val="0"/>
          <w:bCs w:val="0"/>
          <w:color w:val="auto"/>
          <w:sz w:val="24"/>
          <w:szCs w:val="24"/>
          <w:highlight w:val="none"/>
        </w:rPr>
        <w:t>财政资金足额拨付到位，能够及时足额</w:t>
      </w:r>
      <w:r>
        <w:rPr>
          <w:rFonts w:hint="eastAsia" w:ascii="宋体" w:hAnsi="宋体" w:eastAsia="宋体" w:cs="宋体"/>
          <w:b w:val="0"/>
          <w:bCs w:val="0"/>
          <w:color w:val="auto"/>
          <w:sz w:val="24"/>
          <w:szCs w:val="24"/>
          <w:highlight w:val="none"/>
          <w:lang w:val="en-US" w:eastAsia="zh-CN"/>
        </w:rPr>
        <w:t>支付</w:t>
      </w:r>
      <w:r>
        <w:rPr>
          <w:rFonts w:hint="eastAsia" w:ascii="宋体" w:hAnsi="宋体" w:eastAsia="宋体" w:cs="宋体"/>
          <w:b w:val="0"/>
          <w:bCs w:val="0"/>
          <w:color w:val="auto"/>
          <w:sz w:val="24"/>
          <w:szCs w:val="24"/>
          <w:highlight w:val="none"/>
        </w:rPr>
        <w:t>给</w:t>
      </w:r>
      <w:r>
        <w:rPr>
          <w:rFonts w:hint="eastAsia" w:ascii="宋体" w:hAnsi="宋体" w:eastAsia="宋体" w:cs="宋体"/>
          <w:b w:val="0"/>
          <w:bCs w:val="0"/>
          <w:color w:val="auto"/>
          <w:sz w:val="24"/>
          <w:szCs w:val="24"/>
          <w:highlight w:val="none"/>
          <w:lang w:val="en-US" w:eastAsia="zh-CN"/>
        </w:rPr>
        <w:t>实施</w:t>
      </w:r>
      <w:r>
        <w:rPr>
          <w:rFonts w:hint="eastAsia" w:ascii="宋体" w:hAnsi="宋体" w:eastAsia="宋体" w:cs="宋体"/>
          <w:b w:val="0"/>
          <w:bCs w:val="0"/>
          <w:color w:val="auto"/>
          <w:sz w:val="24"/>
          <w:szCs w:val="24"/>
          <w:highlight w:val="none"/>
        </w:rPr>
        <w:t>单位</w:t>
      </w:r>
      <w:r>
        <w:rPr>
          <w:rFonts w:hint="eastAsia" w:ascii="宋体" w:hAnsi="宋体" w:eastAsia="宋体" w:cs="宋体"/>
          <w:b w:val="0"/>
          <w:bCs w:val="0"/>
          <w:color w:val="auto"/>
          <w:sz w:val="24"/>
          <w:szCs w:val="24"/>
          <w:highlight w:val="none"/>
          <w:lang w:eastAsia="zh-CN"/>
        </w:rPr>
        <w:t>。</w:t>
      </w:r>
      <w:r>
        <w:rPr>
          <w:rFonts w:hint="eastAsia" w:ascii="宋体" w:hAnsi="宋体" w:eastAsia="宋体" w:cs="宋体"/>
          <w:b w:val="0"/>
          <w:bCs w:val="0"/>
          <w:color w:val="auto"/>
          <w:sz w:val="24"/>
          <w:szCs w:val="24"/>
          <w:highlight w:val="none"/>
        </w:rPr>
        <w:t>根据评分标准，该指标不扣分，得</w:t>
      </w: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b w:val="0"/>
          <w:bCs w:val="0"/>
          <w:color w:val="auto"/>
          <w:sz w:val="24"/>
          <w:szCs w:val="24"/>
          <w:highlight w:val="none"/>
        </w:rPr>
        <w:t xml:space="preserve">分。   </w:t>
      </w:r>
    </w:p>
    <w:p w14:paraId="6A7620A6">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27.5</w:t>
      </w:r>
      <w:r>
        <w:rPr>
          <w:rFonts w:hint="eastAsia" w:ascii="宋体" w:hAnsi="宋体" w:eastAsia="宋体" w:cs="宋体"/>
          <w:color w:val="auto"/>
          <w:sz w:val="24"/>
          <w:szCs w:val="24"/>
          <w:highlight w:val="none"/>
        </w:rPr>
        <w:t>万元，预算执行率=（实际支出资金/实际到位资金）×100.0%=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3AD9609B">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洛浦县文工团</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洛浦县文工团</w:t>
      </w:r>
      <w:r>
        <w:rPr>
          <w:rFonts w:hint="eastAsia" w:ascii="宋体" w:hAnsi="宋体" w:eastAsia="宋体" w:cs="宋体"/>
          <w:color w:val="auto"/>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18D7B81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b w:val="0"/>
          <w:bCs w:val="0"/>
          <w:color w:val="auto"/>
          <w:sz w:val="24"/>
          <w:szCs w:val="24"/>
          <w:highlight w:val="none"/>
          <w:lang w:val="en-US" w:eastAsia="zh-CN"/>
        </w:rPr>
        <w:t>洛浦县文工团</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b w:val="0"/>
          <w:bCs w:val="0"/>
          <w:color w:val="auto"/>
          <w:sz w:val="24"/>
          <w:szCs w:val="24"/>
          <w:highlight w:val="none"/>
          <w:lang w:val="en-US" w:eastAsia="zh-CN"/>
        </w:rPr>
        <w:t>洛浦县文工团</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b w:val="0"/>
          <w:bCs w:val="0"/>
          <w:color w:val="auto"/>
          <w:sz w:val="24"/>
          <w:szCs w:val="24"/>
          <w:highlight w:val="none"/>
          <w:lang w:val="en-US" w:eastAsia="zh-CN"/>
        </w:rPr>
        <w:t>洛浦县文工团</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b w:val="0"/>
          <w:bCs w:val="0"/>
          <w:color w:val="auto"/>
          <w:sz w:val="24"/>
          <w:szCs w:val="24"/>
          <w:highlight w:val="none"/>
          <w:lang w:val="en-US" w:eastAsia="zh-CN"/>
        </w:rPr>
        <w:t>洛浦县文工团</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制度均符合行政事业单位内控管理要求，财务和业务管理制度合法、合规、完整，本项目执行符合上述制度规定。根据评分标准，该指标不扣分，得5分。</w:t>
      </w:r>
    </w:p>
    <w:p w14:paraId="237DE65A">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w:t>
      </w:r>
      <w:r>
        <w:rPr>
          <w:rFonts w:hint="eastAsia" w:ascii="宋体" w:hAnsi="宋体" w:eastAsia="宋体" w:cs="宋体"/>
          <w:color w:val="auto"/>
          <w:sz w:val="24"/>
          <w:szCs w:val="24"/>
          <w:highlight w:val="none"/>
        </w:rPr>
        <w:t>度执行有效性：①该项目的实施符合《方公共文化服务体系建设资金2024年预算指标的通知办法》《</w:t>
      </w:r>
      <w:r>
        <w:rPr>
          <w:rFonts w:hint="eastAsia" w:ascii="宋体" w:hAnsi="宋体" w:eastAsia="宋体" w:cs="宋体"/>
          <w:color w:val="auto"/>
          <w:sz w:val="24"/>
          <w:szCs w:val="24"/>
          <w:highlight w:val="none"/>
          <w:lang w:val="en-US" w:eastAsia="zh-CN"/>
        </w:rPr>
        <w:t>中央</w:t>
      </w:r>
      <w:r>
        <w:rPr>
          <w:rFonts w:hint="eastAsia" w:ascii="宋体" w:hAnsi="宋体" w:eastAsia="宋体" w:cs="宋体"/>
          <w:color w:val="auto"/>
          <w:sz w:val="24"/>
          <w:szCs w:val="24"/>
          <w:highlight w:val="none"/>
        </w:rPr>
        <w:t>公共文化服务体系建设资金2024年预算指标的通知管理制度》《</w:t>
      </w:r>
      <w:r>
        <w:rPr>
          <w:rFonts w:hint="eastAsia" w:ascii="宋体" w:hAnsi="宋体" w:eastAsia="宋体" w:cs="宋体"/>
          <w:color w:val="auto"/>
          <w:sz w:val="24"/>
          <w:szCs w:val="24"/>
          <w:highlight w:val="none"/>
          <w:lang w:val="en-US" w:eastAsia="zh-CN"/>
        </w:rPr>
        <w:t>新政事业单位</w:t>
      </w:r>
      <w:r>
        <w:rPr>
          <w:rFonts w:hint="eastAsia" w:ascii="宋体" w:hAnsi="宋体" w:eastAsia="宋体" w:cs="宋体"/>
          <w:color w:val="auto"/>
          <w:sz w:val="24"/>
          <w:szCs w:val="24"/>
          <w:highlight w:val="none"/>
        </w:rPr>
        <w:t>采购业务管理制度》《</w:t>
      </w:r>
      <w:r>
        <w:rPr>
          <w:rFonts w:hint="eastAsia" w:ascii="宋体" w:hAnsi="宋体" w:eastAsia="宋体" w:cs="宋体"/>
          <w:color w:val="auto"/>
          <w:sz w:val="24"/>
          <w:szCs w:val="24"/>
          <w:highlight w:val="none"/>
          <w:lang w:val="en-US" w:eastAsia="zh-CN"/>
        </w:rPr>
        <w:t>新政事业单位</w:t>
      </w:r>
      <w:r>
        <w:rPr>
          <w:rFonts w:hint="eastAsia" w:ascii="宋体" w:hAnsi="宋体" w:eastAsia="宋体" w:cs="宋体"/>
          <w:color w:val="auto"/>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6EBE4B46">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1C9A697A">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③该项目是否存在调整，调整手续是否齐全，如未调整，则填“该项目实施过程中不存在调整事项”。</w:t>
      </w:r>
    </w:p>
    <w:p w14:paraId="6FBCE116">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val="en-US" w:eastAsia="zh-CN"/>
        </w:rPr>
        <w:t>中央</w:t>
      </w:r>
      <w:r>
        <w:rPr>
          <w:rFonts w:hint="eastAsia" w:ascii="宋体" w:hAnsi="宋体" w:eastAsia="宋体" w:cs="宋体"/>
          <w:color w:val="auto"/>
          <w:sz w:val="24"/>
          <w:szCs w:val="24"/>
          <w:highlight w:val="none"/>
        </w:rPr>
        <w:t>公共文化服务体系建设项目工作领导小组，由雪合热提·穆合塔尔任组长，负责项目的组织工作；</w:t>
      </w:r>
      <w:r>
        <w:rPr>
          <w:rFonts w:hint="eastAsia" w:ascii="宋体" w:hAnsi="宋体" w:eastAsia="宋体" w:cs="宋体"/>
          <w:color w:val="auto"/>
          <w:sz w:val="24"/>
          <w:szCs w:val="24"/>
          <w:highlight w:val="none"/>
          <w:lang w:val="en-US" w:eastAsia="zh-CN"/>
        </w:rPr>
        <w:t>谢普开提·艾热提</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艾力·买买提明</w:t>
      </w:r>
      <w:r>
        <w:rPr>
          <w:rFonts w:hint="eastAsia" w:ascii="宋体" w:hAnsi="宋体" w:eastAsia="宋体" w:cs="宋体"/>
          <w:color w:val="auto"/>
          <w:sz w:val="24"/>
          <w:szCs w:val="24"/>
          <w:highlight w:val="none"/>
        </w:rPr>
        <w:t>和</w:t>
      </w:r>
      <w:r>
        <w:rPr>
          <w:rFonts w:hint="eastAsia" w:ascii="宋体" w:hAnsi="宋体" w:eastAsia="宋体" w:cs="宋体"/>
          <w:color w:val="auto"/>
          <w:sz w:val="24"/>
          <w:szCs w:val="24"/>
          <w:highlight w:val="none"/>
          <w:lang w:val="en-US" w:eastAsia="zh-CN"/>
        </w:rPr>
        <w:t>阿米乃·多来提</w:t>
      </w:r>
      <w:r>
        <w:rPr>
          <w:rFonts w:hint="eastAsia" w:ascii="宋体" w:hAnsi="宋体" w:eastAsia="宋体" w:cs="宋体"/>
          <w:color w:val="auto"/>
          <w:sz w:val="24"/>
          <w:szCs w:val="24"/>
          <w:highlight w:val="none"/>
        </w:rPr>
        <w:t>，主要负责项目监督管理、验收以及资金核拨等工作。根据评分标准，该指标不扣分，得5分。</w:t>
      </w:r>
    </w:p>
    <w:p w14:paraId="4113EEBA">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417A711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C5C4AF8">
      <w:pPr>
        <w:pageBreakBefore w:val="0"/>
        <w:widowControl w:val="0"/>
        <w:numPr>
          <w:ilvl w:val="0"/>
          <w:numId w:val="6"/>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2D341FD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数量指标，预期指标值为购买服装、设备、道具批数，实际完成值为</w:t>
      </w:r>
      <w:r>
        <w:rPr>
          <w:rFonts w:hint="eastAsia" w:ascii="宋体" w:hAnsi="宋体" w:eastAsia="宋体" w:cs="宋体"/>
          <w:color w:val="auto"/>
          <w:sz w:val="24"/>
          <w:szCs w:val="24"/>
          <w:highlight w:val="none"/>
          <w:lang w:val="en-US" w:eastAsia="zh-CN"/>
        </w:rPr>
        <w:t>1批</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49329D4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数量指标，预期指标值为保障车辆数量，实际完成值为2辆，指标完成率为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578B65B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数量指标，预期指标值为临聘人员数量，实际完成值为</w:t>
      </w:r>
      <w:r>
        <w:rPr>
          <w:rFonts w:hint="eastAsia" w:ascii="宋体" w:hAnsi="宋体" w:eastAsia="宋体" w:cs="宋体"/>
          <w:color w:val="auto"/>
          <w:sz w:val="24"/>
          <w:szCs w:val="24"/>
          <w:highlight w:val="none"/>
          <w:lang w:val="en-US" w:eastAsia="zh-CN"/>
        </w:rPr>
        <w:t>6人</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42DA4E94">
      <w:pPr>
        <w:pageBreakBefore w:val="0"/>
        <w:widowControl w:val="0"/>
        <w:kinsoku/>
        <w:wordWrap/>
        <w:topLinePunct w:val="0"/>
        <w:autoSpaceDE/>
        <w:autoSpaceDN/>
        <w:bidi w:val="0"/>
        <w:adjustRightInd/>
        <w:snapToGrid/>
        <w:spacing w:line="360" w:lineRule="auto"/>
        <w:ind w:left="0" w:leftChars="0" w:firstLine="960" w:firstLineChars="4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24ACDA5E">
      <w:pPr>
        <w:pageBreakBefore w:val="0"/>
        <w:widowControl w:val="0"/>
        <w:numPr>
          <w:ilvl w:val="0"/>
          <w:numId w:val="6"/>
        </w:numPr>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2301EFE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质量指标，预期指标值为演出合格率，实际完成值为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2A7693EE">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shd w:val="clear" w:color="auto" w:fill="auto"/>
        </w:rPr>
      </w:pPr>
      <w:r>
        <w:rPr>
          <w:rFonts w:hint="eastAsia" w:ascii="宋体" w:hAnsi="宋体" w:eastAsia="宋体" w:cs="宋体"/>
          <w:color w:val="auto"/>
          <w:sz w:val="24"/>
          <w:szCs w:val="24"/>
          <w:highlight w:val="none"/>
          <w:shd w:val="clear" w:color="auto" w:fill="auto"/>
        </w:rPr>
        <w:t>质量指标，预期指标值为质量验收合格率，实际完成值为</w:t>
      </w:r>
      <w:r>
        <w:rPr>
          <w:rFonts w:hint="eastAsia" w:ascii="宋体" w:hAnsi="宋体" w:eastAsia="宋体" w:cs="宋体"/>
          <w:color w:val="auto"/>
          <w:sz w:val="24"/>
          <w:szCs w:val="24"/>
          <w:highlight w:val="none"/>
          <w:shd w:val="clear" w:color="auto" w:fill="auto"/>
          <w:lang w:val="en-US" w:eastAsia="zh-CN"/>
        </w:rPr>
        <w:t>100%</w:t>
      </w:r>
      <w:r>
        <w:rPr>
          <w:rFonts w:hint="eastAsia" w:ascii="宋体" w:hAnsi="宋体" w:eastAsia="宋体" w:cs="宋体"/>
          <w:color w:val="auto"/>
          <w:sz w:val="24"/>
          <w:szCs w:val="24"/>
          <w:highlight w:val="none"/>
          <w:shd w:val="clear" w:color="auto" w:fill="auto"/>
        </w:rPr>
        <w:t>，指标完成率为</w:t>
      </w:r>
      <w:r>
        <w:rPr>
          <w:rFonts w:hint="eastAsia" w:ascii="宋体" w:hAnsi="宋体" w:eastAsia="宋体" w:cs="宋体"/>
          <w:color w:val="auto"/>
          <w:sz w:val="24"/>
          <w:szCs w:val="24"/>
          <w:highlight w:val="none"/>
          <w:shd w:val="clear" w:color="auto" w:fill="auto"/>
          <w:lang w:val="en-US" w:eastAsia="zh-CN"/>
        </w:rPr>
        <w:t>100%</w:t>
      </w:r>
      <w:r>
        <w:rPr>
          <w:rFonts w:hint="eastAsia" w:ascii="宋体" w:hAnsi="宋体" w:eastAsia="宋体" w:cs="宋体"/>
          <w:color w:val="auto"/>
          <w:sz w:val="24"/>
          <w:szCs w:val="24"/>
          <w:highlight w:val="none"/>
          <w:shd w:val="clear" w:color="auto" w:fill="auto"/>
        </w:rPr>
        <w:t>，与预期目标一致，根据评分标准，该指标不扣分，得</w:t>
      </w:r>
      <w:r>
        <w:rPr>
          <w:rFonts w:hint="eastAsia" w:ascii="宋体" w:hAnsi="宋体" w:eastAsia="宋体" w:cs="宋体"/>
          <w:color w:val="auto"/>
          <w:sz w:val="24"/>
          <w:szCs w:val="24"/>
          <w:highlight w:val="none"/>
          <w:shd w:val="clear" w:color="auto" w:fill="auto"/>
          <w:lang w:val="en-US" w:eastAsia="zh-CN"/>
        </w:rPr>
        <w:t>4</w:t>
      </w:r>
      <w:r>
        <w:rPr>
          <w:rFonts w:hint="eastAsia" w:ascii="宋体" w:hAnsi="宋体" w:eastAsia="宋体" w:cs="宋体"/>
          <w:color w:val="auto"/>
          <w:sz w:val="24"/>
          <w:szCs w:val="24"/>
          <w:highlight w:val="none"/>
          <w:shd w:val="clear" w:color="auto" w:fill="auto"/>
        </w:rPr>
        <w:t>分。</w:t>
      </w:r>
    </w:p>
    <w:p w14:paraId="12CCB120">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质量指标，预期指标值为资金使用合规率，实际完成值为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分。</w:t>
      </w:r>
    </w:p>
    <w:p w14:paraId="16554D5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5C8A7E5E">
      <w:pPr>
        <w:pStyle w:val="10"/>
        <w:pageBreakBefore w:val="0"/>
        <w:widowControl w:val="0"/>
        <w:numPr>
          <w:ilvl w:val="0"/>
          <w:numId w:val="6"/>
        </w:numPr>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19685B4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时效指标，预期指标值为项目完成时间，实际完成值为</w:t>
      </w:r>
      <w:r>
        <w:rPr>
          <w:rFonts w:hint="eastAsia" w:ascii="宋体" w:hAnsi="宋体" w:eastAsia="宋体" w:cs="宋体"/>
          <w:color w:val="auto"/>
          <w:sz w:val="24"/>
          <w:szCs w:val="24"/>
          <w:highlight w:val="none"/>
          <w:lang w:val="en-US" w:eastAsia="zh-CN"/>
        </w:rPr>
        <w:t>2024年1月-2024年12月</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2C927D9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时效指标，预期指标值为资金支付及时率，实际完成值为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，与预期目标一致，根据评分标准，该指标不扣分，得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4D4FC819">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w:t>
      </w:r>
      <w:r>
        <w:rPr>
          <w:rFonts w:hint="eastAsia" w:ascii="宋体" w:hAnsi="宋体" w:eastAsia="宋体" w:cs="宋体"/>
          <w:b w:val="0"/>
          <w:bCs/>
          <w:color w:val="auto"/>
          <w:sz w:val="24"/>
          <w:szCs w:val="24"/>
          <w:highlight w:val="none"/>
          <w:lang w:val="en-US" w:eastAsia="zh-CN"/>
        </w:rPr>
        <w:t>10</w:t>
      </w:r>
      <w:r>
        <w:rPr>
          <w:rFonts w:hint="eastAsia" w:ascii="宋体" w:hAnsi="宋体" w:eastAsia="宋体" w:cs="宋体"/>
          <w:b w:val="0"/>
          <w:bCs/>
          <w:color w:val="auto"/>
          <w:sz w:val="24"/>
          <w:szCs w:val="24"/>
          <w:highlight w:val="none"/>
        </w:rPr>
        <w:t>分。</w:t>
      </w:r>
    </w:p>
    <w:p w14:paraId="326AAC6F">
      <w:pPr>
        <w:pStyle w:val="47"/>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56A9FA2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经济成本指标，预期指标值为戏曲下乡演出费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购买设备、道具费用，实际完成值为</w:t>
      </w:r>
      <w:r>
        <w:rPr>
          <w:rFonts w:hint="eastAsia" w:ascii="宋体" w:hAnsi="宋体" w:eastAsia="宋体" w:cs="宋体"/>
          <w:color w:val="auto"/>
          <w:sz w:val="24"/>
          <w:szCs w:val="24"/>
          <w:highlight w:val="none"/>
          <w:lang w:val="en-US" w:eastAsia="zh-CN"/>
        </w:rPr>
        <w:t>27.5万元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本年支付工程余款金额</w:t>
      </w:r>
      <w:r>
        <w:rPr>
          <w:rFonts w:hint="eastAsia" w:ascii="宋体" w:hAnsi="宋体" w:eastAsia="宋体" w:cs="宋体"/>
          <w:color w:val="auto"/>
          <w:sz w:val="24"/>
          <w:szCs w:val="24"/>
          <w:highlight w:val="none"/>
          <w:lang w:val="en-US" w:eastAsia="zh-CN"/>
        </w:rPr>
        <w:t>27.5</w:t>
      </w:r>
      <w:r>
        <w:rPr>
          <w:rFonts w:hint="eastAsia" w:ascii="宋体" w:hAnsi="宋体" w:eastAsia="宋体" w:cs="宋体"/>
          <w:color w:val="auto"/>
          <w:sz w:val="24"/>
          <w:szCs w:val="24"/>
          <w:highlight w:val="none"/>
        </w:rPr>
        <w:t>万元，项目经费都能控制绩效目标范围内，根据评分标准，该指标不扣分，得</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分。</w:t>
      </w:r>
    </w:p>
    <w:p w14:paraId="73AA6C95">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5301571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个方面的内容，由2个三级指标构成，权重分为</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分，得分率为100%。</w:t>
      </w:r>
    </w:p>
    <w:p w14:paraId="3E43A49F">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highlight w:val="none"/>
        </w:rPr>
        <w:t>（1）对于“社会效益指标”：</w:t>
      </w:r>
    </w:p>
    <w:p w14:paraId="0C2A63A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提高生活质量，丰富群众生活</w:t>
      </w:r>
      <w:r>
        <w:rPr>
          <w:rFonts w:hint="eastAsia" w:ascii="宋体" w:hAnsi="宋体" w:eastAsia="宋体" w:cs="宋体"/>
          <w:color w:val="auto"/>
          <w:sz w:val="24"/>
          <w:szCs w:val="24"/>
        </w:rPr>
        <w:t>指标，该指标预期指标值为</w:t>
      </w:r>
      <w:r>
        <w:rPr>
          <w:rFonts w:hint="eastAsia" w:ascii="宋体" w:hAnsi="宋体" w:eastAsia="宋体" w:cs="宋体"/>
          <w:color w:val="auto"/>
          <w:sz w:val="24"/>
          <w:szCs w:val="24"/>
          <w:lang w:val="en-US" w:eastAsia="zh-CN"/>
        </w:rPr>
        <w:t>有效提高</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有效提高</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，与预期指标一致，根据评分标准，该指标不扣分，得</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p>
    <w:p w14:paraId="1E3A55BC">
      <w:pPr>
        <w:pStyle w:val="10"/>
        <w:pageBreakBefore w:val="0"/>
        <w:widowControl w:val="0"/>
        <w:kinsoku/>
        <w:wordWrap/>
        <w:topLinePunct w:val="0"/>
        <w:autoSpaceDE/>
        <w:autoSpaceDN/>
        <w:bidi w:val="0"/>
        <w:adjustRightInd/>
        <w:snapToGrid/>
        <w:spacing w:before="0" w:after="0" w:line="360" w:lineRule="auto"/>
        <w:ind w:left="0" w:leftChars="0" w:firstLine="640"/>
        <w:jc w:val="both"/>
        <w:textAlignment w:val="auto"/>
        <w:rPr>
          <w:rFonts w:hint="eastAsia" w:ascii="宋体" w:hAnsi="宋体" w:eastAsia="宋体" w:cs="宋体"/>
          <w:b w:val="0"/>
          <w:color w:val="auto"/>
          <w:sz w:val="24"/>
          <w:szCs w:val="24"/>
        </w:rPr>
      </w:pPr>
      <w:r>
        <w:rPr>
          <w:rFonts w:hint="eastAsia" w:ascii="宋体" w:hAnsi="宋体" w:eastAsia="宋体" w:cs="宋体"/>
          <w:b w:val="0"/>
          <w:color w:val="auto"/>
          <w:kern w:val="2"/>
          <w:sz w:val="24"/>
          <w:szCs w:val="24"/>
          <w:lang w:val="en-US" w:eastAsia="zh-CN" w:bidi="ar-SA"/>
        </w:rPr>
        <w:t>促进文化发展指标</w:t>
      </w:r>
      <w:r>
        <w:rPr>
          <w:rFonts w:hint="eastAsia" w:ascii="宋体" w:hAnsi="宋体" w:eastAsia="宋体" w:cs="宋体"/>
          <w:b w:val="0"/>
          <w:color w:val="auto"/>
          <w:sz w:val="24"/>
          <w:szCs w:val="24"/>
        </w:rPr>
        <w:t>，该指标预期指标值为</w:t>
      </w:r>
      <w:r>
        <w:rPr>
          <w:rFonts w:hint="eastAsia" w:ascii="宋体" w:hAnsi="宋体" w:eastAsia="宋体" w:cs="宋体"/>
          <w:b w:val="0"/>
          <w:color w:val="auto"/>
          <w:sz w:val="24"/>
          <w:szCs w:val="24"/>
          <w:lang w:val="en-US" w:eastAsia="zh-CN"/>
        </w:rPr>
        <w:t>持续促进</w:t>
      </w:r>
      <w:r>
        <w:rPr>
          <w:rFonts w:hint="eastAsia" w:ascii="宋体" w:hAnsi="宋体" w:eastAsia="宋体" w:cs="宋体"/>
          <w:b w:val="0"/>
          <w:color w:val="auto"/>
          <w:sz w:val="24"/>
          <w:szCs w:val="24"/>
        </w:rPr>
        <w:t>，实际完成值为</w:t>
      </w:r>
      <w:r>
        <w:rPr>
          <w:rFonts w:hint="eastAsia" w:ascii="宋体" w:hAnsi="宋体" w:eastAsia="宋体" w:cs="宋体"/>
          <w:b w:val="0"/>
          <w:color w:val="auto"/>
          <w:sz w:val="24"/>
          <w:szCs w:val="24"/>
          <w:lang w:val="en-US" w:eastAsia="zh-CN"/>
        </w:rPr>
        <w:t>持续促进</w:t>
      </w:r>
      <w:r>
        <w:rPr>
          <w:rFonts w:hint="eastAsia" w:ascii="宋体" w:hAnsi="宋体" w:eastAsia="宋体" w:cs="宋体"/>
          <w:b w:val="0"/>
          <w:color w:val="auto"/>
          <w:sz w:val="24"/>
          <w:szCs w:val="24"/>
        </w:rPr>
        <w:t>，指标完成率为</w:t>
      </w:r>
      <w:r>
        <w:rPr>
          <w:rFonts w:hint="eastAsia" w:ascii="宋体" w:hAnsi="宋体" w:eastAsia="宋体" w:cs="宋体"/>
          <w:b w:val="0"/>
          <w:color w:val="auto"/>
          <w:sz w:val="24"/>
          <w:szCs w:val="24"/>
          <w:lang w:val="en-US" w:eastAsia="zh-CN"/>
        </w:rPr>
        <w:t>基本达成目标</w:t>
      </w:r>
      <w:r>
        <w:rPr>
          <w:rFonts w:hint="eastAsia" w:ascii="宋体" w:hAnsi="宋体" w:eastAsia="宋体" w:cs="宋体"/>
          <w:b w:val="0"/>
          <w:color w:val="auto"/>
          <w:sz w:val="24"/>
          <w:szCs w:val="24"/>
        </w:rPr>
        <w:t>，与预期指标一致，根据评分标准，该指标不扣分，得</w:t>
      </w:r>
      <w:r>
        <w:rPr>
          <w:rFonts w:hint="eastAsia" w:ascii="宋体" w:hAnsi="宋体" w:eastAsia="宋体" w:cs="宋体"/>
          <w:b w:val="0"/>
          <w:color w:val="auto"/>
          <w:sz w:val="24"/>
          <w:szCs w:val="24"/>
          <w:lang w:val="en-US" w:eastAsia="zh-CN"/>
        </w:rPr>
        <w:t>5</w:t>
      </w:r>
      <w:r>
        <w:rPr>
          <w:rFonts w:hint="eastAsia" w:ascii="宋体" w:hAnsi="宋体" w:eastAsia="宋体" w:cs="宋体"/>
          <w:b w:val="0"/>
          <w:color w:val="auto"/>
          <w:sz w:val="24"/>
          <w:szCs w:val="24"/>
        </w:rPr>
        <w:t>分。</w:t>
      </w:r>
    </w:p>
    <w:p w14:paraId="1A673386">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（2）对于“经济效益指标”：</w:t>
      </w:r>
    </w:p>
    <w:p w14:paraId="3FFC22ED">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无</w:t>
      </w:r>
    </w:p>
    <w:p w14:paraId="4035D2E1">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auto"/>
          <w:sz w:val="24"/>
          <w:szCs w:val="24"/>
        </w:rPr>
      </w:pPr>
      <w:r>
        <w:rPr>
          <w:rFonts w:hint="eastAsia" w:ascii="宋体" w:hAnsi="宋体" w:eastAsia="宋体" w:cs="宋体"/>
          <w:bCs/>
          <w:color w:val="auto"/>
          <w:sz w:val="24"/>
          <w:szCs w:val="24"/>
        </w:rPr>
        <w:t>（3）对于“生态效益指标”：</w:t>
      </w:r>
    </w:p>
    <w:p w14:paraId="59889E37">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 w:val="0"/>
          <w:color w:val="auto"/>
          <w:kern w:val="0"/>
          <w:sz w:val="24"/>
          <w:szCs w:val="24"/>
          <w:lang w:val="en-US" w:eastAsia="zh-CN" w:bidi="ar-SA"/>
        </w:rPr>
      </w:pPr>
      <w:r>
        <w:rPr>
          <w:rFonts w:hint="eastAsia" w:ascii="宋体" w:hAnsi="宋体" w:eastAsia="宋体" w:cs="宋体"/>
          <w:b w:val="0"/>
          <w:color w:val="auto"/>
          <w:kern w:val="0"/>
          <w:sz w:val="24"/>
          <w:szCs w:val="24"/>
          <w:lang w:val="en-US" w:eastAsia="zh-CN" w:bidi="ar-SA"/>
        </w:rPr>
        <w:t>无</w:t>
      </w:r>
    </w:p>
    <w:p w14:paraId="6EC33218">
      <w:pPr>
        <w:pStyle w:val="10"/>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（4）满意度指标分析</w:t>
      </w:r>
    </w:p>
    <w:p w14:paraId="182D29F1">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对于“满意度指标：</w:t>
      </w:r>
      <w:r>
        <w:rPr>
          <w:rFonts w:hint="eastAsia" w:ascii="宋体" w:hAnsi="宋体" w:eastAsia="宋体" w:cs="宋体"/>
          <w:color w:val="auto"/>
          <w:sz w:val="24"/>
          <w:szCs w:val="24"/>
          <w:lang w:val="en-US" w:eastAsia="zh-CN"/>
        </w:rPr>
        <w:t>群众</w:t>
      </w:r>
      <w:r>
        <w:rPr>
          <w:rFonts w:hint="eastAsia" w:ascii="宋体" w:hAnsi="宋体" w:eastAsia="宋体" w:cs="宋体"/>
          <w:color w:val="auto"/>
          <w:sz w:val="24"/>
          <w:szCs w:val="24"/>
        </w:rPr>
        <w:t>满意度，该指标预期指标值为</w:t>
      </w:r>
      <w:r>
        <w:rPr>
          <w:rFonts w:hint="eastAsia" w:ascii="宋体" w:hAnsi="宋体" w:eastAsia="宋体" w:cs="宋体"/>
          <w:color w:val="auto"/>
          <w:sz w:val="24"/>
          <w:szCs w:val="24"/>
          <w:lang w:val="en-US" w:eastAsia="zh-CN"/>
        </w:rPr>
        <w:t>95%以上</w:t>
      </w:r>
      <w:r>
        <w:rPr>
          <w:rFonts w:hint="eastAsia" w:ascii="宋体" w:hAnsi="宋体" w:eastAsia="宋体" w:cs="宋体"/>
          <w:color w:val="auto"/>
          <w:sz w:val="24"/>
          <w:szCs w:val="24"/>
        </w:rPr>
        <w:t>，实际完成值为</w:t>
      </w:r>
      <w:r>
        <w:rPr>
          <w:rFonts w:hint="eastAsia" w:ascii="宋体" w:hAnsi="宋体" w:eastAsia="宋体" w:cs="宋体"/>
          <w:color w:val="auto"/>
          <w:sz w:val="24"/>
          <w:szCs w:val="24"/>
          <w:lang w:val="en-US" w:eastAsia="zh-CN"/>
        </w:rPr>
        <w:t>95%以上</w:t>
      </w:r>
      <w:r>
        <w:rPr>
          <w:rFonts w:hint="eastAsia" w:ascii="宋体" w:hAnsi="宋体" w:eastAsia="宋体" w:cs="宋体"/>
          <w:color w:val="auto"/>
          <w:sz w:val="24"/>
          <w:szCs w:val="24"/>
        </w:rPr>
        <w:t>，指标完成率为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，与预期目标一致，根据评分标准，该指标不扣分,得10分。</w:t>
      </w:r>
      <w:bookmarkEnd w:id="17"/>
    </w:p>
    <w:p w14:paraId="59387258">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五、预算执行进度与绩效指标偏差情况</w:t>
      </w:r>
    </w:p>
    <w:p w14:paraId="160A72C2">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本项目年初预算资金总额为</w:t>
      </w:r>
      <w:r>
        <w:rPr>
          <w:rFonts w:hint="eastAsia" w:ascii="宋体" w:hAnsi="宋体" w:eastAsia="宋体" w:cs="宋体"/>
          <w:color w:val="auto"/>
          <w:sz w:val="24"/>
          <w:szCs w:val="24"/>
          <w:lang w:val="en-US" w:eastAsia="zh-CN"/>
        </w:rPr>
        <w:t>22.5</w:t>
      </w:r>
      <w:r>
        <w:rPr>
          <w:rFonts w:hint="eastAsia" w:ascii="宋体" w:hAnsi="宋体" w:eastAsia="宋体" w:cs="宋体"/>
          <w:color w:val="auto"/>
          <w:sz w:val="24"/>
          <w:szCs w:val="24"/>
        </w:rPr>
        <w:t>万元，全年预算数为</w:t>
      </w:r>
      <w:r>
        <w:rPr>
          <w:rFonts w:hint="eastAsia" w:ascii="宋体" w:hAnsi="宋体" w:eastAsia="宋体" w:cs="宋体"/>
          <w:color w:val="auto"/>
          <w:sz w:val="24"/>
          <w:szCs w:val="24"/>
          <w:lang w:val="en-US" w:eastAsia="zh-CN"/>
        </w:rPr>
        <w:t>27.5</w:t>
      </w:r>
      <w:r>
        <w:rPr>
          <w:rFonts w:hint="eastAsia" w:ascii="宋体" w:hAnsi="宋体" w:eastAsia="宋体" w:cs="宋体"/>
          <w:color w:val="auto"/>
          <w:sz w:val="24"/>
          <w:szCs w:val="24"/>
        </w:rPr>
        <w:t>万元，全年执行数为</w:t>
      </w:r>
      <w:r>
        <w:rPr>
          <w:rFonts w:hint="eastAsia" w:ascii="宋体" w:hAnsi="宋体" w:eastAsia="宋体" w:cs="宋体"/>
          <w:color w:val="auto"/>
          <w:sz w:val="24"/>
          <w:szCs w:val="24"/>
          <w:lang w:val="en-US" w:eastAsia="zh-CN"/>
        </w:rPr>
        <w:t>27.5</w:t>
      </w:r>
      <w:r>
        <w:rPr>
          <w:rFonts w:hint="eastAsia" w:ascii="宋体" w:hAnsi="宋体" w:eastAsia="宋体" w:cs="宋体"/>
          <w:color w:val="auto"/>
          <w:sz w:val="24"/>
          <w:szCs w:val="24"/>
        </w:rPr>
        <w:t>万元，预算执行率为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3A01B0BE">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本项目共设置三级指标数量</w:t>
      </w: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个，满分指标数量</w:t>
      </w:r>
      <w:r>
        <w:rPr>
          <w:rFonts w:hint="eastAsia" w:ascii="宋体" w:hAnsi="宋体" w:eastAsia="宋体" w:cs="宋体"/>
          <w:color w:val="auto"/>
          <w:sz w:val="24"/>
          <w:szCs w:val="24"/>
          <w:lang w:val="en-US" w:eastAsia="zh-CN"/>
        </w:rPr>
        <w:t>13</w:t>
      </w:r>
      <w:r>
        <w:rPr>
          <w:rFonts w:hint="eastAsia" w:ascii="宋体" w:hAnsi="宋体" w:eastAsia="宋体" w:cs="宋体"/>
          <w:color w:val="auto"/>
          <w:sz w:val="24"/>
          <w:szCs w:val="24"/>
        </w:rPr>
        <w:t>个，扣分指标数量</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个，经分析计算所有三级指标完成率得出，本项目总体完成率为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7C937914">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综上所述本项目预算执行率与总体完成率之间</w:t>
      </w:r>
      <w:r>
        <w:rPr>
          <w:rFonts w:hint="eastAsia" w:ascii="宋体" w:hAnsi="宋体" w:eastAsia="宋体" w:cs="宋体"/>
          <w:color w:val="auto"/>
          <w:sz w:val="24"/>
          <w:szCs w:val="24"/>
          <w:lang w:val="en-US" w:eastAsia="zh-CN"/>
        </w:rPr>
        <w:t>无</w:t>
      </w:r>
      <w:r>
        <w:rPr>
          <w:rFonts w:hint="eastAsia" w:ascii="宋体" w:hAnsi="宋体" w:eastAsia="宋体" w:cs="宋体"/>
          <w:color w:val="auto"/>
          <w:sz w:val="24"/>
          <w:szCs w:val="24"/>
        </w:rPr>
        <w:t>偏差。</w:t>
      </w:r>
    </w:p>
    <w:p w14:paraId="0DC0EEE3">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bookmarkStart w:id="18" w:name="_Toc68364673"/>
    </w:p>
    <w:p w14:paraId="3DCFF1AC">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六、主要经验及做法、存在的问题及原因分析</w:t>
      </w:r>
    </w:p>
    <w:p w14:paraId="75AC0A73">
      <w:pPr>
        <w:pStyle w:val="47"/>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color w:val="auto"/>
          <w:sz w:val="24"/>
          <w:szCs w:val="24"/>
        </w:rPr>
        <w:t>（一）主要经验及做法</w:t>
      </w:r>
      <w:bookmarkEnd w:id="18"/>
      <w:r>
        <w:rPr>
          <w:rFonts w:hint="eastAsia" w:ascii="宋体" w:hAnsi="宋体" w:eastAsia="宋体" w:cs="宋体"/>
          <w:b w:val="0"/>
          <w:bCs w:val="0"/>
          <w:color w:val="auto"/>
          <w:sz w:val="24"/>
          <w:szCs w:val="24"/>
          <w:lang w:eastAsia="zh-CN"/>
        </w:rPr>
        <w:t>：</w:t>
      </w:r>
      <w:r>
        <w:rPr>
          <w:rFonts w:hint="eastAsia" w:ascii="宋体" w:hAnsi="宋体" w:eastAsia="宋体" w:cs="宋体"/>
          <w:color w:val="auto"/>
          <w:sz w:val="24"/>
          <w:szCs w:val="24"/>
        </w:rPr>
        <w:t>本项目实施效果较好的原因主要是管理制度完善、责任落实到位，跟踪考核机制完善且运行有效，在项目实施过程中创新管理办法，使项目取得了良好的效果。</w:t>
      </w:r>
    </w:p>
    <w:p w14:paraId="76DBB6E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一是本项目能够严格按照《项目实施方案》执行，项目执行情况较好。</w:t>
      </w:r>
    </w:p>
    <w:p w14:paraId="1306064A">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二是加强组织领导，本项目绩效评价工作，有主要领导亲自挂帅，分管领导具体负责，从项目到资金，均能够很好的执行。</w:t>
      </w:r>
    </w:p>
    <w:p w14:paraId="43799A8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三是加强沟通协调，我单位及时向领导汇报项目建设进度，加强与施工单位的沟通，确保项目按期完工。</w:t>
      </w:r>
    </w:p>
    <w:p w14:paraId="27742BD4">
      <w:pPr>
        <w:pStyle w:val="4"/>
        <w:pageBreakBefore w:val="0"/>
        <w:widowControl w:val="0"/>
        <w:numPr>
          <w:ilvl w:val="0"/>
          <w:numId w:val="7"/>
        </w:numPr>
        <w:kinsoku/>
        <w:wordWrap/>
        <w:overflowPunct/>
        <w:topLinePunct w:val="0"/>
        <w:autoSpaceDE/>
        <w:autoSpaceDN/>
        <w:bidi w:val="0"/>
        <w:adjustRightInd/>
        <w:snapToGrid/>
        <w:spacing w:before="0" w:after="0" w:line="360" w:lineRule="auto"/>
        <w:ind w:firstLine="560"/>
        <w:textAlignment w:val="auto"/>
        <w:rPr>
          <w:rFonts w:hint="eastAsia" w:ascii="宋体" w:hAnsi="宋体" w:eastAsia="宋体" w:cs="宋体"/>
          <w:color w:val="auto"/>
          <w:sz w:val="24"/>
          <w:szCs w:val="24"/>
        </w:rPr>
      </w:pPr>
      <w:bookmarkStart w:id="19" w:name="_Toc68364674"/>
      <w:r>
        <w:rPr>
          <w:rFonts w:hint="eastAsia" w:ascii="宋体" w:hAnsi="宋体" w:eastAsia="宋体" w:cs="宋体"/>
          <w:color w:val="auto"/>
          <w:sz w:val="24"/>
          <w:szCs w:val="24"/>
        </w:rPr>
        <w:t>存在问题及原因分析</w:t>
      </w:r>
      <w:bookmarkEnd w:id="19"/>
    </w:p>
    <w:p w14:paraId="67D0004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1.群众在参与公共文化服务时，对于相关信息不甚了解。目前，文化活动信息的发布和宣传以纸媒、海报等传统媒介为主，导致年轻人群很少关注，没有利用好微博、微信等新媒体进行宣传，导致群众对活动信息不能知悉。</w:t>
      </w:r>
    </w:p>
    <w:p w14:paraId="612B3F6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2.公共文化服务有“重建设、轻管理”的倾向，即比较重视前期文化场馆的建设，而不够关注设施建成之后的管理和运作，极易造成群众的参与体验差、积极性降低，最终导致场馆使用率较低，资源消耗过多的负向循环。</w:t>
      </w:r>
    </w:p>
    <w:p w14:paraId="2BD27EC8">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bookmarkStart w:id="20" w:name="_Toc68364675"/>
    </w:p>
    <w:p w14:paraId="0F18AE44">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color w:val="auto"/>
        </w:rPr>
      </w:pPr>
      <w:r>
        <w:rPr>
          <w:rFonts w:hint="eastAsia" w:ascii="黑体" w:hAnsi="黑体" w:eastAsia="黑体" w:cs="黑体"/>
          <w:color w:val="auto"/>
          <w:sz w:val="24"/>
          <w:szCs w:val="24"/>
        </w:rPr>
        <w:t>七、有关建议</w:t>
      </w:r>
      <w:bookmarkEnd w:id="20"/>
    </w:p>
    <w:p w14:paraId="097008C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shd w:val="clear" w:color="auto" w:fill="auto"/>
        </w:rPr>
      </w:pPr>
      <w:r>
        <w:rPr>
          <w:rFonts w:hint="eastAsia" w:ascii="宋体" w:hAnsi="宋体" w:eastAsia="宋体" w:cs="宋体"/>
          <w:color w:val="auto"/>
          <w:sz w:val="24"/>
          <w:szCs w:val="24"/>
          <w:shd w:val="clear" w:color="auto" w:fill="auto"/>
        </w:rPr>
        <w:t>政府部门可出台适当的激励政策，吸引具有一定能力的人员组成志愿者团队，严格履行干部聘任程序，选拔一批具有文化建设相关专业知识的优秀人才，更好地服务于公共文化服务系统的建设。应明确相关人员责任，实现人岗匹配，减少冗余人员，进行相关培训。同时，创建高效科学的评估机制，突出精准务实高效率特征，全面评价公共文化服务建设的各项工作，督导和考评相互衔接，定期监督检查相关文化单位，使评价结果与绩效、薪酬挂钩，进一步规范资金流向、提升政府部门和工作人员服务质量。</w:t>
      </w:r>
      <w:bookmarkStart w:id="21" w:name="_Toc68364676"/>
    </w:p>
    <w:p w14:paraId="4A7A0884">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p>
    <w:p w14:paraId="0AEF0E1D">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color w:val="auto"/>
          <w:sz w:val="24"/>
          <w:szCs w:val="24"/>
        </w:rPr>
      </w:pPr>
      <w:r>
        <w:rPr>
          <w:rFonts w:hint="eastAsia" w:ascii="黑体" w:hAnsi="黑体" w:eastAsia="黑体" w:cs="黑体"/>
          <w:color w:val="auto"/>
          <w:sz w:val="24"/>
          <w:szCs w:val="24"/>
        </w:rPr>
        <w:t>八、其他需要说明的问题</w:t>
      </w:r>
      <w:bookmarkEnd w:id="21"/>
    </w:p>
    <w:p w14:paraId="67464D2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4307961F">
      <w:pPr>
        <w:bidi w:val="0"/>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附件1：中央补助地方公共文化服务体系建设项目绩效评价指标体系</w:t>
      </w:r>
    </w:p>
    <w:p w14:paraId="46B959AB">
      <w:pPr>
        <w:bidi w:val="0"/>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附件2：中央补助地方公共文化服务体系建设项目综合得分表</w:t>
      </w:r>
    </w:p>
    <w:p w14:paraId="7FA1B7BE">
      <w:pPr>
        <w:bidi w:val="0"/>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附件3：满意度调查问分析情况</w:t>
      </w:r>
    </w:p>
    <w:p w14:paraId="78A6FA32">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p>
    <w:p w14:paraId="63223668">
      <w:pPr>
        <w:pStyle w:val="10"/>
        <w:ind w:left="0" w:leftChars="0" w:firstLine="0" w:firstLineChars="0"/>
        <w:jc w:val="both"/>
        <w:rPr>
          <w:rFonts w:hint="eastAsia" w:ascii="宋体" w:hAnsi="宋体" w:eastAsia="宋体" w:cs="宋体"/>
          <w:color w:val="auto"/>
          <w:sz w:val="24"/>
          <w:szCs w:val="24"/>
        </w:rPr>
      </w:pPr>
    </w:p>
    <w:p w14:paraId="6C261445">
      <w:pPr>
        <w:pStyle w:val="10"/>
        <w:ind w:left="0" w:leftChars="0" w:firstLine="0" w:firstLineChars="0"/>
        <w:jc w:val="both"/>
        <w:rPr>
          <w:rFonts w:hint="eastAsia" w:ascii="宋体" w:hAnsi="宋体" w:eastAsia="宋体" w:cs="宋体"/>
          <w:color w:val="auto"/>
          <w:sz w:val="24"/>
          <w:szCs w:val="24"/>
        </w:rPr>
        <w:sectPr>
          <w:headerReference r:id="rId5" w:type="default"/>
          <w:footerReference r:id="rId6" w:type="default"/>
          <w:pgSz w:w="11906" w:h="16838"/>
          <w:pgMar w:top="1985" w:right="1531" w:bottom="1843" w:left="1531" w:header="851" w:footer="992" w:gutter="0"/>
          <w:pgNumType w:start="1"/>
          <w:cols w:space="720" w:num="1"/>
          <w:docGrid w:type="linesAndChars" w:linePitch="386" w:charSpace="0"/>
        </w:sectPr>
      </w:pPr>
    </w:p>
    <w:tbl>
      <w:tblPr>
        <w:tblStyle w:val="2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646"/>
        <w:gridCol w:w="553"/>
        <w:gridCol w:w="684"/>
        <w:gridCol w:w="647"/>
        <w:gridCol w:w="788"/>
        <w:gridCol w:w="738"/>
        <w:gridCol w:w="2122"/>
        <w:gridCol w:w="1449"/>
        <w:gridCol w:w="3966"/>
        <w:gridCol w:w="698"/>
        <w:gridCol w:w="1072"/>
      </w:tblGrid>
      <w:tr w14:paraId="3CDD87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2CC50E81">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附件1：</w:t>
            </w:r>
          </w:p>
        </w:tc>
      </w:tr>
      <w:tr w14:paraId="0D1F7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174FCB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中央补助地方公共文化服务体系建设项目—戏曲进乡村绩效评价指标体系综合评分表</w:t>
            </w:r>
          </w:p>
        </w:tc>
      </w:tr>
      <w:tr w14:paraId="51BBBF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42" w:type="pct"/>
            <w:tcBorders>
              <w:top w:val="single" w:color="auto" w:sz="8" w:space="0"/>
              <w:left w:val="single" w:color="auto" w:sz="8" w:space="0"/>
              <w:bottom w:val="single" w:color="auto" w:sz="8" w:space="0"/>
              <w:right w:val="single" w:color="auto" w:sz="8" w:space="0"/>
            </w:tcBorders>
            <w:noWrap w:val="0"/>
            <w:vAlign w:val="center"/>
          </w:tcPr>
          <w:p w14:paraId="26952B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一级指标</w:t>
            </w:r>
          </w:p>
        </w:tc>
        <w:tc>
          <w:tcPr>
            <w:tcW w:w="207" w:type="pct"/>
            <w:tcBorders>
              <w:top w:val="single" w:color="auto" w:sz="8" w:space="0"/>
              <w:left w:val="nil"/>
              <w:bottom w:val="single" w:color="auto" w:sz="8" w:space="0"/>
              <w:right w:val="single" w:color="auto" w:sz="8" w:space="0"/>
            </w:tcBorders>
            <w:noWrap w:val="0"/>
            <w:vAlign w:val="center"/>
          </w:tcPr>
          <w:p w14:paraId="1F3839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56" w:type="pct"/>
            <w:tcBorders>
              <w:top w:val="single" w:color="auto" w:sz="8" w:space="0"/>
              <w:left w:val="nil"/>
              <w:bottom w:val="single" w:color="auto" w:sz="8" w:space="0"/>
              <w:right w:val="single" w:color="auto" w:sz="8" w:space="0"/>
            </w:tcBorders>
            <w:noWrap w:val="0"/>
            <w:vAlign w:val="center"/>
          </w:tcPr>
          <w:p w14:paraId="31FC04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二级指标</w:t>
            </w:r>
          </w:p>
        </w:tc>
        <w:tc>
          <w:tcPr>
            <w:tcW w:w="242" w:type="pct"/>
            <w:tcBorders>
              <w:top w:val="single" w:color="auto" w:sz="8" w:space="0"/>
              <w:left w:val="nil"/>
              <w:bottom w:val="single" w:color="auto" w:sz="8" w:space="0"/>
              <w:right w:val="single" w:color="auto" w:sz="8" w:space="0"/>
            </w:tcBorders>
            <w:noWrap w:val="0"/>
            <w:vAlign w:val="center"/>
          </w:tcPr>
          <w:p w14:paraId="769FA8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295" w:type="pct"/>
            <w:tcBorders>
              <w:top w:val="single" w:color="auto" w:sz="8" w:space="0"/>
              <w:left w:val="nil"/>
              <w:bottom w:val="single" w:color="auto" w:sz="8" w:space="0"/>
              <w:right w:val="single" w:color="auto" w:sz="8" w:space="0"/>
            </w:tcBorders>
            <w:noWrap w:val="0"/>
            <w:vAlign w:val="center"/>
          </w:tcPr>
          <w:p w14:paraId="6E062D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三级指标</w:t>
            </w:r>
          </w:p>
        </w:tc>
        <w:tc>
          <w:tcPr>
            <w:tcW w:w="276" w:type="pct"/>
            <w:tcBorders>
              <w:top w:val="single" w:color="auto" w:sz="8" w:space="0"/>
              <w:left w:val="nil"/>
              <w:bottom w:val="single" w:color="auto" w:sz="8" w:space="0"/>
              <w:right w:val="single" w:color="auto" w:sz="8" w:space="0"/>
            </w:tcBorders>
            <w:noWrap w:val="0"/>
            <w:vAlign w:val="center"/>
          </w:tcPr>
          <w:p w14:paraId="06117B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分值</w:t>
            </w:r>
          </w:p>
        </w:tc>
        <w:tc>
          <w:tcPr>
            <w:tcW w:w="794" w:type="pct"/>
            <w:tcBorders>
              <w:top w:val="single" w:color="auto" w:sz="8" w:space="0"/>
              <w:left w:val="nil"/>
              <w:bottom w:val="single" w:color="auto" w:sz="8" w:space="0"/>
              <w:right w:val="single" w:color="auto" w:sz="8" w:space="0"/>
            </w:tcBorders>
            <w:noWrap w:val="0"/>
            <w:vAlign w:val="center"/>
          </w:tcPr>
          <w:p w14:paraId="1DFA5A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指标解释</w:t>
            </w:r>
          </w:p>
        </w:tc>
        <w:tc>
          <w:tcPr>
            <w:tcW w:w="542" w:type="pct"/>
            <w:tcBorders>
              <w:top w:val="single" w:color="auto" w:sz="8" w:space="0"/>
              <w:left w:val="nil"/>
              <w:bottom w:val="single" w:color="auto" w:sz="8" w:space="0"/>
              <w:right w:val="single" w:color="auto" w:sz="8" w:space="0"/>
            </w:tcBorders>
            <w:noWrap w:val="0"/>
            <w:vAlign w:val="center"/>
          </w:tcPr>
          <w:p w14:paraId="60660A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标杆值</w:t>
            </w:r>
          </w:p>
        </w:tc>
        <w:tc>
          <w:tcPr>
            <w:tcW w:w="1484" w:type="pct"/>
            <w:tcBorders>
              <w:top w:val="single" w:color="auto" w:sz="8" w:space="0"/>
              <w:left w:val="nil"/>
              <w:bottom w:val="single" w:color="auto" w:sz="8" w:space="0"/>
              <w:right w:val="single" w:color="auto" w:sz="8" w:space="0"/>
            </w:tcBorders>
            <w:noWrap w:val="0"/>
            <w:vAlign w:val="center"/>
          </w:tcPr>
          <w:p w14:paraId="63F579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评分标准</w:t>
            </w:r>
          </w:p>
        </w:tc>
        <w:tc>
          <w:tcPr>
            <w:tcW w:w="261" w:type="pct"/>
            <w:tcBorders>
              <w:top w:val="single" w:color="auto" w:sz="8" w:space="0"/>
              <w:left w:val="nil"/>
              <w:bottom w:val="single" w:color="auto" w:sz="8" w:space="0"/>
              <w:right w:val="single" w:color="auto" w:sz="8" w:space="0"/>
            </w:tcBorders>
            <w:noWrap w:val="0"/>
            <w:vAlign w:val="center"/>
          </w:tcPr>
          <w:p w14:paraId="5CA783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完成值</w:t>
            </w:r>
          </w:p>
        </w:tc>
        <w:tc>
          <w:tcPr>
            <w:tcW w:w="395" w:type="pct"/>
            <w:tcBorders>
              <w:top w:val="single" w:color="auto" w:sz="8" w:space="0"/>
              <w:left w:val="nil"/>
              <w:bottom w:val="single" w:color="auto" w:sz="8" w:space="0"/>
              <w:right w:val="single" w:color="auto" w:sz="8" w:space="0"/>
            </w:tcBorders>
            <w:noWrap w:val="0"/>
            <w:vAlign w:val="center"/>
          </w:tcPr>
          <w:p w14:paraId="0AF5B6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rPr>
              <w:t>得分</w:t>
            </w:r>
          </w:p>
        </w:tc>
      </w:tr>
      <w:tr w14:paraId="4DA55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55" w:hRule="atLeast"/>
        </w:trPr>
        <w:tc>
          <w:tcPr>
            <w:tcW w:w="242" w:type="pct"/>
            <w:vMerge w:val="restart"/>
            <w:tcBorders>
              <w:top w:val="nil"/>
              <w:left w:val="single" w:color="auto" w:sz="8" w:space="0"/>
              <w:bottom w:val="single" w:color="auto" w:sz="8" w:space="0"/>
              <w:right w:val="single" w:color="auto" w:sz="8" w:space="0"/>
            </w:tcBorders>
            <w:noWrap w:val="0"/>
            <w:vAlign w:val="center"/>
          </w:tcPr>
          <w:p w14:paraId="7CED15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项目决策</w:t>
            </w:r>
          </w:p>
        </w:tc>
        <w:tc>
          <w:tcPr>
            <w:tcW w:w="207" w:type="pct"/>
            <w:vMerge w:val="restart"/>
            <w:tcBorders>
              <w:top w:val="nil"/>
              <w:left w:val="nil"/>
              <w:bottom w:val="single" w:color="auto" w:sz="8" w:space="0"/>
              <w:right w:val="single" w:color="auto" w:sz="8" w:space="0"/>
            </w:tcBorders>
            <w:noWrap w:val="0"/>
            <w:vAlign w:val="center"/>
          </w:tcPr>
          <w:p w14:paraId="317D7C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256" w:type="pct"/>
            <w:vMerge w:val="restart"/>
            <w:tcBorders>
              <w:top w:val="nil"/>
              <w:left w:val="nil"/>
              <w:bottom w:val="single" w:color="auto" w:sz="8" w:space="0"/>
              <w:right w:val="single" w:color="auto" w:sz="8" w:space="0"/>
            </w:tcBorders>
            <w:noWrap w:val="0"/>
            <w:vAlign w:val="center"/>
          </w:tcPr>
          <w:p w14:paraId="2A76FC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w:t>
            </w:r>
          </w:p>
        </w:tc>
        <w:tc>
          <w:tcPr>
            <w:tcW w:w="242" w:type="pct"/>
            <w:vMerge w:val="restart"/>
            <w:tcBorders>
              <w:top w:val="nil"/>
              <w:left w:val="nil"/>
              <w:bottom w:val="single" w:color="auto" w:sz="8" w:space="0"/>
              <w:right w:val="single" w:color="auto" w:sz="8" w:space="0"/>
            </w:tcBorders>
            <w:noWrap w:val="0"/>
            <w:vAlign w:val="center"/>
          </w:tcPr>
          <w:p w14:paraId="2CC68D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95" w:type="pct"/>
            <w:tcBorders>
              <w:top w:val="nil"/>
              <w:left w:val="nil"/>
              <w:bottom w:val="single" w:color="auto" w:sz="8" w:space="0"/>
              <w:right w:val="single" w:color="auto" w:sz="8" w:space="0"/>
            </w:tcBorders>
            <w:noWrap w:val="0"/>
            <w:vAlign w:val="center"/>
          </w:tcPr>
          <w:p w14:paraId="0AC9E3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立项依据充分性</w:t>
            </w:r>
          </w:p>
        </w:tc>
        <w:tc>
          <w:tcPr>
            <w:tcW w:w="276" w:type="pct"/>
            <w:tcBorders>
              <w:top w:val="nil"/>
              <w:left w:val="nil"/>
              <w:bottom w:val="single" w:color="auto" w:sz="8" w:space="0"/>
              <w:right w:val="single" w:color="auto" w:sz="8" w:space="0"/>
            </w:tcBorders>
            <w:noWrap w:val="0"/>
            <w:vAlign w:val="center"/>
          </w:tcPr>
          <w:p w14:paraId="79F325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794" w:type="pct"/>
            <w:tcBorders>
              <w:top w:val="nil"/>
              <w:left w:val="nil"/>
              <w:bottom w:val="single" w:color="auto" w:sz="8" w:space="0"/>
              <w:right w:val="single" w:color="auto" w:sz="8" w:space="0"/>
            </w:tcBorders>
            <w:noWrap w:val="0"/>
            <w:vAlign w:val="center"/>
          </w:tcPr>
          <w:p w14:paraId="2E562F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项目立项是否符合法律法规、相关政策、发展规划以及部门职责，用以反映和考核项目立项依据情况。</w:t>
            </w:r>
          </w:p>
        </w:tc>
        <w:tc>
          <w:tcPr>
            <w:tcW w:w="542" w:type="pct"/>
            <w:tcBorders>
              <w:top w:val="nil"/>
              <w:left w:val="nil"/>
              <w:bottom w:val="single" w:color="auto" w:sz="8" w:space="0"/>
              <w:right w:val="single" w:color="auto" w:sz="8" w:space="0"/>
            </w:tcBorders>
            <w:noWrap w:val="0"/>
            <w:vAlign w:val="center"/>
          </w:tcPr>
          <w:p w14:paraId="135CE1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1484" w:type="pct"/>
            <w:tcBorders>
              <w:top w:val="nil"/>
              <w:left w:val="nil"/>
              <w:bottom w:val="single" w:color="auto" w:sz="8" w:space="0"/>
              <w:right w:val="single" w:color="auto" w:sz="8" w:space="0"/>
            </w:tcBorders>
            <w:noWrap w:val="0"/>
            <w:vAlign w:val="center"/>
          </w:tcPr>
          <w:p w14:paraId="5D441F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①项目立项是否符合国家法律法规、国民经济发展规划和相关政策；</w:t>
            </w:r>
          </w:p>
          <w:p w14:paraId="7BC330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②项目立项是否符合行业发展规划和政策要求；</w:t>
            </w:r>
          </w:p>
          <w:p w14:paraId="07450A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③项目立项是否与部门职责范围相符，属于部门履职所需；</w:t>
            </w:r>
          </w:p>
          <w:p w14:paraId="131EC6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④项目是否属于公共财政支持范围，是否符合中央、地方事权支出责任划分原则；</w:t>
            </w:r>
          </w:p>
          <w:p w14:paraId="1CC4D5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⑤项目是否与相关部门同类项目或部门内部相关项目重复。</w:t>
            </w:r>
          </w:p>
          <w:p w14:paraId="687D68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以上每条要素占权重分的20%，每有一条不符合，扣除对应权重分，扣完为止。</w:t>
            </w:r>
          </w:p>
        </w:tc>
        <w:tc>
          <w:tcPr>
            <w:tcW w:w="261" w:type="pct"/>
            <w:tcBorders>
              <w:top w:val="nil"/>
              <w:left w:val="nil"/>
              <w:bottom w:val="single" w:color="auto" w:sz="8" w:space="0"/>
              <w:right w:val="single" w:color="auto" w:sz="8" w:space="0"/>
            </w:tcBorders>
            <w:noWrap w:val="0"/>
            <w:vAlign w:val="center"/>
          </w:tcPr>
          <w:p w14:paraId="5BC818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充分</w:t>
            </w:r>
          </w:p>
        </w:tc>
        <w:tc>
          <w:tcPr>
            <w:tcW w:w="395" w:type="pct"/>
            <w:tcBorders>
              <w:top w:val="nil"/>
              <w:left w:val="nil"/>
              <w:bottom w:val="single" w:color="auto" w:sz="8" w:space="0"/>
              <w:right w:val="single" w:color="auto" w:sz="8" w:space="0"/>
            </w:tcBorders>
            <w:noWrap w:val="0"/>
            <w:vAlign w:val="center"/>
          </w:tcPr>
          <w:p w14:paraId="4ED007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72A806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8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58C1AE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11220D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3C3625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8" w:space="0"/>
            </w:tcBorders>
            <w:noWrap w:val="0"/>
            <w:vAlign w:val="center"/>
          </w:tcPr>
          <w:p w14:paraId="031764E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tcBorders>
              <w:top w:val="nil"/>
              <w:left w:val="nil"/>
              <w:bottom w:val="single" w:color="auto" w:sz="8" w:space="0"/>
              <w:right w:val="single" w:color="auto" w:sz="8" w:space="0"/>
            </w:tcBorders>
            <w:noWrap w:val="0"/>
            <w:vAlign w:val="center"/>
          </w:tcPr>
          <w:p w14:paraId="5CB210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立项程序规范性</w:t>
            </w:r>
          </w:p>
        </w:tc>
        <w:tc>
          <w:tcPr>
            <w:tcW w:w="276" w:type="pct"/>
            <w:tcBorders>
              <w:top w:val="nil"/>
              <w:left w:val="nil"/>
              <w:bottom w:val="single" w:color="auto" w:sz="8" w:space="0"/>
              <w:right w:val="single" w:color="auto" w:sz="8" w:space="0"/>
            </w:tcBorders>
            <w:noWrap w:val="0"/>
            <w:vAlign w:val="center"/>
          </w:tcPr>
          <w:p w14:paraId="7900DB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c>
          <w:tcPr>
            <w:tcW w:w="794" w:type="pct"/>
            <w:tcBorders>
              <w:top w:val="nil"/>
              <w:left w:val="nil"/>
              <w:bottom w:val="single" w:color="auto" w:sz="8" w:space="0"/>
              <w:right w:val="single" w:color="auto" w:sz="8" w:space="0"/>
            </w:tcBorders>
            <w:noWrap w:val="0"/>
            <w:vAlign w:val="center"/>
          </w:tcPr>
          <w:p w14:paraId="6FDC99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项目申请、设立过程是否符合相关要求，用以反映和考核项目立项的规范情况。</w:t>
            </w:r>
          </w:p>
        </w:tc>
        <w:tc>
          <w:tcPr>
            <w:tcW w:w="542" w:type="pct"/>
            <w:tcBorders>
              <w:top w:val="nil"/>
              <w:left w:val="nil"/>
              <w:bottom w:val="single" w:color="auto" w:sz="8" w:space="0"/>
              <w:right w:val="single" w:color="auto" w:sz="8" w:space="0"/>
            </w:tcBorders>
            <w:noWrap w:val="0"/>
            <w:vAlign w:val="center"/>
          </w:tcPr>
          <w:p w14:paraId="14162D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1484" w:type="pct"/>
            <w:tcBorders>
              <w:top w:val="nil"/>
              <w:left w:val="nil"/>
              <w:bottom w:val="single" w:color="auto" w:sz="8" w:space="0"/>
              <w:right w:val="single" w:color="auto" w:sz="8" w:space="0"/>
            </w:tcBorders>
            <w:noWrap w:val="0"/>
            <w:vAlign w:val="center"/>
          </w:tcPr>
          <w:p w14:paraId="18F2AF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①项目是否按照规定的程序申请设立；</w:t>
            </w:r>
          </w:p>
          <w:p w14:paraId="610940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②审批文件、材料是否符合相关要求；</w:t>
            </w:r>
          </w:p>
          <w:p w14:paraId="00E62E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③事前是否已经过必要的可行性研究、专家论证、风险评估、绩效评估、集体决策。</w:t>
            </w:r>
          </w:p>
          <w:p w14:paraId="4215F2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①②③齐全得权重分的100%，缺①扣权重分的40%，缺②扣权重分的30%，缺③扣权重分的30%。</w:t>
            </w:r>
          </w:p>
        </w:tc>
        <w:tc>
          <w:tcPr>
            <w:tcW w:w="261" w:type="pct"/>
            <w:tcBorders>
              <w:top w:val="nil"/>
              <w:left w:val="nil"/>
              <w:bottom w:val="single" w:color="auto" w:sz="8" w:space="0"/>
              <w:right w:val="single" w:color="auto" w:sz="8" w:space="0"/>
            </w:tcBorders>
            <w:noWrap w:val="0"/>
            <w:vAlign w:val="center"/>
          </w:tcPr>
          <w:p w14:paraId="154A48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规范</w:t>
            </w:r>
          </w:p>
        </w:tc>
        <w:tc>
          <w:tcPr>
            <w:tcW w:w="395" w:type="pct"/>
            <w:tcBorders>
              <w:top w:val="nil"/>
              <w:left w:val="nil"/>
              <w:bottom w:val="single" w:color="auto" w:sz="8" w:space="0"/>
              <w:right w:val="single" w:color="auto" w:sz="8" w:space="0"/>
            </w:tcBorders>
            <w:noWrap w:val="0"/>
            <w:vAlign w:val="center"/>
          </w:tcPr>
          <w:p w14:paraId="260A4B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3</w:t>
            </w:r>
          </w:p>
        </w:tc>
      </w:tr>
      <w:tr w14:paraId="0B7FE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20516C9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209B4C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restart"/>
            <w:tcBorders>
              <w:top w:val="nil"/>
              <w:left w:val="nil"/>
              <w:bottom w:val="single" w:color="auto" w:sz="8" w:space="0"/>
              <w:right w:val="single" w:color="auto" w:sz="8" w:space="0"/>
            </w:tcBorders>
            <w:noWrap w:val="0"/>
            <w:vAlign w:val="center"/>
          </w:tcPr>
          <w:p w14:paraId="4FC1DD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w:t>
            </w:r>
          </w:p>
        </w:tc>
        <w:tc>
          <w:tcPr>
            <w:tcW w:w="242" w:type="pct"/>
            <w:vMerge w:val="restart"/>
            <w:tcBorders>
              <w:top w:val="nil"/>
              <w:left w:val="nil"/>
              <w:bottom w:val="single" w:color="auto" w:sz="8" w:space="0"/>
              <w:right w:val="single" w:color="auto" w:sz="8" w:space="0"/>
            </w:tcBorders>
            <w:noWrap w:val="0"/>
            <w:vAlign w:val="center"/>
          </w:tcPr>
          <w:p w14:paraId="5B3FFF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95" w:type="pct"/>
            <w:tcBorders>
              <w:top w:val="nil"/>
              <w:left w:val="nil"/>
              <w:bottom w:val="single" w:color="auto" w:sz="4" w:space="0"/>
              <w:right w:val="single" w:color="auto" w:sz="8" w:space="0"/>
            </w:tcBorders>
            <w:noWrap w:val="0"/>
            <w:vAlign w:val="center"/>
          </w:tcPr>
          <w:p w14:paraId="6BACF6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绩效目标合理性</w:t>
            </w:r>
          </w:p>
        </w:tc>
        <w:tc>
          <w:tcPr>
            <w:tcW w:w="276" w:type="pct"/>
            <w:tcBorders>
              <w:top w:val="nil"/>
              <w:left w:val="nil"/>
              <w:bottom w:val="single" w:color="auto" w:sz="4" w:space="0"/>
              <w:right w:val="single" w:color="auto" w:sz="8" w:space="0"/>
            </w:tcBorders>
            <w:noWrap w:val="0"/>
            <w:vAlign w:val="center"/>
          </w:tcPr>
          <w:p w14:paraId="690DC0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94" w:type="pct"/>
            <w:tcBorders>
              <w:top w:val="nil"/>
              <w:left w:val="nil"/>
              <w:bottom w:val="single" w:color="auto" w:sz="4" w:space="0"/>
              <w:right w:val="single" w:color="auto" w:sz="8" w:space="0"/>
            </w:tcBorders>
            <w:noWrap w:val="0"/>
            <w:vAlign w:val="center"/>
          </w:tcPr>
          <w:p w14:paraId="12BD0BA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项目所设定的绩效目标是否依据充分，是否符合客观实际，用以反映和考核项目绩效目标与项目实施的相符情况。</w:t>
            </w:r>
          </w:p>
        </w:tc>
        <w:tc>
          <w:tcPr>
            <w:tcW w:w="542" w:type="pct"/>
            <w:tcBorders>
              <w:top w:val="nil"/>
              <w:left w:val="nil"/>
              <w:bottom w:val="single" w:color="auto" w:sz="4" w:space="0"/>
              <w:right w:val="single" w:color="auto" w:sz="8" w:space="0"/>
            </w:tcBorders>
            <w:noWrap w:val="0"/>
            <w:vAlign w:val="center"/>
          </w:tcPr>
          <w:p w14:paraId="4E9797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484" w:type="pct"/>
            <w:tcBorders>
              <w:top w:val="nil"/>
              <w:left w:val="nil"/>
              <w:bottom w:val="single" w:color="auto" w:sz="4" w:space="0"/>
              <w:right w:val="single" w:color="auto" w:sz="8" w:space="0"/>
            </w:tcBorders>
            <w:noWrap w:val="0"/>
            <w:vAlign w:val="center"/>
          </w:tcPr>
          <w:p w14:paraId="00B0F5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①项目是否有绩效目标；</w:t>
            </w:r>
          </w:p>
          <w:p w14:paraId="3A028D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②项目绩效目标与实际工作内容是否具有相关性；</w:t>
            </w:r>
          </w:p>
          <w:p w14:paraId="04F520D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③项目预期产出效益和效果是否符合正常的业绩水平；</w:t>
            </w:r>
          </w:p>
          <w:p w14:paraId="6F8372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④是否与预算确定的项目投资额或资金量相匹配。</w:t>
            </w:r>
          </w:p>
          <w:p w14:paraId="6146E0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261" w:type="pct"/>
            <w:tcBorders>
              <w:top w:val="nil"/>
              <w:left w:val="nil"/>
              <w:bottom w:val="single" w:color="auto" w:sz="4" w:space="0"/>
              <w:right w:val="single" w:color="auto" w:sz="8" w:space="0"/>
            </w:tcBorders>
            <w:noWrap w:val="0"/>
            <w:vAlign w:val="center"/>
          </w:tcPr>
          <w:p w14:paraId="62D5DD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395" w:type="pct"/>
            <w:tcBorders>
              <w:top w:val="nil"/>
              <w:left w:val="nil"/>
              <w:bottom w:val="single" w:color="auto" w:sz="4" w:space="0"/>
              <w:right w:val="single" w:color="auto" w:sz="8" w:space="0"/>
            </w:tcBorders>
            <w:noWrap w:val="0"/>
            <w:vAlign w:val="center"/>
          </w:tcPr>
          <w:p w14:paraId="194D1B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53F938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57"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3E5BB3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1F80E5D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33F40F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4" w:space="0"/>
            </w:tcBorders>
            <w:noWrap w:val="0"/>
            <w:vAlign w:val="center"/>
          </w:tcPr>
          <w:p w14:paraId="6700AE5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tcBorders>
              <w:top w:val="single" w:color="auto" w:sz="4" w:space="0"/>
              <w:left w:val="single" w:color="auto" w:sz="4" w:space="0"/>
              <w:bottom w:val="single" w:color="auto" w:sz="4" w:space="0"/>
              <w:right w:val="single" w:color="auto" w:sz="4" w:space="0"/>
            </w:tcBorders>
            <w:noWrap w:val="0"/>
            <w:vAlign w:val="center"/>
          </w:tcPr>
          <w:p w14:paraId="322030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绩效指标明确性</w:t>
            </w:r>
          </w:p>
        </w:tc>
        <w:tc>
          <w:tcPr>
            <w:tcW w:w="276" w:type="pct"/>
            <w:tcBorders>
              <w:top w:val="single" w:color="auto" w:sz="4" w:space="0"/>
              <w:left w:val="single" w:color="auto" w:sz="4" w:space="0"/>
              <w:bottom w:val="single" w:color="auto" w:sz="4" w:space="0"/>
              <w:right w:val="single" w:color="auto" w:sz="4" w:space="0"/>
            </w:tcBorders>
            <w:noWrap w:val="0"/>
            <w:vAlign w:val="center"/>
          </w:tcPr>
          <w:p w14:paraId="17BEF3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94" w:type="pct"/>
            <w:tcBorders>
              <w:top w:val="single" w:color="auto" w:sz="4" w:space="0"/>
              <w:left w:val="single" w:color="auto" w:sz="4" w:space="0"/>
              <w:bottom w:val="single" w:color="auto" w:sz="4" w:space="0"/>
              <w:right w:val="single" w:color="auto" w:sz="4" w:space="0"/>
            </w:tcBorders>
            <w:noWrap w:val="0"/>
            <w:vAlign w:val="center"/>
          </w:tcPr>
          <w:p w14:paraId="44B269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依据绩效目标设定的绩效指标是否清晰、细化、可衡量等，用以反映和考核项目绩效目标的明细化情况。</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5E01251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1484" w:type="pct"/>
            <w:tcBorders>
              <w:top w:val="single" w:color="auto" w:sz="4" w:space="0"/>
              <w:left w:val="single" w:color="auto" w:sz="4" w:space="0"/>
              <w:bottom w:val="single" w:color="auto" w:sz="4" w:space="0"/>
              <w:right w:val="single" w:color="auto" w:sz="4" w:space="0"/>
            </w:tcBorders>
            <w:noWrap w:val="0"/>
            <w:vAlign w:val="center"/>
          </w:tcPr>
          <w:p w14:paraId="2E862D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①是否将项目绩效目标细化分解为具体的绩效指标；</w:t>
            </w:r>
          </w:p>
          <w:p w14:paraId="55445D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②是否通过清晰、可衡量的指标值予以体现；</w:t>
            </w:r>
          </w:p>
          <w:p w14:paraId="74736E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③是否与项目目标任务数或计划数相对应。</w:t>
            </w:r>
          </w:p>
          <w:p w14:paraId="6C0C72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①②③齐全得权重分的100%，缺①扣权重分的20%，缺②扣权重分的50%，缺③扣权重分的30%。</w:t>
            </w:r>
          </w:p>
        </w:tc>
        <w:tc>
          <w:tcPr>
            <w:tcW w:w="261" w:type="pct"/>
            <w:tcBorders>
              <w:top w:val="single" w:color="auto" w:sz="4" w:space="0"/>
              <w:left w:val="single" w:color="auto" w:sz="4" w:space="0"/>
              <w:bottom w:val="single" w:color="auto" w:sz="4" w:space="0"/>
              <w:right w:val="single" w:color="auto" w:sz="4" w:space="0"/>
            </w:tcBorders>
            <w:noWrap w:val="0"/>
            <w:vAlign w:val="center"/>
          </w:tcPr>
          <w:p w14:paraId="32C759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明确</w:t>
            </w:r>
          </w:p>
        </w:tc>
        <w:tc>
          <w:tcPr>
            <w:tcW w:w="395" w:type="pct"/>
            <w:tcBorders>
              <w:top w:val="single" w:color="auto" w:sz="4" w:space="0"/>
              <w:left w:val="single" w:color="auto" w:sz="4" w:space="0"/>
              <w:bottom w:val="single" w:color="auto" w:sz="4" w:space="0"/>
              <w:right w:val="single" w:color="auto" w:sz="4" w:space="0"/>
            </w:tcBorders>
            <w:noWrap w:val="0"/>
            <w:vAlign w:val="center"/>
          </w:tcPr>
          <w:p w14:paraId="131E6E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2D5561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95"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52C2CCF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55F82F5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restart"/>
            <w:tcBorders>
              <w:top w:val="nil"/>
              <w:left w:val="nil"/>
              <w:bottom w:val="single" w:color="auto" w:sz="8" w:space="0"/>
              <w:right w:val="single" w:color="auto" w:sz="8" w:space="0"/>
            </w:tcBorders>
            <w:noWrap w:val="0"/>
            <w:vAlign w:val="center"/>
          </w:tcPr>
          <w:p w14:paraId="2113A6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资金投入</w:t>
            </w:r>
          </w:p>
        </w:tc>
        <w:tc>
          <w:tcPr>
            <w:tcW w:w="242" w:type="pct"/>
            <w:vMerge w:val="restart"/>
            <w:tcBorders>
              <w:top w:val="nil"/>
              <w:left w:val="nil"/>
              <w:bottom w:val="single" w:color="auto" w:sz="8" w:space="0"/>
              <w:right w:val="single" w:color="auto" w:sz="8" w:space="0"/>
            </w:tcBorders>
            <w:noWrap w:val="0"/>
            <w:vAlign w:val="center"/>
          </w:tcPr>
          <w:p w14:paraId="003437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295" w:type="pct"/>
            <w:tcBorders>
              <w:top w:val="single" w:color="auto" w:sz="4" w:space="0"/>
              <w:left w:val="nil"/>
              <w:bottom w:val="single" w:color="auto" w:sz="8" w:space="0"/>
              <w:right w:val="single" w:color="auto" w:sz="8" w:space="0"/>
            </w:tcBorders>
            <w:noWrap w:val="0"/>
            <w:vAlign w:val="center"/>
          </w:tcPr>
          <w:p w14:paraId="786703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预算编制科学性</w:t>
            </w:r>
          </w:p>
        </w:tc>
        <w:tc>
          <w:tcPr>
            <w:tcW w:w="276" w:type="pct"/>
            <w:tcBorders>
              <w:top w:val="single" w:color="auto" w:sz="4" w:space="0"/>
              <w:left w:val="nil"/>
              <w:bottom w:val="single" w:color="auto" w:sz="8" w:space="0"/>
              <w:right w:val="single" w:color="auto" w:sz="8" w:space="0"/>
            </w:tcBorders>
            <w:noWrap w:val="0"/>
            <w:vAlign w:val="center"/>
          </w:tcPr>
          <w:p w14:paraId="2232AE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794" w:type="pct"/>
            <w:tcBorders>
              <w:top w:val="single" w:color="auto" w:sz="4" w:space="0"/>
              <w:left w:val="nil"/>
              <w:bottom w:val="single" w:color="auto" w:sz="8" w:space="0"/>
              <w:right w:val="single" w:color="auto" w:sz="8" w:space="0"/>
            </w:tcBorders>
            <w:noWrap w:val="0"/>
            <w:vAlign w:val="center"/>
          </w:tcPr>
          <w:p w14:paraId="0201A2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项目预算编制是否经过科学论证、有明确标准，资金额度与年度目标是否相适应，用以反映和考核项目预算编制的科学性、合理性情况。</w:t>
            </w:r>
          </w:p>
        </w:tc>
        <w:tc>
          <w:tcPr>
            <w:tcW w:w="542" w:type="pct"/>
            <w:tcBorders>
              <w:top w:val="single" w:color="auto" w:sz="4" w:space="0"/>
              <w:left w:val="nil"/>
              <w:bottom w:val="single" w:color="auto" w:sz="8" w:space="0"/>
              <w:right w:val="single" w:color="auto" w:sz="8" w:space="0"/>
            </w:tcBorders>
            <w:noWrap w:val="0"/>
            <w:vAlign w:val="center"/>
          </w:tcPr>
          <w:p w14:paraId="4FAE8D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1484" w:type="pct"/>
            <w:tcBorders>
              <w:top w:val="single" w:color="auto" w:sz="4" w:space="0"/>
              <w:left w:val="nil"/>
              <w:bottom w:val="single" w:color="auto" w:sz="8" w:space="0"/>
              <w:right w:val="single" w:color="auto" w:sz="8" w:space="0"/>
            </w:tcBorders>
            <w:noWrap w:val="0"/>
            <w:vAlign w:val="center"/>
          </w:tcPr>
          <w:p w14:paraId="2A567E1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①预算编制是否经过科学论证；</w:t>
            </w:r>
          </w:p>
          <w:p w14:paraId="7EBD54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②预算内容与项目内容是否匹配；</w:t>
            </w:r>
          </w:p>
          <w:p w14:paraId="465B33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③预算额度测算依据是否充分，是否按照标准编制；</w:t>
            </w:r>
          </w:p>
          <w:p w14:paraId="1ECA06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④预算确定的项目投资额或资金量是否与工作任务相匹配。</w:t>
            </w:r>
          </w:p>
          <w:p w14:paraId="7702C0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以上每条要素各占权重的25%，每有一条不符合，扣除对应的权重分，扣完为止。</w:t>
            </w:r>
          </w:p>
        </w:tc>
        <w:tc>
          <w:tcPr>
            <w:tcW w:w="261" w:type="pct"/>
            <w:tcBorders>
              <w:top w:val="single" w:color="auto" w:sz="4" w:space="0"/>
              <w:left w:val="nil"/>
              <w:bottom w:val="single" w:color="auto" w:sz="8" w:space="0"/>
              <w:right w:val="single" w:color="auto" w:sz="8" w:space="0"/>
            </w:tcBorders>
            <w:noWrap w:val="0"/>
            <w:vAlign w:val="center"/>
          </w:tcPr>
          <w:p w14:paraId="102F0A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科学</w:t>
            </w:r>
          </w:p>
        </w:tc>
        <w:tc>
          <w:tcPr>
            <w:tcW w:w="395" w:type="pct"/>
            <w:tcBorders>
              <w:top w:val="single" w:color="auto" w:sz="4" w:space="0"/>
              <w:left w:val="nil"/>
              <w:bottom w:val="single" w:color="auto" w:sz="8" w:space="0"/>
              <w:right w:val="single" w:color="auto" w:sz="8" w:space="0"/>
            </w:tcBorders>
            <w:noWrap w:val="0"/>
            <w:vAlign w:val="center"/>
          </w:tcPr>
          <w:p w14:paraId="610792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r>
      <w:tr w14:paraId="04F7B0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3E88B2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281C13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4FAE34C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8" w:space="0"/>
            </w:tcBorders>
            <w:noWrap w:val="0"/>
            <w:vAlign w:val="center"/>
          </w:tcPr>
          <w:p w14:paraId="40ED348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tcBorders>
              <w:top w:val="nil"/>
              <w:left w:val="nil"/>
              <w:bottom w:val="single" w:color="auto" w:sz="8" w:space="0"/>
              <w:right w:val="single" w:color="auto" w:sz="8" w:space="0"/>
            </w:tcBorders>
            <w:noWrap w:val="0"/>
            <w:vAlign w:val="center"/>
          </w:tcPr>
          <w:p w14:paraId="37AD7F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资金分配合理性</w:t>
            </w:r>
          </w:p>
        </w:tc>
        <w:tc>
          <w:tcPr>
            <w:tcW w:w="276" w:type="pct"/>
            <w:tcBorders>
              <w:top w:val="nil"/>
              <w:left w:val="nil"/>
              <w:bottom w:val="single" w:color="auto" w:sz="8" w:space="0"/>
              <w:right w:val="single" w:color="auto" w:sz="8" w:space="0"/>
            </w:tcBorders>
            <w:noWrap w:val="0"/>
            <w:vAlign w:val="center"/>
          </w:tcPr>
          <w:p w14:paraId="7A3BE2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c>
          <w:tcPr>
            <w:tcW w:w="794" w:type="pct"/>
            <w:tcBorders>
              <w:top w:val="nil"/>
              <w:left w:val="nil"/>
              <w:bottom w:val="single" w:color="auto" w:sz="8" w:space="0"/>
              <w:right w:val="single" w:color="auto" w:sz="8" w:space="0"/>
            </w:tcBorders>
            <w:noWrap w:val="0"/>
            <w:vAlign w:val="center"/>
          </w:tcPr>
          <w:p w14:paraId="7D1B4A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项目预算资金分配是否有测算依据，与补助单位或地方实际是否相适应，用以反映和考核项目预算资金分配的科学性、合理性情况。</w:t>
            </w:r>
          </w:p>
        </w:tc>
        <w:tc>
          <w:tcPr>
            <w:tcW w:w="542" w:type="pct"/>
            <w:tcBorders>
              <w:top w:val="nil"/>
              <w:left w:val="nil"/>
              <w:bottom w:val="single" w:color="auto" w:sz="8" w:space="0"/>
              <w:right w:val="single" w:color="auto" w:sz="8" w:space="0"/>
            </w:tcBorders>
            <w:noWrap w:val="0"/>
            <w:vAlign w:val="center"/>
          </w:tcPr>
          <w:p w14:paraId="21CCB9D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1484" w:type="pct"/>
            <w:tcBorders>
              <w:top w:val="nil"/>
              <w:left w:val="nil"/>
              <w:bottom w:val="single" w:color="auto" w:sz="8" w:space="0"/>
              <w:right w:val="single" w:color="auto" w:sz="8" w:space="0"/>
            </w:tcBorders>
            <w:noWrap w:val="0"/>
            <w:vAlign w:val="center"/>
          </w:tcPr>
          <w:p w14:paraId="108D9B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①预算资金分配依据是否充分；</w:t>
            </w:r>
          </w:p>
          <w:p w14:paraId="21F26AE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②资金分配额度是否合理，与项目单位或地方实际是否相适应。</w:t>
            </w:r>
          </w:p>
          <w:p w14:paraId="5147F8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261" w:type="pct"/>
            <w:tcBorders>
              <w:top w:val="nil"/>
              <w:left w:val="nil"/>
              <w:bottom w:val="single" w:color="auto" w:sz="8" w:space="0"/>
              <w:right w:val="single" w:color="auto" w:sz="8" w:space="0"/>
            </w:tcBorders>
            <w:noWrap w:val="0"/>
            <w:vAlign w:val="center"/>
          </w:tcPr>
          <w:p w14:paraId="4980BF8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合理</w:t>
            </w:r>
          </w:p>
        </w:tc>
        <w:tc>
          <w:tcPr>
            <w:tcW w:w="395" w:type="pct"/>
            <w:tcBorders>
              <w:top w:val="nil"/>
              <w:left w:val="nil"/>
              <w:bottom w:val="single" w:color="auto" w:sz="8" w:space="0"/>
              <w:right w:val="single" w:color="auto" w:sz="8" w:space="0"/>
            </w:tcBorders>
            <w:noWrap w:val="0"/>
            <w:vAlign w:val="center"/>
          </w:tcPr>
          <w:p w14:paraId="313067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2.5</w:t>
            </w:r>
          </w:p>
        </w:tc>
      </w:tr>
      <w:tr w14:paraId="287D35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242" w:type="pct"/>
            <w:vMerge w:val="restart"/>
            <w:tcBorders>
              <w:top w:val="nil"/>
              <w:left w:val="single" w:color="auto" w:sz="4" w:space="0"/>
              <w:bottom w:val="single" w:color="auto" w:sz="8" w:space="0"/>
              <w:right w:val="single" w:color="auto" w:sz="8" w:space="0"/>
            </w:tcBorders>
            <w:noWrap w:val="0"/>
            <w:vAlign w:val="center"/>
          </w:tcPr>
          <w:p w14:paraId="5143AC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项目过程</w:t>
            </w:r>
          </w:p>
        </w:tc>
        <w:tc>
          <w:tcPr>
            <w:tcW w:w="207" w:type="pct"/>
            <w:vMerge w:val="restart"/>
            <w:tcBorders>
              <w:top w:val="nil"/>
              <w:left w:val="nil"/>
              <w:bottom w:val="single" w:color="auto" w:sz="8" w:space="0"/>
              <w:right w:val="single" w:color="auto" w:sz="8" w:space="0"/>
            </w:tcBorders>
            <w:noWrap w:val="0"/>
            <w:vAlign w:val="center"/>
          </w:tcPr>
          <w:p w14:paraId="75FF07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256" w:type="pct"/>
            <w:vMerge w:val="restart"/>
            <w:tcBorders>
              <w:top w:val="nil"/>
              <w:left w:val="nil"/>
              <w:bottom w:val="single" w:color="auto" w:sz="8" w:space="0"/>
              <w:right w:val="single" w:color="auto" w:sz="8" w:space="0"/>
            </w:tcBorders>
            <w:noWrap w:val="0"/>
            <w:vAlign w:val="center"/>
          </w:tcPr>
          <w:p w14:paraId="4184CE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资金管理</w:t>
            </w:r>
          </w:p>
        </w:tc>
        <w:tc>
          <w:tcPr>
            <w:tcW w:w="242" w:type="pct"/>
            <w:vMerge w:val="restart"/>
            <w:tcBorders>
              <w:top w:val="nil"/>
              <w:left w:val="nil"/>
              <w:bottom w:val="single" w:color="auto" w:sz="8" w:space="0"/>
              <w:right w:val="single" w:color="auto" w:sz="8" w:space="0"/>
            </w:tcBorders>
            <w:noWrap w:val="0"/>
            <w:vAlign w:val="center"/>
          </w:tcPr>
          <w:p w14:paraId="5197ED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95" w:type="pct"/>
            <w:tcBorders>
              <w:top w:val="nil"/>
              <w:left w:val="nil"/>
              <w:bottom w:val="single" w:color="auto" w:sz="8" w:space="0"/>
              <w:right w:val="single" w:color="auto" w:sz="8" w:space="0"/>
            </w:tcBorders>
            <w:noWrap w:val="0"/>
            <w:vAlign w:val="center"/>
          </w:tcPr>
          <w:p w14:paraId="73F6CE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w:t>
            </w:r>
          </w:p>
        </w:tc>
        <w:tc>
          <w:tcPr>
            <w:tcW w:w="276" w:type="pct"/>
            <w:tcBorders>
              <w:top w:val="nil"/>
              <w:left w:val="nil"/>
              <w:bottom w:val="single" w:color="auto" w:sz="8" w:space="0"/>
              <w:right w:val="single" w:color="auto" w:sz="8" w:space="0"/>
            </w:tcBorders>
            <w:noWrap w:val="0"/>
            <w:vAlign w:val="center"/>
          </w:tcPr>
          <w:p w14:paraId="522CB6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c>
          <w:tcPr>
            <w:tcW w:w="794" w:type="pct"/>
            <w:tcBorders>
              <w:top w:val="nil"/>
              <w:left w:val="nil"/>
              <w:bottom w:val="single" w:color="auto" w:sz="8" w:space="0"/>
              <w:right w:val="single" w:color="auto" w:sz="8" w:space="0"/>
            </w:tcBorders>
            <w:noWrap w:val="0"/>
            <w:vAlign w:val="center"/>
          </w:tcPr>
          <w:p w14:paraId="529291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实际到位资金与预算资金的比率，用以反映和考核资金落实情况对项目实施的总体保障程度。</w:t>
            </w:r>
          </w:p>
        </w:tc>
        <w:tc>
          <w:tcPr>
            <w:tcW w:w="542" w:type="pct"/>
            <w:tcBorders>
              <w:top w:val="nil"/>
              <w:left w:val="nil"/>
              <w:bottom w:val="single" w:color="auto" w:sz="8" w:space="0"/>
              <w:right w:val="single" w:color="auto" w:sz="8" w:space="0"/>
            </w:tcBorders>
            <w:noWrap w:val="0"/>
            <w:vAlign w:val="center"/>
          </w:tcPr>
          <w:p w14:paraId="46DDBE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484" w:type="pct"/>
            <w:tcBorders>
              <w:top w:val="nil"/>
              <w:left w:val="nil"/>
              <w:bottom w:val="single" w:color="auto" w:sz="8" w:space="0"/>
              <w:right w:val="single" w:color="auto" w:sz="8" w:space="0"/>
            </w:tcBorders>
            <w:noWrap w:val="0"/>
            <w:vAlign w:val="center"/>
          </w:tcPr>
          <w:p w14:paraId="6CACB5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资金到位率=（实际到位资金/预算资金）×100%。</w:t>
            </w:r>
          </w:p>
          <w:p w14:paraId="7AB63F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资金到位率=100%，得权重分满分，每降低1%，扣除5%权重分，扣完为止。</w:t>
            </w:r>
          </w:p>
        </w:tc>
        <w:tc>
          <w:tcPr>
            <w:tcW w:w="261" w:type="pct"/>
            <w:tcBorders>
              <w:top w:val="nil"/>
              <w:left w:val="nil"/>
              <w:bottom w:val="single" w:color="auto" w:sz="8" w:space="0"/>
              <w:right w:val="single" w:color="auto" w:sz="8" w:space="0"/>
            </w:tcBorders>
            <w:noWrap w:val="0"/>
            <w:vAlign w:val="center"/>
          </w:tcPr>
          <w:p w14:paraId="1008929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95" w:type="pct"/>
            <w:tcBorders>
              <w:top w:val="nil"/>
              <w:left w:val="nil"/>
              <w:bottom w:val="single" w:color="auto" w:sz="8" w:space="0"/>
              <w:right w:val="single" w:color="auto" w:sz="8" w:space="0"/>
            </w:tcBorders>
            <w:noWrap w:val="0"/>
            <w:vAlign w:val="center"/>
          </w:tcPr>
          <w:p w14:paraId="5B2A06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w:t>
            </w:r>
          </w:p>
        </w:tc>
      </w:tr>
      <w:tr w14:paraId="765C8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2" w:hRule="atLeast"/>
        </w:trPr>
        <w:tc>
          <w:tcPr>
            <w:tcW w:w="242" w:type="pct"/>
            <w:vMerge w:val="continue"/>
            <w:tcBorders>
              <w:top w:val="nil"/>
              <w:left w:val="single" w:color="auto" w:sz="4" w:space="0"/>
              <w:bottom w:val="single" w:color="auto" w:sz="4" w:space="0"/>
              <w:right w:val="single" w:color="auto" w:sz="8" w:space="0"/>
            </w:tcBorders>
            <w:noWrap w:val="0"/>
            <w:vAlign w:val="center"/>
          </w:tcPr>
          <w:p w14:paraId="5B2B00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4" w:space="0"/>
              <w:right w:val="single" w:color="auto" w:sz="8" w:space="0"/>
            </w:tcBorders>
            <w:noWrap w:val="0"/>
            <w:vAlign w:val="center"/>
          </w:tcPr>
          <w:p w14:paraId="605B4E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4" w:space="0"/>
              <w:right w:val="single" w:color="auto" w:sz="8" w:space="0"/>
            </w:tcBorders>
            <w:noWrap w:val="0"/>
            <w:vAlign w:val="center"/>
          </w:tcPr>
          <w:p w14:paraId="0373371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4" w:space="0"/>
              <w:right w:val="single" w:color="auto" w:sz="8" w:space="0"/>
            </w:tcBorders>
            <w:noWrap w:val="0"/>
            <w:vAlign w:val="center"/>
          </w:tcPr>
          <w:p w14:paraId="30A5075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tcBorders>
              <w:top w:val="nil"/>
              <w:left w:val="nil"/>
              <w:bottom w:val="single" w:color="auto" w:sz="4" w:space="0"/>
              <w:right w:val="single" w:color="auto" w:sz="8" w:space="0"/>
            </w:tcBorders>
            <w:noWrap w:val="0"/>
            <w:vAlign w:val="center"/>
          </w:tcPr>
          <w:p w14:paraId="2FC6AF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w:t>
            </w:r>
          </w:p>
        </w:tc>
        <w:tc>
          <w:tcPr>
            <w:tcW w:w="276" w:type="pct"/>
            <w:tcBorders>
              <w:top w:val="nil"/>
              <w:left w:val="nil"/>
              <w:bottom w:val="single" w:color="auto" w:sz="4" w:space="0"/>
              <w:right w:val="single" w:color="auto" w:sz="8" w:space="0"/>
            </w:tcBorders>
            <w:noWrap w:val="0"/>
            <w:vAlign w:val="center"/>
          </w:tcPr>
          <w:p w14:paraId="41B723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94" w:type="pct"/>
            <w:tcBorders>
              <w:top w:val="nil"/>
              <w:left w:val="nil"/>
              <w:bottom w:val="single" w:color="auto" w:sz="4" w:space="0"/>
              <w:right w:val="single" w:color="auto" w:sz="8" w:space="0"/>
            </w:tcBorders>
            <w:noWrap w:val="0"/>
            <w:vAlign w:val="center"/>
          </w:tcPr>
          <w:p w14:paraId="057F88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项目预算资金是否按照计划执行，用以反映或考核项目预算执行情况。</w:t>
            </w:r>
          </w:p>
        </w:tc>
        <w:tc>
          <w:tcPr>
            <w:tcW w:w="542" w:type="pct"/>
            <w:tcBorders>
              <w:top w:val="nil"/>
              <w:left w:val="nil"/>
              <w:bottom w:val="single" w:color="auto" w:sz="4" w:space="0"/>
              <w:right w:val="single" w:color="auto" w:sz="8" w:space="0"/>
            </w:tcBorders>
            <w:noWrap w:val="0"/>
            <w:vAlign w:val="center"/>
          </w:tcPr>
          <w:p w14:paraId="62D9D8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484" w:type="pct"/>
            <w:tcBorders>
              <w:top w:val="nil"/>
              <w:left w:val="nil"/>
              <w:bottom w:val="single" w:color="auto" w:sz="4" w:space="0"/>
              <w:right w:val="single" w:color="auto" w:sz="8" w:space="0"/>
            </w:tcBorders>
            <w:noWrap w:val="0"/>
            <w:vAlign w:val="center"/>
          </w:tcPr>
          <w:p w14:paraId="1D9F69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预算执行率=（实际支出资金/实际到位资金）×100%。</w:t>
            </w:r>
          </w:p>
          <w:p w14:paraId="33FD6A0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预算执行率=100%，得权重分满分；若预算执行率＜100%，得分=预算执行率*分值；若执行率≤60%，则不得分。</w:t>
            </w:r>
          </w:p>
        </w:tc>
        <w:tc>
          <w:tcPr>
            <w:tcW w:w="261" w:type="pct"/>
            <w:tcBorders>
              <w:top w:val="nil"/>
              <w:left w:val="nil"/>
              <w:bottom w:val="single" w:color="auto" w:sz="4" w:space="0"/>
              <w:right w:val="single" w:color="auto" w:sz="8" w:space="0"/>
            </w:tcBorders>
            <w:noWrap w:val="0"/>
            <w:vAlign w:val="center"/>
          </w:tcPr>
          <w:p w14:paraId="770D4C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95" w:type="pct"/>
            <w:tcBorders>
              <w:top w:val="nil"/>
              <w:left w:val="nil"/>
              <w:bottom w:val="single" w:color="auto" w:sz="4" w:space="0"/>
              <w:right w:val="single" w:color="auto" w:sz="8" w:space="0"/>
            </w:tcBorders>
            <w:noWrap w:val="0"/>
            <w:vAlign w:val="center"/>
          </w:tcPr>
          <w:p w14:paraId="29A447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48582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242" w:type="pct"/>
            <w:vMerge w:val="continue"/>
            <w:tcBorders>
              <w:top w:val="single" w:color="auto" w:sz="4" w:space="0"/>
              <w:left w:val="single" w:color="auto" w:sz="4" w:space="0"/>
              <w:bottom w:val="single" w:color="auto" w:sz="4" w:space="0"/>
              <w:right w:val="single" w:color="auto" w:sz="4" w:space="0"/>
            </w:tcBorders>
            <w:noWrap w:val="0"/>
            <w:vAlign w:val="center"/>
          </w:tcPr>
          <w:p w14:paraId="26473A7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single" w:color="auto" w:sz="4" w:space="0"/>
              <w:left w:val="single" w:color="auto" w:sz="4" w:space="0"/>
              <w:bottom w:val="single" w:color="auto" w:sz="4" w:space="0"/>
              <w:right w:val="single" w:color="auto" w:sz="4" w:space="0"/>
            </w:tcBorders>
            <w:noWrap w:val="0"/>
            <w:vAlign w:val="center"/>
          </w:tcPr>
          <w:p w14:paraId="492A80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single" w:color="auto" w:sz="4" w:space="0"/>
              <w:left w:val="single" w:color="auto" w:sz="4" w:space="0"/>
              <w:bottom w:val="single" w:color="auto" w:sz="4" w:space="0"/>
              <w:right w:val="single" w:color="auto" w:sz="4" w:space="0"/>
            </w:tcBorders>
            <w:noWrap w:val="0"/>
            <w:vAlign w:val="center"/>
          </w:tcPr>
          <w:p w14:paraId="0A73306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single" w:color="auto" w:sz="4" w:space="0"/>
              <w:left w:val="single" w:color="auto" w:sz="4" w:space="0"/>
              <w:bottom w:val="single" w:color="auto" w:sz="4" w:space="0"/>
              <w:right w:val="single" w:color="auto" w:sz="4" w:space="0"/>
            </w:tcBorders>
            <w:noWrap w:val="0"/>
            <w:vAlign w:val="center"/>
          </w:tcPr>
          <w:p w14:paraId="563464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tcBorders>
              <w:top w:val="single" w:color="auto" w:sz="4" w:space="0"/>
              <w:left w:val="single" w:color="auto" w:sz="4" w:space="0"/>
              <w:bottom w:val="single" w:color="auto" w:sz="4" w:space="0"/>
              <w:right w:val="single" w:color="auto" w:sz="4" w:space="0"/>
            </w:tcBorders>
            <w:noWrap w:val="0"/>
            <w:vAlign w:val="center"/>
          </w:tcPr>
          <w:p w14:paraId="67DAA4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资金使用合规性</w:t>
            </w:r>
          </w:p>
        </w:tc>
        <w:tc>
          <w:tcPr>
            <w:tcW w:w="276" w:type="pct"/>
            <w:tcBorders>
              <w:top w:val="single" w:color="auto" w:sz="4" w:space="0"/>
              <w:left w:val="single" w:color="auto" w:sz="4" w:space="0"/>
              <w:bottom w:val="single" w:color="auto" w:sz="4" w:space="0"/>
              <w:right w:val="single" w:color="auto" w:sz="4" w:space="0"/>
            </w:tcBorders>
            <w:noWrap w:val="0"/>
            <w:vAlign w:val="center"/>
          </w:tcPr>
          <w:p w14:paraId="208F1F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c>
          <w:tcPr>
            <w:tcW w:w="794" w:type="pct"/>
            <w:tcBorders>
              <w:top w:val="single" w:color="auto" w:sz="4" w:space="0"/>
              <w:left w:val="single" w:color="auto" w:sz="4" w:space="0"/>
              <w:bottom w:val="single" w:color="auto" w:sz="4" w:space="0"/>
              <w:right w:val="single" w:color="auto" w:sz="4" w:space="0"/>
            </w:tcBorders>
            <w:noWrap w:val="0"/>
            <w:vAlign w:val="center"/>
          </w:tcPr>
          <w:p w14:paraId="04E966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项目资金使用是否符合相关的财务管理制度规定，用以反映和考核项目资金的规范运行情况。</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625814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1484" w:type="pct"/>
            <w:tcBorders>
              <w:top w:val="single" w:color="auto" w:sz="4" w:space="0"/>
              <w:left w:val="single" w:color="auto" w:sz="4" w:space="0"/>
              <w:bottom w:val="single" w:color="auto" w:sz="4" w:space="0"/>
              <w:right w:val="single" w:color="auto" w:sz="4" w:space="0"/>
            </w:tcBorders>
            <w:noWrap w:val="0"/>
            <w:vAlign w:val="center"/>
          </w:tcPr>
          <w:p w14:paraId="2CFF1C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①否符合国家财经法规和财务管理制度以及有关专项资金管理办法的规定；</w:t>
            </w:r>
          </w:p>
          <w:p w14:paraId="10F7E4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②资金的拨付是否有完整的审批程序和手续；</w:t>
            </w:r>
          </w:p>
          <w:p w14:paraId="46CD49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③是否符合项目预算批复或合同规定的用途；</w:t>
            </w:r>
          </w:p>
          <w:p w14:paraId="0871A7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④是否存在截留、挤占、挪用、虚列支出等情况。</w:t>
            </w:r>
          </w:p>
          <w:p w14:paraId="5D008C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以上每条指标各占权重分的25%，要素①②不符合，扣除对应权重分；要素③④不符合属于重大违纪，该指标不得分。</w:t>
            </w:r>
          </w:p>
        </w:tc>
        <w:tc>
          <w:tcPr>
            <w:tcW w:w="261" w:type="pct"/>
            <w:tcBorders>
              <w:top w:val="single" w:color="auto" w:sz="4" w:space="0"/>
              <w:left w:val="single" w:color="auto" w:sz="4" w:space="0"/>
              <w:bottom w:val="single" w:color="auto" w:sz="4" w:space="0"/>
              <w:right w:val="single" w:color="auto" w:sz="4" w:space="0"/>
            </w:tcBorders>
            <w:noWrap w:val="0"/>
            <w:vAlign w:val="center"/>
          </w:tcPr>
          <w:p w14:paraId="6E9A9B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合规</w:t>
            </w:r>
          </w:p>
        </w:tc>
        <w:tc>
          <w:tcPr>
            <w:tcW w:w="395" w:type="pct"/>
            <w:tcBorders>
              <w:top w:val="single" w:color="auto" w:sz="4" w:space="0"/>
              <w:left w:val="single" w:color="auto" w:sz="4" w:space="0"/>
              <w:bottom w:val="single" w:color="auto" w:sz="4" w:space="0"/>
              <w:right w:val="single" w:color="auto" w:sz="4" w:space="0"/>
            </w:tcBorders>
            <w:noWrap w:val="0"/>
            <w:vAlign w:val="center"/>
          </w:tcPr>
          <w:p w14:paraId="4F2B7F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w:t>
            </w:r>
          </w:p>
        </w:tc>
      </w:tr>
      <w:tr w14:paraId="16A5F8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242" w:type="pct"/>
            <w:vMerge w:val="continue"/>
            <w:tcBorders>
              <w:top w:val="single" w:color="auto" w:sz="4" w:space="0"/>
              <w:left w:val="single" w:color="auto" w:sz="4" w:space="0"/>
              <w:bottom w:val="single" w:color="auto" w:sz="8" w:space="0"/>
              <w:right w:val="single" w:color="auto" w:sz="8" w:space="0"/>
            </w:tcBorders>
            <w:noWrap w:val="0"/>
            <w:vAlign w:val="center"/>
          </w:tcPr>
          <w:p w14:paraId="3071F8B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single" w:color="auto" w:sz="4" w:space="0"/>
              <w:left w:val="nil"/>
              <w:bottom w:val="single" w:color="auto" w:sz="8" w:space="0"/>
              <w:right w:val="single" w:color="auto" w:sz="8" w:space="0"/>
            </w:tcBorders>
            <w:noWrap w:val="0"/>
            <w:vAlign w:val="center"/>
          </w:tcPr>
          <w:p w14:paraId="6822109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restart"/>
            <w:tcBorders>
              <w:top w:val="single" w:color="auto" w:sz="4" w:space="0"/>
              <w:left w:val="nil"/>
              <w:bottom w:val="single" w:color="auto" w:sz="8" w:space="0"/>
              <w:right w:val="single" w:color="auto" w:sz="8" w:space="0"/>
            </w:tcBorders>
            <w:noWrap w:val="0"/>
            <w:vAlign w:val="center"/>
          </w:tcPr>
          <w:p w14:paraId="6AE7EC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组织实施</w:t>
            </w:r>
          </w:p>
        </w:tc>
        <w:tc>
          <w:tcPr>
            <w:tcW w:w="242" w:type="pct"/>
            <w:vMerge w:val="restart"/>
            <w:tcBorders>
              <w:top w:val="single" w:color="auto" w:sz="4" w:space="0"/>
              <w:left w:val="nil"/>
              <w:bottom w:val="single" w:color="auto" w:sz="8" w:space="0"/>
              <w:right w:val="single" w:color="auto" w:sz="8" w:space="0"/>
            </w:tcBorders>
            <w:noWrap w:val="0"/>
            <w:vAlign w:val="center"/>
          </w:tcPr>
          <w:p w14:paraId="705D38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95" w:type="pct"/>
            <w:tcBorders>
              <w:top w:val="single" w:color="auto" w:sz="4" w:space="0"/>
              <w:left w:val="nil"/>
              <w:bottom w:val="single" w:color="auto" w:sz="4" w:space="0"/>
              <w:right w:val="single" w:color="auto" w:sz="8" w:space="0"/>
            </w:tcBorders>
            <w:noWrap w:val="0"/>
            <w:vAlign w:val="center"/>
          </w:tcPr>
          <w:p w14:paraId="6EBA75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管理制度健全性</w:t>
            </w:r>
          </w:p>
        </w:tc>
        <w:tc>
          <w:tcPr>
            <w:tcW w:w="276" w:type="pct"/>
            <w:tcBorders>
              <w:top w:val="single" w:color="auto" w:sz="4" w:space="0"/>
              <w:left w:val="nil"/>
              <w:bottom w:val="single" w:color="auto" w:sz="4" w:space="0"/>
              <w:right w:val="single" w:color="auto" w:sz="8" w:space="0"/>
            </w:tcBorders>
            <w:noWrap w:val="0"/>
            <w:vAlign w:val="center"/>
          </w:tcPr>
          <w:p w14:paraId="0A9A41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94" w:type="pct"/>
            <w:tcBorders>
              <w:top w:val="single" w:color="auto" w:sz="4" w:space="0"/>
              <w:left w:val="nil"/>
              <w:bottom w:val="single" w:color="auto" w:sz="4" w:space="0"/>
              <w:right w:val="single" w:color="auto" w:sz="8" w:space="0"/>
            </w:tcBorders>
            <w:noWrap w:val="0"/>
            <w:vAlign w:val="center"/>
          </w:tcPr>
          <w:p w14:paraId="26F5A8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项目实施单位的财务和业务管理制度是否健全，用以反映和考核财务和业务管理制度对项目顺利实施的保障情况。</w:t>
            </w:r>
          </w:p>
        </w:tc>
        <w:tc>
          <w:tcPr>
            <w:tcW w:w="542" w:type="pct"/>
            <w:tcBorders>
              <w:top w:val="single" w:color="auto" w:sz="4" w:space="0"/>
              <w:left w:val="nil"/>
              <w:bottom w:val="single" w:color="auto" w:sz="4" w:space="0"/>
              <w:right w:val="single" w:color="auto" w:sz="8" w:space="0"/>
            </w:tcBorders>
            <w:noWrap w:val="0"/>
            <w:vAlign w:val="center"/>
          </w:tcPr>
          <w:p w14:paraId="2EE7B4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1484" w:type="pct"/>
            <w:tcBorders>
              <w:top w:val="single" w:color="auto" w:sz="4" w:space="0"/>
              <w:left w:val="nil"/>
              <w:bottom w:val="single" w:color="auto" w:sz="4" w:space="0"/>
              <w:right w:val="single" w:color="auto" w:sz="8" w:space="0"/>
            </w:tcBorders>
            <w:noWrap w:val="0"/>
            <w:vAlign w:val="center"/>
          </w:tcPr>
          <w:p w14:paraId="7D0D7A6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①是否已制定或具有相应的财务和业务管理制度；</w:t>
            </w:r>
          </w:p>
          <w:p w14:paraId="496428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②财务和业务管理制度是否合法、合规、完整。</w:t>
            </w:r>
          </w:p>
          <w:p w14:paraId="33899C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以上每条要素各占权重的50%，每有一条不符合，扣除对应的权重分，扣完为止。</w:t>
            </w:r>
          </w:p>
        </w:tc>
        <w:tc>
          <w:tcPr>
            <w:tcW w:w="261" w:type="pct"/>
            <w:tcBorders>
              <w:top w:val="single" w:color="auto" w:sz="4" w:space="0"/>
              <w:left w:val="nil"/>
              <w:bottom w:val="single" w:color="auto" w:sz="4" w:space="0"/>
              <w:right w:val="single" w:color="auto" w:sz="8" w:space="0"/>
            </w:tcBorders>
            <w:noWrap w:val="0"/>
            <w:vAlign w:val="center"/>
          </w:tcPr>
          <w:p w14:paraId="11DB8D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健全</w:t>
            </w:r>
          </w:p>
        </w:tc>
        <w:tc>
          <w:tcPr>
            <w:tcW w:w="395" w:type="pct"/>
            <w:tcBorders>
              <w:top w:val="single" w:color="auto" w:sz="4" w:space="0"/>
              <w:left w:val="nil"/>
              <w:bottom w:val="single" w:color="auto" w:sz="4" w:space="0"/>
              <w:right w:val="single" w:color="auto" w:sz="8" w:space="0"/>
            </w:tcBorders>
            <w:noWrap w:val="0"/>
            <w:vAlign w:val="center"/>
          </w:tcPr>
          <w:p w14:paraId="009179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A1646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2" w:type="pct"/>
            <w:vMerge w:val="continue"/>
            <w:tcBorders>
              <w:top w:val="nil"/>
              <w:left w:val="single" w:color="auto" w:sz="4" w:space="0"/>
              <w:bottom w:val="single" w:color="auto" w:sz="8" w:space="0"/>
              <w:right w:val="single" w:color="auto" w:sz="8" w:space="0"/>
            </w:tcBorders>
            <w:noWrap w:val="0"/>
            <w:vAlign w:val="center"/>
          </w:tcPr>
          <w:p w14:paraId="45FBC0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0B2684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74A4A0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4" w:space="0"/>
            </w:tcBorders>
            <w:noWrap w:val="0"/>
            <w:vAlign w:val="center"/>
          </w:tcPr>
          <w:p w14:paraId="546071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tcBorders>
              <w:top w:val="single" w:color="auto" w:sz="4" w:space="0"/>
              <w:left w:val="single" w:color="auto" w:sz="4" w:space="0"/>
              <w:bottom w:val="single" w:color="auto" w:sz="4" w:space="0"/>
              <w:right w:val="single" w:color="auto" w:sz="8" w:space="0"/>
            </w:tcBorders>
            <w:noWrap w:val="0"/>
            <w:vAlign w:val="center"/>
          </w:tcPr>
          <w:p w14:paraId="42A9AB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制度执行有效性</w:t>
            </w:r>
          </w:p>
        </w:tc>
        <w:tc>
          <w:tcPr>
            <w:tcW w:w="276" w:type="pct"/>
            <w:tcBorders>
              <w:top w:val="single" w:color="auto" w:sz="4" w:space="0"/>
              <w:left w:val="nil"/>
              <w:bottom w:val="single" w:color="auto" w:sz="4" w:space="0"/>
              <w:right w:val="single" w:color="auto" w:sz="8" w:space="0"/>
            </w:tcBorders>
            <w:noWrap w:val="0"/>
            <w:vAlign w:val="center"/>
          </w:tcPr>
          <w:p w14:paraId="276C3A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94" w:type="pct"/>
            <w:tcBorders>
              <w:top w:val="single" w:color="auto" w:sz="4" w:space="0"/>
              <w:left w:val="nil"/>
              <w:bottom w:val="single" w:color="auto" w:sz="4" w:space="0"/>
              <w:right w:val="single" w:color="auto" w:sz="8" w:space="0"/>
            </w:tcBorders>
            <w:noWrap w:val="0"/>
            <w:vAlign w:val="center"/>
          </w:tcPr>
          <w:p w14:paraId="09A322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项目实施是否符合相关管理规定，用以反映和考核相关管理制度的有效执行情况。</w:t>
            </w:r>
          </w:p>
        </w:tc>
        <w:tc>
          <w:tcPr>
            <w:tcW w:w="542" w:type="pct"/>
            <w:tcBorders>
              <w:top w:val="single" w:color="auto" w:sz="4" w:space="0"/>
              <w:left w:val="nil"/>
              <w:bottom w:val="single" w:color="auto" w:sz="4" w:space="0"/>
              <w:right w:val="single" w:color="auto" w:sz="8" w:space="0"/>
            </w:tcBorders>
            <w:noWrap w:val="0"/>
            <w:vAlign w:val="center"/>
          </w:tcPr>
          <w:p w14:paraId="087905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1484" w:type="pct"/>
            <w:tcBorders>
              <w:top w:val="single" w:color="auto" w:sz="4" w:space="0"/>
              <w:left w:val="nil"/>
              <w:bottom w:val="single" w:color="auto" w:sz="4" w:space="0"/>
              <w:right w:val="single" w:color="auto" w:sz="8" w:space="0"/>
            </w:tcBorders>
            <w:noWrap w:val="0"/>
            <w:vAlign w:val="center"/>
          </w:tcPr>
          <w:p w14:paraId="59CCE0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①否遵守相关法律法规和相关管理规定；</w:t>
            </w:r>
          </w:p>
          <w:p w14:paraId="1B191B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②项目调整及支出调整手续是否完备；</w:t>
            </w:r>
          </w:p>
          <w:p w14:paraId="6ADCBC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③项目资料是否齐全并及时归档。</w:t>
            </w:r>
          </w:p>
          <w:p w14:paraId="5B1B7C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①②③齐全得权重分的100%，缺①扣权重分的30%，缺②扣权重分的40%，缺③扣权重分的30%。</w:t>
            </w:r>
          </w:p>
        </w:tc>
        <w:tc>
          <w:tcPr>
            <w:tcW w:w="261" w:type="pct"/>
            <w:tcBorders>
              <w:top w:val="single" w:color="auto" w:sz="4" w:space="0"/>
              <w:left w:val="nil"/>
              <w:bottom w:val="single" w:color="auto" w:sz="4" w:space="0"/>
              <w:right w:val="single" w:color="auto" w:sz="8" w:space="0"/>
            </w:tcBorders>
            <w:noWrap w:val="0"/>
            <w:vAlign w:val="center"/>
          </w:tcPr>
          <w:p w14:paraId="1FA5FF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w:t>
            </w:r>
          </w:p>
        </w:tc>
        <w:tc>
          <w:tcPr>
            <w:tcW w:w="395" w:type="pct"/>
            <w:tcBorders>
              <w:top w:val="single" w:color="auto" w:sz="4" w:space="0"/>
              <w:left w:val="nil"/>
              <w:bottom w:val="single" w:color="auto" w:sz="4" w:space="0"/>
              <w:right w:val="single" w:color="auto" w:sz="4" w:space="0"/>
            </w:tcBorders>
            <w:noWrap w:val="0"/>
            <w:vAlign w:val="center"/>
          </w:tcPr>
          <w:p w14:paraId="509C1E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167AEB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42" w:type="pct"/>
            <w:vMerge w:val="restart"/>
            <w:tcBorders>
              <w:top w:val="nil"/>
              <w:left w:val="single" w:color="auto" w:sz="8" w:space="0"/>
              <w:bottom w:val="single" w:color="auto" w:sz="8" w:space="0"/>
              <w:right w:val="single" w:color="auto" w:sz="8" w:space="0"/>
            </w:tcBorders>
            <w:noWrap w:val="0"/>
            <w:vAlign w:val="center"/>
          </w:tcPr>
          <w:p w14:paraId="4B9DDB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项目产出</w:t>
            </w:r>
          </w:p>
        </w:tc>
        <w:tc>
          <w:tcPr>
            <w:tcW w:w="207" w:type="pct"/>
            <w:vMerge w:val="restart"/>
            <w:tcBorders>
              <w:top w:val="nil"/>
              <w:left w:val="nil"/>
              <w:bottom w:val="single" w:color="auto" w:sz="8" w:space="0"/>
              <w:right w:val="single" w:color="auto" w:sz="8" w:space="0"/>
            </w:tcBorders>
            <w:noWrap w:val="0"/>
            <w:vAlign w:val="center"/>
          </w:tcPr>
          <w:p w14:paraId="5A1317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40</w:t>
            </w:r>
          </w:p>
        </w:tc>
        <w:tc>
          <w:tcPr>
            <w:tcW w:w="256" w:type="pct"/>
            <w:vMerge w:val="restart"/>
            <w:tcBorders>
              <w:top w:val="nil"/>
              <w:left w:val="nil"/>
              <w:bottom w:val="single" w:color="auto" w:sz="8" w:space="0"/>
              <w:right w:val="single" w:color="auto" w:sz="8" w:space="0"/>
            </w:tcBorders>
            <w:noWrap w:val="0"/>
            <w:vAlign w:val="center"/>
          </w:tcPr>
          <w:p w14:paraId="471B815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产出数量</w:t>
            </w:r>
          </w:p>
        </w:tc>
        <w:tc>
          <w:tcPr>
            <w:tcW w:w="242" w:type="pct"/>
            <w:vMerge w:val="restart"/>
            <w:tcBorders>
              <w:top w:val="nil"/>
              <w:left w:val="nil"/>
              <w:bottom w:val="single" w:color="auto" w:sz="8" w:space="0"/>
              <w:right w:val="single" w:color="auto" w:sz="8" w:space="0"/>
            </w:tcBorders>
            <w:noWrap w:val="0"/>
            <w:vAlign w:val="center"/>
          </w:tcPr>
          <w:p w14:paraId="56B545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95" w:type="pct"/>
            <w:vMerge w:val="restart"/>
            <w:tcBorders>
              <w:top w:val="single" w:color="auto" w:sz="4" w:space="0"/>
              <w:left w:val="nil"/>
              <w:bottom w:val="single" w:color="auto" w:sz="8" w:space="0"/>
              <w:right w:val="single" w:color="auto" w:sz="8" w:space="0"/>
            </w:tcBorders>
            <w:noWrap w:val="0"/>
            <w:vAlign w:val="center"/>
          </w:tcPr>
          <w:p w14:paraId="056A59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w:t>
            </w:r>
          </w:p>
        </w:tc>
        <w:tc>
          <w:tcPr>
            <w:tcW w:w="276" w:type="pct"/>
            <w:vMerge w:val="restart"/>
            <w:tcBorders>
              <w:top w:val="single" w:color="auto" w:sz="4" w:space="0"/>
              <w:left w:val="nil"/>
              <w:bottom w:val="single" w:color="auto" w:sz="8" w:space="0"/>
              <w:right w:val="single" w:color="auto" w:sz="8" w:space="0"/>
            </w:tcBorders>
            <w:noWrap w:val="0"/>
            <w:vAlign w:val="center"/>
          </w:tcPr>
          <w:p w14:paraId="37F4C3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94" w:type="pct"/>
            <w:tcBorders>
              <w:top w:val="single" w:color="auto" w:sz="4" w:space="0"/>
              <w:left w:val="single" w:color="auto" w:sz="4" w:space="0"/>
              <w:bottom w:val="single" w:color="auto" w:sz="4" w:space="0"/>
              <w:right w:val="nil"/>
            </w:tcBorders>
            <w:noWrap/>
            <w:vAlign w:val="center"/>
          </w:tcPr>
          <w:p w14:paraId="093F3E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购买服装、设备、道具批数</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61F126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≥1批</w:t>
            </w:r>
          </w:p>
        </w:tc>
        <w:tc>
          <w:tcPr>
            <w:tcW w:w="1484" w:type="pct"/>
            <w:vMerge w:val="restart"/>
            <w:tcBorders>
              <w:top w:val="single" w:color="auto" w:sz="4" w:space="0"/>
              <w:left w:val="single" w:color="auto" w:sz="4" w:space="0"/>
              <w:bottom w:val="single" w:color="auto" w:sz="4" w:space="0"/>
              <w:right w:val="single" w:color="auto" w:sz="4" w:space="0"/>
            </w:tcBorders>
            <w:noWrap w:val="0"/>
            <w:vAlign w:val="center"/>
          </w:tcPr>
          <w:p w14:paraId="2B0223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实际完成率=（实际完成/预期完成）×100%。</w:t>
            </w:r>
          </w:p>
          <w:p w14:paraId="40603E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①实际完成率≥100%，且偏离程度＜20%，得满分；</w:t>
            </w:r>
          </w:p>
          <w:p w14:paraId="3393D2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②实际完成率≥100%，偏离程度≥20%，得0分；③实际完成率×100%＜100%，得分=实际完成率×指标分值。</w:t>
            </w:r>
          </w:p>
        </w:tc>
        <w:tc>
          <w:tcPr>
            <w:tcW w:w="261" w:type="pct"/>
            <w:tcBorders>
              <w:top w:val="single" w:color="auto" w:sz="4" w:space="0"/>
              <w:left w:val="single" w:color="auto" w:sz="4" w:space="0"/>
              <w:bottom w:val="single" w:color="auto" w:sz="4" w:space="0"/>
              <w:right w:val="single" w:color="auto" w:sz="4" w:space="0"/>
            </w:tcBorders>
            <w:noWrap w:val="0"/>
            <w:vAlign w:val="center"/>
          </w:tcPr>
          <w:p w14:paraId="12B5E9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=1批</w:t>
            </w:r>
          </w:p>
        </w:tc>
        <w:tc>
          <w:tcPr>
            <w:tcW w:w="395" w:type="pct"/>
            <w:vMerge w:val="restart"/>
            <w:tcBorders>
              <w:top w:val="single" w:color="auto" w:sz="4" w:space="0"/>
              <w:left w:val="nil"/>
              <w:bottom w:val="single" w:color="auto" w:sz="8" w:space="0"/>
              <w:right w:val="single" w:color="auto" w:sz="8" w:space="0"/>
            </w:tcBorders>
            <w:noWrap w:val="0"/>
            <w:vAlign w:val="center"/>
          </w:tcPr>
          <w:p w14:paraId="5B3529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4778C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605D48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24ED43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69621C2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8" w:space="0"/>
            </w:tcBorders>
            <w:noWrap w:val="0"/>
            <w:vAlign w:val="center"/>
          </w:tcPr>
          <w:p w14:paraId="332D5A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vMerge w:val="continue"/>
            <w:tcBorders>
              <w:top w:val="nil"/>
              <w:left w:val="nil"/>
              <w:bottom w:val="single" w:color="auto" w:sz="8" w:space="0"/>
              <w:right w:val="single" w:color="auto" w:sz="8" w:space="0"/>
            </w:tcBorders>
            <w:noWrap w:val="0"/>
            <w:vAlign w:val="center"/>
          </w:tcPr>
          <w:p w14:paraId="3530A0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6" w:type="pct"/>
            <w:vMerge w:val="continue"/>
            <w:tcBorders>
              <w:top w:val="nil"/>
              <w:left w:val="nil"/>
              <w:bottom w:val="single" w:color="auto" w:sz="8" w:space="0"/>
              <w:right w:val="single" w:color="auto" w:sz="8" w:space="0"/>
            </w:tcBorders>
            <w:noWrap w:val="0"/>
            <w:vAlign w:val="center"/>
          </w:tcPr>
          <w:p w14:paraId="4A8B41C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94" w:type="pct"/>
            <w:tcBorders>
              <w:top w:val="single" w:color="auto" w:sz="4" w:space="0"/>
              <w:left w:val="single" w:color="auto" w:sz="4" w:space="0"/>
              <w:bottom w:val="single" w:color="auto" w:sz="4" w:space="0"/>
              <w:right w:val="nil"/>
            </w:tcBorders>
            <w:noWrap/>
            <w:vAlign w:val="center"/>
          </w:tcPr>
          <w:p w14:paraId="03BAAB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保障车辆数量</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10A92B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=2辆</w:t>
            </w:r>
          </w:p>
        </w:tc>
        <w:tc>
          <w:tcPr>
            <w:tcW w:w="1484" w:type="pct"/>
            <w:vMerge w:val="continue"/>
            <w:tcBorders>
              <w:top w:val="single" w:color="auto" w:sz="4" w:space="0"/>
              <w:left w:val="single" w:color="auto" w:sz="4" w:space="0"/>
              <w:bottom w:val="single" w:color="auto" w:sz="4" w:space="0"/>
              <w:right w:val="single" w:color="auto" w:sz="4" w:space="0"/>
            </w:tcBorders>
            <w:noWrap w:val="0"/>
            <w:vAlign w:val="center"/>
          </w:tcPr>
          <w:p w14:paraId="75BFE2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p>
        </w:tc>
        <w:tc>
          <w:tcPr>
            <w:tcW w:w="261" w:type="pct"/>
            <w:tcBorders>
              <w:top w:val="single" w:color="auto" w:sz="4" w:space="0"/>
              <w:left w:val="single" w:color="auto" w:sz="4" w:space="0"/>
              <w:bottom w:val="single" w:color="auto" w:sz="4" w:space="0"/>
              <w:right w:val="single" w:color="auto" w:sz="4" w:space="0"/>
            </w:tcBorders>
            <w:noWrap w:val="0"/>
            <w:vAlign w:val="center"/>
          </w:tcPr>
          <w:p w14:paraId="5CF60E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=2辆</w:t>
            </w:r>
          </w:p>
        </w:tc>
        <w:tc>
          <w:tcPr>
            <w:tcW w:w="395" w:type="pct"/>
            <w:vMerge w:val="continue"/>
            <w:tcBorders>
              <w:top w:val="nil"/>
              <w:left w:val="nil"/>
              <w:bottom w:val="single" w:color="auto" w:sz="8" w:space="0"/>
              <w:right w:val="single" w:color="auto" w:sz="8" w:space="0"/>
            </w:tcBorders>
            <w:noWrap w:val="0"/>
            <w:vAlign w:val="center"/>
          </w:tcPr>
          <w:p w14:paraId="5E5F4A4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2781F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0776694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2D4388B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0F5AB9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8" w:space="0"/>
            </w:tcBorders>
            <w:noWrap w:val="0"/>
            <w:vAlign w:val="center"/>
          </w:tcPr>
          <w:p w14:paraId="7F5D245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vMerge w:val="continue"/>
            <w:tcBorders>
              <w:top w:val="nil"/>
              <w:left w:val="nil"/>
              <w:bottom w:val="single" w:color="auto" w:sz="8" w:space="0"/>
              <w:right w:val="single" w:color="auto" w:sz="8" w:space="0"/>
            </w:tcBorders>
            <w:noWrap w:val="0"/>
            <w:vAlign w:val="center"/>
          </w:tcPr>
          <w:p w14:paraId="164D022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6" w:type="pct"/>
            <w:vMerge w:val="continue"/>
            <w:tcBorders>
              <w:top w:val="nil"/>
              <w:left w:val="nil"/>
              <w:bottom w:val="single" w:color="auto" w:sz="8" w:space="0"/>
              <w:right w:val="single" w:color="auto" w:sz="8" w:space="0"/>
            </w:tcBorders>
            <w:noWrap w:val="0"/>
            <w:vAlign w:val="center"/>
          </w:tcPr>
          <w:p w14:paraId="13C9F86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94" w:type="pct"/>
            <w:tcBorders>
              <w:top w:val="single" w:color="auto" w:sz="4" w:space="0"/>
              <w:left w:val="single" w:color="auto" w:sz="4" w:space="0"/>
              <w:bottom w:val="single" w:color="auto" w:sz="4" w:space="0"/>
              <w:right w:val="nil"/>
            </w:tcBorders>
            <w:noWrap/>
            <w:vAlign w:val="center"/>
          </w:tcPr>
          <w:p w14:paraId="2E14FC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临聘人员数量</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6A8ECA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=6人</w:t>
            </w:r>
          </w:p>
        </w:tc>
        <w:tc>
          <w:tcPr>
            <w:tcW w:w="1484" w:type="pct"/>
            <w:vMerge w:val="continue"/>
            <w:tcBorders>
              <w:top w:val="single" w:color="auto" w:sz="4" w:space="0"/>
              <w:left w:val="single" w:color="auto" w:sz="4" w:space="0"/>
              <w:bottom w:val="single" w:color="auto" w:sz="4" w:space="0"/>
              <w:right w:val="single" w:color="auto" w:sz="4" w:space="0"/>
            </w:tcBorders>
            <w:noWrap w:val="0"/>
            <w:vAlign w:val="center"/>
          </w:tcPr>
          <w:p w14:paraId="4F5DE7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p>
        </w:tc>
        <w:tc>
          <w:tcPr>
            <w:tcW w:w="261" w:type="pct"/>
            <w:tcBorders>
              <w:top w:val="single" w:color="auto" w:sz="4" w:space="0"/>
              <w:left w:val="single" w:color="auto" w:sz="4" w:space="0"/>
              <w:bottom w:val="single" w:color="auto" w:sz="4" w:space="0"/>
              <w:right w:val="single" w:color="auto" w:sz="4" w:space="0"/>
            </w:tcBorders>
            <w:noWrap w:val="0"/>
            <w:vAlign w:val="center"/>
          </w:tcPr>
          <w:p w14:paraId="092F68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=6人</w:t>
            </w:r>
          </w:p>
        </w:tc>
        <w:tc>
          <w:tcPr>
            <w:tcW w:w="395" w:type="pct"/>
            <w:vMerge w:val="continue"/>
            <w:tcBorders>
              <w:top w:val="nil"/>
              <w:left w:val="nil"/>
              <w:bottom w:val="single" w:color="auto" w:sz="8" w:space="0"/>
              <w:right w:val="single" w:color="auto" w:sz="8" w:space="0"/>
            </w:tcBorders>
            <w:noWrap w:val="0"/>
            <w:vAlign w:val="center"/>
          </w:tcPr>
          <w:p w14:paraId="6782B11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111906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2BC5CB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32A871D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restart"/>
            <w:tcBorders>
              <w:top w:val="nil"/>
              <w:left w:val="nil"/>
              <w:bottom w:val="single" w:color="auto" w:sz="8" w:space="0"/>
              <w:right w:val="single" w:color="auto" w:sz="8" w:space="0"/>
            </w:tcBorders>
            <w:noWrap w:val="0"/>
            <w:vAlign w:val="center"/>
          </w:tcPr>
          <w:p w14:paraId="41AC6B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产出质量</w:t>
            </w:r>
          </w:p>
        </w:tc>
        <w:tc>
          <w:tcPr>
            <w:tcW w:w="242" w:type="pct"/>
            <w:vMerge w:val="restart"/>
            <w:tcBorders>
              <w:top w:val="nil"/>
              <w:left w:val="nil"/>
              <w:bottom w:val="single" w:color="auto" w:sz="8" w:space="0"/>
              <w:right w:val="single" w:color="auto" w:sz="8" w:space="0"/>
            </w:tcBorders>
            <w:noWrap w:val="0"/>
            <w:vAlign w:val="center"/>
          </w:tcPr>
          <w:p w14:paraId="2B7E4D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95" w:type="pct"/>
            <w:vMerge w:val="restart"/>
            <w:tcBorders>
              <w:top w:val="nil"/>
              <w:left w:val="nil"/>
              <w:bottom w:val="single" w:color="auto" w:sz="8" w:space="0"/>
              <w:right w:val="single" w:color="auto" w:sz="8" w:space="0"/>
            </w:tcBorders>
            <w:noWrap w:val="0"/>
            <w:vAlign w:val="center"/>
          </w:tcPr>
          <w:p w14:paraId="6AD8EE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质量达标率</w:t>
            </w:r>
          </w:p>
        </w:tc>
        <w:tc>
          <w:tcPr>
            <w:tcW w:w="276" w:type="pct"/>
            <w:vMerge w:val="restart"/>
            <w:tcBorders>
              <w:top w:val="nil"/>
              <w:left w:val="nil"/>
              <w:bottom w:val="single" w:color="auto" w:sz="8" w:space="0"/>
              <w:right w:val="single" w:color="auto" w:sz="8" w:space="0"/>
            </w:tcBorders>
            <w:noWrap w:val="0"/>
            <w:vAlign w:val="center"/>
          </w:tcPr>
          <w:p w14:paraId="3615F0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94" w:type="pct"/>
            <w:tcBorders>
              <w:top w:val="single" w:color="auto" w:sz="4" w:space="0"/>
              <w:left w:val="single" w:color="auto" w:sz="4" w:space="0"/>
              <w:bottom w:val="single" w:color="auto" w:sz="4" w:space="0"/>
              <w:right w:val="nil"/>
            </w:tcBorders>
            <w:noWrap/>
            <w:vAlign w:val="center"/>
          </w:tcPr>
          <w:p w14:paraId="727150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演出合格率</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2D875A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484" w:type="pct"/>
            <w:vMerge w:val="restart"/>
            <w:tcBorders>
              <w:top w:val="single" w:color="auto" w:sz="4" w:space="0"/>
              <w:left w:val="nil"/>
              <w:bottom w:val="single" w:color="auto" w:sz="4" w:space="0"/>
              <w:right w:val="single" w:color="auto" w:sz="8" w:space="0"/>
            </w:tcBorders>
            <w:noWrap w:val="0"/>
            <w:vAlign w:val="center"/>
          </w:tcPr>
          <w:p w14:paraId="08BBE8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若指标达到标杆值，则得100%权重分；否则，得分=（实际完成/预期完成）×100%×指标分值。若指标完成值达到标杆值，则得100%权重分；否则，不得分。</w:t>
            </w:r>
          </w:p>
        </w:tc>
        <w:tc>
          <w:tcPr>
            <w:tcW w:w="261" w:type="pct"/>
            <w:tcBorders>
              <w:top w:val="single" w:color="auto" w:sz="4" w:space="0"/>
              <w:left w:val="single" w:color="auto" w:sz="4" w:space="0"/>
              <w:bottom w:val="single" w:color="auto" w:sz="4" w:space="0"/>
              <w:right w:val="single" w:color="auto" w:sz="4" w:space="0"/>
            </w:tcBorders>
            <w:noWrap w:val="0"/>
            <w:vAlign w:val="center"/>
          </w:tcPr>
          <w:p w14:paraId="5805AD9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95" w:type="pct"/>
            <w:vMerge w:val="restart"/>
            <w:tcBorders>
              <w:top w:val="nil"/>
              <w:left w:val="nil"/>
              <w:bottom w:val="single" w:color="auto" w:sz="8" w:space="0"/>
              <w:right w:val="single" w:color="auto" w:sz="8" w:space="0"/>
            </w:tcBorders>
            <w:noWrap w:val="0"/>
            <w:vAlign w:val="center"/>
          </w:tcPr>
          <w:p w14:paraId="6085C4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2B7511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6919CA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6F2660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6AD0A5F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8" w:space="0"/>
            </w:tcBorders>
            <w:noWrap w:val="0"/>
            <w:vAlign w:val="center"/>
          </w:tcPr>
          <w:p w14:paraId="4AB2B0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vMerge w:val="continue"/>
            <w:tcBorders>
              <w:top w:val="nil"/>
              <w:left w:val="nil"/>
              <w:bottom w:val="single" w:color="auto" w:sz="8" w:space="0"/>
              <w:right w:val="single" w:color="auto" w:sz="8" w:space="0"/>
            </w:tcBorders>
            <w:noWrap w:val="0"/>
            <w:vAlign w:val="center"/>
          </w:tcPr>
          <w:p w14:paraId="29E5725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6" w:type="pct"/>
            <w:vMerge w:val="continue"/>
            <w:tcBorders>
              <w:top w:val="nil"/>
              <w:left w:val="nil"/>
              <w:bottom w:val="single" w:color="auto" w:sz="8" w:space="0"/>
              <w:right w:val="single" w:color="auto" w:sz="8" w:space="0"/>
            </w:tcBorders>
            <w:noWrap w:val="0"/>
            <w:vAlign w:val="center"/>
          </w:tcPr>
          <w:p w14:paraId="654614F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94" w:type="pct"/>
            <w:tcBorders>
              <w:top w:val="single" w:color="auto" w:sz="4" w:space="0"/>
              <w:left w:val="single" w:color="auto" w:sz="4" w:space="0"/>
              <w:bottom w:val="single" w:color="auto" w:sz="4" w:space="0"/>
              <w:right w:val="nil"/>
            </w:tcBorders>
            <w:noWrap/>
            <w:vAlign w:val="center"/>
          </w:tcPr>
          <w:p w14:paraId="668A948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质量验收合格率</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726A04E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484" w:type="pct"/>
            <w:vMerge w:val="continue"/>
            <w:tcBorders>
              <w:top w:val="single" w:color="auto" w:sz="4" w:space="0"/>
              <w:left w:val="nil"/>
              <w:bottom w:val="single" w:color="auto" w:sz="4" w:space="0"/>
              <w:right w:val="single" w:color="auto" w:sz="8" w:space="0"/>
            </w:tcBorders>
            <w:noWrap w:val="0"/>
            <w:vAlign w:val="center"/>
          </w:tcPr>
          <w:p w14:paraId="222627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1" w:type="pct"/>
            <w:tcBorders>
              <w:top w:val="single" w:color="auto" w:sz="4" w:space="0"/>
              <w:left w:val="single" w:color="auto" w:sz="4" w:space="0"/>
              <w:bottom w:val="single" w:color="auto" w:sz="4" w:space="0"/>
              <w:right w:val="single" w:color="auto" w:sz="4" w:space="0"/>
            </w:tcBorders>
            <w:noWrap w:val="0"/>
            <w:vAlign w:val="center"/>
          </w:tcPr>
          <w:p w14:paraId="432381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95" w:type="pct"/>
            <w:vMerge w:val="continue"/>
            <w:tcBorders>
              <w:top w:val="nil"/>
              <w:left w:val="nil"/>
              <w:bottom w:val="single" w:color="auto" w:sz="8" w:space="0"/>
              <w:right w:val="single" w:color="auto" w:sz="8" w:space="0"/>
            </w:tcBorders>
            <w:noWrap w:val="0"/>
            <w:vAlign w:val="center"/>
          </w:tcPr>
          <w:p w14:paraId="125484C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385BD0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0D7129F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6253AD7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3A359AB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8" w:space="0"/>
            </w:tcBorders>
            <w:noWrap w:val="0"/>
            <w:vAlign w:val="center"/>
          </w:tcPr>
          <w:p w14:paraId="3E7C92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vMerge w:val="continue"/>
            <w:tcBorders>
              <w:top w:val="nil"/>
              <w:left w:val="nil"/>
              <w:bottom w:val="single" w:color="auto" w:sz="8" w:space="0"/>
              <w:right w:val="single" w:color="auto" w:sz="8" w:space="0"/>
            </w:tcBorders>
            <w:noWrap w:val="0"/>
            <w:vAlign w:val="center"/>
          </w:tcPr>
          <w:p w14:paraId="2C3895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6" w:type="pct"/>
            <w:vMerge w:val="continue"/>
            <w:tcBorders>
              <w:top w:val="nil"/>
              <w:left w:val="nil"/>
              <w:bottom w:val="single" w:color="auto" w:sz="8" w:space="0"/>
              <w:right w:val="single" w:color="auto" w:sz="8" w:space="0"/>
            </w:tcBorders>
            <w:noWrap w:val="0"/>
            <w:vAlign w:val="center"/>
          </w:tcPr>
          <w:p w14:paraId="6E201E3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94" w:type="pct"/>
            <w:tcBorders>
              <w:top w:val="single" w:color="auto" w:sz="4" w:space="0"/>
              <w:left w:val="single" w:color="auto" w:sz="4" w:space="0"/>
              <w:bottom w:val="single" w:color="auto" w:sz="4" w:space="0"/>
              <w:right w:val="nil"/>
            </w:tcBorders>
            <w:noWrap/>
            <w:vAlign w:val="center"/>
          </w:tcPr>
          <w:p w14:paraId="1EF9DF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资金使用合规率</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315723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484" w:type="pct"/>
            <w:vMerge w:val="continue"/>
            <w:tcBorders>
              <w:top w:val="single" w:color="auto" w:sz="4" w:space="0"/>
              <w:left w:val="nil"/>
              <w:bottom w:val="single" w:color="auto" w:sz="4" w:space="0"/>
              <w:right w:val="single" w:color="auto" w:sz="8" w:space="0"/>
            </w:tcBorders>
            <w:noWrap w:val="0"/>
            <w:vAlign w:val="center"/>
          </w:tcPr>
          <w:p w14:paraId="2B243B0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61" w:type="pct"/>
            <w:tcBorders>
              <w:top w:val="single" w:color="auto" w:sz="4" w:space="0"/>
              <w:left w:val="single" w:color="auto" w:sz="4" w:space="0"/>
              <w:bottom w:val="single" w:color="auto" w:sz="4" w:space="0"/>
              <w:right w:val="single" w:color="auto" w:sz="4" w:space="0"/>
            </w:tcBorders>
            <w:noWrap w:val="0"/>
            <w:vAlign w:val="center"/>
          </w:tcPr>
          <w:p w14:paraId="6705DE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95" w:type="pct"/>
            <w:vMerge w:val="continue"/>
            <w:tcBorders>
              <w:top w:val="nil"/>
              <w:left w:val="nil"/>
              <w:bottom w:val="single" w:color="auto" w:sz="8" w:space="0"/>
              <w:right w:val="single" w:color="auto" w:sz="8" w:space="0"/>
            </w:tcBorders>
            <w:noWrap w:val="0"/>
            <w:vAlign w:val="center"/>
          </w:tcPr>
          <w:p w14:paraId="695BA8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58AF3D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8"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390A4A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2BBF1F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restart"/>
            <w:tcBorders>
              <w:top w:val="nil"/>
              <w:left w:val="nil"/>
              <w:bottom w:val="single" w:color="auto" w:sz="8" w:space="0"/>
              <w:right w:val="single" w:color="auto" w:sz="8" w:space="0"/>
            </w:tcBorders>
            <w:noWrap w:val="0"/>
            <w:vAlign w:val="center"/>
          </w:tcPr>
          <w:p w14:paraId="139F74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产出时效</w:t>
            </w:r>
          </w:p>
        </w:tc>
        <w:tc>
          <w:tcPr>
            <w:tcW w:w="242" w:type="pct"/>
            <w:vMerge w:val="restart"/>
            <w:tcBorders>
              <w:top w:val="nil"/>
              <w:left w:val="nil"/>
              <w:bottom w:val="single" w:color="auto" w:sz="8" w:space="0"/>
              <w:right w:val="single" w:color="auto" w:sz="8" w:space="0"/>
            </w:tcBorders>
            <w:noWrap w:val="0"/>
            <w:vAlign w:val="center"/>
          </w:tcPr>
          <w:p w14:paraId="21EDF4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95" w:type="pct"/>
            <w:vMerge w:val="restart"/>
            <w:tcBorders>
              <w:top w:val="nil"/>
              <w:left w:val="nil"/>
              <w:bottom w:val="single" w:color="auto" w:sz="8" w:space="0"/>
              <w:right w:val="single" w:color="auto" w:sz="8" w:space="0"/>
            </w:tcBorders>
            <w:noWrap w:val="0"/>
            <w:vAlign w:val="center"/>
          </w:tcPr>
          <w:p w14:paraId="663077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完成及时率</w:t>
            </w:r>
          </w:p>
        </w:tc>
        <w:tc>
          <w:tcPr>
            <w:tcW w:w="276" w:type="pct"/>
            <w:vMerge w:val="restart"/>
            <w:tcBorders>
              <w:top w:val="nil"/>
              <w:left w:val="nil"/>
              <w:bottom w:val="single" w:color="auto" w:sz="8" w:space="0"/>
              <w:right w:val="single" w:color="auto" w:sz="8" w:space="0"/>
            </w:tcBorders>
            <w:noWrap w:val="0"/>
            <w:vAlign w:val="center"/>
          </w:tcPr>
          <w:p w14:paraId="7DE6D3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94" w:type="pct"/>
            <w:tcBorders>
              <w:top w:val="single" w:color="auto" w:sz="4" w:space="0"/>
              <w:left w:val="single" w:color="auto" w:sz="4" w:space="0"/>
              <w:bottom w:val="single" w:color="auto" w:sz="4" w:space="0"/>
              <w:right w:val="nil"/>
            </w:tcBorders>
            <w:noWrap/>
            <w:vAlign w:val="center"/>
          </w:tcPr>
          <w:p w14:paraId="4CD2E3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项目完成时间</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529692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1484" w:type="pct"/>
            <w:vMerge w:val="restart"/>
            <w:tcBorders>
              <w:top w:val="single" w:color="auto" w:sz="4" w:space="0"/>
              <w:left w:val="nil"/>
              <w:right w:val="single" w:color="auto" w:sz="8" w:space="0"/>
            </w:tcBorders>
            <w:noWrap w:val="0"/>
            <w:vAlign w:val="center"/>
          </w:tcPr>
          <w:p w14:paraId="54C180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21"/>
                <w:szCs w:val="21"/>
                <w:u w:val="none"/>
                <w:lang w:val="en-US" w:eastAsia="zh-CN"/>
              </w:rPr>
            </w:pPr>
            <w:r>
              <w:rPr>
                <w:rFonts w:hint="eastAsia" w:ascii="宋体" w:hAnsi="宋体" w:eastAsia="宋体" w:cs="宋体"/>
                <w:i w:val="0"/>
                <w:iCs w:val="0"/>
                <w:color w:val="000000"/>
                <w:kern w:val="0"/>
                <w:sz w:val="21"/>
                <w:szCs w:val="21"/>
                <w:u w:val="none"/>
                <w:lang w:val="en-US" w:eastAsia="zh-CN"/>
              </w:rPr>
              <w:t>若指标完成值达到标杆值，则得100%权重分；否则，得分=（实际完成/预期完成）×100%×指标分值。</w:t>
            </w:r>
          </w:p>
          <w:p w14:paraId="598E64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若在规定时间内完成，得100%权重分；若未在规定的时间内完成，得分=（1-未在规定时间内完成工作数/实际完成工作总数）×分值。</w:t>
            </w:r>
          </w:p>
        </w:tc>
        <w:tc>
          <w:tcPr>
            <w:tcW w:w="261" w:type="pct"/>
            <w:tcBorders>
              <w:top w:val="single" w:color="auto" w:sz="4" w:space="0"/>
              <w:left w:val="single" w:color="auto" w:sz="4" w:space="0"/>
              <w:bottom w:val="single" w:color="auto" w:sz="4" w:space="0"/>
              <w:right w:val="single" w:color="auto" w:sz="4" w:space="0"/>
            </w:tcBorders>
            <w:noWrap w:val="0"/>
            <w:vAlign w:val="center"/>
          </w:tcPr>
          <w:p w14:paraId="22323A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=2024年12月</w:t>
            </w:r>
          </w:p>
        </w:tc>
        <w:tc>
          <w:tcPr>
            <w:tcW w:w="395" w:type="pct"/>
            <w:vMerge w:val="restart"/>
            <w:tcBorders>
              <w:top w:val="nil"/>
              <w:left w:val="nil"/>
              <w:bottom w:val="single" w:color="auto" w:sz="8" w:space="0"/>
              <w:right w:val="single" w:color="auto" w:sz="8" w:space="0"/>
            </w:tcBorders>
            <w:noWrap w:val="0"/>
            <w:vAlign w:val="center"/>
          </w:tcPr>
          <w:p w14:paraId="334069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6EA2F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48413A0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210FF0B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64B407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8" w:space="0"/>
            </w:tcBorders>
            <w:noWrap w:val="0"/>
            <w:vAlign w:val="center"/>
          </w:tcPr>
          <w:p w14:paraId="7C84BEA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vMerge w:val="continue"/>
            <w:tcBorders>
              <w:top w:val="nil"/>
              <w:left w:val="nil"/>
              <w:bottom w:val="single" w:color="auto" w:sz="8" w:space="0"/>
              <w:right w:val="single" w:color="auto" w:sz="8" w:space="0"/>
            </w:tcBorders>
            <w:noWrap w:val="0"/>
            <w:vAlign w:val="center"/>
          </w:tcPr>
          <w:p w14:paraId="68D7C74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6" w:type="pct"/>
            <w:vMerge w:val="continue"/>
            <w:tcBorders>
              <w:top w:val="nil"/>
              <w:left w:val="nil"/>
              <w:bottom w:val="single" w:color="auto" w:sz="8" w:space="0"/>
              <w:right w:val="single" w:color="auto" w:sz="8" w:space="0"/>
            </w:tcBorders>
            <w:noWrap w:val="0"/>
            <w:vAlign w:val="center"/>
          </w:tcPr>
          <w:p w14:paraId="5957A99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94" w:type="pct"/>
            <w:tcBorders>
              <w:top w:val="single" w:color="auto" w:sz="4" w:space="0"/>
              <w:left w:val="single" w:color="auto" w:sz="4" w:space="0"/>
              <w:bottom w:val="single" w:color="auto" w:sz="4" w:space="0"/>
              <w:right w:val="nil"/>
            </w:tcBorders>
            <w:noWrap/>
            <w:vAlign w:val="center"/>
          </w:tcPr>
          <w:p w14:paraId="12523C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资金支付及时率</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6B1814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1484" w:type="pct"/>
            <w:vMerge w:val="continue"/>
            <w:tcBorders>
              <w:left w:val="nil"/>
              <w:bottom w:val="single" w:color="auto" w:sz="4" w:space="0"/>
              <w:right w:val="single" w:color="auto" w:sz="8" w:space="0"/>
            </w:tcBorders>
            <w:noWrap w:val="0"/>
            <w:vAlign w:val="center"/>
          </w:tcPr>
          <w:p w14:paraId="3A74EC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p>
        </w:tc>
        <w:tc>
          <w:tcPr>
            <w:tcW w:w="261" w:type="pct"/>
            <w:tcBorders>
              <w:top w:val="single" w:color="auto" w:sz="4" w:space="0"/>
              <w:left w:val="single" w:color="auto" w:sz="4" w:space="0"/>
              <w:bottom w:val="single" w:color="auto" w:sz="4" w:space="0"/>
              <w:right w:val="single" w:color="auto" w:sz="4" w:space="0"/>
            </w:tcBorders>
            <w:noWrap w:val="0"/>
            <w:vAlign w:val="center"/>
          </w:tcPr>
          <w:p w14:paraId="1D513A0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95" w:type="pct"/>
            <w:vMerge w:val="continue"/>
            <w:tcBorders>
              <w:top w:val="nil"/>
              <w:left w:val="nil"/>
              <w:bottom w:val="single" w:color="auto" w:sz="8" w:space="0"/>
              <w:right w:val="single" w:color="auto" w:sz="8" w:space="0"/>
            </w:tcBorders>
            <w:noWrap w:val="0"/>
            <w:vAlign w:val="center"/>
          </w:tcPr>
          <w:p w14:paraId="16CFFF6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250C8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57F996E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6FA9C2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restart"/>
            <w:tcBorders>
              <w:top w:val="nil"/>
              <w:left w:val="nil"/>
              <w:bottom w:val="single" w:color="auto" w:sz="8" w:space="0"/>
              <w:right w:val="single" w:color="auto" w:sz="8" w:space="0"/>
            </w:tcBorders>
            <w:noWrap w:val="0"/>
            <w:vAlign w:val="center"/>
          </w:tcPr>
          <w:p w14:paraId="6E44F8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产出成本</w:t>
            </w:r>
          </w:p>
        </w:tc>
        <w:tc>
          <w:tcPr>
            <w:tcW w:w="242" w:type="pct"/>
            <w:vMerge w:val="restart"/>
            <w:tcBorders>
              <w:top w:val="nil"/>
              <w:left w:val="nil"/>
              <w:bottom w:val="single" w:color="auto" w:sz="8" w:space="0"/>
              <w:right w:val="single" w:color="auto" w:sz="8" w:space="0"/>
            </w:tcBorders>
            <w:noWrap w:val="0"/>
            <w:vAlign w:val="center"/>
          </w:tcPr>
          <w:p w14:paraId="05AF52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295" w:type="pct"/>
            <w:vMerge w:val="restart"/>
            <w:tcBorders>
              <w:top w:val="nil"/>
              <w:left w:val="nil"/>
              <w:bottom w:val="single" w:color="auto" w:sz="8" w:space="0"/>
              <w:right w:val="single" w:color="auto" w:sz="8" w:space="0"/>
            </w:tcBorders>
            <w:noWrap w:val="0"/>
            <w:vAlign w:val="center"/>
          </w:tcPr>
          <w:p w14:paraId="7C8C97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成本节约率</w:t>
            </w:r>
          </w:p>
        </w:tc>
        <w:tc>
          <w:tcPr>
            <w:tcW w:w="276" w:type="pct"/>
            <w:vMerge w:val="restart"/>
            <w:tcBorders>
              <w:top w:val="nil"/>
              <w:left w:val="nil"/>
              <w:bottom w:val="single" w:color="auto" w:sz="8" w:space="0"/>
              <w:right w:val="single" w:color="auto" w:sz="8" w:space="0"/>
            </w:tcBorders>
            <w:noWrap w:val="0"/>
            <w:vAlign w:val="center"/>
          </w:tcPr>
          <w:p w14:paraId="0F3B41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94" w:type="pct"/>
            <w:tcBorders>
              <w:top w:val="single" w:color="auto" w:sz="4" w:space="0"/>
              <w:left w:val="single" w:color="auto" w:sz="4" w:space="0"/>
              <w:bottom w:val="single" w:color="auto" w:sz="4" w:space="0"/>
              <w:right w:val="nil"/>
            </w:tcBorders>
            <w:noWrap/>
            <w:vAlign w:val="center"/>
          </w:tcPr>
          <w:p w14:paraId="73BDCF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戏曲下乡演出费</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158C8E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≤22.50万元</w:t>
            </w:r>
          </w:p>
        </w:tc>
        <w:tc>
          <w:tcPr>
            <w:tcW w:w="1484" w:type="pct"/>
            <w:vMerge w:val="restart"/>
            <w:tcBorders>
              <w:top w:val="single" w:color="auto" w:sz="4" w:space="0"/>
              <w:left w:val="single" w:color="auto" w:sz="4" w:space="0"/>
              <w:bottom w:val="single" w:color="auto" w:sz="4" w:space="0"/>
              <w:right w:val="single" w:color="auto" w:sz="4" w:space="0"/>
            </w:tcBorders>
            <w:noWrap w:val="0"/>
            <w:vAlign w:val="center"/>
          </w:tcPr>
          <w:p w14:paraId="6D96E5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实际完成率=（实际支付资金数/计划应支付资金数）×100%。①实际完成率＞年度指标值，得0得分；②实际完成率≤年度指标值，且偏离程度＜20%，得满分；③实际完成率＜年度指标值，且偏离程度≥20%，得分=实际完成率×分值。</w:t>
            </w:r>
          </w:p>
        </w:tc>
        <w:tc>
          <w:tcPr>
            <w:tcW w:w="261" w:type="pct"/>
            <w:tcBorders>
              <w:top w:val="single" w:color="auto" w:sz="4" w:space="0"/>
              <w:left w:val="single" w:color="auto" w:sz="4" w:space="0"/>
              <w:bottom w:val="single" w:color="auto" w:sz="4" w:space="0"/>
              <w:right w:val="single" w:color="auto" w:sz="4" w:space="0"/>
            </w:tcBorders>
            <w:noWrap w:val="0"/>
            <w:vAlign w:val="center"/>
          </w:tcPr>
          <w:p w14:paraId="452A9F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=22.5万元</w:t>
            </w:r>
          </w:p>
        </w:tc>
        <w:tc>
          <w:tcPr>
            <w:tcW w:w="395" w:type="pct"/>
            <w:vMerge w:val="restart"/>
            <w:tcBorders>
              <w:top w:val="nil"/>
              <w:left w:val="nil"/>
              <w:bottom w:val="single" w:color="auto" w:sz="8" w:space="0"/>
              <w:right w:val="single" w:color="auto" w:sz="8" w:space="0"/>
            </w:tcBorders>
            <w:noWrap w:val="0"/>
            <w:vAlign w:val="center"/>
          </w:tcPr>
          <w:p w14:paraId="453E95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0AF7B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51E37D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0C76C8D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49FA4B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8" w:space="0"/>
            </w:tcBorders>
            <w:noWrap w:val="0"/>
            <w:vAlign w:val="center"/>
          </w:tcPr>
          <w:p w14:paraId="0E02C5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vMerge w:val="continue"/>
            <w:tcBorders>
              <w:top w:val="nil"/>
              <w:left w:val="nil"/>
              <w:bottom w:val="single" w:color="auto" w:sz="8" w:space="0"/>
              <w:right w:val="single" w:color="auto" w:sz="8" w:space="0"/>
            </w:tcBorders>
            <w:noWrap w:val="0"/>
            <w:vAlign w:val="center"/>
          </w:tcPr>
          <w:p w14:paraId="7BD6B32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6" w:type="pct"/>
            <w:vMerge w:val="continue"/>
            <w:tcBorders>
              <w:top w:val="nil"/>
              <w:left w:val="nil"/>
              <w:bottom w:val="single" w:color="auto" w:sz="8" w:space="0"/>
              <w:right w:val="single" w:color="auto" w:sz="8" w:space="0"/>
            </w:tcBorders>
            <w:noWrap w:val="0"/>
            <w:vAlign w:val="center"/>
          </w:tcPr>
          <w:p w14:paraId="034734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794" w:type="pct"/>
            <w:tcBorders>
              <w:top w:val="single" w:color="auto" w:sz="4" w:space="0"/>
              <w:left w:val="single" w:color="auto" w:sz="4" w:space="0"/>
              <w:bottom w:val="single" w:color="auto" w:sz="4" w:space="0"/>
              <w:right w:val="nil"/>
            </w:tcBorders>
            <w:noWrap/>
            <w:vAlign w:val="center"/>
          </w:tcPr>
          <w:p w14:paraId="511280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购买设备、道具费用</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652561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≤5万元</w:t>
            </w:r>
          </w:p>
        </w:tc>
        <w:tc>
          <w:tcPr>
            <w:tcW w:w="1484" w:type="pct"/>
            <w:vMerge w:val="continue"/>
            <w:tcBorders>
              <w:top w:val="single" w:color="auto" w:sz="4" w:space="0"/>
              <w:left w:val="single" w:color="auto" w:sz="4" w:space="0"/>
              <w:bottom w:val="single" w:color="auto" w:sz="4" w:space="0"/>
              <w:right w:val="single" w:color="auto" w:sz="4" w:space="0"/>
            </w:tcBorders>
            <w:noWrap w:val="0"/>
            <w:vAlign w:val="center"/>
          </w:tcPr>
          <w:p w14:paraId="3CB18AFE">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261" w:type="pct"/>
            <w:tcBorders>
              <w:top w:val="single" w:color="auto" w:sz="4" w:space="0"/>
              <w:left w:val="single" w:color="auto" w:sz="4" w:space="0"/>
              <w:bottom w:val="single" w:color="auto" w:sz="4" w:space="0"/>
              <w:right w:val="single" w:color="auto" w:sz="4" w:space="0"/>
            </w:tcBorders>
            <w:noWrap w:val="0"/>
            <w:vAlign w:val="center"/>
          </w:tcPr>
          <w:p w14:paraId="3FD997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=5万元</w:t>
            </w:r>
          </w:p>
        </w:tc>
        <w:tc>
          <w:tcPr>
            <w:tcW w:w="395" w:type="pct"/>
            <w:vMerge w:val="continue"/>
            <w:tcBorders>
              <w:top w:val="nil"/>
              <w:left w:val="nil"/>
              <w:bottom w:val="single" w:color="auto" w:sz="8" w:space="0"/>
              <w:right w:val="single" w:color="auto" w:sz="8" w:space="0"/>
            </w:tcBorders>
            <w:noWrap w:val="0"/>
            <w:vAlign w:val="center"/>
          </w:tcPr>
          <w:p w14:paraId="5BD4D8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r>
      <w:tr w14:paraId="628F5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3" w:hRule="atLeast"/>
        </w:trPr>
        <w:tc>
          <w:tcPr>
            <w:tcW w:w="242" w:type="pct"/>
            <w:vMerge w:val="restart"/>
            <w:tcBorders>
              <w:top w:val="nil"/>
              <w:left w:val="single" w:color="auto" w:sz="8" w:space="0"/>
              <w:bottom w:val="single" w:color="auto" w:sz="8" w:space="0"/>
              <w:right w:val="single" w:color="auto" w:sz="8" w:space="0"/>
            </w:tcBorders>
            <w:noWrap w:val="0"/>
            <w:vAlign w:val="center"/>
          </w:tcPr>
          <w:p w14:paraId="500EEB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07" w:type="pct"/>
            <w:vMerge w:val="restart"/>
            <w:tcBorders>
              <w:top w:val="nil"/>
              <w:left w:val="nil"/>
              <w:bottom w:val="single" w:color="auto" w:sz="8" w:space="0"/>
              <w:right w:val="single" w:color="auto" w:sz="8" w:space="0"/>
            </w:tcBorders>
            <w:noWrap w:val="0"/>
            <w:vAlign w:val="center"/>
          </w:tcPr>
          <w:p w14:paraId="49BE725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256" w:type="pct"/>
            <w:vMerge w:val="restart"/>
            <w:tcBorders>
              <w:top w:val="nil"/>
              <w:left w:val="nil"/>
              <w:bottom w:val="single" w:color="auto" w:sz="8" w:space="0"/>
              <w:right w:val="single" w:color="auto" w:sz="8" w:space="0"/>
            </w:tcBorders>
            <w:noWrap w:val="0"/>
            <w:vAlign w:val="center"/>
          </w:tcPr>
          <w:p w14:paraId="2CF3098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项目效益</w:t>
            </w:r>
          </w:p>
        </w:tc>
        <w:tc>
          <w:tcPr>
            <w:tcW w:w="242" w:type="pct"/>
            <w:vMerge w:val="restart"/>
            <w:tcBorders>
              <w:top w:val="nil"/>
              <w:left w:val="nil"/>
              <w:bottom w:val="single" w:color="auto" w:sz="8" w:space="0"/>
              <w:right w:val="single" w:color="auto" w:sz="8" w:space="0"/>
            </w:tcBorders>
            <w:noWrap w:val="0"/>
            <w:vAlign w:val="center"/>
          </w:tcPr>
          <w:p w14:paraId="62B252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20</w:t>
            </w:r>
          </w:p>
        </w:tc>
        <w:tc>
          <w:tcPr>
            <w:tcW w:w="295" w:type="pct"/>
            <w:vMerge w:val="restart"/>
            <w:tcBorders>
              <w:top w:val="nil"/>
              <w:left w:val="nil"/>
              <w:bottom w:val="single" w:color="auto" w:sz="8" w:space="0"/>
              <w:right w:val="single" w:color="auto" w:sz="8" w:space="0"/>
            </w:tcBorders>
            <w:noWrap w:val="0"/>
            <w:vAlign w:val="center"/>
          </w:tcPr>
          <w:p w14:paraId="2E6CE7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社会效益</w:t>
            </w:r>
          </w:p>
        </w:tc>
        <w:tc>
          <w:tcPr>
            <w:tcW w:w="276" w:type="pct"/>
            <w:tcBorders>
              <w:top w:val="nil"/>
              <w:left w:val="nil"/>
              <w:bottom w:val="single" w:color="auto" w:sz="8" w:space="0"/>
              <w:right w:val="single" w:color="auto" w:sz="8" w:space="0"/>
            </w:tcBorders>
            <w:noWrap w:val="0"/>
            <w:vAlign w:val="center"/>
          </w:tcPr>
          <w:p w14:paraId="14AD84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94" w:type="pct"/>
            <w:tcBorders>
              <w:top w:val="single" w:color="auto" w:sz="4" w:space="0"/>
              <w:left w:val="single" w:color="auto" w:sz="4" w:space="0"/>
              <w:bottom w:val="single" w:color="auto" w:sz="4" w:space="0"/>
              <w:right w:val="nil"/>
            </w:tcBorders>
            <w:noWrap/>
            <w:vAlign w:val="center"/>
          </w:tcPr>
          <w:p w14:paraId="310E27D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提高生活质量，丰富群众生活   提高生活质量，丰富群众生活</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1BCADE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有效提高</w:t>
            </w:r>
          </w:p>
        </w:tc>
        <w:tc>
          <w:tcPr>
            <w:tcW w:w="1484" w:type="pct"/>
            <w:vMerge w:val="restart"/>
            <w:tcBorders>
              <w:top w:val="single" w:color="auto" w:sz="4" w:space="0"/>
              <w:left w:val="single" w:color="auto" w:sz="4" w:space="0"/>
              <w:right w:val="single" w:color="auto" w:sz="4" w:space="0"/>
            </w:tcBorders>
            <w:noWrap w:val="0"/>
            <w:vAlign w:val="center"/>
          </w:tcPr>
          <w:p w14:paraId="442E61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按评判等级赋分。分为基本达成目标、部分实现目标、实现目标程度较低三个档次，并分别按照该指标对应分值区间100%-80%（含）、80%-60%（含）、60%-0%合理确定分值。</w:t>
            </w:r>
          </w:p>
        </w:tc>
        <w:tc>
          <w:tcPr>
            <w:tcW w:w="261" w:type="pct"/>
            <w:tcBorders>
              <w:top w:val="single" w:color="auto" w:sz="4" w:space="0"/>
              <w:left w:val="single" w:color="auto" w:sz="4" w:space="0"/>
              <w:bottom w:val="single" w:color="auto" w:sz="4" w:space="0"/>
              <w:right w:val="single" w:color="auto" w:sz="4" w:space="0"/>
            </w:tcBorders>
            <w:noWrap w:val="0"/>
            <w:vAlign w:val="center"/>
          </w:tcPr>
          <w:p w14:paraId="64711F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有效提高</w:t>
            </w:r>
          </w:p>
        </w:tc>
        <w:tc>
          <w:tcPr>
            <w:tcW w:w="395" w:type="pct"/>
            <w:tcBorders>
              <w:top w:val="nil"/>
              <w:left w:val="nil"/>
              <w:bottom w:val="single" w:color="auto" w:sz="8" w:space="0"/>
              <w:right w:val="single" w:color="auto" w:sz="8" w:space="0"/>
            </w:tcBorders>
            <w:noWrap w:val="0"/>
            <w:vAlign w:val="center"/>
          </w:tcPr>
          <w:p w14:paraId="029347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32E4E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6"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611FA1B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5DB590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3BF8FA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8" w:space="0"/>
            </w:tcBorders>
            <w:noWrap w:val="0"/>
            <w:vAlign w:val="center"/>
          </w:tcPr>
          <w:p w14:paraId="6ED3041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vMerge w:val="continue"/>
            <w:tcBorders>
              <w:top w:val="nil"/>
              <w:left w:val="nil"/>
              <w:bottom w:val="single" w:color="auto" w:sz="8" w:space="0"/>
              <w:right w:val="single" w:color="auto" w:sz="8" w:space="0"/>
            </w:tcBorders>
            <w:noWrap w:val="0"/>
            <w:vAlign w:val="center"/>
          </w:tcPr>
          <w:p w14:paraId="5790B58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6" w:type="pct"/>
            <w:tcBorders>
              <w:top w:val="nil"/>
              <w:left w:val="nil"/>
              <w:bottom w:val="single" w:color="auto" w:sz="8" w:space="0"/>
              <w:right w:val="single" w:color="auto" w:sz="8" w:space="0"/>
            </w:tcBorders>
            <w:noWrap w:val="0"/>
            <w:vAlign w:val="center"/>
          </w:tcPr>
          <w:p w14:paraId="5B20F3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c>
          <w:tcPr>
            <w:tcW w:w="794" w:type="pct"/>
            <w:tcBorders>
              <w:top w:val="single" w:color="auto" w:sz="4" w:space="0"/>
              <w:left w:val="single" w:color="auto" w:sz="4" w:space="0"/>
              <w:bottom w:val="single" w:color="auto" w:sz="4" w:space="0"/>
              <w:right w:val="nil"/>
            </w:tcBorders>
            <w:noWrap/>
            <w:vAlign w:val="center"/>
          </w:tcPr>
          <w:p w14:paraId="4C0BF5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促进文化发展</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394728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持续促进</w:t>
            </w:r>
          </w:p>
        </w:tc>
        <w:tc>
          <w:tcPr>
            <w:tcW w:w="1484" w:type="pct"/>
            <w:vMerge w:val="continue"/>
            <w:tcBorders>
              <w:left w:val="single" w:color="auto" w:sz="4" w:space="0"/>
              <w:bottom w:val="single" w:color="auto" w:sz="8" w:space="0"/>
              <w:right w:val="single" w:color="auto" w:sz="4" w:space="0"/>
            </w:tcBorders>
            <w:noWrap w:val="0"/>
            <w:vAlign w:val="center"/>
          </w:tcPr>
          <w:p w14:paraId="7869CDC2">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261" w:type="pct"/>
            <w:tcBorders>
              <w:top w:val="single" w:color="auto" w:sz="4" w:space="0"/>
              <w:left w:val="single" w:color="auto" w:sz="4" w:space="0"/>
              <w:bottom w:val="single" w:color="auto" w:sz="4" w:space="0"/>
              <w:right w:val="single" w:color="auto" w:sz="4" w:space="0"/>
            </w:tcBorders>
            <w:noWrap w:val="0"/>
            <w:vAlign w:val="center"/>
          </w:tcPr>
          <w:p w14:paraId="760978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持续促进</w:t>
            </w:r>
          </w:p>
        </w:tc>
        <w:tc>
          <w:tcPr>
            <w:tcW w:w="395" w:type="pct"/>
            <w:tcBorders>
              <w:top w:val="nil"/>
              <w:left w:val="nil"/>
              <w:bottom w:val="single" w:color="auto" w:sz="8" w:space="0"/>
              <w:right w:val="single" w:color="auto" w:sz="8" w:space="0"/>
            </w:tcBorders>
            <w:noWrap w:val="0"/>
            <w:vAlign w:val="center"/>
          </w:tcPr>
          <w:p w14:paraId="336B62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5</w:t>
            </w:r>
          </w:p>
        </w:tc>
      </w:tr>
      <w:tr w14:paraId="288789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242" w:type="pct"/>
            <w:vMerge w:val="continue"/>
            <w:tcBorders>
              <w:top w:val="nil"/>
              <w:left w:val="single" w:color="auto" w:sz="8" w:space="0"/>
              <w:bottom w:val="single" w:color="auto" w:sz="8" w:space="0"/>
              <w:right w:val="single" w:color="auto" w:sz="8" w:space="0"/>
            </w:tcBorders>
            <w:noWrap w:val="0"/>
            <w:vAlign w:val="center"/>
          </w:tcPr>
          <w:p w14:paraId="2718597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07" w:type="pct"/>
            <w:vMerge w:val="continue"/>
            <w:tcBorders>
              <w:top w:val="nil"/>
              <w:left w:val="nil"/>
              <w:bottom w:val="single" w:color="auto" w:sz="8" w:space="0"/>
              <w:right w:val="single" w:color="auto" w:sz="8" w:space="0"/>
            </w:tcBorders>
            <w:noWrap w:val="0"/>
            <w:vAlign w:val="center"/>
          </w:tcPr>
          <w:p w14:paraId="5DC75ED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56" w:type="pct"/>
            <w:vMerge w:val="continue"/>
            <w:tcBorders>
              <w:top w:val="nil"/>
              <w:left w:val="nil"/>
              <w:bottom w:val="single" w:color="auto" w:sz="8" w:space="0"/>
              <w:right w:val="single" w:color="auto" w:sz="8" w:space="0"/>
            </w:tcBorders>
            <w:noWrap w:val="0"/>
            <w:vAlign w:val="center"/>
          </w:tcPr>
          <w:p w14:paraId="069EAE4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vMerge w:val="continue"/>
            <w:tcBorders>
              <w:top w:val="nil"/>
              <w:left w:val="nil"/>
              <w:bottom w:val="single" w:color="auto" w:sz="8" w:space="0"/>
              <w:right w:val="single" w:color="auto" w:sz="8" w:space="0"/>
            </w:tcBorders>
            <w:noWrap w:val="0"/>
            <w:vAlign w:val="center"/>
          </w:tcPr>
          <w:p w14:paraId="364DFE0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95" w:type="pct"/>
            <w:tcBorders>
              <w:top w:val="nil"/>
              <w:left w:val="nil"/>
              <w:bottom w:val="single" w:color="auto" w:sz="8" w:space="0"/>
              <w:right w:val="single" w:color="auto" w:sz="8" w:space="0"/>
            </w:tcBorders>
            <w:noWrap w:val="0"/>
            <w:vAlign w:val="center"/>
          </w:tcPr>
          <w:p w14:paraId="5306CF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服务对象满意度</w:t>
            </w:r>
          </w:p>
        </w:tc>
        <w:tc>
          <w:tcPr>
            <w:tcW w:w="276" w:type="pct"/>
            <w:tcBorders>
              <w:top w:val="nil"/>
              <w:left w:val="nil"/>
              <w:bottom w:val="single" w:color="auto" w:sz="8" w:space="0"/>
              <w:right w:val="single" w:color="auto" w:sz="8" w:space="0"/>
            </w:tcBorders>
            <w:noWrap w:val="0"/>
            <w:vAlign w:val="center"/>
          </w:tcPr>
          <w:p w14:paraId="7A9929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c>
          <w:tcPr>
            <w:tcW w:w="794" w:type="pct"/>
            <w:tcBorders>
              <w:top w:val="single" w:color="auto" w:sz="4" w:space="0"/>
              <w:left w:val="single" w:color="auto" w:sz="4" w:space="0"/>
              <w:bottom w:val="single" w:color="auto" w:sz="4" w:space="0"/>
              <w:right w:val="nil"/>
            </w:tcBorders>
            <w:noWrap/>
            <w:vAlign w:val="center"/>
          </w:tcPr>
          <w:p w14:paraId="4C292E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观看演出群众满意度</w:t>
            </w:r>
          </w:p>
        </w:tc>
        <w:tc>
          <w:tcPr>
            <w:tcW w:w="542" w:type="pct"/>
            <w:tcBorders>
              <w:top w:val="single" w:color="auto" w:sz="4" w:space="0"/>
              <w:left w:val="single" w:color="auto" w:sz="4" w:space="0"/>
              <w:bottom w:val="single" w:color="auto" w:sz="4" w:space="0"/>
              <w:right w:val="single" w:color="auto" w:sz="4" w:space="0"/>
            </w:tcBorders>
            <w:noWrap w:val="0"/>
            <w:vAlign w:val="center"/>
          </w:tcPr>
          <w:p w14:paraId="180F12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≥95%</w:t>
            </w:r>
          </w:p>
        </w:tc>
        <w:tc>
          <w:tcPr>
            <w:tcW w:w="1484" w:type="pct"/>
            <w:tcBorders>
              <w:top w:val="nil"/>
              <w:left w:val="nil"/>
              <w:bottom w:val="single" w:color="auto" w:sz="8" w:space="0"/>
              <w:right w:val="single" w:color="auto" w:sz="8" w:space="0"/>
            </w:tcBorders>
            <w:noWrap w:val="0"/>
            <w:vAlign w:val="center"/>
          </w:tcPr>
          <w:p w14:paraId="4E9CB1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根据问卷调查，满意度达到标杆值，得权重分的100%；否则低于95%，得分=实际满意度*指标分值。</w:t>
            </w:r>
          </w:p>
        </w:tc>
        <w:tc>
          <w:tcPr>
            <w:tcW w:w="261" w:type="pct"/>
            <w:tcBorders>
              <w:top w:val="nil"/>
              <w:left w:val="nil"/>
              <w:bottom w:val="single" w:color="auto" w:sz="8" w:space="0"/>
              <w:right w:val="single" w:color="auto" w:sz="8" w:space="0"/>
            </w:tcBorders>
            <w:noWrap w:val="0"/>
            <w:vAlign w:val="center"/>
          </w:tcPr>
          <w:p w14:paraId="593F02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395" w:type="pct"/>
            <w:tcBorders>
              <w:top w:val="nil"/>
              <w:left w:val="nil"/>
              <w:bottom w:val="single" w:color="auto" w:sz="8" w:space="0"/>
              <w:right w:val="single" w:color="auto" w:sz="8" w:space="0"/>
            </w:tcBorders>
            <w:noWrap w:val="0"/>
            <w:vAlign w:val="center"/>
          </w:tcPr>
          <w:p w14:paraId="21151A2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w:t>
            </w:r>
          </w:p>
        </w:tc>
      </w:tr>
      <w:tr w14:paraId="27CA0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42" w:type="pct"/>
            <w:tcBorders>
              <w:top w:val="nil"/>
              <w:left w:val="single" w:color="auto" w:sz="8" w:space="0"/>
              <w:bottom w:val="single" w:color="auto" w:sz="8" w:space="0"/>
              <w:right w:val="single" w:color="auto" w:sz="8" w:space="0"/>
            </w:tcBorders>
            <w:noWrap w:val="0"/>
            <w:vAlign w:val="center"/>
          </w:tcPr>
          <w:p w14:paraId="79EFFC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总分</w:t>
            </w:r>
          </w:p>
        </w:tc>
        <w:tc>
          <w:tcPr>
            <w:tcW w:w="207" w:type="pct"/>
            <w:tcBorders>
              <w:top w:val="nil"/>
              <w:left w:val="nil"/>
              <w:bottom w:val="single" w:color="auto" w:sz="8" w:space="0"/>
              <w:right w:val="single" w:color="auto" w:sz="8" w:space="0"/>
            </w:tcBorders>
            <w:noWrap w:val="0"/>
            <w:vAlign w:val="center"/>
          </w:tcPr>
          <w:p w14:paraId="625D89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56" w:type="pct"/>
            <w:tcBorders>
              <w:top w:val="nil"/>
              <w:left w:val="nil"/>
              <w:bottom w:val="single" w:color="auto" w:sz="8" w:space="0"/>
              <w:right w:val="single" w:color="auto" w:sz="8" w:space="0"/>
            </w:tcBorders>
            <w:noWrap w:val="0"/>
            <w:vAlign w:val="center"/>
          </w:tcPr>
          <w:p w14:paraId="1A51E3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42" w:type="pct"/>
            <w:tcBorders>
              <w:top w:val="nil"/>
              <w:left w:val="nil"/>
              <w:bottom w:val="single" w:color="auto" w:sz="8" w:space="0"/>
              <w:right w:val="single" w:color="auto" w:sz="8" w:space="0"/>
            </w:tcBorders>
            <w:noWrap w:val="0"/>
            <w:vAlign w:val="center"/>
          </w:tcPr>
          <w:p w14:paraId="6EA831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295" w:type="pct"/>
            <w:tcBorders>
              <w:top w:val="nil"/>
              <w:left w:val="nil"/>
              <w:bottom w:val="single" w:color="auto" w:sz="8" w:space="0"/>
              <w:right w:val="single" w:color="auto" w:sz="8" w:space="0"/>
            </w:tcBorders>
            <w:noWrap w:val="0"/>
            <w:vAlign w:val="center"/>
          </w:tcPr>
          <w:p w14:paraId="6D307F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276" w:type="pct"/>
            <w:tcBorders>
              <w:top w:val="nil"/>
              <w:left w:val="nil"/>
              <w:bottom w:val="single" w:color="auto" w:sz="8" w:space="0"/>
              <w:right w:val="nil"/>
            </w:tcBorders>
            <w:noWrap w:val="0"/>
            <w:vAlign w:val="center"/>
          </w:tcPr>
          <w:p w14:paraId="251B5D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c>
          <w:tcPr>
            <w:tcW w:w="794" w:type="pct"/>
            <w:tcBorders>
              <w:top w:val="single" w:color="auto" w:sz="4" w:space="0"/>
              <w:left w:val="single" w:color="auto" w:sz="4" w:space="0"/>
              <w:bottom w:val="single" w:color="auto" w:sz="4" w:space="0"/>
              <w:right w:val="single" w:color="auto" w:sz="4" w:space="0"/>
            </w:tcBorders>
            <w:noWrap/>
            <w:vAlign w:val="center"/>
          </w:tcPr>
          <w:p w14:paraId="7A744713">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u w:val="none"/>
              </w:rPr>
            </w:pPr>
          </w:p>
        </w:tc>
        <w:tc>
          <w:tcPr>
            <w:tcW w:w="542" w:type="pct"/>
            <w:tcBorders>
              <w:top w:val="nil"/>
              <w:left w:val="nil"/>
              <w:bottom w:val="single" w:color="auto" w:sz="8" w:space="0"/>
              <w:right w:val="single" w:color="auto" w:sz="8" w:space="0"/>
            </w:tcBorders>
            <w:noWrap w:val="0"/>
            <w:vAlign w:val="center"/>
          </w:tcPr>
          <w:p w14:paraId="70D69C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w:t>
            </w:r>
          </w:p>
        </w:tc>
        <w:tc>
          <w:tcPr>
            <w:tcW w:w="1484" w:type="pct"/>
            <w:tcBorders>
              <w:top w:val="nil"/>
              <w:left w:val="nil"/>
              <w:bottom w:val="single" w:color="auto" w:sz="8" w:space="0"/>
              <w:right w:val="single" w:color="auto" w:sz="8" w:space="0"/>
            </w:tcBorders>
            <w:noWrap w:val="0"/>
            <w:vAlign w:val="center"/>
          </w:tcPr>
          <w:p w14:paraId="0B5661DA">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u w:val="none"/>
              </w:rPr>
            </w:pPr>
          </w:p>
        </w:tc>
        <w:tc>
          <w:tcPr>
            <w:tcW w:w="261" w:type="pct"/>
            <w:tcBorders>
              <w:top w:val="nil"/>
              <w:left w:val="nil"/>
              <w:bottom w:val="single" w:color="auto" w:sz="8" w:space="0"/>
              <w:right w:val="single" w:color="auto" w:sz="8" w:space="0"/>
            </w:tcBorders>
            <w:noWrap w:val="0"/>
            <w:vAlign w:val="center"/>
          </w:tcPr>
          <w:p w14:paraId="638190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21"/>
                <w:szCs w:val="21"/>
                <w:u w:val="none"/>
              </w:rPr>
            </w:pPr>
          </w:p>
        </w:tc>
        <w:tc>
          <w:tcPr>
            <w:tcW w:w="395" w:type="pct"/>
            <w:tcBorders>
              <w:top w:val="nil"/>
              <w:left w:val="nil"/>
              <w:bottom w:val="single" w:color="auto" w:sz="8" w:space="0"/>
              <w:right w:val="single" w:color="auto" w:sz="8" w:space="0"/>
            </w:tcBorders>
            <w:noWrap w:val="0"/>
            <w:vAlign w:val="center"/>
          </w:tcPr>
          <w:p w14:paraId="0DA783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rPr>
              <w:t>100</w:t>
            </w:r>
          </w:p>
        </w:tc>
      </w:tr>
    </w:tbl>
    <w:p w14:paraId="66D90E52">
      <w:pPr>
        <w:pStyle w:val="10"/>
        <w:jc w:val="both"/>
        <w:rPr>
          <w:rFonts w:hint="eastAsia" w:ascii="宋体" w:hAnsi="宋体" w:eastAsia="宋体" w:cs="宋体"/>
          <w:color w:val="auto"/>
          <w:sz w:val="24"/>
          <w:szCs w:val="24"/>
          <w:lang w:eastAsia="zh-CN"/>
        </w:rPr>
      </w:pPr>
    </w:p>
    <w:p w14:paraId="4B4D7FC7">
      <w:pPr>
        <w:pStyle w:val="10"/>
        <w:rPr>
          <w:rFonts w:hint="eastAsia" w:ascii="宋体" w:hAnsi="宋体" w:eastAsia="宋体" w:cs="宋体"/>
          <w:color w:val="auto"/>
          <w:sz w:val="24"/>
          <w:szCs w:val="24"/>
          <w:lang w:eastAsia="zh-CN"/>
        </w:rPr>
      </w:pPr>
    </w:p>
    <w:p w14:paraId="70CBE0D1">
      <w:pPr>
        <w:pStyle w:val="10"/>
        <w:ind w:left="0" w:leftChars="0" w:firstLine="0" w:firstLineChars="0"/>
        <w:jc w:val="both"/>
        <w:rPr>
          <w:rFonts w:hint="eastAsia" w:ascii="宋体" w:hAnsi="宋体" w:eastAsia="宋体" w:cs="宋体"/>
          <w:color w:val="auto"/>
          <w:sz w:val="24"/>
          <w:szCs w:val="24"/>
          <w:lang w:eastAsia="zh-CN"/>
        </w:rPr>
      </w:pPr>
    </w:p>
    <w:p w14:paraId="12BCEF8A">
      <w:pPr>
        <w:pStyle w:val="10"/>
        <w:ind w:left="0" w:leftChars="0" w:firstLine="0" w:firstLineChars="0"/>
        <w:jc w:val="both"/>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w:t>
      </w:r>
    </w:p>
    <w:tbl>
      <w:tblPr>
        <w:tblStyle w:val="24"/>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32C4D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27DB23CE">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p>
        </w:tc>
        <w:tc>
          <w:tcPr>
            <w:tcW w:w="1778" w:type="dxa"/>
            <w:tcBorders>
              <w:top w:val="nil"/>
              <w:left w:val="nil"/>
              <w:bottom w:val="nil"/>
              <w:right w:val="nil"/>
            </w:tcBorders>
            <w:noWrap/>
            <w:vAlign w:val="center"/>
          </w:tcPr>
          <w:p w14:paraId="55C6388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p>
        </w:tc>
        <w:tc>
          <w:tcPr>
            <w:tcW w:w="2786" w:type="dxa"/>
            <w:tcBorders>
              <w:top w:val="nil"/>
              <w:left w:val="nil"/>
              <w:bottom w:val="nil"/>
              <w:right w:val="nil"/>
            </w:tcBorders>
            <w:noWrap/>
            <w:vAlign w:val="center"/>
          </w:tcPr>
          <w:p w14:paraId="6FFC3315">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p>
        </w:tc>
        <w:tc>
          <w:tcPr>
            <w:tcW w:w="2314" w:type="dxa"/>
            <w:tcBorders>
              <w:top w:val="nil"/>
              <w:left w:val="nil"/>
              <w:bottom w:val="nil"/>
              <w:right w:val="nil"/>
            </w:tcBorders>
            <w:noWrap/>
            <w:vAlign w:val="center"/>
          </w:tcPr>
          <w:p w14:paraId="4404D1DC">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p>
        </w:tc>
        <w:tc>
          <w:tcPr>
            <w:tcW w:w="3449" w:type="dxa"/>
            <w:tcBorders>
              <w:top w:val="nil"/>
              <w:left w:val="nil"/>
              <w:bottom w:val="nil"/>
              <w:right w:val="nil"/>
            </w:tcBorders>
            <w:noWrap/>
            <w:vAlign w:val="center"/>
          </w:tcPr>
          <w:p w14:paraId="03A6B52B">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p>
        </w:tc>
        <w:tc>
          <w:tcPr>
            <w:tcW w:w="1331" w:type="dxa"/>
            <w:tcBorders>
              <w:top w:val="nil"/>
              <w:left w:val="nil"/>
              <w:bottom w:val="nil"/>
              <w:right w:val="nil"/>
            </w:tcBorders>
            <w:noWrap/>
            <w:vAlign w:val="center"/>
          </w:tcPr>
          <w:p w14:paraId="5FF48A1D">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p>
        </w:tc>
      </w:tr>
      <w:tr w14:paraId="5EEDB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6F32D79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kern w:val="0"/>
                <w:sz w:val="21"/>
                <w:szCs w:val="21"/>
                <w:u w:val="none"/>
                <w:lang w:val="en-US" w:eastAsia="zh-CN"/>
              </w:rPr>
            </w:pPr>
            <w:r>
              <w:rPr>
                <w:rFonts w:hint="eastAsia" w:ascii="宋体" w:hAnsi="宋体" w:eastAsia="宋体" w:cs="宋体"/>
                <w:b/>
                <w:bCs/>
                <w:i w:val="0"/>
                <w:iCs w:val="0"/>
                <w:color w:val="auto"/>
                <w:kern w:val="0"/>
                <w:sz w:val="21"/>
                <w:szCs w:val="21"/>
                <w:u w:val="none"/>
                <w:lang w:val="en-US" w:eastAsia="zh-CN"/>
              </w:rPr>
              <w:t>中央补助地方公共文化服务体系建设项目-戏曲进乡村综合得分表</w:t>
            </w:r>
          </w:p>
        </w:tc>
      </w:tr>
      <w:tr w14:paraId="717431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DB2CE2">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2207E3F">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A30FFD4">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D711A2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46A67C2">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A83B2FC">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合计</w:t>
            </w:r>
          </w:p>
        </w:tc>
      </w:tr>
      <w:tr w14:paraId="68FAB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D717043">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65CAC7D">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2"/>
                <w:szCs w:val="22"/>
                <w:u w:val="none"/>
                <w:lang w:val="en-US" w:eastAsia="zh-CN"/>
              </w:rPr>
              <w:t>20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4D94746">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2"/>
                <w:szCs w:val="22"/>
                <w:u w:val="none"/>
                <w:lang w:val="en-US" w:eastAsia="zh-CN"/>
              </w:rPr>
              <w:t>20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371C2889">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2"/>
                <w:szCs w:val="22"/>
                <w:u w:val="none"/>
                <w:lang w:val="en-US" w:eastAsia="zh-CN"/>
              </w:rPr>
              <w:t>40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B594328">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2"/>
                <w:szCs w:val="22"/>
                <w:u w:val="none"/>
                <w:lang w:val="en-US" w:eastAsia="zh-CN"/>
              </w:rPr>
              <w:t>20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2CCAE90">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2"/>
                <w:szCs w:val="22"/>
                <w:u w:val="none"/>
                <w:lang w:val="en-US" w:eastAsia="zh-CN"/>
              </w:rPr>
              <w:t>100</w:t>
            </w:r>
          </w:p>
        </w:tc>
      </w:tr>
      <w:tr w14:paraId="44FEC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46EF9D">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392BB49">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000000"/>
                <w:kern w:val="0"/>
                <w:sz w:val="22"/>
                <w:szCs w:val="22"/>
                <w:u w:val="none"/>
                <w:lang w:val="en-US" w:eastAsia="zh-CN"/>
              </w:rPr>
              <w:t>20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63D758A5">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000000"/>
                <w:kern w:val="0"/>
                <w:sz w:val="22"/>
                <w:szCs w:val="22"/>
                <w:u w:val="none"/>
                <w:lang w:val="en-US" w:eastAsia="zh-CN"/>
              </w:rPr>
              <w:t>20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0E49F7E">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000000"/>
                <w:kern w:val="0"/>
                <w:sz w:val="22"/>
                <w:szCs w:val="22"/>
                <w:u w:val="none"/>
                <w:lang w:val="en-US" w:eastAsia="zh-CN"/>
              </w:rPr>
              <w:t>40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25E614D">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000000"/>
                <w:kern w:val="0"/>
                <w:sz w:val="22"/>
                <w:szCs w:val="22"/>
                <w:u w:val="none"/>
                <w:lang w:val="en-US" w:eastAsia="zh-CN"/>
              </w:rPr>
              <w:t>20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26222DF">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lang w:val="en-US"/>
              </w:rPr>
            </w:pPr>
            <w:r>
              <w:rPr>
                <w:rFonts w:hint="eastAsia" w:ascii="宋体" w:hAnsi="宋体" w:eastAsia="宋体" w:cs="宋体"/>
                <w:i w:val="0"/>
                <w:iCs w:val="0"/>
                <w:color w:val="000000"/>
                <w:kern w:val="0"/>
                <w:sz w:val="22"/>
                <w:szCs w:val="22"/>
                <w:u w:val="none"/>
                <w:lang w:val="en-US" w:eastAsia="zh-CN"/>
              </w:rPr>
              <w:t>100</w:t>
            </w:r>
          </w:p>
        </w:tc>
      </w:tr>
      <w:tr w14:paraId="21232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829467F">
            <w:pPr>
              <w:keepNext w:val="0"/>
              <w:keepLines w:val="0"/>
              <w:pageBreakBefore w:val="0"/>
              <w:widowControl/>
              <w:suppressLineNumbers w:val="0"/>
              <w:kinsoku/>
              <w:wordWrap/>
              <w:overflowPunct/>
              <w:topLinePunct w:val="0"/>
              <w:autoSpaceDE/>
              <w:autoSpaceDN/>
              <w:bidi w:val="0"/>
              <w:adjustRightInd/>
              <w:snapToGrid/>
              <w:ind w:left="0" w:leftChars="0" w:firstLine="0" w:firstLineChars="0"/>
              <w:jc w:val="center"/>
              <w:textAlignment w:val="center"/>
              <w:rPr>
                <w:rFonts w:hint="eastAsia" w:ascii="宋体" w:hAnsi="宋体" w:eastAsia="宋体" w:cs="宋体"/>
                <w:b/>
                <w:bCs/>
                <w:i w:val="0"/>
                <w:iCs w:val="0"/>
                <w:color w:val="auto"/>
                <w:sz w:val="21"/>
                <w:szCs w:val="21"/>
                <w:u w:val="none"/>
              </w:rPr>
            </w:pPr>
            <w:r>
              <w:rPr>
                <w:rFonts w:hint="eastAsia" w:ascii="宋体" w:hAnsi="宋体" w:eastAsia="宋体" w:cs="宋体"/>
                <w:b/>
                <w:bCs/>
                <w:i w:val="0"/>
                <w:iCs w:val="0"/>
                <w:color w:val="auto"/>
                <w:kern w:val="0"/>
                <w:sz w:val="21"/>
                <w:szCs w:val="21"/>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AAB6C6C">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2"/>
                <w:szCs w:val="22"/>
                <w:u w:val="none"/>
                <w:lang w:val="en-US" w:eastAsia="zh-CN"/>
              </w:rPr>
              <w:t>100%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6D6566A">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2"/>
                <w:szCs w:val="22"/>
                <w:u w:val="none"/>
                <w:lang w:val="en-US" w:eastAsia="zh-CN"/>
              </w:rPr>
              <w:t>100%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3E7C7D4">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2"/>
                <w:szCs w:val="22"/>
                <w:u w:val="none"/>
                <w:lang w:val="en-US" w:eastAsia="zh-CN"/>
              </w:rPr>
              <w:t>100%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2797230">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2"/>
                <w:szCs w:val="22"/>
                <w:u w:val="none"/>
                <w:lang w:val="en-US" w:eastAsia="zh-CN"/>
              </w:rPr>
              <w:t>100%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EC78E15">
            <w:pPr>
              <w:keepNext w:val="0"/>
              <w:keepLines w:val="0"/>
              <w:widowControl/>
              <w:suppressLineNumbers w:val="0"/>
              <w:ind w:firstLine="440" w:firstLineChars="200"/>
              <w:jc w:val="center"/>
              <w:textAlignment w:val="center"/>
              <w:rPr>
                <w:rFonts w:hint="eastAsia" w:ascii="宋体" w:hAnsi="宋体" w:eastAsia="宋体" w:cs="宋体"/>
                <w:i w:val="0"/>
                <w:iCs w:val="0"/>
                <w:color w:val="auto"/>
                <w:sz w:val="21"/>
                <w:szCs w:val="21"/>
                <w:u w:val="none"/>
              </w:rPr>
            </w:pPr>
            <w:r>
              <w:rPr>
                <w:rFonts w:hint="eastAsia" w:ascii="宋体" w:hAnsi="宋体" w:eastAsia="宋体" w:cs="宋体"/>
                <w:i w:val="0"/>
                <w:iCs w:val="0"/>
                <w:color w:val="000000"/>
                <w:kern w:val="0"/>
                <w:sz w:val="22"/>
                <w:szCs w:val="22"/>
                <w:u w:val="none"/>
                <w:lang w:val="en-US" w:eastAsia="zh-CN"/>
              </w:rPr>
              <w:t>100%</w:t>
            </w:r>
          </w:p>
        </w:tc>
      </w:tr>
    </w:tbl>
    <w:p w14:paraId="3FEA80E8">
      <w:pPr>
        <w:pStyle w:val="10"/>
        <w:ind w:left="0" w:leftChars="0" w:firstLine="0" w:firstLineChars="0"/>
        <w:jc w:val="both"/>
        <w:rPr>
          <w:rFonts w:hint="default" w:ascii="宋体" w:hAnsi="宋体" w:eastAsia="宋体" w:cs="宋体"/>
          <w:color w:val="auto"/>
          <w:sz w:val="24"/>
          <w:szCs w:val="24"/>
          <w:lang w:val="en-US" w:eastAsia="zh-CN"/>
        </w:rPr>
      </w:pPr>
    </w:p>
    <w:p w14:paraId="7D33BCBA">
      <w:pPr>
        <w:pStyle w:val="10"/>
        <w:ind w:left="0" w:leftChars="0" w:firstLine="0" w:firstLineChars="0"/>
        <w:jc w:val="both"/>
        <w:rPr>
          <w:rFonts w:hint="eastAsia" w:ascii="宋体" w:hAnsi="宋体" w:eastAsia="宋体" w:cs="宋体"/>
          <w:color w:val="auto"/>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5A4548B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附件3：</w:t>
      </w:r>
    </w:p>
    <w:p w14:paraId="38E17080">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center"/>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洛浦县文工团2024年戏曲进乡村项目满意度</w:t>
      </w:r>
      <w:r>
        <w:rPr>
          <w:rFonts w:hint="eastAsia" w:ascii="宋体" w:hAnsi="宋体" w:eastAsia="宋体" w:cs="宋体"/>
          <w:b/>
          <w:bCs/>
          <w:color w:val="auto"/>
          <w:sz w:val="21"/>
          <w:szCs w:val="21"/>
          <w:highlight w:val="none"/>
        </w:rPr>
        <w:t>调查问卷</w:t>
      </w:r>
      <w:r>
        <w:rPr>
          <w:rFonts w:hint="eastAsia" w:ascii="宋体" w:hAnsi="宋体" w:eastAsia="宋体" w:cs="宋体"/>
          <w:b/>
          <w:bCs/>
          <w:color w:val="auto"/>
          <w:sz w:val="21"/>
          <w:szCs w:val="21"/>
          <w:highlight w:val="none"/>
          <w:lang w:val="en-US" w:eastAsia="zh-CN"/>
        </w:rPr>
        <w:t>分析报告</w:t>
      </w:r>
    </w:p>
    <w:p w14:paraId="63A0FC4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val="0"/>
          <w:bCs w:val="0"/>
          <w:color w:val="auto"/>
          <w:sz w:val="21"/>
          <w:szCs w:val="21"/>
          <w:highlight w:val="none"/>
          <w:lang w:eastAsia="zh-CN"/>
        </w:rPr>
      </w:pPr>
      <w:r>
        <w:rPr>
          <w:rFonts w:hint="eastAsia" w:ascii="宋体" w:hAnsi="宋体" w:eastAsia="宋体" w:cs="宋体"/>
          <w:color w:val="auto"/>
          <w:sz w:val="21"/>
          <w:szCs w:val="21"/>
          <w:highlight w:val="none"/>
        </w:rPr>
        <w:t>为客观评价该项目的社会效果，了解</w:t>
      </w:r>
      <w:r>
        <w:rPr>
          <w:rFonts w:hint="eastAsia" w:ascii="宋体" w:hAnsi="宋体" w:eastAsia="宋体" w:cs="宋体"/>
          <w:color w:val="auto"/>
          <w:sz w:val="21"/>
          <w:szCs w:val="21"/>
          <w:highlight w:val="none"/>
          <w:lang w:val="en-US" w:eastAsia="zh-CN"/>
        </w:rPr>
        <w:t>项目受益群体</w:t>
      </w:r>
      <w:r>
        <w:rPr>
          <w:rFonts w:hint="eastAsia" w:ascii="宋体" w:hAnsi="宋体" w:eastAsia="宋体" w:cs="宋体"/>
          <w:color w:val="auto"/>
          <w:sz w:val="21"/>
          <w:szCs w:val="21"/>
          <w:highlight w:val="none"/>
        </w:rPr>
        <w:t>对项目</w:t>
      </w:r>
      <w:r>
        <w:rPr>
          <w:rFonts w:hint="eastAsia" w:ascii="宋体" w:hAnsi="宋体" w:eastAsia="宋体" w:cs="宋体"/>
          <w:color w:val="auto"/>
          <w:sz w:val="21"/>
          <w:szCs w:val="21"/>
          <w:highlight w:val="none"/>
          <w:lang w:val="en-US" w:eastAsia="zh-CN"/>
        </w:rPr>
        <w:t>实施后</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lang w:val="en-US" w:eastAsia="zh-CN"/>
        </w:rPr>
        <w:t>真实</w:t>
      </w:r>
      <w:r>
        <w:rPr>
          <w:rFonts w:hint="eastAsia" w:ascii="宋体" w:hAnsi="宋体" w:eastAsia="宋体" w:cs="宋体"/>
          <w:color w:val="auto"/>
          <w:sz w:val="21"/>
          <w:szCs w:val="21"/>
          <w:highlight w:val="none"/>
        </w:rPr>
        <w:t>评价情况，对本项目</w:t>
      </w:r>
      <w:r>
        <w:rPr>
          <w:rFonts w:hint="eastAsia" w:ascii="宋体" w:hAnsi="宋体" w:eastAsia="宋体" w:cs="宋体"/>
          <w:color w:val="auto"/>
          <w:sz w:val="21"/>
          <w:szCs w:val="21"/>
          <w:highlight w:val="none"/>
          <w:lang w:eastAsia="zh-CN"/>
        </w:rPr>
        <w:t>开展</w:t>
      </w:r>
      <w:r>
        <w:rPr>
          <w:rFonts w:hint="eastAsia" w:ascii="宋体" w:hAnsi="宋体" w:eastAsia="宋体" w:cs="宋体"/>
          <w:color w:val="auto"/>
          <w:sz w:val="21"/>
          <w:szCs w:val="21"/>
          <w:highlight w:val="none"/>
        </w:rPr>
        <w:t>满意度问卷调查。问卷调查工作情况如下。问卷调查工作情况如下：</w:t>
      </w:r>
    </w:p>
    <w:p w14:paraId="3CE596F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该问卷调查从202</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lang w:val="en-US" w:eastAsia="zh-CN"/>
        </w:rPr>
        <w:t>1</w:t>
      </w:r>
      <w:r>
        <w:rPr>
          <w:rFonts w:hint="eastAsia" w:ascii="宋体" w:hAnsi="宋体" w:eastAsia="宋体" w:cs="宋体"/>
          <w:b/>
          <w:bCs/>
          <w:color w:val="auto"/>
          <w:sz w:val="21"/>
          <w:szCs w:val="21"/>
          <w:highlight w:val="none"/>
        </w:rPr>
        <w:t>日开始至202</w:t>
      </w:r>
      <w:r>
        <w:rPr>
          <w:rFonts w:hint="eastAsia" w:ascii="宋体" w:hAnsi="宋体" w:eastAsia="宋体" w:cs="宋体"/>
          <w:b/>
          <w:bCs/>
          <w:color w:val="auto"/>
          <w:sz w:val="21"/>
          <w:szCs w:val="21"/>
          <w:highlight w:val="none"/>
          <w:lang w:val="en-US" w:eastAsia="zh-CN"/>
        </w:rPr>
        <w:t>5</w:t>
      </w:r>
      <w:r>
        <w:rPr>
          <w:rFonts w:hint="eastAsia" w:ascii="宋体" w:hAnsi="宋体" w:eastAsia="宋体" w:cs="宋体"/>
          <w:b/>
          <w:bCs/>
          <w:color w:val="auto"/>
          <w:sz w:val="21"/>
          <w:szCs w:val="21"/>
          <w:highlight w:val="none"/>
        </w:rPr>
        <w:t>年</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月</w:t>
      </w:r>
      <w:r>
        <w:rPr>
          <w:rFonts w:hint="eastAsia" w:ascii="宋体" w:hAnsi="宋体" w:eastAsia="宋体" w:cs="宋体"/>
          <w:b/>
          <w:bCs/>
          <w:color w:val="auto"/>
          <w:sz w:val="21"/>
          <w:szCs w:val="21"/>
          <w:highlight w:val="none"/>
          <w:lang w:val="en-US" w:eastAsia="zh-CN"/>
        </w:rPr>
        <w:t>10</w:t>
      </w:r>
      <w:r>
        <w:rPr>
          <w:rFonts w:hint="eastAsia" w:ascii="宋体" w:hAnsi="宋体" w:eastAsia="宋体" w:cs="宋体"/>
          <w:b/>
          <w:bCs/>
          <w:color w:val="auto"/>
          <w:sz w:val="21"/>
          <w:szCs w:val="21"/>
          <w:highlight w:val="none"/>
        </w:rPr>
        <w:t>日结束，调查问卷共设置</w:t>
      </w: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rPr>
        <w:t>道题目。</w:t>
      </w:r>
    </w:p>
    <w:p w14:paraId="7EDE6F8E">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b/>
          <w:bCs/>
          <w:color w:val="auto"/>
          <w:sz w:val="21"/>
          <w:szCs w:val="21"/>
          <w:highlight w:val="none"/>
          <w:lang w:eastAsia="zh-CN"/>
        </w:rPr>
        <w:t>调查</w:t>
      </w:r>
      <w:r>
        <w:rPr>
          <w:rFonts w:hint="eastAsia" w:ascii="宋体" w:hAnsi="宋体" w:eastAsia="宋体" w:cs="宋体"/>
          <w:b/>
          <w:bCs/>
          <w:color w:val="auto"/>
          <w:sz w:val="21"/>
          <w:szCs w:val="21"/>
          <w:highlight w:val="none"/>
        </w:rPr>
        <w:t>对象</w:t>
      </w:r>
    </w:p>
    <w:p w14:paraId="0AABB073">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bCs/>
          <w:i w:val="0"/>
          <w:iCs w:val="0"/>
          <w:color w:val="auto"/>
          <w:sz w:val="21"/>
          <w:szCs w:val="21"/>
          <w:highlight w:val="none"/>
        </w:rPr>
      </w:pPr>
      <w:r>
        <w:rPr>
          <w:rFonts w:hint="eastAsia" w:ascii="宋体" w:hAnsi="宋体" w:eastAsia="宋体" w:cs="宋体"/>
          <w:color w:val="auto"/>
          <w:sz w:val="21"/>
          <w:szCs w:val="21"/>
          <w:highlight w:val="none"/>
        </w:rPr>
        <w:t>本次</w:t>
      </w:r>
      <w:r>
        <w:rPr>
          <w:rFonts w:hint="eastAsia" w:ascii="宋体" w:hAnsi="宋体" w:eastAsia="宋体" w:cs="宋体"/>
          <w:color w:val="auto"/>
          <w:sz w:val="21"/>
          <w:szCs w:val="21"/>
          <w:highlight w:val="none"/>
          <w:lang w:eastAsia="zh-CN"/>
        </w:rPr>
        <w:t>调查</w:t>
      </w:r>
      <w:r>
        <w:rPr>
          <w:rFonts w:hint="eastAsia" w:ascii="宋体" w:hAnsi="宋体" w:eastAsia="宋体" w:cs="宋体"/>
          <w:color w:val="auto"/>
          <w:sz w:val="21"/>
          <w:szCs w:val="21"/>
          <w:highlight w:val="none"/>
        </w:rPr>
        <w:t>的受益对象为</w:t>
      </w:r>
      <w:r>
        <w:rPr>
          <w:rFonts w:hint="eastAsia" w:ascii="宋体" w:hAnsi="宋体" w:eastAsia="宋体" w:cs="宋体"/>
          <w:color w:val="auto"/>
          <w:sz w:val="21"/>
          <w:szCs w:val="21"/>
          <w:highlight w:val="none"/>
          <w:lang w:val="en-US" w:eastAsia="zh-CN"/>
        </w:rPr>
        <w:t>群众</w:t>
      </w:r>
      <w:r>
        <w:rPr>
          <w:rFonts w:hint="eastAsia" w:ascii="宋体" w:hAnsi="宋体" w:eastAsia="宋体" w:cs="宋体"/>
          <w:color w:val="auto"/>
          <w:sz w:val="21"/>
          <w:szCs w:val="21"/>
          <w:highlight w:val="none"/>
        </w:rPr>
        <w:t>。</w:t>
      </w:r>
    </w:p>
    <w:p w14:paraId="5F6AFF25">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i w:val="0"/>
          <w:iCs w:val="0"/>
          <w:color w:val="auto"/>
          <w:sz w:val="21"/>
          <w:szCs w:val="21"/>
          <w:highlight w:val="none"/>
        </w:rPr>
        <w:t>2.</w:t>
      </w:r>
      <w:r>
        <w:rPr>
          <w:rFonts w:hint="eastAsia" w:ascii="宋体" w:hAnsi="宋体" w:eastAsia="宋体" w:cs="宋体"/>
          <w:b/>
          <w:bCs/>
          <w:i w:val="0"/>
          <w:iCs w:val="0"/>
          <w:color w:val="auto"/>
          <w:sz w:val="21"/>
          <w:szCs w:val="21"/>
          <w:highlight w:val="none"/>
          <w:lang w:eastAsia="zh-CN"/>
        </w:rPr>
        <w:t>调查</w:t>
      </w:r>
      <w:r>
        <w:rPr>
          <w:rFonts w:hint="eastAsia" w:ascii="宋体" w:hAnsi="宋体" w:eastAsia="宋体" w:cs="宋体"/>
          <w:b/>
          <w:bCs/>
          <w:i w:val="0"/>
          <w:iCs w:val="0"/>
          <w:color w:val="auto"/>
          <w:sz w:val="21"/>
          <w:szCs w:val="21"/>
          <w:highlight w:val="none"/>
        </w:rPr>
        <w:t>内容</w:t>
      </w:r>
    </w:p>
    <w:p w14:paraId="5950D54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①您对戏曲进乡村演出活动项目的及时性是否满意?</w:t>
      </w:r>
    </w:p>
    <w:p w14:paraId="63C6F16B">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非常满意（ ）        比较满意（  ）一般 （  ）</w:t>
      </w:r>
      <w:r>
        <w:rPr>
          <w:rFonts w:hint="eastAsia" w:ascii="宋体" w:hAnsi="宋体" w:eastAsia="宋体" w:cs="宋体"/>
          <w:color w:val="auto"/>
          <w:sz w:val="21"/>
          <w:szCs w:val="21"/>
          <w:lang w:val="en-US" w:eastAsia="zh-CN"/>
        </w:rPr>
        <w:tab/>
      </w:r>
      <w:r>
        <w:rPr>
          <w:rFonts w:hint="eastAsia" w:ascii="宋体" w:hAnsi="宋体" w:eastAsia="宋体" w:cs="宋体"/>
          <w:color w:val="auto"/>
          <w:sz w:val="21"/>
          <w:szCs w:val="21"/>
          <w:lang w:val="en-US" w:eastAsia="zh-CN"/>
        </w:rPr>
        <w:t xml:space="preserve">     不满意（  ）</w:t>
      </w:r>
    </w:p>
    <w:p w14:paraId="2C7694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②您对戏曲进乡村演出活动项目的有效有效提高是否满意？</w:t>
      </w:r>
    </w:p>
    <w:p w14:paraId="4F6291F5">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非常满意（  ）        比较满意（  ）一般 （  ）</w:t>
      </w:r>
      <w:r>
        <w:rPr>
          <w:rFonts w:hint="eastAsia" w:ascii="宋体" w:hAnsi="宋体" w:eastAsia="宋体" w:cs="宋体"/>
          <w:color w:val="auto"/>
          <w:sz w:val="21"/>
          <w:szCs w:val="21"/>
          <w:lang w:val="en-US" w:eastAsia="zh-CN"/>
        </w:rPr>
        <w:tab/>
      </w:r>
      <w:r>
        <w:rPr>
          <w:rFonts w:hint="eastAsia" w:ascii="宋体" w:hAnsi="宋体" w:eastAsia="宋体" w:cs="宋体"/>
          <w:color w:val="auto"/>
          <w:sz w:val="21"/>
          <w:szCs w:val="21"/>
          <w:lang w:val="en-US" w:eastAsia="zh-CN"/>
        </w:rPr>
        <w:t xml:space="preserve">     不满意（  ）</w:t>
      </w:r>
    </w:p>
    <w:p w14:paraId="4DC1D04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③总的来说，您对目前戏曲进乡村演出活动项目实施后的整体满意程度如何？</w:t>
      </w:r>
    </w:p>
    <w:p w14:paraId="21EDE35C">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420" w:firstLineChars="200"/>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非常满意（ ）        比较满意（  ）一般 （  ）</w:t>
      </w:r>
      <w:r>
        <w:rPr>
          <w:rFonts w:hint="eastAsia" w:ascii="宋体" w:hAnsi="宋体" w:eastAsia="宋体" w:cs="宋体"/>
          <w:color w:val="auto"/>
          <w:sz w:val="21"/>
          <w:szCs w:val="21"/>
          <w:lang w:val="en-US" w:eastAsia="zh-CN"/>
        </w:rPr>
        <w:tab/>
      </w:r>
      <w:r>
        <w:rPr>
          <w:rFonts w:hint="eastAsia" w:ascii="宋体" w:hAnsi="宋体" w:eastAsia="宋体" w:cs="宋体"/>
          <w:color w:val="auto"/>
          <w:sz w:val="21"/>
          <w:szCs w:val="21"/>
          <w:lang w:val="en-US" w:eastAsia="zh-CN"/>
        </w:rPr>
        <w:t xml:space="preserve">     不满意（  ）</w:t>
      </w:r>
    </w:p>
    <w:p w14:paraId="1B57B7AC">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3.</w:t>
      </w:r>
      <w:r>
        <w:rPr>
          <w:rFonts w:hint="eastAsia" w:ascii="宋体" w:hAnsi="宋体" w:eastAsia="宋体" w:cs="宋体"/>
          <w:b/>
          <w:bCs/>
          <w:color w:val="auto"/>
          <w:sz w:val="21"/>
          <w:szCs w:val="21"/>
          <w:highlight w:val="none"/>
          <w:lang w:eastAsia="zh-CN"/>
        </w:rPr>
        <w:t>调查</w:t>
      </w:r>
      <w:r>
        <w:rPr>
          <w:rFonts w:hint="eastAsia" w:ascii="宋体" w:hAnsi="宋体" w:eastAsia="宋体" w:cs="宋体"/>
          <w:b/>
          <w:bCs/>
          <w:color w:val="auto"/>
          <w:sz w:val="21"/>
          <w:szCs w:val="21"/>
          <w:highlight w:val="none"/>
        </w:rPr>
        <w:t>方法</w:t>
      </w:r>
    </w:p>
    <w:p w14:paraId="2EF7A7A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问卷调查采取</w:t>
      </w:r>
      <w:r>
        <w:rPr>
          <w:rFonts w:hint="eastAsia" w:ascii="宋体" w:hAnsi="宋体" w:eastAsia="宋体" w:cs="宋体"/>
          <w:color w:val="auto"/>
          <w:sz w:val="21"/>
          <w:szCs w:val="21"/>
          <w:highlight w:val="none"/>
          <w:lang w:val="en-US" w:eastAsia="zh-CN"/>
        </w:rPr>
        <w:t>分层</w:t>
      </w:r>
      <w:r>
        <w:rPr>
          <w:rFonts w:hint="eastAsia" w:ascii="宋体" w:hAnsi="宋体" w:eastAsia="宋体" w:cs="宋体"/>
          <w:color w:val="auto"/>
          <w:sz w:val="21"/>
          <w:szCs w:val="21"/>
          <w:highlight w:val="none"/>
        </w:rPr>
        <w:t>抽样和</w:t>
      </w:r>
      <w:r>
        <w:rPr>
          <w:rFonts w:hint="eastAsia" w:ascii="宋体" w:hAnsi="宋体" w:eastAsia="宋体" w:cs="宋体"/>
          <w:color w:val="auto"/>
          <w:sz w:val="21"/>
          <w:szCs w:val="21"/>
          <w:highlight w:val="none"/>
          <w:lang w:val="en-US" w:eastAsia="zh-CN"/>
        </w:rPr>
        <w:t>随机抽样相结合</w:t>
      </w:r>
      <w:r>
        <w:rPr>
          <w:rFonts w:hint="eastAsia" w:ascii="宋体" w:hAnsi="宋体" w:eastAsia="宋体" w:cs="宋体"/>
          <w:color w:val="auto"/>
          <w:sz w:val="21"/>
          <w:szCs w:val="21"/>
          <w:highlight w:val="none"/>
        </w:rPr>
        <w:t>的方式进行。在全面</w:t>
      </w:r>
      <w:r>
        <w:rPr>
          <w:rFonts w:hint="eastAsia" w:ascii="宋体" w:hAnsi="宋体" w:eastAsia="宋体" w:cs="宋体"/>
          <w:color w:val="auto"/>
          <w:sz w:val="21"/>
          <w:szCs w:val="21"/>
          <w:highlight w:val="none"/>
          <w:lang w:eastAsia="zh-CN"/>
        </w:rPr>
        <w:t>调查</w:t>
      </w:r>
      <w:r>
        <w:rPr>
          <w:rFonts w:hint="eastAsia" w:ascii="宋体" w:hAnsi="宋体" w:eastAsia="宋体" w:cs="宋体"/>
          <w:color w:val="auto"/>
          <w:sz w:val="21"/>
          <w:szCs w:val="21"/>
          <w:highlight w:val="none"/>
        </w:rPr>
        <w:t>开展之前会先进行论证，依据论证结果对问卷和抽样方案再进行一次修改和调整</w:t>
      </w:r>
      <w:r>
        <w:rPr>
          <w:rFonts w:hint="eastAsia" w:ascii="宋体" w:hAnsi="宋体" w:eastAsia="宋体" w:cs="宋体"/>
          <w:color w:val="auto"/>
          <w:sz w:val="21"/>
          <w:szCs w:val="21"/>
          <w:highlight w:val="none"/>
          <w:lang w:val="en-US" w:eastAsia="zh-CN"/>
        </w:rPr>
        <w:t>之后再付诸实施</w:t>
      </w:r>
      <w:r>
        <w:rPr>
          <w:rFonts w:hint="eastAsia" w:ascii="宋体" w:hAnsi="宋体" w:eastAsia="宋体" w:cs="宋体"/>
          <w:color w:val="auto"/>
          <w:sz w:val="21"/>
          <w:szCs w:val="21"/>
          <w:highlight w:val="none"/>
        </w:rPr>
        <w:t>。</w:t>
      </w:r>
    </w:p>
    <w:p w14:paraId="10B60EE7">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4.</w:t>
      </w:r>
      <w:r>
        <w:rPr>
          <w:rFonts w:hint="eastAsia" w:ascii="宋体" w:hAnsi="宋体" w:eastAsia="宋体" w:cs="宋体"/>
          <w:b/>
          <w:bCs/>
          <w:color w:val="auto"/>
          <w:sz w:val="21"/>
          <w:szCs w:val="21"/>
          <w:highlight w:val="none"/>
        </w:rPr>
        <w:t>抽样方式</w:t>
      </w:r>
    </w:p>
    <w:p w14:paraId="5D44EB7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color w:val="auto"/>
          <w:sz w:val="21"/>
          <w:szCs w:val="21"/>
          <w:highlight w:val="none"/>
        </w:rPr>
        <w:t>为确保问卷</w:t>
      </w:r>
      <w:r>
        <w:rPr>
          <w:rFonts w:hint="eastAsia" w:ascii="宋体" w:hAnsi="宋体" w:eastAsia="宋体" w:cs="宋体"/>
          <w:color w:val="auto"/>
          <w:sz w:val="21"/>
          <w:szCs w:val="21"/>
          <w:highlight w:val="none"/>
          <w:lang w:eastAsia="zh-CN"/>
        </w:rPr>
        <w:t>调查</w:t>
      </w:r>
      <w:r>
        <w:rPr>
          <w:rFonts w:hint="eastAsia" w:ascii="宋体" w:hAnsi="宋体" w:eastAsia="宋体" w:cs="宋体"/>
          <w:color w:val="auto"/>
          <w:sz w:val="21"/>
          <w:szCs w:val="21"/>
          <w:highlight w:val="none"/>
        </w:rPr>
        <w:t>的全面性和代表性，本次</w:t>
      </w:r>
      <w:r>
        <w:rPr>
          <w:rFonts w:hint="eastAsia" w:ascii="宋体" w:hAnsi="宋体" w:eastAsia="宋体" w:cs="宋体"/>
          <w:color w:val="auto"/>
          <w:sz w:val="21"/>
          <w:szCs w:val="21"/>
          <w:highlight w:val="none"/>
          <w:lang w:eastAsia="zh-CN"/>
        </w:rPr>
        <w:t>调查</w:t>
      </w:r>
      <w:r>
        <w:rPr>
          <w:rFonts w:hint="eastAsia" w:ascii="宋体" w:hAnsi="宋体" w:eastAsia="宋体" w:cs="宋体"/>
          <w:color w:val="auto"/>
          <w:sz w:val="21"/>
          <w:szCs w:val="21"/>
          <w:highlight w:val="none"/>
        </w:rPr>
        <w:t>问卷调查采取</w:t>
      </w:r>
      <w:r>
        <w:rPr>
          <w:rFonts w:hint="eastAsia" w:ascii="宋体" w:hAnsi="宋体" w:eastAsia="宋体" w:cs="宋体"/>
          <w:color w:val="auto"/>
          <w:sz w:val="21"/>
          <w:szCs w:val="21"/>
          <w:highlight w:val="none"/>
          <w:lang w:val="en-US" w:eastAsia="zh-CN"/>
        </w:rPr>
        <w:t>随机</w:t>
      </w:r>
      <w:r>
        <w:rPr>
          <w:rFonts w:hint="eastAsia" w:ascii="宋体" w:hAnsi="宋体" w:eastAsia="宋体" w:cs="宋体"/>
          <w:color w:val="auto"/>
          <w:sz w:val="21"/>
          <w:szCs w:val="21"/>
          <w:highlight w:val="none"/>
        </w:rPr>
        <w:t>抽样和</w:t>
      </w:r>
      <w:r>
        <w:rPr>
          <w:rFonts w:hint="eastAsia" w:ascii="宋体" w:hAnsi="宋体" w:eastAsia="宋体" w:cs="宋体"/>
          <w:color w:val="auto"/>
          <w:sz w:val="21"/>
          <w:szCs w:val="21"/>
          <w:highlight w:val="none"/>
          <w:lang w:val="en-US" w:eastAsia="zh-CN"/>
        </w:rPr>
        <w:t>分层抽样相结合</w:t>
      </w:r>
      <w:r>
        <w:rPr>
          <w:rFonts w:hint="eastAsia" w:ascii="宋体" w:hAnsi="宋体" w:eastAsia="宋体" w:cs="宋体"/>
          <w:color w:val="auto"/>
          <w:sz w:val="21"/>
          <w:szCs w:val="21"/>
          <w:highlight w:val="none"/>
        </w:rPr>
        <w:t>方式进行。</w:t>
      </w:r>
    </w:p>
    <w:p w14:paraId="032DC3A3">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5.问卷的发放和回收</w:t>
      </w:r>
    </w:p>
    <w:p w14:paraId="4608B63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648A31AE">
      <w:pPr>
        <w:pStyle w:val="10"/>
        <w:keepNext w:val="0"/>
        <w:keepLines w:val="0"/>
        <w:pageBreakBefore w:val="0"/>
        <w:widowControl w:val="0"/>
        <w:kinsoku/>
        <w:wordWrap/>
        <w:overflowPunct/>
        <w:topLinePunct w:val="0"/>
        <w:autoSpaceDE/>
        <w:autoSpaceDN/>
        <w:bidi w:val="0"/>
        <w:adjustRightInd/>
        <w:snapToGrid/>
        <w:spacing w:before="0" w:after="0"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6.问卷调查分析结果</w:t>
      </w:r>
    </w:p>
    <w:p w14:paraId="18F9F8AE">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本次调查过程中，评价小组实际发放问卷30份，回收问卷30份，问卷回收率为100.00%，有效问卷30份，有效回收率100.00%，本次调查的整体情况如下：</w:t>
      </w:r>
    </w:p>
    <w:p w14:paraId="4FAED8A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第一个问题：该项统计有效问卷数量30份，选择非常满意的人数为</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人。选择比较满意的人数为</w:t>
      </w:r>
      <w:r>
        <w:rPr>
          <w:rFonts w:hint="eastAsia" w:ascii="宋体" w:hAnsi="宋体" w:eastAsia="宋体" w:cs="宋体"/>
          <w:color w:val="auto"/>
          <w:sz w:val="21"/>
          <w:szCs w:val="21"/>
          <w:highlight w:val="none"/>
          <w:u w:val="single"/>
          <w:lang w:val="en-US" w:eastAsia="zh-CN"/>
        </w:rPr>
        <w:t xml:space="preserve"> 30  </w:t>
      </w:r>
      <w:r>
        <w:rPr>
          <w:rFonts w:hint="eastAsia" w:ascii="宋体" w:hAnsi="宋体" w:eastAsia="宋体" w:cs="宋体"/>
          <w:color w:val="auto"/>
          <w:sz w:val="21"/>
          <w:szCs w:val="21"/>
          <w:highlight w:val="none"/>
          <w:lang w:val="en-US" w:eastAsia="zh-CN"/>
        </w:rPr>
        <w:t>人，选择一般的人数</w:t>
      </w:r>
      <w:r>
        <w:rPr>
          <w:rFonts w:hint="eastAsia" w:ascii="宋体" w:hAnsi="宋体" w:eastAsia="宋体" w:cs="宋体"/>
          <w:color w:val="auto"/>
          <w:sz w:val="21"/>
          <w:szCs w:val="21"/>
          <w:highlight w:val="none"/>
          <w:u w:val="single"/>
          <w:lang w:val="en-US" w:eastAsia="zh-CN"/>
        </w:rPr>
        <w:t xml:space="preserve"> 0 </w:t>
      </w:r>
      <w:r>
        <w:rPr>
          <w:rFonts w:hint="eastAsia" w:ascii="宋体" w:hAnsi="宋体" w:eastAsia="宋体" w:cs="宋体"/>
          <w:color w:val="auto"/>
          <w:sz w:val="21"/>
          <w:szCs w:val="21"/>
          <w:highlight w:val="none"/>
          <w:lang w:val="en-US" w:eastAsia="zh-CN"/>
        </w:rPr>
        <w:t>人，选择不满意的人数</w:t>
      </w:r>
      <w:r>
        <w:rPr>
          <w:rFonts w:hint="eastAsia" w:ascii="宋体" w:hAnsi="宋体" w:eastAsia="宋体" w:cs="宋体"/>
          <w:color w:val="auto"/>
          <w:sz w:val="21"/>
          <w:szCs w:val="21"/>
          <w:highlight w:val="none"/>
          <w:u w:val="single"/>
          <w:lang w:val="en-US" w:eastAsia="zh-CN"/>
        </w:rPr>
        <w:t xml:space="preserve"> 0 </w:t>
      </w:r>
      <w:r>
        <w:rPr>
          <w:rFonts w:hint="eastAsia" w:ascii="宋体" w:hAnsi="宋体" w:eastAsia="宋体" w:cs="宋体"/>
          <w:color w:val="auto"/>
          <w:sz w:val="21"/>
          <w:szCs w:val="21"/>
          <w:highlight w:val="none"/>
          <w:lang w:val="en-US" w:eastAsia="zh-CN"/>
        </w:rPr>
        <w:t>人，选择非常不满意的人数</w:t>
      </w:r>
      <w:r>
        <w:rPr>
          <w:rFonts w:hint="eastAsia" w:ascii="宋体" w:hAnsi="宋体" w:eastAsia="宋体" w:cs="宋体"/>
          <w:color w:val="auto"/>
          <w:sz w:val="21"/>
          <w:szCs w:val="21"/>
          <w:highlight w:val="none"/>
          <w:u w:val="single"/>
          <w:lang w:val="en-US" w:eastAsia="zh-CN"/>
        </w:rPr>
        <w:t>0</w:t>
      </w:r>
      <w:r>
        <w:rPr>
          <w:rFonts w:hint="eastAsia" w:ascii="宋体" w:hAnsi="宋体" w:eastAsia="宋体" w:cs="宋体"/>
          <w:color w:val="auto"/>
          <w:sz w:val="21"/>
          <w:szCs w:val="21"/>
          <w:highlight w:val="none"/>
          <w:lang w:val="en-US" w:eastAsia="zh-CN"/>
        </w:rPr>
        <w:t>人。</w:t>
      </w:r>
    </w:p>
    <w:p w14:paraId="30EEDEC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第二个问题：该项统计有效问卷数量30份，选择非常满意的人数为</w:t>
      </w:r>
      <w:r>
        <w:rPr>
          <w:rFonts w:hint="eastAsia" w:ascii="宋体" w:hAnsi="宋体" w:eastAsia="宋体" w:cs="宋体"/>
          <w:color w:val="auto"/>
          <w:sz w:val="21"/>
          <w:szCs w:val="21"/>
          <w:highlight w:val="none"/>
          <w:u w:val="single"/>
          <w:lang w:val="en-US" w:eastAsia="zh-CN"/>
        </w:rPr>
        <w:t xml:space="preserve"> 30  </w:t>
      </w:r>
      <w:r>
        <w:rPr>
          <w:rFonts w:hint="eastAsia" w:ascii="宋体" w:hAnsi="宋体" w:eastAsia="宋体" w:cs="宋体"/>
          <w:color w:val="auto"/>
          <w:sz w:val="21"/>
          <w:szCs w:val="21"/>
          <w:highlight w:val="none"/>
          <w:lang w:val="en-US" w:eastAsia="zh-CN"/>
        </w:rPr>
        <w:t>人。选择比较满意的人数为</w:t>
      </w:r>
      <w:r>
        <w:rPr>
          <w:rFonts w:hint="eastAsia" w:ascii="宋体" w:hAnsi="宋体" w:eastAsia="宋体" w:cs="宋体"/>
          <w:color w:val="auto"/>
          <w:sz w:val="21"/>
          <w:szCs w:val="21"/>
          <w:highlight w:val="none"/>
          <w:u w:val="single"/>
          <w:lang w:val="en-US" w:eastAsia="zh-CN"/>
        </w:rPr>
        <w:t xml:space="preserve"> 0 </w:t>
      </w:r>
      <w:r>
        <w:rPr>
          <w:rFonts w:hint="eastAsia" w:ascii="宋体" w:hAnsi="宋体" w:eastAsia="宋体" w:cs="宋体"/>
          <w:color w:val="auto"/>
          <w:sz w:val="21"/>
          <w:szCs w:val="21"/>
          <w:highlight w:val="none"/>
          <w:lang w:val="en-US" w:eastAsia="zh-CN"/>
        </w:rPr>
        <w:t>人，选择一般的人数</w:t>
      </w:r>
      <w:r>
        <w:rPr>
          <w:rFonts w:hint="eastAsia" w:ascii="宋体" w:hAnsi="宋体" w:eastAsia="宋体" w:cs="宋体"/>
          <w:color w:val="auto"/>
          <w:sz w:val="21"/>
          <w:szCs w:val="21"/>
          <w:highlight w:val="none"/>
          <w:u w:val="single"/>
          <w:lang w:val="en-US" w:eastAsia="zh-CN"/>
        </w:rPr>
        <w:t xml:space="preserve"> 0 </w:t>
      </w:r>
      <w:r>
        <w:rPr>
          <w:rFonts w:hint="eastAsia" w:ascii="宋体" w:hAnsi="宋体" w:eastAsia="宋体" w:cs="宋体"/>
          <w:color w:val="auto"/>
          <w:sz w:val="21"/>
          <w:szCs w:val="21"/>
          <w:highlight w:val="none"/>
          <w:lang w:val="en-US" w:eastAsia="zh-CN"/>
        </w:rPr>
        <w:t>人，选择不满意的人数</w:t>
      </w:r>
      <w:r>
        <w:rPr>
          <w:rFonts w:hint="eastAsia" w:ascii="宋体" w:hAnsi="宋体" w:eastAsia="宋体" w:cs="宋体"/>
          <w:color w:val="auto"/>
          <w:sz w:val="21"/>
          <w:szCs w:val="21"/>
          <w:highlight w:val="none"/>
          <w:u w:val="single"/>
          <w:lang w:val="en-US" w:eastAsia="zh-CN"/>
        </w:rPr>
        <w:t xml:space="preserve"> 0 </w:t>
      </w:r>
      <w:r>
        <w:rPr>
          <w:rFonts w:hint="eastAsia" w:ascii="宋体" w:hAnsi="宋体" w:eastAsia="宋体" w:cs="宋体"/>
          <w:color w:val="auto"/>
          <w:sz w:val="21"/>
          <w:szCs w:val="21"/>
          <w:highlight w:val="none"/>
          <w:lang w:val="en-US" w:eastAsia="zh-CN"/>
        </w:rPr>
        <w:t>人，选择非常不满意的人数</w:t>
      </w:r>
      <w:r>
        <w:rPr>
          <w:rFonts w:hint="eastAsia" w:ascii="宋体" w:hAnsi="宋体" w:eastAsia="宋体" w:cs="宋体"/>
          <w:color w:val="auto"/>
          <w:sz w:val="21"/>
          <w:szCs w:val="21"/>
          <w:highlight w:val="none"/>
          <w:u w:val="single"/>
          <w:lang w:val="en-US" w:eastAsia="zh-CN"/>
        </w:rPr>
        <w:t xml:space="preserve"> 0 </w:t>
      </w:r>
      <w:r>
        <w:rPr>
          <w:rFonts w:hint="eastAsia" w:ascii="宋体" w:hAnsi="宋体" w:eastAsia="宋体" w:cs="宋体"/>
          <w:color w:val="auto"/>
          <w:sz w:val="21"/>
          <w:szCs w:val="21"/>
          <w:highlight w:val="none"/>
          <w:lang w:val="en-US" w:eastAsia="zh-CN"/>
        </w:rPr>
        <w:t>人。</w:t>
      </w:r>
    </w:p>
    <w:p w14:paraId="114A4AF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第三个问题：该项统计有效问卷数量30份，选择非常满意的人数为</w:t>
      </w:r>
      <w:r>
        <w:rPr>
          <w:rFonts w:hint="eastAsia" w:ascii="宋体" w:hAnsi="宋体" w:eastAsia="宋体" w:cs="宋体"/>
          <w:color w:val="auto"/>
          <w:sz w:val="21"/>
          <w:szCs w:val="21"/>
          <w:highlight w:val="none"/>
          <w:u w:val="single"/>
          <w:lang w:val="en-US" w:eastAsia="zh-CN"/>
        </w:rPr>
        <w:t xml:space="preserve"> 30  </w:t>
      </w:r>
      <w:r>
        <w:rPr>
          <w:rFonts w:hint="eastAsia" w:ascii="宋体" w:hAnsi="宋体" w:eastAsia="宋体" w:cs="宋体"/>
          <w:color w:val="auto"/>
          <w:sz w:val="21"/>
          <w:szCs w:val="21"/>
          <w:highlight w:val="none"/>
          <w:lang w:val="en-US" w:eastAsia="zh-CN"/>
        </w:rPr>
        <w:t>人。选择比较满意的人数为</w:t>
      </w:r>
      <w:r>
        <w:rPr>
          <w:rFonts w:hint="eastAsia" w:ascii="宋体" w:hAnsi="宋体" w:eastAsia="宋体" w:cs="宋体"/>
          <w:color w:val="auto"/>
          <w:sz w:val="21"/>
          <w:szCs w:val="21"/>
          <w:highlight w:val="none"/>
          <w:u w:val="single"/>
          <w:lang w:val="en-US" w:eastAsia="zh-CN"/>
        </w:rPr>
        <w:t xml:space="preserve">  30 </w:t>
      </w:r>
      <w:r>
        <w:rPr>
          <w:rFonts w:hint="eastAsia" w:ascii="宋体" w:hAnsi="宋体" w:eastAsia="宋体" w:cs="宋体"/>
          <w:color w:val="auto"/>
          <w:sz w:val="21"/>
          <w:szCs w:val="21"/>
          <w:highlight w:val="none"/>
          <w:lang w:val="en-US" w:eastAsia="zh-CN"/>
        </w:rPr>
        <w:t>人，选择一般的人数</w:t>
      </w:r>
      <w:r>
        <w:rPr>
          <w:rFonts w:hint="eastAsia" w:ascii="宋体" w:hAnsi="宋体" w:eastAsia="宋体" w:cs="宋体"/>
          <w:color w:val="auto"/>
          <w:sz w:val="21"/>
          <w:szCs w:val="21"/>
          <w:highlight w:val="none"/>
          <w:u w:val="single"/>
          <w:lang w:val="en-US" w:eastAsia="zh-CN"/>
        </w:rPr>
        <w:t xml:space="preserve"> 0  </w:t>
      </w:r>
      <w:r>
        <w:rPr>
          <w:rFonts w:hint="eastAsia" w:ascii="宋体" w:hAnsi="宋体" w:eastAsia="宋体" w:cs="宋体"/>
          <w:color w:val="auto"/>
          <w:sz w:val="21"/>
          <w:szCs w:val="21"/>
          <w:highlight w:val="none"/>
          <w:lang w:val="en-US" w:eastAsia="zh-CN"/>
        </w:rPr>
        <w:t>人，选择不满意的人数</w:t>
      </w:r>
      <w:r>
        <w:rPr>
          <w:rFonts w:hint="eastAsia" w:ascii="宋体" w:hAnsi="宋体" w:eastAsia="宋体" w:cs="宋体"/>
          <w:color w:val="auto"/>
          <w:sz w:val="21"/>
          <w:szCs w:val="21"/>
          <w:highlight w:val="none"/>
          <w:u w:val="single"/>
          <w:lang w:val="en-US" w:eastAsia="zh-CN"/>
        </w:rPr>
        <w:t xml:space="preserve"> 0  </w:t>
      </w:r>
      <w:r>
        <w:rPr>
          <w:rFonts w:hint="eastAsia" w:ascii="宋体" w:hAnsi="宋体" w:eastAsia="宋体" w:cs="宋体"/>
          <w:color w:val="auto"/>
          <w:sz w:val="21"/>
          <w:szCs w:val="21"/>
          <w:highlight w:val="none"/>
          <w:lang w:val="en-US" w:eastAsia="zh-CN"/>
        </w:rPr>
        <w:t>人，选择非常不满意的人数</w:t>
      </w:r>
      <w:r>
        <w:rPr>
          <w:rFonts w:hint="eastAsia" w:ascii="宋体" w:hAnsi="宋体" w:eastAsia="宋体" w:cs="宋体"/>
          <w:color w:val="auto"/>
          <w:sz w:val="21"/>
          <w:szCs w:val="21"/>
          <w:highlight w:val="none"/>
          <w:u w:val="single"/>
          <w:lang w:val="en-US" w:eastAsia="zh-CN"/>
        </w:rPr>
        <w:t xml:space="preserve">  0 </w:t>
      </w:r>
      <w:r>
        <w:rPr>
          <w:rFonts w:hint="eastAsia" w:ascii="宋体" w:hAnsi="宋体" w:eastAsia="宋体" w:cs="宋体"/>
          <w:color w:val="auto"/>
          <w:sz w:val="21"/>
          <w:szCs w:val="21"/>
          <w:highlight w:val="none"/>
          <w:lang w:val="en-US" w:eastAsia="zh-CN"/>
        </w:rPr>
        <w:t>人。</w:t>
      </w:r>
    </w:p>
    <w:p w14:paraId="3D2D54FC">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二、调查结果统计</w:t>
      </w:r>
    </w:p>
    <w:p w14:paraId="4564DA6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戏曲进乡村演出活动项目针对受益人员发放30份调查问卷，最终统计受益人群满意度为100%。</w:t>
      </w:r>
    </w:p>
    <w:p w14:paraId="5B92E898">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宋体" w:hAnsi="宋体" w:eastAsia="宋体" w:cs="宋体"/>
          <w:color w:val="auto"/>
          <w:sz w:val="21"/>
          <w:szCs w:val="21"/>
          <w:highlight w:val="none"/>
          <w:lang w:val="en-US" w:eastAsia="zh-CN"/>
        </w:rPr>
      </w:pPr>
    </w:p>
    <w:p w14:paraId="5580C06A">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洛浦县文工团</w:t>
      </w:r>
    </w:p>
    <w:p w14:paraId="1E5835E9">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jc w:val="righ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   2025年3月1日</w:t>
      </w:r>
    </w:p>
    <w:p w14:paraId="78FAE3FB">
      <w:pPr>
        <w:ind w:left="0" w:leftChars="0" w:firstLine="0" w:firstLineChars="0"/>
        <w:rPr>
          <w:color w:val="auto"/>
          <w:highlight w:val="none"/>
        </w:rPr>
      </w:pPr>
    </w:p>
    <w:p w14:paraId="7D996234">
      <w:pPr>
        <w:pStyle w:val="10"/>
        <w:jc w:val="both"/>
        <w:rPr>
          <w:rFonts w:hint="eastAsia" w:ascii="宋体" w:hAnsi="宋体" w:eastAsia="宋体" w:cs="宋体"/>
          <w:color w:val="auto"/>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A2EF">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6453F6CA">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829439">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E306ED"/>
    <w:multiLevelType w:val="singleLevel"/>
    <w:tmpl w:val="B5E306ED"/>
    <w:lvl w:ilvl="0" w:tentative="0">
      <w:start w:val="1"/>
      <w:numFmt w:val="decimal"/>
      <w:suff w:val="nothing"/>
      <w:lvlText w:val="（%1）"/>
      <w:lvlJc w:val="left"/>
    </w:lvl>
  </w:abstractNum>
  <w:abstractNum w:abstractNumId="1">
    <w:nsid w:val="BF205925"/>
    <w:multiLevelType w:val="singleLevel"/>
    <w:tmpl w:val="BF205925"/>
    <w:lvl w:ilvl="0" w:tentative="0">
      <w:start w:val="1"/>
      <w:numFmt w:val="decimal"/>
      <w:suff w:val="nothing"/>
      <w:lvlText w:val="%1）"/>
      <w:lvlJc w:val="left"/>
    </w:lvl>
  </w:abstractNum>
  <w:abstractNum w:abstractNumId="2">
    <w:nsid w:val="CF092B84"/>
    <w:multiLevelType w:val="singleLevel"/>
    <w:tmpl w:val="CF092B84"/>
    <w:lvl w:ilvl="0" w:tentative="0">
      <w:start w:val="2"/>
      <w:numFmt w:val="decimal"/>
      <w:lvlText w:val="%1."/>
      <w:lvlJc w:val="left"/>
      <w:pPr>
        <w:tabs>
          <w:tab w:val="left" w:pos="312"/>
        </w:tabs>
      </w:pPr>
    </w:lvl>
  </w:abstractNum>
  <w:abstractNum w:abstractNumId="3">
    <w:nsid w:val="0053208E"/>
    <w:multiLevelType w:val="singleLevel"/>
    <w:tmpl w:val="0053208E"/>
    <w:lvl w:ilvl="0" w:tentative="0">
      <w:start w:val="2"/>
      <w:numFmt w:val="decimal"/>
      <w:lvlText w:val="%1."/>
      <w:lvlJc w:val="left"/>
      <w:pPr>
        <w:tabs>
          <w:tab w:val="left" w:pos="312"/>
        </w:tabs>
      </w:pPr>
    </w:lvl>
  </w:abstractNum>
  <w:abstractNum w:abstractNumId="4">
    <w:nsid w:val="03D62ECE"/>
    <w:multiLevelType w:val="singleLevel"/>
    <w:tmpl w:val="03D62ECE"/>
    <w:lvl w:ilvl="0" w:tentative="0">
      <w:start w:val="1"/>
      <w:numFmt w:val="decimal"/>
      <w:suff w:val="nothing"/>
      <w:lvlText w:val="（%1）"/>
      <w:lvlJc w:val="left"/>
    </w:lvl>
  </w:abstractNum>
  <w:abstractNum w:abstractNumId="5">
    <w:nsid w:val="25B654F3"/>
    <w:multiLevelType w:val="singleLevel"/>
    <w:tmpl w:val="25B654F3"/>
    <w:lvl w:ilvl="0" w:tentative="0">
      <w:start w:val="2"/>
      <w:numFmt w:val="chineseCounting"/>
      <w:suff w:val="nothing"/>
      <w:lvlText w:val="（%1）"/>
      <w:lvlJc w:val="left"/>
      <w:rPr>
        <w:rFonts w:hint="eastAsia"/>
      </w:rPr>
    </w:lvl>
  </w:abstractNum>
  <w:abstractNum w:abstractNumId="6">
    <w:nsid w:val="59ADCABA"/>
    <w:multiLevelType w:val="singleLevel"/>
    <w:tmpl w:val="59ADCABA"/>
    <w:lvl w:ilvl="0" w:tentative="0">
      <w:start w:val="1"/>
      <w:numFmt w:val="decimal"/>
      <w:suff w:val="nothing"/>
      <w:lvlText w:val="（%1）"/>
      <w:lvlJc w:val="left"/>
    </w:lvl>
  </w:abstractNum>
  <w:num w:numId="1">
    <w:abstractNumId w:val="3"/>
  </w:num>
  <w:num w:numId="2">
    <w:abstractNumId w:val="2"/>
  </w:num>
  <w:num w:numId="3">
    <w:abstractNumId w:val="6"/>
  </w:num>
  <w:num w:numId="4">
    <w:abstractNumId w:val="1"/>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05884BA2"/>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1"/>
    <w:link w:val="34"/>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5"/>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6"/>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3"/>
    <w:unhideWhenUsed/>
    <w:qFormat/>
    <w:uiPriority w:val="0"/>
    <w:pPr>
      <w:ind w:firstLine="420"/>
    </w:pPr>
  </w:style>
  <w:style w:type="paragraph" w:styleId="3">
    <w:name w:val="Body Text Indent"/>
    <w:basedOn w:val="1"/>
    <w:link w:val="32"/>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8"/>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40"/>
    <w:unhideWhenUsed/>
    <w:uiPriority w:val="99"/>
    <w:rPr>
      <w:rFonts w:cs="Times New Roman"/>
      <w:kern w:val="0"/>
      <w:sz w:val="18"/>
      <w:szCs w:val="18"/>
    </w:rPr>
  </w:style>
  <w:style w:type="paragraph" w:styleId="15">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List"/>
    <w:basedOn w:val="1"/>
    <w:unhideWhenUsed/>
    <w:qFormat/>
    <w:uiPriority w:val="99"/>
    <w:pPr>
      <w:ind w:left="420" w:hanging="420"/>
    </w:pPr>
  </w:style>
  <w:style w:type="paragraph" w:styleId="20">
    <w:name w:val="toc 6"/>
    <w:basedOn w:val="1"/>
    <w:next w:val="1"/>
    <w:unhideWhenUsed/>
    <w:uiPriority w:val="39"/>
    <w:pPr>
      <w:ind w:left="1400"/>
      <w:jc w:val="left"/>
    </w:pPr>
    <w:rPr>
      <w:rFonts w:ascii="Calibri" w:hAnsi="Calibri" w:cs="Calibri"/>
      <w:sz w:val="18"/>
      <w:szCs w:val="18"/>
    </w:rPr>
  </w:style>
  <w:style w:type="paragraph" w:styleId="21">
    <w:name w:val="toc 2"/>
    <w:basedOn w:val="1"/>
    <w:next w:val="1"/>
    <w:unhideWhenUsed/>
    <w:uiPriority w:val="39"/>
    <w:pPr>
      <w:ind w:left="280"/>
      <w:jc w:val="left"/>
    </w:pPr>
    <w:rPr>
      <w:rFonts w:ascii="Calibri" w:hAnsi="Calibri" w:cs="Calibri"/>
      <w:smallCaps/>
      <w:sz w:val="20"/>
      <w:szCs w:val="20"/>
    </w:rPr>
  </w:style>
  <w:style w:type="paragraph" w:styleId="22">
    <w:name w:val="toc 9"/>
    <w:basedOn w:val="1"/>
    <w:next w:val="1"/>
    <w:unhideWhenUsed/>
    <w:uiPriority w:val="39"/>
    <w:pPr>
      <w:ind w:left="2240"/>
      <w:jc w:val="left"/>
    </w:pPr>
    <w:rPr>
      <w:rFonts w:ascii="Calibri" w:hAnsi="Calibri" w:cs="Calibri"/>
      <w:sz w:val="18"/>
      <w:szCs w:val="18"/>
    </w:rPr>
  </w:style>
  <w:style w:type="paragraph" w:styleId="23">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unhideWhenUsed/>
    <w:uiPriority w:val="99"/>
    <w:rPr>
      <w:color w:val="0000FF"/>
      <w:u w:val="single"/>
    </w:rPr>
  </w:style>
  <w:style w:type="paragraph" w:customStyle="1" w:styleId="29">
    <w:name w:val="Comment Text"/>
    <w:basedOn w:val="1"/>
    <w:link w:val="39"/>
    <w:unhideWhenUsed/>
    <w:uiPriority w:val="99"/>
    <w:rPr>
      <w:rFonts w:cs="Times New Roman"/>
      <w:kern w:val="0"/>
      <w:sz w:val="20"/>
      <w:szCs w:val="20"/>
    </w:rPr>
  </w:style>
  <w:style w:type="paragraph" w:customStyle="1" w:styleId="30">
    <w:name w:val="Comment Subject"/>
    <w:basedOn w:val="29"/>
    <w:next w:val="29"/>
    <w:link w:val="44"/>
    <w:unhideWhenUsed/>
    <w:uiPriority w:val="99"/>
    <w:rPr>
      <w:b/>
      <w:bCs/>
    </w:rPr>
  </w:style>
  <w:style w:type="character" w:customStyle="1" w:styleId="31">
    <w:name w:val="Comment Reference"/>
    <w:unhideWhenUsed/>
    <w:uiPriority w:val="99"/>
    <w:rPr>
      <w:sz w:val="16"/>
      <w:szCs w:val="16"/>
    </w:rPr>
  </w:style>
  <w:style w:type="character" w:customStyle="1" w:styleId="32">
    <w:name w:val="正文文本缩进 Char"/>
    <w:link w:val="3"/>
    <w:semiHidden/>
    <w:uiPriority w:val="99"/>
    <w:rPr>
      <w:rFonts w:ascii="Calibri" w:hAnsi="Calibri" w:eastAsia="仿宋_GB2312" w:cs="黑体"/>
      <w:sz w:val="28"/>
    </w:rPr>
  </w:style>
  <w:style w:type="character" w:customStyle="1" w:styleId="33">
    <w:name w:val="正文首行缩进 2 Char"/>
    <w:link w:val="2"/>
    <w:uiPriority w:val="0"/>
    <w:rPr>
      <w:rFonts w:ascii="Calibri" w:hAnsi="Calibri" w:eastAsia="仿宋_GB2312" w:cs="黑体"/>
      <w:sz w:val="28"/>
    </w:rPr>
  </w:style>
  <w:style w:type="character" w:customStyle="1" w:styleId="34">
    <w:name w:val="标题 1 Char"/>
    <w:link w:val="4"/>
    <w:uiPriority w:val="9"/>
    <w:rPr>
      <w:rFonts w:ascii="Times New Roman" w:hAnsi="Times New Roman" w:eastAsia="仿宋_GB2312" w:cs="Times New Roman"/>
      <w:b/>
      <w:bCs/>
      <w:kern w:val="44"/>
      <w:sz w:val="32"/>
      <w:szCs w:val="44"/>
    </w:rPr>
  </w:style>
  <w:style w:type="character" w:customStyle="1" w:styleId="35">
    <w:name w:val="标题 2 Char"/>
    <w:link w:val="5"/>
    <w:uiPriority w:val="0"/>
    <w:rPr>
      <w:rFonts w:ascii="Cambria" w:hAnsi="Cambria" w:eastAsia="仿宋_GB2312" w:cs="Times New Roman"/>
      <w:b/>
      <w:bCs/>
      <w:kern w:val="0"/>
      <w:sz w:val="30"/>
      <w:szCs w:val="32"/>
    </w:rPr>
  </w:style>
  <w:style w:type="character" w:customStyle="1" w:styleId="36">
    <w:name w:val="标题 3 Char"/>
    <w:link w:val="6"/>
    <w:uiPriority w:val="9"/>
    <w:rPr>
      <w:rFonts w:ascii="Calibri" w:hAnsi="Calibri" w:eastAsia="仿宋_GB2312" w:cs="黑体"/>
      <w:bCs/>
      <w:sz w:val="28"/>
      <w:szCs w:val="32"/>
    </w:rPr>
  </w:style>
  <w:style w:type="character" w:customStyle="1" w:styleId="37">
    <w:name w:val="标题 4 Char"/>
    <w:link w:val="7"/>
    <w:semiHidden/>
    <w:uiPriority w:val="9"/>
    <w:rPr>
      <w:rFonts w:ascii="Cambria" w:hAnsi="Cambria" w:eastAsia="宋体" w:cs="Times New Roman"/>
      <w:b/>
      <w:bCs/>
      <w:sz w:val="28"/>
      <w:szCs w:val="28"/>
    </w:rPr>
  </w:style>
  <w:style w:type="character" w:customStyle="1" w:styleId="38">
    <w:name w:val="文档结构图 Char"/>
    <w:link w:val="9"/>
    <w:semiHidden/>
    <w:uiPriority w:val="99"/>
    <w:rPr>
      <w:rFonts w:ascii="宋体" w:hAnsi="Calibri" w:eastAsia="宋体" w:cs="黑体"/>
      <w:sz w:val="18"/>
      <w:szCs w:val="18"/>
    </w:rPr>
  </w:style>
  <w:style w:type="character" w:customStyle="1" w:styleId="39">
    <w:name w:val="批注文字 Char"/>
    <w:link w:val="29"/>
    <w:semiHidden/>
    <w:uiPriority w:val="99"/>
    <w:rPr>
      <w:rFonts w:ascii="Calibri" w:hAnsi="Calibri" w:eastAsia="仿宋_GB2312" w:cs="黑体"/>
      <w:sz w:val="20"/>
      <w:szCs w:val="20"/>
    </w:rPr>
  </w:style>
  <w:style w:type="character" w:customStyle="1" w:styleId="40">
    <w:name w:val="批注框文本 Char"/>
    <w:link w:val="14"/>
    <w:semiHidden/>
    <w:uiPriority w:val="99"/>
    <w:rPr>
      <w:rFonts w:ascii="Calibri" w:hAnsi="Calibri" w:eastAsia="仿宋_GB2312" w:cs="黑体"/>
      <w:sz w:val="18"/>
      <w:szCs w:val="18"/>
    </w:rPr>
  </w:style>
  <w:style w:type="character" w:customStyle="1" w:styleId="41">
    <w:name w:val="页脚 Char"/>
    <w:link w:val="15"/>
    <w:uiPriority w:val="99"/>
    <w:rPr>
      <w:rFonts w:ascii="Calibri" w:hAnsi="Calibri" w:eastAsia="仿宋_GB2312" w:cs="黑体"/>
      <w:sz w:val="18"/>
      <w:szCs w:val="18"/>
    </w:rPr>
  </w:style>
  <w:style w:type="character" w:customStyle="1" w:styleId="42">
    <w:name w:val="页眉 Char"/>
    <w:link w:val="16"/>
    <w:uiPriority w:val="99"/>
    <w:rPr>
      <w:rFonts w:ascii="Calibri" w:hAnsi="Calibri" w:eastAsia="仿宋_GB2312" w:cs="黑体"/>
      <w:sz w:val="18"/>
      <w:szCs w:val="18"/>
    </w:rPr>
  </w:style>
  <w:style w:type="character" w:customStyle="1" w:styleId="43">
    <w:name w:val="标题 Char"/>
    <w:link w:val="23"/>
    <w:uiPriority w:val="10"/>
    <w:rPr>
      <w:rFonts w:ascii="Cambria" w:hAnsi="Cambria"/>
      <w:b/>
      <w:bCs/>
      <w:kern w:val="2"/>
      <w:sz w:val="32"/>
      <w:szCs w:val="32"/>
    </w:rPr>
  </w:style>
  <w:style w:type="character" w:customStyle="1" w:styleId="44">
    <w:name w:val="批注主题 Char"/>
    <w:link w:val="30"/>
    <w:semiHidden/>
    <w:uiPriority w:val="99"/>
    <w:rPr>
      <w:rFonts w:ascii="Calibri" w:hAnsi="Calibri" w:eastAsia="仿宋_GB2312" w:cs="黑体"/>
      <w:b/>
      <w:bCs/>
      <w:sz w:val="20"/>
      <w:szCs w:val="20"/>
    </w:rPr>
  </w:style>
  <w:style w:type="character" w:customStyle="1" w:styleId="45">
    <w:name w:val="闻政-正文一级标题 Char"/>
    <w:link w:val="46"/>
    <w:uiPriority w:val="3"/>
    <w:rPr>
      <w:rFonts w:ascii="黑体" w:hAnsi="黑体" w:eastAsia="黑体"/>
      <w:bCs/>
      <w:sz w:val="32"/>
      <w:szCs w:val="32"/>
    </w:rPr>
  </w:style>
  <w:style w:type="paragraph" w:customStyle="1" w:styleId="46">
    <w:name w:val="闻政-正文一级标题"/>
    <w:basedOn w:val="6"/>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uiPriority w:val="3"/>
    <w:rPr>
      <w:rFonts w:ascii="Times New Roman" w:hAnsi="Times New Roman" w:eastAsia="仿宋_GB2312"/>
      <w:sz w:val="28"/>
      <w:szCs w:val="28"/>
    </w:rPr>
  </w:style>
  <w:style w:type="character" w:customStyle="1" w:styleId="49">
    <w:name w:val="闻政-正文二级标题 Char"/>
    <w:link w:val="50"/>
    <w:uiPriority w:val="3"/>
    <w:rPr>
      <w:rFonts w:ascii="Times New Roman" w:hAnsi="Times New Roman" w:eastAsia="仿宋_GB2312"/>
      <w:b/>
      <w:bCs/>
      <w:sz w:val="28"/>
      <w:szCs w:val="32"/>
    </w:rPr>
  </w:style>
  <w:style w:type="paragraph" w:customStyle="1" w:styleId="50">
    <w:name w:val="闻政-正文二级标题"/>
    <w:basedOn w:val="5"/>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uiPriority w:val="0"/>
    <w:rPr>
      <w:rFonts w:hint="default" w:ascii="Times New Roman" w:hAnsi="Times New Roman" w:cs="Times New Roman"/>
      <w:color w:val="000000"/>
      <w:sz w:val="24"/>
      <w:szCs w:val="24"/>
      <w:u w:val="none"/>
    </w:rPr>
  </w:style>
  <w:style w:type="character" w:customStyle="1" w:styleId="56">
    <w:name w:val="无间隔 Char"/>
    <w:link w:val="57"/>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basedOn w:val="26"/>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1AB2C9F2BDDD40C4935DA67991FEF09D_13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ae651e-6e89-4618-96e1-d70d9e6bb86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11064</Words>
  <Characters>11508</Characters>
  <Lines>44</Lines>
  <Paragraphs>12</Paragraphs>
  <TotalTime>46</TotalTime>
  <ScaleCrop>false</ScaleCrop>
  <LinksUpToDate>false</LinksUpToDate>
  <CharactersWithSpaces>11532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2025-10-10T11:02:06Z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1AB2C9F2BDDD40C4935DA67991FEF09D_13</vt:lpwstr>
  </property>
  <property fmtid="{D5CDD505-2E9C-101B-9397-08002B2CF9AE}" pid="4" name="KSOTemplateDocerSaveRecord">
    <vt:lpwstr>eyJoZGlkIjoiZDE5MGZhMTJhZDM2OTQwYzkzYWVjM2FhZDUxN2Q0M2IiLCJ1c2VySWQiOiI2NTE5NDIwMjYifQ_x003D__x003D_</vt:lpwstr>
  </property>
</Properties>
</file>