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00AC0"/>
    <w:p w14:paraId="1D10B39A">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3DA153B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和田地区洛浦县2024年村村通运行维护经费</w:t>
      </w:r>
    </w:p>
    <w:p w14:paraId="6A55726F">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pPr>
      <w:r>
        <w:rPr>
          <w:rFonts w:hint="eastAsia" w:ascii="黑体" w:hAnsi="黑体" w:eastAsia="黑体" w:cs="黑体"/>
          <w:b/>
          <w:sz w:val="36"/>
          <w:szCs w:val="36"/>
        </w:rPr>
        <w:t>项目支出绩效评价报告</w:t>
      </w:r>
    </w:p>
    <w:p w14:paraId="568626BF">
      <w:pPr>
        <w:pStyle w:val="6"/>
        <w:jc w:val="center"/>
        <w:rPr>
          <w:rFonts w:hint="eastAsia" w:eastAsia="仿宋_GB2312"/>
          <w:lang w:eastAsia="zh-CN"/>
        </w:rPr>
      </w:pPr>
      <w:r>
        <w:rPr>
          <w:rFonts w:hint="eastAsia"/>
          <w:lang w:eastAsia="zh-CN"/>
        </w:rPr>
        <w:t>（</w:t>
      </w:r>
      <w:r>
        <w:rPr>
          <w:rFonts w:hint="eastAsia"/>
          <w:lang w:val="en-US" w:eastAsia="zh-CN"/>
        </w:rPr>
        <w:t>2024年度</w:t>
      </w:r>
      <w:r>
        <w:rPr>
          <w:rFonts w:hint="eastAsia"/>
          <w:lang w:eastAsia="zh-CN"/>
        </w:rPr>
        <w:t>）</w:t>
      </w:r>
      <w:bookmarkStart w:id="18" w:name="_GoBack"/>
      <w:bookmarkEnd w:id="18"/>
    </w:p>
    <w:p w14:paraId="3195E9E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25736E31">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7B44E3C2">
      <w:pPr>
        <w:pStyle w:val="6"/>
        <w:rPr>
          <w:rFonts w:hint="eastAsia" w:eastAsia="方正仿宋_GBK" w:cs="方正仿宋_GBK"/>
          <w:b/>
          <w:kern w:val="0"/>
          <w:sz w:val="32"/>
          <w:szCs w:val="32"/>
          <w:lang w:bidi="en-US"/>
        </w:rPr>
      </w:pPr>
    </w:p>
    <w:p w14:paraId="29A73052">
      <w:pPr>
        <w:rPr>
          <w:rFonts w:hint="eastAsia" w:eastAsia="方正仿宋_GBK" w:cs="方正仿宋_GBK"/>
          <w:b/>
          <w:kern w:val="0"/>
          <w:sz w:val="32"/>
          <w:szCs w:val="32"/>
          <w:lang w:bidi="en-US"/>
        </w:rPr>
      </w:pPr>
    </w:p>
    <w:p w14:paraId="3043897C">
      <w:pPr>
        <w:pStyle w:val="6"/>
        <w:rPr>
          <w:rFonts w:hint="eastAsia"/>
        </w:rPr>
      </w:pPr>
    </w:p>
    <w:p w14:paraId="1B682A8C">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6110811D">
      <w:pPr>
        <w:pageBreakBefore w:val="0"/>
        <w:widowControl w:val="0"/>
        <w:kinsoku/>
        <w:wordWrap/>
        <w:topLinePunct w:val="0"/>
        <w:autoSpaceDE/>
        <w:autoSpaceDN/>
        <w:bidi w:val="0"/>
        <w:spacing w:line="560" w:lineRule="exact"/>
        <w:ind w:left="0" w:leftChars="0" w:firstLine="560"/>
        <w:textAlignment w:val="auto"/>
        <w:rPr>
          <w:rFonts w:hint="eastAsia"/>
        </w:rPr>
      </w:pPr>
    </w:p>
    <w:p w14:paraId="43E92539">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056303FB">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FF0000"/>
          <w:kern w:val="0"/>
          <w:sz w:val="28"/>
          <w:szCs w:val="28"/>
          <w:lang w:bidi="en-US"/>
        </w:rPr>
      </w:pPr>
      <w:r>
        <w:rPr>
          <w:rFonts w:hint="eastAsia" w:ascii="宋体" w:hAnsi="宋体" w:eastAsia="宋体" w:cs="宋体"/>
          <w:kern w:val="0"/>
          <w:sz w:val="28"/>
          <w:szCs w:val="28"/>
          <w:lang w:bidi="en-US"/>
        </w:rPr>
        <w:t>项目名称：</w:t>
      </w:r>
      <w:r>
        <w:rPr>
          <w:rFonts w:hint="eastAsia" w:ascii="宋体" w:hAnsi="宋体" w:eastAsia="宋体" w:cs="宋体"/>
          <w:sz w:val="28"/>
          <w:szCs w:val="28"/>
        </w:rPr>
        <w:t>2024年村村通运行维护经费项目</w:t>
      </w:r>
    </w:p>
    <w:p w14:paraId="2BCFBABD">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FF0000"/>
          <w:kern w:val="0"/>
          <w:sz w:val="28"/>
          <w:szCs w:val="28"/>
          <w:lang w:bidi="en-US"/>
        </w:rPr>
      </w:pPr>
      <w:r>
        <w:rPr>
          <w:rFonts w:hint="eastAsia" w:ascii="宋体" w:hAnsi="宋体" w:eastAsia="宋体" w:cs="宋体"/>
          <w:kern w:val="0"/>
          <w:sz w:val="28"/>
          <w:szCs w:val="28"/>
          <w:lang w:bidi="en-US"/>
        </w:rPr>
        <w:t>项目单位：</w:t>
      </w:r>
      <w:r>
        <w:rPr>
          <w:rFonts w:hint="eastAsia" w:ascii="宋体" w:hAnsi="宋体" w:eastAsia="宋体" w:cs="宋体"/>
          <w:sz w:val="28"/>
          <w:szCs w:val="28"/>
          <w:lang w:val="en-US" w:eastAsia="zh-CN"/>
        </w:rPr>
        <w:t>洛浦县融媒体中心</w:t>
      </w:r>
    </w:p>
    <w:p w14:paraId="0EB93C29">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FF0000"/>
          <w:kern w:val="0"/>
          <w:sz w:val="28"/>
          <w:szCs w:val="28"/>
          <w:lang w:bidi="en-US"/>
        </w:rPr>
      </w:pPr>
      <w:r>
        <w:rPr>
          <w:rFonts w:hint="eastAsia" w:ascii="宋体" w:hAnsi="宋体" w:eastAsia="宋体" w:cs="宋体"/>
          <w:kern w:val="0"/>
          <w:sz w:val="28"/>
          <w:szCs w:val="28"/>
          <w:lang w:bidi="en-US"/>
        </w:rPr>
        <w:t>主管部门：</w:t>
      </w:r>
      <w:r>
        <w:rPr>
          <w:rFonts w:hint="eastAsia" w:ascii="宋体" w:hAnsi="宋体" w:eastAsia="宋体" w:cs="宋体"/>
          <w:sz w:val="28"/>
          <w:szCs w:val="28"/>
          <w:lang w:val="en-US" w:eastAsia="zh-CN"/>
        </w:rPr>
        <w:t>和田地区</w:t>
      </w:r>
      <w:r>
        <w:rPr>
          <w:rFonts w:hint="eastAsia" w:ascii="宋体" w:hAnsi="宋体" w:eastAsia="宋体" w:cs="宋体"/>
          <w:sz w:val="28"/>
          <w:szCs w:val="28"/>
        </w:rPr>
        <w:t xml:space="preserve">广播电视局 </w:t>
      </w:r>
    </w:p>
    <w:p w14:paraId="7E4F99D0">
      <w:pPr>
        <w:pageBreakBefore w:val="0"/>
        <w:widowControl w:val="0"/>
        <w:kinsoku/>
        <w:wordWrap/>
        <w:topLinePunct w:val="0"/>
        <w:autoSpaceDE/>
        <w:autoSpaceDN/>
        <w:bidi w:val="0"/>
        <w:spacing w:line="560" w:lineRule="exact"/>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项目负责人：</w:t>
      </w:r>
      <w:r>
        <w:rPr>
          <w:rFonts w:hint="eastAsia" w:ascii="宋体" w:hAnsi="宋体" w:eastAsia="宋体" w:cs="宋体"/>
          <w:sz w:val="28"/>
          <w:szCs w:val="28"/>
          <w:lang w:val="en-US" w:eastAsia="zh-CN"/>
        </w:rPr>
        <w:t>徐新云</w:t>
      </w:r>
    </w:p>
    <w:p w14:paraId="3C59B274">
      <w:pPr>
        <w:pageBreakBefore w:val="0"/>
        <w:widowControl w:val="0"/>
        <w:kinsoku/>
        <w:wordWrap/>
        <w:topLinePunct w:val="0"/>
        <w:autoSpaceDE/>
        <w:autoSpaceDN/>
        <w:bidi w:val="0"/>
        <w:spacing w:line="560" w:lineRule="exact"/>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 xml:space="preserve">填报时间： </w:t>
      </w:r>
      <w:r>
        <w:rPr>
          <w:rFonts w:hint="eastAsia" w:ascii="宋体" w:hAnsi="宋体" w:eastAsia="宋体" w:cs="宋体"/>
          <w:kern w:val="0"/>
          <w:sz w:val="28"/>
          <w:szCs w:val="28"/>
          <w:lang w:val="en-US" w:eastAsia="zh-CN" w:bidi="en-US"/>
        </w:rPr>
        <w:t>2025</w:t>
      </w:r>
      <w:r>
        <w:rPr>
          <w:rFonts w:hint="eastAsia" w:ascii="宋体" w:hAnsi="宋体" w:eastAsia="宋体" w:cs="宋体"/>
          <w:kern w:val="0"/>
          <w:sz w:val="28"/>
          <w:szCs w:val="28"/>
          <w:lang w:bidi="en-US"/>
        </w:rPr>
        <w:t>年</w:t>
      </w:r>
      <w:r>
        <w:rPr>
          <w:rFonts w:hint="eastAsia" w:ascii="宋体" w:hAnsi="宋体" w:eastAsia="宋体" w:cs="宋体"/>
          <w:kern w:val="0"/>
          <w:sz w:val="28"/>
          <w:szCs w:val="28"/>
          <w:lang w:val="en-US" w:eastAsia="zh-CN" w:bidi="en-US"/>
        </w:rPr>
        <w:t>3</w:t>
      </w:r>
      <w:r>
        <w:rPr>
          <w:rFonts w:hint="eastAsia" w:ascii="宋体" w:hAnsi="宋体" w:eastAsia="宋体" w:cs="宋体"/>
          <w:kern w:val="0"/>
          <w:sz w:val="28"/>
          <w:szCs w:val="28"/>
          <w:lang w:bidi="en-US"/>
        </w:rPr>
        <w:t>月</w:t>
      </w:r>
      <w:r>
        <w:rPr>
          <w:rFonts w:hint="eastAsia" w:ascii="宋体" w:hAnsi="宋体" w:eastAsia="宋体" w:cs="宋体"/>
          <w:kern w:val="0"/>
          <w:sz w:val="28"/>
          <w:szCs w:val="28"/>
          <w:lang w:val="en-US" w:eastAsia="zh-CN" w:bidi="en-US"/>
        </w:rPr>
        <w:t>31</w:t>
      </w:r>
      <w:r>
        <w:rPr>
          <w:rFonts w:hint="eastAsia" w:ascii="宋体" w:hAnsi="宋体" w:eastAsia="宋体" w:cs="宋体"/>
          <w:kern w:val="0"/>
          <w:sz w:val="28"/>
          <w:szCs w:val="28"/>
          <w:lang w:bidi="en-US"/>
        </w:rPr>
        <w:t>日</w:t>
      </w:r>
    </w:p>
    <w:p w14:paraId="7123BEFF">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5896DF32">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2844A7C4">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084247D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6F6AF81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0"/>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根据</w:t>
      </w:r>
      <w:r>
        <w:rPr>
          <w:rFonts w:hint="eastAsia" w:ascii="宋体" w:hAnsi="宋体" w:eastAsia="宋体" w:cs="宋体"/>
          <w:color w:val="auto"/>
          <w:sz w:val="24"/>
          <w:szCs w:val="24"/>
        </w:rPr>
        <w:t>《关于提前下达202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年少数民族地区和边疆地区文化安全补助资金预算的通知》(和地财教〔20</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76</w:t>
      </w:r>
      <w:r>
        <w:rPr>
          <w:rFonts w:hint="eastAsia" w:ascii="宋体" w:hAnsi="宋体" w:eastAsia="宋体" w:cs="宋体"/>
          <w:color w:val="auto"/>
          <w:sz w:val="24"/>
          <w:szCs w:val="24"/>
        </w:rPr>
        <w:t>号)</w:t>
      </w:r>
      <w:r>
        <w:rPr>
          <w:rFonts w:hint="eastAsia" w:ascii="宋体" w:hAnsi="宋体" w:eastAsia="宋体" w:cs="宋体"/>
          <w:color w:val="auto"/>
          <w:sz w:val="24"/>
          <w:szCs w:val="24"/>
          <w:lang w:val="en-US" w:eastAsia="zh-CN"/>
        </w:rPr>
        <w:t>下拨90.28万元</w:t>
      </w:r>
      <w:r>
        <w:rPr>
          <w:rFonts w:hint="eastAsia" w:ascii="宋体" w:hAnsi="宋体" w:eastAsia="宋体" w:cs="宋体"/>
          <w:color w:val="auto"/>
          <w:sz w:val="24"/>
          <w:szCs w:val="24"/>
          <w:lang w:eastAsia="zh-CN"/>
        </w:rPr>
        <w:t>。</w:t>
      </w:r>
    </w:p>
    <w:p w14:paraId="6008E58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主要内容及实施情况</w:t>
      </w:r>
    </w:p>
    <w:p w14:paraId="1E76B68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7CA6410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0"/>
        <w:rPr>
          <w:rFonts w:hint="eastAsia" w:ascii="宋体" w:hAnsi="宋体" w:eastAsia="宋体" w:cs="宋体"/>
          <w:sz w:val="24"/>
          <w:szCs w:val="24"/>
          <w:lang w:eastAsia="zh-CN"/>
        </w:rPr>
      </w:pPr>
      <w:r>
        <w:rPr>
          <w:rFonts w:hint="eastAsia" w:ascii="宋体" w:hAnsi="宋体" w:eastAsia="宋体" w:cs="宋体"/>
          <w:color w:val="auto"/>
          <w:sz w:val="24"/>
          <w:szCs w:val="24"/>
          <w:lang w:eastAsia="zh-CN"/>
        </w:rPr>
        <w:t>本项目主要实施内容为：“村村通”、“户户通”和农村广播“大喇叭”工程基层运行维护工作；购置村村通、大喇叭材料1批，保障维护1部发射机。通过该项目实施，可以保障村村通、地县台站正常运行，确保广大农牧民群众能够正常收听收看到广播电视节目，丰富人民群众精神文化生活，改善群众生活水平。</w:t>
      </w:r>
    </w:p>
    <w:p w14:paraId="451B523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3.实施情况</w:t>
      </w:r>
    </w:p>
    <w:p w14:paraId="62C2CE7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38227D22">
      <w:pPr>
        <w:keepNext w:val="0"/>
        <w:keepLines w:val="0"/>
        <w:pageBreakBefore w:val="0"/>
        <w:widowControl w:val="0"/>
        <w:kinsoku/>
        <w:wordWrap/>
        <w:overflowPunct/>
        <w:topLinePunct w:val="0"/>
        <w:bidi w:val="0"/>
        <w:adjustRightInd/>
        <w:snapToGrid/>
        <w:spacing w:line="360" w:lineRule="auto"/>
        <w:ind w:left="0" w:leftChars="0" w:firstLine="480" w:firstLineChars="200"/>
        <w:textAlignment w:val="auto"/>
        <w:outlineLvl w:val="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本项目的主管部门为</w:t>
      </w:r>
      <w:r>
        <w:rPr>
          <w:rFonts w:hint="eastAsia" w:ascii="宋体" w:hAnsi="宋体" w:eastAsia="宋体" w:cs="宋体"/>
          <w:sz w:val="24"/>
          <w:szCs w:val="24"/>
          <w:lang w:val="en-US" w:eastAsia="zh-CN"/>
        </w:rPr>
        <w:t>和田地区</w:t>
      </w:r>
      <w:r>
        <w:rPr>
          <w:rFonts w:hint="eastAsia" w:ascii="宋体" w:hAnsi="宋体" w:eastAsia="宋体" w:cs="宋体"/>
          <w:sz w:val="24"/>
          <w:szCs w:val="24"/>
        </w:rPr>
        <w:t>广播电视局</w:t>
      </w:r>
      <w:r>
        <w:rPr>
          <w:rFonts w:hint="eastAsia" w:ascii="宋体" w:hAnsi="宋体" w:eastAsia="宋体" w:cs="宋体"/>
          <w:color w:val="auto"/>
          <w:sz w:val="24"/>
          <w:szCs w:val="24"/>
          <w:lang w:eastAsia="zh-CN"/>
        </w:rPr>
        <w:t>,实施单位为</w:t>
      </w:r>
      <w:r>
        <w:rPr>
          <w:rFonts w:hint="eastAsia" w:ascii="宋体" w:hAnsi="宋体" w:eastAsia="宋体" w:cs="宋体"/>
          <w:color w:val="auto"/>
          <w:sz w:val="24"/>
          <w:szCs w:val="24"/>
          <w:lang w:val="en-US" w:eastAsia="zh-CN"/>
        </w:rPr>
        <w:t>洛浦县融媒体中心</w:t>
      </w:r>
      <w:r>
        <w:rPr>
          <w:rFonts w:hint="eastAsia" w:ascii="宋体" w:hAnsi="宋体" w:eastAsia="宋体" w:cs="宋体"/>
          <w:color w:val="auto"/>
          <w:sz w:val="24"/>
          <w:szCs w:val="24"/>
          <w:lang w:eastAsia="zh-CN"/>
        </w:rPr>
        <w:t>，主要职责做好</w:t>
      </w:r>
      <w:r>
        <w:rPr>
          <w:rFonts w:hint="eastAsia" w:ascii="宋体" w:hAnsi="宋体" w:eastAsia="宋体" w:cs="宋体"/>
          <w:color w:val="auto"/>
          <w:sz w:val="24"/>
          <w:szCs w:val="24"/>
          <w:lang w:val="en-US" w:eastAsia="zh-CN"/>
        </w:rPr>
        <w:t>全县230个行政村农民群众正常收听收看广播电视</w:t>
      </w:r>
      <w:r>
        <w:rPr>
          <w:rFonts w:hint="eastAsia" w:ascii="宋体" w:hAnsi="宋体" w:eastAsia="宋体" w:cs="宋体"/>
          <w:color w:val="auto"/>
          <w:sz w:val="24"/>
          <w:szCs w:val="24"/>
          <w:lang w:eastAsia="zh-CN"/>
        </w:rPr>
        <w:t>，做到安全优质播出。做好广播电视新技术的推广应用和广播电视传输无线覆盖网的建设、维护和管理。做好新媒体的引进、推广和发展工作。负责开拓广播电视产业，保证广电国有资产的保值增值。</w:t>
      </w:r>
    </w:p>
    <w:p w14:paraId="1C21ACF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color w:val="auto"/>
          <w:kern w:val="2"/>
          <w:sz w:val="24"/>
          <w:szCs w:val="24"/>
          <w:lang w:val="en-US" w:eastAsia="zh-CN" w:bidi="ar-SA"/>
        </w:rPr>
        <w:t>2024年1月-2024年12月</w:t>
      </w:r>
    </w:p>
    <w:p w14:paraId="6F0C80FD">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（3）项目实施情况</w:t>
      </w:r>
    </w:p>
    <w:p w14:paraId="752942E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截至2024年12月31日，该项目支出61.83万元，剩余资金结转至2025年继续支付。“村村通”、“户户通”和农村广播“大喇叭”工程基层运行维护工作；购置村村通、大喇叭材料1批，保障维护1部发射机。村村通、地县台站正常运行，确保广大农牧民群众能够正常收听收看到广播电视节目，丰富人民群众精神文化生活，改善群众生活水平。</w:t>
      </w:r>
    </w:p>
    <w:p w14:paraId="325AFD3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1E3C545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7B60A8ED">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bCs/>
          <w:sz w:val="24"/>
          <w:szCs w:val="24"/>
        </w:rPr>
        <w:t>本项目总投资</w:t>
      </w:r>
      <w:r>
        <w:rPr>
          <w:rFonts w:hint="eastAsia" w:ascii="宋体" w:hAnsi="宋体" w:eastAsia="宋体" w:cs="宋体"/>
          <w:bCs/>
          <w:sz w:val="24"/>
          <w:szCs w:val="24"/>
          <w:lang w:val="en-US" w:eastAsia="zh-CN"/>
        </w:rPr>
        <w:t>90.28</w:t>
      </w:r>
      <w:r>
        <w:rPr>
          <w:rFonts w:hint="eastAsia" w:ascii="宋体" w:hAnsi="宋体" w:eastAsia="宋体" w:cs="宋体"/>
          <w:bCs/>
          <w:sz w:val="24"/>
          <w:szCs w:val="24"/>
        </w:rPr>
        <w:t>万元，资金来源为中央专项资金。</w:t>
      </w:r>
    </w:p>
    <w:p w14:paraId="3E1F2FD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47E449B7">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kern w:val="0"/>
          <w:sz w:val="24"/>
          <w:szCs w:val="24"/>
          <w:lang w:val="en-US" w:eastAsia="zh-CN" w:bidi="ar-SA"/>
        </w:rPr>
      </w:pPr>
      <w:bookmarkStart w:id="2" w:name="_Toc68364659"/>
      <w:r>
        <w:rPr>
          <w:rFonts w:hint="eastAsia" w:ascii="宋体" w:hAnsi="宋体" w:eastAsia="宋体" w:cs="宋体"/>
          <w:b w:val="0"/>
          <w:bCs w:val="0"/>
          <w:color w:val="auto"/>
          <w:kern w:val="0"/>
          <w:sz w:val="24"/>
          <w:szCs w:val="24"/>
          <w:lang w:val="en-US" w:eastAsia="zh-CN" w:bidi="ar-SA"/>
        </w:rPr>
        <w:t>根据项目实施情况，项目资金实际支付61.83万元，资金执行率达到68.49%。具体使用情况如下：</w:t>
      </w:r>
    </w:p>
    <w:p w14:paraId="4B6DA98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村村通运行维护费：60.55万元。</w:t>
      </w:r>
    </w:p>
    <w:p w14:paraId="2B226D4C">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地线台站运维费：1.28万元。</w:t>
      </w:r>
    </w:p>
    <w:p w14:paraId="3A161EEE">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kern w:val="0"/>
          <w:sz w:val="24"/>
          <w:szCs w:val="24"/>
          <w:lang w:val="en-US" w:eastAsia="zh-CN" w:bidi="ar-SA"/>
        </w:rPr>
      </w:pPr>
      <w:r>
        <w:rPr>
          <w:rFonts w:hint="eastAsia" w:ascii="宋体" w:hAnsi="宋体" w:eastAsia="宋体" w:cs="宋体"/>
          <w:sz w:val="24"/>
          <w:szCs w:val="24"/>
        </w:rPr>
        <w:t>（二）项目绩效目标</w:t>
      </w:r>
      <w:bookmarkEnd w:id="2"/>
    </w:p>
    <w:p w14:paraId="0DC5197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50E56751">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1.总体目标</w:t>
      </w:r>
    </w:p>
    <w:p w14:paraId="56AF5EC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关于提前下达2024年少数民族地区和边疆地区文化安全补助资金预算的通知》（和地财教[2023]76号）文件实施此项目，主要实施内容为：“村村通”、“户户通”和农村广播“大喇叭”工程基层运行维护工作；购置村村通、大喇叭材料1批，保障维护1部发射机。通过该项目实施，可以保障村村通、地县台站正常运行，确保广大农牧民群众能够正常收听收看到广播电视节目，丰富人民群众精神文化生活，改善群众生活水平。</w:t>
      </w:r>
    </w:p>
    <w:p w14:paraId="0F948CC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阶段性目标</w:t>
      </w:r>
    </w:p>
    <w:p w14:paraId="21FE673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bookmarkStart w:id="3" w:name="_Toc68364660"/>
      <w:r>
        <w:rPr>
          <w:rFonts w:hint="eastAsia" w:ascii="宋体" w:hAnsi="宋体" w:eastAsia="宋体" w:cs="宋体"/>
          <w:sz w:val="24"/>
          <w:szCs w:val="24"/>
          <w:lang w:val="en-US" w:eastAsia="zh-CN"/>
        </w:rPr>
        <w:t>我</w:t>
      </w:r>
      <w:r>
        <w:rPr>
          <w:rFonts w:hint="eastAsia" w:ascii="宋体" w:hAnsi="宋体" w:eastAsia="宋体" w:cs="宋体"/>
          <w:sz w:val="24"/>
          <w:szCs w:val="24"/>
        </w:rPr>
        <w:t>单位根据《项目支出绩效评价管理办法》（财预〔2020〕10号）《关于印</w:t>
      </w:r>
      <w:r>
        <w:rPr>
          <w:rFonts w:hint="eastAsia" w:ascii="宋体" w:hAnsi="宋体" w:eastAsia="宋体" w:cs="宋体"/>
          <w:color w:val="auto"/>
          <w:sz w:val="24"/>
          <w:szCs w:val="24"/>
        </w:rPr>
        <w:t>发〈自治区财政支出绩效评价管理暂行办法〉的通知》（新财预〔2018〕189号）以及自治区财政厅《关于印发〈自治区项目支出绩效目标设置指引〉的通知》（新财预〔2022〕42号）的规定，结合项目相关信息，设置了年度绩效目标如下：</w:t>
      </w:r>
    </w:p>
    <w:p w14:paraId="1E38EF68">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产出指标</w:t>
      </w:r>
    </w:p>
    <w:p w14:paraId="61920028">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数量指标:</w:t>
      </w:r>
    </w:p>
    <w:p w14:paraId="0B76E02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指标1：发射机维护数量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eastAsia="zh-CN"/>
        </w:rPr>
        <w:t>≥1部</w:t>
      </w:r>
      <w:r>
        <w:rPr>
          <w:rFonts w:hint="eastAsia" w:ascii="宋体" w:hAnsi="宋体" w:eastAsia="宋体" w:cs="宋体"/>
          <w:color w:val="auto"/>
          <w:sz w:val="24"/>
          <w:szCs w:val="24"/>
          <w:highlight w:val="none"/>
        </w:rPr>
        <w:t>；</w:t>
      </w:r>
    </w:p>
    <w:p w14:paraId="64D3FB8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指标2：</w:t>
      </w:r>
      <w:r>
        <w:rPr>
          <w:rFonts w:hint="eastAsia" w:ascii="宋体" w:hAnsi="宋体" w:eastAsia="宋体" w:cs="宋体"/>
          <w:color w:val="auto"/>
          <w:sz w:val="24"/>
          <w:szCs w:val="24"/>
        </w:rPr>
        <w:t>购置村村通、大喇叭材料数量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eastAsia="zh-CN"/>
        </w:rPr>
        <w:t>≥1批</w:t>
      </w:r>
      <w:r>
        <w:rPr>
          <w:rFonts w:hint="eastAsia" w:ascii="宋体" w:hAnsi="宋体" w:eastAsia="宋体" w:cs="宋体"/>
          <w:color w:val="auto"/>
          <w:sz w:val="24"/>
          <w:szCs w:val="24"/>
          <w:highlight w:val="none"/>
        </w:rPr>
        <w:t>；</w:t>
      </w:r>
    </w:p>
    <w:p w14:paraId="6C28935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74BB52F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指标1：资金使用合规率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02BC216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135D305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指标1：资金支付及时率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6741BC7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预期指标值为2024</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rPr>
        <w:t>31</w:t>
      </w:r>
      <w:r>
        <w:rPr>
          <w:rFonts w:hint="eastAsia" w:ascii="宋体" w:hAnsi="宋体" w:eastAsia="宋体" w:cs="宋体"/>
          <w:color w:val="auto"/>
          <w:sz w:val="24"/>
          <w:szCs w:val="24"/>
          <w:lang w:val="en-US" w:eastAsia="zh-CN"/>
        </w:rPr>
        <w:t>日</w:t>
      </w:r>
      <w:r>
        <w:rPr>
          <w:rFonts w:hint="eastAsia" w:ascii="宋体" w:hAnsi="宋体" w:eastAsia="宋体" w:cs="宋体"/>
          <w:color w:val="auto"/>
          <w:sz w:val="24"/>
          <w:szCs w:val="24"/>
        </w:rPr>
        <w:t>；</w:t>
      </w:r>
    </w:p>
    <w:p w14:paraId="58AE8CE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5F8BA71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380E9EB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指标1：村村通运行维护费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89万元；</w:t>
      </w:r>
    </w:p>
    <w:p w14:paraId="6518CD8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指标2：地县台站运维费，</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1.28万元</w:t>
      </w:r>
      <w:r>
        <w:rPr>
          <w:rFonts w:hint="eastAsia" w:ascii="宋体" w:hAnsi="宋体" w:eastAsia="宋体" w:cs="宋体"/>
          <w:color w:val="auto"/>
          <w:sz w:val="24"/>
          <w:szCs w:val="24"/>
          <w:lang w:eastAsia="zh-CN"/>
        </w:rPr>
        <w:t>；</w:t>
      </w:r>
    </w:p>
    <w:p w14:paraId="4A6415E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689D397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该项目无社会成本指标；</w:t>
      </w:r>
    </w:p>
    <w:p w14:paraId="1D655B3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075566A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该项目无生态成本指标</w:t>
      </w:r>
    </w:p>
    <w:p w14:paraId="23B914AB">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效益指标：</w:t>
      </w:r>
    </w:p>
    <w:p w14:paraId="047D1F92">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经济</w:t>
      </w:r>
      <w:r>
        <w:rPr>
          <w:rFonts w:hint="eastAsia" w:ascii="宋体" w:hAnsi="宋体" w:eastAsia="宋体" w:cs="宋体"/>
          <w:color w:val="auto"/>
          <w:sz w:val="24"/>
          <w:szCs w:val="24"/>
        </w:rPr>
        <w:t>效益指标：</w:t>
      </w:r>
    </w:p>
    <w:p w14:paraId="480180A2">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该项目无经济效益指标；</w:t>
      </w:r>
    </w:p>
    <w:p w14:paraId="18381EAA">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17F63B1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指标1：丰富人民群众精神文化生活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效果显著</w:t>
      </w:r>
      <w:r>
        <w:rPr>
          <w:rFonts w:hint="eastAsia" w:ascii="宋体" w:hAnsi="宋体" w:eastAsia="宋体" w:cs="宋体"/>
          <w:color w:val="auto"/>
          <w:sz w:val="24"/>
          <w:szCs w:val="24"/>
        </w:rPr>
        <w:t>；</w:t>
      </w:r>
    </w:p>
    <w:p w14:paraId="5788E337">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生态</w:t>
      </w:r>
      <w:r>
        <w:rPr>
          <w:rFonts w:hint="eastAsia" w:ascii="宋体" w:hAnsi="宋体" w:eastAsia="宋体" w:cs="宋体"/>
          <w:color w:val="auto"/>
          <w:sz w:val="24"/>
          <w:szCs w:val="24"/>
        </w:rPr>
        <w:t>效益指标：</w:t>
      </w:r>
    </w:p>
    <w:p w14:paraId="4373A26E">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该项目无生态效益指标；</w:t>
      </w:r>
    </w:p>
    <w:p w14:paraId="6C906A2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）服务对象满意度指标：</w:t>
      </w:r>
    </w:p>
    <w:p w14:paraId="7152BAB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指标1：听众和观众满意度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w:t>
      </w:r>
    </w:p>
    <w:p w14:paraId="6F77687B">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34340F2D">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二、绩效评价工作开展情况</w:t>
      </w:r>
      <w:bookmarkEnd w:id="3"/>
    </w:p>
    <w:p w14:paraId="234FD5A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31BF2B3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50D3BBF3">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color w:val="auto"/>
          <w:sz w:val="24"/>
          <w:szCs w:val="24"/>
        </w:rPr>
      </w:pPr>
      <w:r>
        <w:rPr>
          <w:rFonts w:hint="eastAsia" w:ascii="宋体" w:hAnsi="宋体" w:eastAsia="宋体" w:cs="宋体"/>
          <w:sz w:val="24"/>
          <w:szCs w:val="24"/>
        </w:rPr>
        <w:t>本次绩效评价遵循财政部《项目支出绩效评价管理办法》（财预〔</w:t>
      </w: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0</w:t>
      </w:r>
      <w:r>
        <w:rPr>
          <w:rFonts w:hint="eastAsia" w:ascii="宋体" w:hAnsi="宋体" w:eastAsia="宋体" w:cs="宋体"/>
          <w:sz w:val="24"/>
          <w:szCs w:val="24"/>
        </w:rPr>
        <w:t>〕10号）和自治区财政厅</w:t>
      </w:r>
      <w:r>
        <w:rPr>
          <w:rFonts w:hint="eastAsia" w:ascii="宋体" w:hAnsi="宋体" w:eastAsia="宋体" w:cs="宋体"/>
          <w:kern w:val="0"/>
          <w:sz w:val="24"/>
          <w:szCs w:val="24"/>
          <w:shd w:val="clear" w:color="auto" w:fill="FFFFFF"/>
        </w:rPr>
        <w:t>《自治区财政支出绩效评价管理暂行办法》（新财预〔2018〕189号）</w:t>
      </w:r>
      <w:r>
        <w:rPr>
          <w:rFonts w:hint="eastAsia" w:ascii="宋体" w:hAnsi="宋体" w:eastAsia="宋体" w:cs="宋体"/>
          <w:sz w:val="24"/>
          <w:szCs w:val="24"/>
        </w:rPr>
        <w:t>等相关政策文件与规定，旨在评价</w:t>
      </w:r>
      <w:r>
        <w:rPr>
          <w:rFonts w:hint="eastAsia" w:ascii="宋体" w:hAnsi="宋体" w:eastAsia="宋体" w:cs="宋体"/>
          <w:sz w:val="24"/>
          <w:szCs w:val="24"/>
          <w:lang w:val="en-US" w:eastAsia="zh-CN"/>
        </w:rPr>
        <w:t>村村通运维费、地县台站运维费</w:t>
      </w:r>
      <w:r>
        <w:rPr>
          <w:rFonts w:hint="eastAsia" w:ascii="宋体" w:hAnsi="宋体" w:eastAsia="宋体" w:cs="宋体"/>
          <w:sz w:val="24"/>
          <w:szCs w:val="24"/>
        </w:rPr>
        <w:t>项目实施前期、过程及效</w:t>
      </w:r>
      <w:r>
        <w:rPr>
          <w:rFonts w:hint="eastAsia" w:ascii="宋体" w:hAnsi="宋体" w:eastAsia="宋体" w:cs="宋体"/>
          <w:color w:val="auto"/>
          <w:sz w:val="24"/>
          <w:szCs w:val="24"/>
        </w:rPr>
        <w:t>果，评价财政预算资金使用的效率及效益。</w:t>
      </w:r>
    </w:p>
    <w:p w14:paraId="05883B92">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sz w:val="24"/>
          <w:szCs w:val="24"/>
        </w:rPr>
      </w:pPr>
      <w:r>
        <w:rPr>
          <w:rFonts w:hint="eastAsia" w:ascii="宋体" w:hAnsi="宋体" w:eastAsia="宋体" w:cs="宋体"/>
          <w:color w:val="auto"/>
          <w:sz w:val="24"/>
          <w:szCs w:val="24"/>
        </w:rPr>
        <w:t>通过绩效评价，客观地评判</w:t>
      </w:r>
      <w:r>
        <w:rPr>
          <w:rFonts w:hint="eastAsia" w:ascii="宋体" w:hAnsi="宋体" w:eastAsia="宋体" w:cs="宋体"/>
          <w:color w:val="auto"/>
          <w:sz w:val="24"/>
          <w:szCs w:val="24"/>
          <w:lang w:val="en-US" w:eastAsia="zh-CN"/>
        </w:rPr>
        <w:t>村村通运维费、地县台站运维费</w:t>
      </w:r>
      <w:r>
        <w:rPr>
          <w:rFonts w:hint="eastAsia" w:ascii="宋体" w:hAnsi="宋体" w:eastAsia="宋体" w:cs="宋体"/>
          <w:color w:val="auto"/>
          <w:sz w:val="24"/>
          <w:szCs w:val="24"/>
        </w:rPr>
        <w:t>项目的管理绩效，了解和掌握</w:t>
      </w:r>
      <w:r>
        <w:rPr>
          <w:rFonts w:hint="eastAsia" w:ascii="宋体" w:hAnsi="宋体" w:eastAsia="宋体" w:cs="宋体"/>
          <w:color w:val="auto"/>
          <w:sz w:val="24"/>
          <w:szCs w:val="24"/>
          <w:lang w:eastAsia="zh-CN"/>
        </w:rPr>
        <w:t>2024年村村通运行维护经费项目</w:t>
      </w:r>
      <w:r>
        <w:rPr>
          <w:rFonts w:hint="eastAsia" w:ascii="宋体" w:hAnsi="宋体" w:eastAsia="宋体" w:cs="宋体"/>
          <w:color w:val="auto"/>
          <w:sz w:val="24"/>
          <w:szCs w:val="24"/>
        </w:rPr>
        <w:t>资金的具体情况，评价该项目资金安排的科学性、合理性、规范性和资金的使用成效，及时总结项目管理经验，完善项目管理办法，提高项目管理水平和资金使用效益。促使项目承担单位</w:t>
      </w:r>
      <w:r>
        <w:rPr>
          <w:rFonts w:hint="eastAsia" w:ascii="宋体" w:hAnsi="宋体" w:eastAsia="宋体" w:cs="宋体"/>
          <w:color w:val="auto"/>
          <w:sz w:val="24"/>
          <w:szCs w:val="24"/>
          <w:lang w:val="en-US" w:eastAsia="zh-CN"/>
        </w:rPr>
        <w:t>洛浦县融媒体中心</w:t>
      </w:r>
      <w:r>
        <w:rPr>
          <w:rFonts w:hint="eastAsia" w:ascii="宋体" w:hAnsi="宋体" w:eastAsia="宋体" w:cs="宋体"/>
          <w:color w:val="auto"/>
          <w:sz w:val="24"/>
          <w:szCs w:val="24"/>
        </w:rPr>
        <w:t>根据绩效评价中发现的问题，认真加以整改，及时调整和完善单位的工作计划和绩效目标并加强</w:t>
      </w:r>
      <w:r>
        <w:rPr>
          <w:rFonts w:hint="eastAsia" w:ascii="宋体" w:hAnsi="宋体" w:eastAsia="宋体" w:cs="宋体"/>
          <w:color w:val="auto"/>
          <w:sz w:val="24"/>
          <w:szCs w:val="24"/>
          <w:lang w:val="en-US" w:eastAsia="zh-CN"/>
        </w:rPr>
        <w:t>村村通运维费、地县台站运维费</w:t>
      </w:r>
      <w:r>
        <w:rPr>
          <w:rFonts w:hint="eastAsia" w:ascii="宋体" w:hAnsi="宋体" w:eastAsia="宋体" w:cs="宋体"/>
          <w:color w:val="auto"/>
          <w:sz w:val="24"/>
          <w:szCs w:val="24"/>
        </w:rPr>
        <w:t>项目管理，提高管理水平，同时为项目后续资金投入、分配和管理提供决策依据。同时将绩效评价结果与项目预算挂钩，为</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年度</w:t>
      </w:r>
      <w:r>
        <w:rPr>
          <w:rFonts w:hint="eastAsia" w:ascii="宋体" w:hAnsi="宋体" w:eastAsia="宋体" w:cs="宋体"/>
          <w:color w:val="auto"/>
          <w:sz w:val="24"/>
          <w:szCs w:val="24"/>
          <w:lang w:val="en-US" w:eastAsia="zh-CN"/>
        </w:rPr>
        <w:t>村村通运维费、地县台站运维费</w:t>
      </w:r>
      <w:r>
        <w:rPr>
          <w:rFonts w:hint="eastAsia" w:ascii="宋体" w:hAnsi="宋体" w:eastAsia="宋体" w:cs="宋体"/>
          <w:color w:val="auto"/>
          <w:sz w:val="24"/>
          <w:szCs w:val="24"/>
        </w:rPr>
        <w:t>项目资金的使用提供决策参考，进一步提高项目资金的使用效益及配置效率，</w:t>
      </w:r>
      <w:r>
        <w:rPr>
          <w:rFonts w:hint="eastAsia" w:ascii="宋体" w:hAnsi="宋体" w:eastAsia="宋体" w:cs="宋体"/>
          <w:sz w:val="24"/>
          <w:szCs w:val="24"/>
        </w:rPr>
        <w:t>实现财政资源配置效益与效率最大化。</w:t>
      </w:r>
    </w:p>
    <w:p w14:paraId="3EDB41EB">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 绩效评价对象</w:t>
      </w:r>
    </w:p>
    <w:p w14:paraId="687DC5D1">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此</w:t>
      </w:r>
      <w:r>
        <w:rPr>
          <w:rFonts w:hint="eastAsia" w:ascii="宋体" w:hAnsi="宋体" w:eastAsia="宋体" w:cs="宋体"/>
          <w:color w:val="auto"/>
          <w:sz w:val="24"/>
          <w:szCs w:val="24"/>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lang w:val="en-US" w:eastAsia="zh-CN"/>
        </w:rPr>
        <w:t>2024年村村通运行维护经费</w:t>
      </w:r>
      <w:r>
        <w:rPr>
          <w:rFonts w:hint="eastAsia" w:ascii="宋体" w:hAnsi="宋体" w:eastAsia="宋体" w:cs="宋体"/>
          <w:color w:val="auto"/>
          <w:sz w:val="24"/>
          <w:szCs w:val="24"/>
        </w:rPr>
        <w:t>项目为</w:t>
      </w:r>
      <w:r>
        <w:rPr>
          <w:rFonts w:hint="eastAsia" w:ascii="宋体" w:hAnsi="宋体" w:eastAsia="宋体" w:cs="宋体"/>
          <w:color w:val="auto"/>
          <w:sz w:val="24"/>
          <w:szCs w:val="24"/>
          <w:lang w:val="en-US" w:eastAsia="zh-CN"/>
        </w:rPr>
        <w:t>评价</w:t>
      </w:r>
      <w:r>
        <w:rPr>
          <w:rFonts w:hint="eastAsia" w:ascii="宋体" w:hAnsi="宋体" w:eastAsia="宋体" w:cs="宋体"/>
          <w:color w:val="auto"/>
          <w:sz w:val="24"/>
          <w:szCs w:val="24"/>
        </w:rPr>
        <w:t>对象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对该项目决策、</w:t>
      </w:r>
      <w:r>
        <w:rPr>
          <w:rFonts w:hint="eastAsia" w:ascii="宋体" w:hAnsi="宋体" w:eastAsia="宋体" w:cs="宋体"/>
          <w:color w:val="auto"/>
          <w:sz w:val="24"/>
          <w:szCs w:val="24"/>
          <w:lang w:val="en-US" w:eastAsia="zh-CN"/>
        </w:rPr>
        <w:t>项目资金管理、项目实施</w:t>
      </w:r>
      <w:r>
        <w:rPr>
          <w:rFonts w:hint="eastAsia" w:ascii="宋体" w:hAnsi="宋体" w:eastAsia="宋体" w:cs="宋体"/>
          <w:color w:val="auto"/>
          <w:sz w:val="24"/>
          <w:szCs w:val="24"/>
        </w:rPr>
        <w:t>过程</w:t>
      </w:r>
      <w:r>
        <w:rPr>
          <w:rFonts w:hint="eastAsia" w:ascii="宋体" w:hAnsi="宋体" w:eastAsia="宋体" w:cs="宋体"/>
          <w:color w:val="auto"/>
          <w:sz w:val="24"/>
          <w:szCs w:val="24"/>
          <w:lang w:val="en-US" w:eastAsia="zh-CN"/>
        </w:rPr>
        <w:t>管理</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以及</w:t>
      </w:r>
      <w:r>
        <w:rPr>
          <w:rFonts w:hint="eastAsia" w:ascii="宋体" w:hAnsi="宋体" w:eastAsia="宋体" w:cs="宋体"/>
          <w:color w:val="auto"/>
          <w:sz w:val="24"/>
          <w:szCs w:val="24"/>
        </w:rPr>
        <w:t>项目实施所带来的产出和效果</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内容，</w:t>
      </w:r>
      <w:r>
        <w:rPr>
          <w:rFonts w:hint="eastAsia" w:ascii="宋体" w:hAnsi="宋体" w:eastAsia="宋体" w:cs="宋体"/>
          <w:color w:val="auto"/>
          <w:sz w:val="24"/>
          <w:szCs w:val="24"/>
          <w:lang w:val="en-US" w:eastAsia="zh-CN"/>
        </w:rPr>
        <w:t>进行综合评价。</w:t>
      </w:r>
    </w:p>
    <w:p w14:paraId="7FB22363">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 绩效评价范围</w:t>
      </w:r>
    </w:p>
    <w:p w14:paraId="3AB3A863">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color w:val="auto"/>
          <w:sz w:val="24"/>
          <w:szCs w:val="24"/>
          <w:lang w:val="en-US" w:eastAsia="zh-CN"/>
        </w:rPr>
      </w:pPr>
      <w:bookmarkStart w:id="5" w:name="_Toc68364662"/>
      <w:r>
        <w:rPr>
          <w:rFonts w:hint="eastAsia" w:ascii="宋体" w:hAnsi="宋体" w:eastAsia="宋体" w:cs="宋体"/>
          <w:color w:val="auto"/>
          <w:sz w:val="24"/>
          <w:szCs w:val="24"/>
          <w:lang w:val="en-US" w:eastAsia="zh-CN"/>
        </w:rPr>
        <w:t>本次绩效评价主要围绕村2024年村村通运行维护经费</w:t>
      </w:r>
      <w:r>
        <w:rPr>
          <w:rFonts w:hint="eastAsia" w:ascii="宋体" w:hAnsi="宋体" w:eastAsia="宋体" w:cs="宋体"/>
          <w:color w:val="auto"/>
          <w:sz w:val="24"/>
          <w:szCs w:val="24"/>
        </w:rPr>
        <w:t>项目</w:t>
      </w:r>
      <w:r>
        <w:rPr>
          <w:rFonts w:hint="eastAsia" w:ascii="宋体" w:hAnsi="宋体" w:eastAsia="宋体" w:cs="宋体"/>
          <w:color w:val="auto"/>
          <w:sz w:val="24"/>
          <w:szCs w:val="24"/>
          <w:lang w:val="en-US" w:eastAsia="zh-CN"/>
        </w:rPr>
        <w:t>决策、项目资金管理、项目实施过程管理，以及项目实施所带来的产出和效果等内容，进行综合评价。范围涵盖项目总体绩效目标、各项绩效指标完成情况以及预算执行情况，覆盖预算资金支出项目的所有内容进行评价。</w:t>
      </w:r>
    </w:p>
    <w:p w14:paraId="55F08C55">
      <w:pPr>
        <w:pStyle w:val="49"/>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6A07C963">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0000F3B0">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6D7A192D">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6EC1C1DF">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0AA886DD">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2407A010">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3EB65EDC">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14:paraId="4A037876">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对2024年村村通运行维护经费项目的深入调研基础上，按照《项目支出绩效评价管理办法》（财预〔2020〕10号）对于指标体系的要求和规范，建立一套适合评价村村通运维费、地县台站运维费项目的指标体系，从项目决策、项目过程、项目产出和项目绩效四个维度全面考察村村通运维费、地县台站运维费项目资金的效益，并重点对于项目的产出和绩效进行总体分析，以达到通过指标体系的科学评价反思管理及决策问题的目标。（见附件1）</w:t>
      </w:r>
    </w:p>
    <w:p w14:paraId="5AF5A5A6">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 绩效评价方法</w:t>
      </w:r>
    </w:p>
    <w:p w14:paraId="1FB233F5">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57EFDE9">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具体评价方法的应用如下:</w:t>
      </w:r>
    </w:p>
    <w:p w14:paraId="310E93B3">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立项依据充分性：比较法、文献法，查找法律法规政策以及规划，对比实际执行内容和政策支持内容是否匹配。</w:t>
      </w:r>
    </w:p>
    <w:p w14:paraId="5D6998EF">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N w:val="0"/>
        <w:bidi w:val="0"/>
        <w:adjustRightInd/>
        <w:snapToGrid/>
        <w:spacing w:line="360" w:lineRule="auto"/>
        <w:ind w:left="0" w:leftChars="0" w:firstLine="480" w:firstLineChars="200"/>
        <w:contextualSpacing/>
        <w:textAlignment w:val="auto"/>
        <w:rPr>
          <w:rFonts w:hint="eastAsia" w:ascii="宋体" w:hAnsi="宋体" w:eastAsia="宋体" w:cs="宋体"/>
          <w:b w:val="0"/>
          <w:bCs/>
          <w:sz w:val="24"/>
          <w:szCs w:val="24"/>
        </w:rPr>
      </w:pPr>
      <w:r>
        <w:rPr>
          <w:rFonts w:hint="eastAsia" w:ascii="宋体" w:hAnsi="宋体" w:eastAsia="宋体" w:cs="宋体"/>
          <w:sz w:val="24"/>
          <w:szCs w:val="24"/>
          <w:lang w:val="en-US" w:eastAsia="zh-CN"/>
        </w:rPr>
        <w:t>立项程序规范性：比较法、文献法，查找相关项目设立的政策和文件要求，对比分析实际执行程序是否按照政策及文件要求执行，</w:t>
      </w:r>
      <w:r>
        <w:rPr>
          <w:rFonts w:hint="eastAsia" w:ascii="宋体" w:hAnsi="宋体" w:eastAsia="宋体" w:cs="宋体"/>
          <w:b w:val="0"/>
          <w:bCs/>
          <w:sz w:val="24"/>
          <w:szCs w:val="24"/>
        </w:rPr>
        <w:t>分析立项程序的规范性。</w:t>
      </w:r>
    </w:p>
    <w:p w14:paraId="02C5C0C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0038F5E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3AA8625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131B1760">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0224F09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519030A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46B9C0E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5891E59F">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7E6E5DC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3868835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8DED7C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326B0E5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1EDD0541">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w:t>
      </w:r>
      <w:r>
        <w:rPr>
          <w:rFonts w:hint="eastAsia" w:ascii="宋体" w:hAnsi="宋体" w:eastAsia="宋体" w:cs="宋体"/>
          <w:sz w:val="24"/>
          <w:szCs w:val="24"/>
          <w:lang w:val="en-US" w:eastAsia="zh-CN"/>
        </w:rPr>
        <w:t>计划标准</w:t>
      </w:r>
      <w:bookmarkStart w:id="7" w:name="_Toc17882"/>
      <w:bookmarkStart w:id="8" w:name="_Toc31464"/>
      <w:r>
        <w:rPr>
          <w:rFonts w:hint="eastAsia" w:ascii="宋体" w:hAnsi="宋体" w:eastAsia="宋体" w:cs="宋体"/>
          <w:sz w:val="24"/>
          <w:szCs w:val="24"/>
          <w:lang w:val="en-US" w:eastAsia="zh-CN"/>
        </w:rPr>
        <w:t>。</w:t>
      </w:r>
    </w:p>
    <w:p w14:paraId="0C849C93">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019E3619">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734715B8">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73F8936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2DA39F1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赵志炎</w:t>
      </w:r>
      <w:r>
        <w:rPr>
          <w:rFonts w:hint="eastAsia" w:ascii="宋体" w:hAnsi="宋体" w:eastAsia="宋体" w:cs="宋体"/>
          <w:sz w:val="24"/>
          <w:szCs w:val="24"/>
        </w:rPr>
        <w:t>（评价小组组长）：主要负责</w:t>
      </w:r>
      <w:r>
        <w:rPr>
          <w:rFonts w:hint="eastAsia" w:ascii="宋体" w:hAnsi="宋体" w:eastAsia="宋体" w:cs="宋体"/>
          <w:sz w:val="24"/>
          <w:szCs w:val="24"/>
          <w:lang w:val="en-US" w:eastAsia="zh-CN"/>
        </w:rPr>
        <w:t>组织安排绩效评价工作</w:t>
      </w:r>
    </w:p>
    <w:p w14:paraId="524F633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徐新云（评价小组组员）：主要负责资料整理及信息汇总工作</w:t>
      </w:r>
    </w:p>
    <w:p w14:paraId="5C0FB49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潘腊（评价小组组员）：主要负责出具项目绩效评价报告</w:t>
      </w:r>
    </w:p>
    <w:p w14:paraId="0B3CECA2">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276270C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2024年1月11日-1月31日</w:t>
      </w:r>
      <w:r>
        <w:rPr>
          <w:rFonts w:hint="eastAsia" w:ascii="宋体" w:hAnsi="宋体" w:eastAsia="宋体" w:cs="宋体"/>
          <w:sz w:val="24"/>
          <w:szCs w:val="24"/>
        </w:rPr>
        <w:t>评</w:t>
      </w:r>
      <w:r>
        <w:rPr>
          <w:rFonts w:hint="eastAsia" w:ascii="宋体" w:hAnsi="宋体" w:eastAsia="宋体" w:cs="宋体"/>
          <w:color w:val="auto"/>
          <w:sz w:val="24"/>
          <w:szCs w:val="24"/>
        </w:rPr>
        <w:t>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1D049E9B">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228F9C1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2024年2月1日-2月28日，</w:t>
      </w:r>
      <w:r>
        <w:rPr>
          <w:rFonts w:hint="eastAsia" w:ascii="宋体" w:hAnsi="宋体" w:eastAsia="宋体" w:cs="宋体"/>
          <w:sz w:val="24"/>
          <w:szCs w:val="24"/>
        </w:rPr>
        <w:t>评</w:t>
      </w:r>
      <w:r>
        <w:rPr>
          <w:rFonts w:hint="eastAsia" w:ascii="宋体" w:hAnsi="宋体" w:eastAsia="宋体" w:cs="宋体"/>
          <w:color w:val="auto"/>
          <w:sz w:val="24"/>
          <w:szCs w:val="24"/>
        </w:rPr>
        <w:t>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56EB386E">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215AF23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CN"/>
        </w:rPr>
        <w:t>2024年3月1日-3月31日，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02388F07">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2CA4ED5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13BF655C">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66906B6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2D429CEA">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5EF3C355">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014D1DC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0" w:name="_Toc68364665"/>
      <w:bookmarkStart w:id="11" w:name="_Toc68364667"/>
      <w:r>
        <w:rPr>
          <w:rFonts w:hint="eastAsia" w:ascii="宋体" w:hAnsi="宋体" w:eastAsia="宋体" w:cs="宋体"/>
          <w:sz w:val="24"/>
          <w:szCs w:val="24"/>
        </w:rPr>
        <w:t>（一）综合评价情况</w:t>
      </w:r>
      <w:bookmarkEnd w:id="10"/>
    </w:p>
    <w:p w14:paraId="67DBCDB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12" w:name="_Toc68364666"/>
      <w:r>
        <w:rPr>
          <w:rFonts w:hint="eastAsia" w:ascii="宋体" w:hAnsi="宋体" w:eastAsia="宋体" w:cs="宋体"/>
          <w:sz w:val="24"/>
          <w:szCs w:val="24"/>
        </w:rPr>
        <w:t>通过</w:t>
      </w:r>
      <w:r>
        <w:rPr>
          <w:rFonts w:hint="eastAsia" w:ascii="宋体" w:hAnsi="宋体" w:eastAsia="宋体" w:cs="宋体"/>
          <w:sz w:val="24"/>
          <w:szCs w:val="24"/>
          <w:lang w:val="en-US" w:eastAsia="zh-CN"/>
        </w:rPr>
        <w:t>实施</w:t>
      </w:r>
      <w:r>
        <w:rPr>
          <w:rFonts w:hint="eastAsia" w:ascii="宋体" w:hAnsi="宋体" w:eastAsia="宋体" w:cs="宋体"/>
          <w:sz w:val="24"/>
          <w:szCs w:val="24"/>
        </w:rPr>
        <w:t>2024年村村通运行维护经费项目产生</w:t>
      </w:r>
      <w:r>
        <w:rPr>
          <w:rFonts w:hint="eastAsia" w:ascii="宋体" w:hAnsi="宋体" w:eastAsia="宋体" w:cs="宋体"/>
          <w:sz w:val="24"/>
          <w:szCs w:val="24"/>
          <w:lang w:val="en-US" w:eastAsia="zh-CN"/>
        </w:rPr>
        <w:t>村村通、地县台站正常运行，确保广大农牧民群众能够正常收听收看到广播电视节目，丰富人民群众精神文化生活，改善群众生活水平</w:t>
      </w:r>
      <w:r>
        <w:rPr>
          <w:rFonts w:hint="eastAsia" w:ascii="宋体" w:hAnsi="宋体" w:eastAsia="宋体" w:cs="宋体"/>
          <w:sz w:val="24"/>
          <w:szCs w:val="24"/>
        </w:rPr>
        <w:t>效益。项目实施主要通过项目决策、项目过程、项目产出以及项目效益等方面进行评价，其中：</w:t>
      </w:r>
    </w:p>
    <w:p w14:paraId="75E5236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项目决策：该项目主要通过</w:t>
      </w:r>
      <w:r>
        <w:rPr>
          <w:rFonts w:hint="eastAsia" w:ascii="宋体" w:hAnsi="宋体" w:eastAsia="宋体" w:cs="宋体"/>
          <w:color w:val="auto"/>
          <w:sz w:val="24"/>
          <w:szCs w:val="24"/>
          <w:lang w:val="en-US" w:eastAsia="zh-CN"/>
        </w:rPr>
        <w:t>根据</w:t>
      </w:r>
      <w:r>
        <w:rPr>
          <w:rFonts w:hint="eastAsia" w:ascii="宋体" w:hAnsi="宋体" w:eastAsia="宋体" w:cs="宋体"/>
          <w:color w:val="auto"/>
          <w:sz w:val="24"/>
          <w:szCs w:val="24"/>
        </w:rPr>
        <w:t>《关于提前下达202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年少数民族地区和边疆地区文化安全补助资金预算的通知》(和地财教〔20</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76</w:t>
      </w:r>
      <w:r>
        <w:rPr>
          <w:rFonts w:hint="eastAsia" w:ascii="宋体" w:hAnsi="宋体" w:eastAsia="宋体" w:cs="宋体"/>
          <w:color w:val="auto"/>
          <w:sz w:val="24"/>
          <w:szCs w:val="24"/>
        </w:rPr>
        <w:t>号)</w:t>
      </w:r>
      <w:r>
        <w:rPr>
          <w:rFonts w:hint="eastAsia" w:ascii="宋体" w:hAnsi="宋体" w:eastAsia="宋体" w:cs="宋体"/>
          <w:sz w:val="24"/>
          <w:szCs w:val="24"/>
        </w:rPr>
        <w:t xml:space="preserve">立项，项目实施符合要求，项目立项依据充分，立项程序规范。 </w:t>
      </w:r>
    </w:p>
    <w:p w14:paraId="1C9FDD0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项目过程：2024年村村通运行维护经费项目预算安排 </w:t>
      </w:r>
      <w:r>
        <w:rPr>
          <w:rFonts w:hint="eastAsia" w:ascii="宋体" w:hAnsi="宋体" w:eastAsia="宋体" w:cs="宋体"/>
          <w:sz w:val="24"/>
          <w:szCs w:val="24"/>
          <w:lang w:val="en-US" w:eastAsia="zh-CN"/>
        </w:rPr>
        <w:t>90.28</w:t>
      </w:r>
      <w:r>
        <w:rPr>
          <w:rFonts w:hint="eastAsia" w:ascii="宋体" w:hAnsi="宋体" w:eastAsia="宋体" w:cs="宋体"/>
          <w:sz w:val="24"/>
          <w:szCs w:val="24"/>
        </w:rPr>
        <w:t>万元，实际支出</w:t>
      </w:r>
      <w:r>
        <w:rPr>
          <w:rFonts w:hint="eastAsia" w:ascii="宋体" w:hAnsi="宋体" w:eastAsia="宋体" w:cs="宋体"/>
          <w:sz w:val="24"/>
          <w:szCs w:val="24"/>
          <w:lang w:val="en-US" w:eastAsia="zh-CN"/>
        </w:rPr>
        <w:t>61.83</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68.49</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3FE63C4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项目产出：项目实施产生的数量、质量等</w:t>
      </w:r>
      <w:r>
        <w:rPr>
          <w:rFonts w:hint="eastAsia" w:ascii="宋体" w:hAnsi="宋体" w:eastAsia="宋体" w:cs="宋体"/>
          <w:sz w:val="24"/>
          <w:szCs w:val="24"/>
          <w:lang w:val="en-US" w:eastAsia="zh-CN"/>
        </w:rPr>
        <w:t>完成情况（</w:t>
      </w:r>
      <w:r>
        <w:rPr>
          <w:rFonts w:hint="eastAsia" w:ascii="宋体" w:hAnsi="宋体" w:eastAsia="宋体" w:cs="宋体"/>
          <w:sz w:val="24"/>
          <w:szCs w:val="24"/>
        </w:rPr>
        <w:t>截止2024年12月31日，该项目已实施完毕，已支付资金</w:t>
      </w:r>
      <w:r>
        <w:rPr>
          <w:rFonts w:hint="eastAsia" w:ascii="宋体" w:hAnsi="宋体" w:eastAsia="宋体" w:cs="宋体"/>
          <w:sz w:val="24"/>
          <w:szCs w:val="24"/>
          <w:lang w:val="en-US" w:eastAsia="zh-CN"/>
        </w:rPr>
        <w:t>61.83</w:t>
      </w:r>
      <w:r>
        <w:rPr>
          <w:rFonts w:hint="eastAsia" w:ascii="宋体" w:hAnsi="宋体" w:eastAsia="宋体" w:cs="宋体"/>
          <w:sz w:val="24"/>
          <w:szCs w:val="24"/>
        </w:rPr>
        <w:t>万元，项目已完成的主要内容:村村通”、“户户通”和农村广播“大喇叭”工程基层运行维护工作；购置村村通、大喇叭材料1批，保障维护1部发射机。</w:t>
      </w:r>
    </w:p>
    <w:p w14:paraId="35CDE52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项目效益：通过项目的实施，村村通、地县台站正常运行，确保广大农牧民群众能够正常收听收看到广播电视节目，丰富人民群众精神文化生活，改善群众生活水平。</w:t>
      </w:r>
    </w:p>
    <w:p w14:paraId="16FF106E">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1ADE7B4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333333"/>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2024年村村通运行维护经费项目进行客观评价，最终评分结果：评价总分</w:t>
      </w:r>
      <w:r>
        <w:rPr>
          <w:rFonts w:hint="eastAsia" w:ascii="宋体" w:hAnsi="宋体" w:eastAsia="宋体" w:cs="宋体"/>
          <w:color w:val="333333"/>
          <w:sz w:val="24"/>
          <w:szCs w:val="24"/>
          <w:highlight w:val="none"/>
          <w:lang w:val="en-US" w:eastAsia="zh-CN"/>
        </w:rPr>
        <w:t>94.37</w:t>
      </w:r>
      <w:r>
        <w:rPr>
          <w:rFonts w:hint="eastAsia" w:ascii="宋体" w:hAnsi="宋体" w:eastAsia="宋体" w:cs="宋体"/>
          <w:color w:val="333333"/>
          <w:sz w:val="24"/>
          <w:szCs w:val="24"/>
          <w:highlight w:val="none"/>
        </w:rPr>
        <w:t>分，绩效等级为“</w:t>
      </w:r>
      <w:r>
        <w:rPr>
          <w:rFonts w:hint="eastAsia" w:ascii="宋体" w:hAnsi="宋体" w:eastAsia="宋体" w:cs="宋体"/>
          <w:color w:val="333333"/>
          <w:sz w:val="24"/>
          <w:szCs w:val="24"/>
          <w:highlight w:val="none"/>
          <w:lang w:eastAsia="zh-CN"/>
        </w:rPr>
        <w:t>优</w:t>
      </w:r>
      <w:r>
        <w:rPr>
          <w:rFonts w:hint="eastAsia" w:ascii="宋体" w:hAnsi="宋体" w:eastAsia="宋体" w:cs="宋体"/>
          <w:color w:val="333333"/>
          <w:sz w:val="24"/>
          <w:szCs w:val="24"/>
          <w:highlight w:val="none"/>
        </w:rPr>
        <w:t>”。</w:t>
      </w:r>
      <w:bookmarkEnd w:id="12"/>
    </w:p>
    <w:p w14:paraId="3978B651">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四、绩效评价指标分析</w:t>
      </w:r>
      <w:bookmarkEnd w:id="11"/>
    </w:p>
    <w:p w14:paraId="73D2C7A8">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8"/>
      <w:r>
        <w:rPr>
          <w:rFonts w:hint="eastAsia" w:ascii="宋体" w:hAnsi="宋体" w:eastAsia="宋体" w:cs="宋体"/>
          <w:sz w:val="24"/>
          <w:szCs w:val="24"/>
        </w:rPr>
        <w:t>（一）项目决策情况</w:t>
      </w:r>
    </w:p>
    <w:p w14:paraId="6B0E400A">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1BBAD6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01036A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本项目立项符合2024年少数民族地区和边疆地区文化安全补助资金-村村通运行维护经费-和地财教【2023】76号；本项目立项符合2024年少数民族地区和边疆地区文化安全补助资金-村村通运行维护经费-和地财教【2024】4号符合行业发展规划和政策要求；本项目立项符合《</w:t>
      </w:r>
      <w:r>
        <w:rPr>
          <w:rFonts w:hint="eastAsia" w:ascii="宋体" w:hAnsi="宋体" w:eastAsia="宋体" w:cs="宋体"/>
          <w:color w:val="000000"/>
          <w:sz w:val="24"/>
          <w:szCs w:val="24"/>
          <w:lang w:val="en-US" w:eastAsia="zh-CN"/>
        </w:rPr>
        <w:t>洛浦县融媒体中心</w:t>
      </w:r>
      <w:r>
        <w:rPr>
          <w:rFonts w:hint="eastAsia" w:ascii="宋体" w:hAnsi="宋体" w:eastAsia="宋体" w:cs="宋体"/>
          <w:color w:val="000000"/>
          <w:sz w:val="24"/>
          <w:szCs w:val="24"/>
        </w:rPr>
        <w:t>单位配置内设机构和人员编制规定》中职责范围中的“</w:t>
      </w:r>
      <w:r>
        <w:rPr>
          <w:rFonts w:hint="eastAsia" w:ascii="宋体" w:hAnsi="宋体" w:eastAsia="宋体" w:cs="宋体"/>
          <w:color w:val="000000"/>
          <w:sz w:val="24"/>
          <w:szCs w:val="24"/>
          <w:lang w:val="en-US" w:eastAsia="zh-CN"/>
        </w:rPr>
        <w:t>25人</w:t>
      </w:r>
      <w:r>
        <w:rPr>
          <w:rFonts w:hint="eastAsia" w:ascii="宋体" w:hAnsi="宋体" w:eastAsia="宋体" w:cs="宋体"/>
          <w:color w:val="000000"/>
          <w:sz w:val="24"/>
          <w:szCs w:val="24"/>
        </w:rPr>
        <w:t>”，属于我单位履职所需；根据《财政资金直接支付申请书》，本项目资金性质为“公共财政预算”功能分类为“</w:t>
      </w:r>
      <w:r>
        <w:rPr>
          <w:rFonts w:hint="eastAsia" w:ascii="宋体" w:hAnsi="宋体" w:eastAsia="宋体" w:cs="宋体"/>
          <w:color w:val="000000"/>
          <w:sz w:val="24"/>
          <w:szCs w:val="24"/>
          <w:lang w:val="en-US" w:eastAsia="zh-CN"/>
        </w:rPr>
        <w:t>其他商品名指出</w:t>
      </w:r>
      <w:r>
        <w:rPr>
          <w:rFonts w:hint="eastAsia" w:ascii="宋体" w:hAnsi="宋体" w:eastAsia="宋体" w:cs="宋体"/>
          <w:color w:val="000000"/>
          <w:sz w:val="24"/>
          <w:szCs w:val="24"/>
        </w:rPr>
        <w:t>”经济分类为“</w:t>
      </w:r>
      <w:r>
        <w:rPr>
          <w:rFonts w:hint="eastAsia" w:ascii="宋体" w:hAnsi="宋体" w:eastAsia="宋体" w:cs="宋体"/>
          <w:color w:val="000000"/>
          <w:sz w:val="24"/>
          <w:szCs w:val="24"/>
          <w:lang w:val="en-US" w:eastAsia="zh-CN"/>
        </w:rPr>
        <w:t>其他商品指出</w:t>
      </w:r>
      <w:r>
        <w:rPr>
          <w:rFonts w:hint="eastAsia" w:ascii="宋体" w:hAnsi="宋体" w:eastAsia="宋体" w:cs="宋体"/>
          <w:color w:val="000000"/>
          <w:sz w:val="24"/>
          <w:szCs w:val="24"/>
        </w:rPr>
        <w:t>”属于公共财政支持范围，符合中央、地方事权支出责任划分原则</w:t>
      </w:r>
      <w:r>
        <w:rPr>
          <w:rFonts w:hint="eastAsia" w:ascii="宋体" w:hAnsi="宋体" w:eastAsia="宋体" w:cs="宋体"/>
          <w:color w:val="000000"/>
          <w:sz w:val="24"/>
          <w:szCs w:val="24"/>
          <w:highlight w:val="none"/>
        </w:rPr>
        <w:t>；经检查我单位财政应用平台指标，本项目不存在重复。</w:t>
      </w:r>
    </w:p>
    <w:p w14:paraId="68CDCA5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综上所述，</w:t>
      </w:r>
      <w:r>
        <w:rPr>
          <w:rFonts w:hint="eastAsia" w:ascii="宋体" w:hAnsi="宋体" w:eastAsia="宋体" w:cs="宋体"/>
          <w:color w:val="000000"/>
          <w:sz w:val="24"/>
          <w:szCs w:val="24"/>
          <w:highlight w:val="none"/>
        </w:rPr>
        <w:t>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p>
    <w:p w14:paraId="0DA98FE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0FD0703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2024年村村通运行维护经费</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90.28</w:t>
      </w:r>
      <w:r>
        <w:rPr>
          <w:rFonts w:hint="eastAsia" w:ascii="宋体" w:hAnsi="宋体" w:eastAsia="宋体" w:cs="宋体"/>
          <w:color w:val="auto"/>
          <w:sz w:val="24"/>
          <w:szCs w:val="24"/>
          <w:highlight w:val="none"/>
        </w:rPr>
        <w:t>万元，不涉及事前绩效评估和风险评估，并经过专家论证。</w:t>
      </w:r>
    </w:p>
    <w:p w14:paraId="51C086BB">
      <w:pPr>
        <w:keepNext w:val="0"/>
        <w:keepLines w:val="0"/>
        <w:pageBreakBefore w:val="0"/>
        <w:widowControl w:val="0"/>
        <w:kinsoku/>
        <w:wordWrap/>
        <w:overflowPunct/>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sz w:val="24"/>
          <w:szCs w:val="24"/>
          <w:highlight w:val="none"/>
        </w:rPr>
        <w:t>（3）绩效目标合理性：</w:t>
      </w:r>
    </w:p>
    <w:p w14:paraId="79F949E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①该项目已设置年度绩效目标，具体内容为</w:t>
      </w:r>
      <w:r>
        <w:rPr>
          <w:rFonts w:hint="eastAsia" w:ascii="宋体" w:hAnsi="宋体" w:eastAsia="宋体" w:cs="宋体"/>
          <w:color w:val="auto"/>
          <w:sz w:val="24"/>
          <w:szCs w:val="24"/>
          <w:lang w:val="en-US" w:eastAsia="zh-CN"/>
        </w:rPr>
        <w:t>“根据《关于提前下达2024年少数民族地区和边疆地区文化安全补助资金预算的通知》（和地财教[2023]76号）文件实施此项目，主要实施内容为：“村村通”、“户户通”和农村广播“大喇叭”工程基层运行维护工作；购置村村通、大喇叭材料1批，保障维护1部发射机。通过该项目实施，可以保障村村通、地县台站正常运行，确保广大农牧民群众能够正常收听收看到广播电视节目，丰富人民群众精神文化生活，改善群众生活水平。</w:t>
      </w:r>
    </w:p>
    <w:p w14:paraId="0783D36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lang w:val="en-US" w:eastAsia="zh-CN"/>
        </w:rPr>
        <w:t>“村村通”、“户户通”和农村广播“大喇叭”工程基层运行维护工作；购置村村通、大喇叭材料1批，保障维护1部发射机</w:t>
      </w:r>
      <w:r>
        <w:rPr>
          <w:rFonts w:hint="eastAsia" w:ascii="宋体" w:hAnsi="宋体" w:eastAsia="宋体" w:cs="宋体"/>
          <w:color w:val="auto"/>
          <w:sz w:val="24"/>
          <w:szCs w:val="24"/>
          <w:highlight w:val="none"/>
        </w:rPr>
        <w:t>。通过项目的实施，村村通、地县台站正常运行，确保广大农牧民群众能够正常收听收看到广播电视节目，丰富人民群众精神文化生活，改善群众生活水平。绩效目标与实际工作内容一致，两者具有相关性。</w:t>
      </w:r>
    </w:p>
    <w:p w14:paraId="09A563C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w:t>
      </w:r>
      <w:r>
        <w:rPr>
          <w:rFonts w:hint="eastAsia" w:ascii="宋体" w:hAnsi="宋体" w:eastAsia="宋体" w:cs="宋体"/>
          <w:color w:val="auto"/>
          <w:sz w:val="24"/>
          <w:szCs w:val="24"/>
          <w:lang w:val="en-US" w:eastAsia="zh-CN"/>
        </w:rPr>
        <w:t>了100%，达</w:t>
      </w:r>
      <w:r>
        <w:rPr>
          <w:rFonts w:hint="eastAsia" w:ascii="宋体" w:hAnsi="宋体" w:eastAsia="宋体" w:cs="宋体"/>
          <w:color w:val="auto"/>
          <w:sz w:val="24"/>
          <w:szCs w:val="24"/>
          <w:highlight w:val="none"/>
        </w:rPr>
        <w:t>到</w:t>
      </w:r>
      <w:r>
        <w:rPr>
          <w:rFonts w:hint="eastAsia" w:ascii="宋体" w:hAnsi="宋体" w:eastAsia="宋体" w:cs="宋体"/>
          <w:color w:val="auto"/>
          <w:sz w:val="24"/>
          <w:szCs w:val="24"/>
          <w:lang w:val="en-US" w:eastAsia="zh-CN"/>
        </w:rPr>
        <w:t>保障村村通、地县台站正常运行，确保广大农牧民群众能够正常收听收看到广播电视节目，丰富人民群众精神文化生活，改善群众生活水平的</w:t>
      </w:r>
      <w:r>
        <w:rPr>
          <w:rFonts w:hint="eastAsia" w:ascii="宋体" w:hAnsi="宋体" w:eastAsia="宋体" w:cs="宋体"/>
          <w:color w:val="auto"/>
          <w:sz w:val="24"/>
          <w:szCs w:val="24"/>
          <w:highlight w:val="none"/>
        </w:rPr>
        <w:t>效益，预期产出效益和效果符合正常的业绩水平。</w:t>
      </w:r>
    </w:p>
    <w:p w14:paraId="64F9B3E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90.28</w:t>
      </w:r>
      <w:r>
        <w:rPr>
          <w:rFonts w:hint="eastAsia" w:ascii="宋体" w:hAnsi="宋体" w:eastAsia="宋体" w:cs="宋体"/>
          <w:color w:val="auto"/>
          <w:sz w:val="24"/>
          <w:szCs w:val="24"/>
          <w:highlight w:val="none"/>
        </w:rPr>
        <w:t>万元，《项目支出绩效目标表》中预算金额</w:t>
      </w:r>
      <w:r>
        <w:rPr>
          <w:rFonts w:hint="eastAsia" w:ascii="宋体" w:hAnsi="宋体" w:eastAsia="宋体" w:cs="宋体"/>
          <w:color w:val="auto"/>
          <w:sz w:val="24"/>
          <w:szCs w:val="24"/>
          <w:highlight w:val="none"/>
          <w:lang w:val="en-US" w:eastAsia="zh-CN"/>
        </w:rPr>
        <w:t>为90.28万</w:t>
      </w:r>
      <w:r>
        <w:rPr>
          <w:rFonts w:hint="eastAsia" w:ascii="宋体" w:hAnsi="宋体" w:eastAsia="宋体" w:cs="宋体"/>
          <w:color w:val="auto"/>
          <w:sz w:val="24"/>
          <w:szCs w:val="24"/>
          <w:highlight w:val="none"/>
        </w:rPr>
        <w:t>元，预算确定的项目资金与预算确定的项目投资额相匹配。</w:t>
      </w:r>
    </w:p>
    <w:p w14:paraId="70DEC7C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E0ADB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159CD4F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经检查我单位年初设置的《项目支出绩效目标表》，得出如下结论：本项目已将年度绩效目标进行细化为绩效指标体系，共设置一级指标4个，二级指标6个，三级指标9个，定量指标8个，定性指标1个，指标量化率为88.89%，量化率达70.0%以上，将项目绩效目标细化分解为具体的绩效指标。</w:t>
      </w:r>
    </w:p>
    <w:p w14:paraId="419E3FA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绩效目标申报表》中，数量指标指标值为三级指标的年度指标值与年度绩效目标中任务数一致（或不完全一致），已设置时效指标。已设置的绩效目标具备明确性、可衡量性、可实现性、相关性、时限性。根据评分标准，该指标不扣分，得5分。</w:t>
      </w:r>
    </w:p>
    <w:p w14:paraId="403576F4">
      <w:pPr>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预算编制科学性：</w:t>
      </w:r>
    </w:p>
    <w:p w14:paraId="22F2720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本项目《关于提前下达2024年少数民族地区和边疆地区文化安全补助资金预算的通知》(和地财教〔2023〕76号)，即预算编制较科学且经过论证；</w:t>
      </w:r>
    </w:p>
    <w:p w14:paraId="4369086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预算申请内容为2024年少数民族地区和边疆地区文化安全补助资金，项目实际内容为2024年少数民族地区和边疆地区文化安全补助资金，预算申请与《关于提前下达2024年少数民族地区和边疆地区文化安全补助资金预算的通知》(和地财教〔2023〕76号)项目实施方案》中涉及的项目内容匹配；</w:t>
      </w:r>
    </w:p>
    <w:p w14:paraId="781CBC3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预算申请资金90.28万元，我单位在预算申请中严格按照项目实施内容及测算标准进行核算，其中：村村通运行维护费89万元、地县台站运维费1.28万元。预算确定资金量与实际工作任务相匹配。本项目预算额度测算依据充分，严格按照标准编制，预算确定资金量与实际工作任务相匹配；根据评分标准，该指标不扣分，得4分。</w:t>
      </w:r>
    </w:p>
    <w:p w14:paraId="51EFB5AB">
      <w:pPr>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资金分配合理性：</w:t>
      </w:r>
    </w:p>
    <w:p w14:paraId="4148005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本项目实际分配资金以</w:t>
      </w:r>
      <w:r>
        <w:rPr>
          <w:rFonts w:hint="eastAsia" w:ascii="宋体" w:hAnsi="宋体" w:eastAsia="宋体" w:cs="宋体"/>
          <w:color w:val="auto"/>
          <w:sz w:val="24"/>
          <w:szCs w:val="24"/>
          <w:lang w:val="en-US"/>
        </w:rPr>
        <w:t>《关于</w:t>
      </w:r>
      <w:r>
        <w:rPr>
          <w:rFonts w:hint="eastAsia" w:ascii="宋体" w:hAnsi="宋体" w:eastAsia="宋体" w:cs="宋体"/>
          <w:color w:val="auto"/>
          <w:sz w:val="24"/>
          <w:szCs w:val="24"/>
          <w:lang w:val="en-US" w:eastAsia="zh-CN"/>
        </w:rPr>
        <w:t>申请2024年少数民族地区和边疆地区文化安全补助资金项目资金的请示</w:t>
      </w: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和《2024年少数民族地区和边疆地区文化安全补助资金项目实施方案》</w:t>
      </w:r>
      <w:r>
        <w:rPr>
          <w:rFonts w:hint="eastAsia" w:ascii="宋体" w:hAnsi="宋体" w:eastAsia="宋体" w:cs="宋体"/>
          <w:color w:val="auto"/>
          <w:sz w:val="24"/>
          <w:szCs w:val="24"/>
          <w:lang w:val="en-US"/>
        </w:rPr>
        <w:t>为依据进行资金分配，预算资金分配依据充分</w:t>
      </w:r>
      <w:r>
        <w:rPr>
          <w:rFonts w:hint="eastAsia" w:ascii="宋体" w:hAnsi="宋体" w:eastAsia="宋体" w:cs="宋体"/>
          <w:color w:val="auto"/>
          <w:sz w:val="24"/>
          <w:szCs w:val="24"/>
          <w:lang w:val="en-US" w:eastAsia="zh-CN"/>
        </w:rPr>
        <w:t>。根据(和地财教〔2023〕76号，本项目实际到位资金90.28万元，</w:t>
      </w:r>
      <w:r>
        <w:rPr>
          <w:rFonts w:hint="eastAsia" w:ascii="宋体" w:hAnsi="宋体" w:eastAsia="宋体" w:cs="宋体"/>
          <w:color w:val="auto"/>
          <w:sz w:val="24"/>
          <w:szCs w:val="24"/>
          <w:lang w:val="en-US"/>
        </w:rPr>
        <w:t>资金分配额度合理，与</w:t>
      </w:r>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lang w:val="en-US"/>
        </w:rPr>
        <w:t>单位实际</w:t>
      </w:r>
      <w:r>
        <w:rPr>
          <w:rFonts w:hint="eastAsia" w:ascii="宋体" w:hAnsi="宋体" w:eastAsia="宋体" w:cs="宋体"/>
          <w:color w:val="auto"/>
          <w:sz w:val="24"/>
          <w:szCs w:val="24"/>
          <w:lang w:val="en-US" w:eastAsia="zh-CN"/>
        </w:rPr>
        <w:t>需求</w:t>
      </w:r>
      <w:r>
        <w:rPr>
          <w:rFonts w:hint="eastAsia" w:ascii="宋体" w:hAnsi="宋体" w:eastAsia="宋体" w:cs="宋体"/>
          <w:color w:val="auto"/>
          <w:sz w:val="24"/>
          <w:szCs w:val="24"/>
          <w:lang w:val="en-US"/>
        </w:rPr>
        <w:t>相适应</w:t>
      </w:r>
      <w:r>
        <w:rPr>
          <w:rFonts w:hint="eastAsia" w:ascii="宋体" w:hAnsi="宋体" w:eastAsia="宋体" w:cs="宋体"/>
          <w:color w:val="auto"/>
          <w:sz w:val="24"/>
          <w:szCs w:val="24"/>
          <w:lang w:val="en-US" w:eastAsia="zh-CN"/>
        </w:rPr>
        <w:t>。资金分配与实际相适应，根据评分标准，该指标不扣分，得4分。</w:t>
      </w:r>
    </w:p>
    <w:p w14:paraId="196125A5">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233CFBC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项目过程类指标包括资金管理和组织实施两方面的内容，由 5个三级指标构成，权重分为</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11.37</w:t>
      </w:r>
      <w:r>
        <w:rPr>
          <w:rFonts w:hint="eastAsia" w:ascii="宋体" w:hAnsi="宋体" w:eastAsia="宋体" w:cs="宋体"/>
          <w:sz w:val="24"/>
          <w:szCs w:val="24"/>
          <w:highlight w:val="none"/>
        </w:rPr>
        <w:t>分，得分率为</w:t>
      </w:r>
      <w:r>
        <w:rPr>
          <w:rFonts w:hint="eastAsia" w:ascii="宋体" w:hAnsi="宋体" w:eastAsia="宋体" w:cs="宋体"/>
          <w:sz w:val="24"/>
          <w:szCs w:val="24"/>
          <w:highlight w:val="none"/>
          <w:lang w:val="en-US" w:eastAsia="zh-CN"/>
        </w:rPr>
        <w:t>94.75</w:t>
      </w:r>
      <w:r>
        <w:rPr>
          <w:rFonts w:hint="eastAsia" w:ascii="宋体" w:hAnsi="宋体" w:eastAsia="宋体" w:cs="宋体"/>
          <w:sz w:val="24"/>
          <w:szCs w:val="24"/>
          <w:highlight w:val="none"/>
        </w:rPr>
        <w:t>%。</w:t>
      </w:r>
    </w:p>
    <w:p w14:paraId="37305879">
      <w:pPr>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资金到位率：</w:t>
      </w:r>
    </w:p>
    <w:p w14:paraId="55EFA6F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本项目预算资金为</w:t>
      </w:r>
      <w:r>
        <w:rPr>
          <w:rFonts w:hint="eastAsia" w:ascii="宋体" w:hAnsi="宋体" w:eastAsia="宋体" w:cs="宋体"/>
          <w:sz w:val="24"/>
          <w:szCs w:val="24"/>
          <w:highlight w:val="none"/>
          <w:lang w:val="en-US" w:eastAsia="zh-CN"/>
        </w:rPr>
        <w:t>90.28</w:t>
      </w:r>
      <w:r>
        <w:rPr>
          <w:rFonts w:hint="eastAsia" w:ascii="宋体" w:hAnsi="宋体" w:eastAsia="宋体" w:cs="宋体"/>
          <w:sz w:val="24"/>
          <w:szCs w:val="24"/>
          <w:highlight w:val="none"/>
        </w:rPr>
        <w:t>万元，其中：财政安排资金</w:t>
      </w:r>
      <w:r>
        <w:rPr>
          <w:rFonts w:hint="eastAsia" w:ascii="宋体" w:hAnsi="宋体" w:eastAsia="宋体" w:cs="宋体"/>
          <w:sz w:val="24"/>
          <w:szCs w:val="24"/>
          <w:highlight w:val="none"/>
          <w:lang w:val="en-US" w:eastAsia="zh-CN"/>
        </w:rPr>
        <w:t>90.28</w:t>
      </w:r>
      <w:r>
        <w:rPr>
          <w:rFonts w:hint="eastAsia" w:ascii="宋体" w:hAnsi="宋体" w:eastAsia="宋体" w:cs="宋体"/>
          <w:sz w:val="24"/>
          <w:szCs w:val="24"/>
          <w:highlight w:val="none"/>
        </w:rPr>
        <w:t>万元，其他资金</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万元，实际到位资金</w:t>
      </w:r>
      <w:r>
        <w:rPr>
          <w:rFonts w:hint="eastAsia" w:ascii="宋体" w:hAnsi="宋体" w:eastAsia="宋体" w:cs="宋体"/>
          <w:sz w:val="24"/>
          <w:szCs w:val="24"/>
          <w:highlight w:val="none"/>
          <w:lang w:val="en-US" w:eastAsia="zh-CN"/>
        </w:rPr>
        <w:t>90.28</w:t>
      </w:r>
      <w:r>
        <w:rPr>
          <w:rFonts w:hint="eastAsia" w:ascii="宋体" w:hAnsi="宋体" w:eastAsia="宋体" w:cs="宋体"/>
          <w:sz w:val="24"/>
          <w:szCs w:val="24"/>
          <w:highlight w:val="none"/>
        </w:rPr>
        <w:t>万元，资金到位率=</w:t>
      </w:r>
      <w:r>
        <w:rPr>
          <w:rFonts w:hint="eastAsia" w:ascii="宋体" w:hAnsi="宋体" w:eastAsia="宋体" w:cs="宋体"/>
          <w:sz w:val="24"/>
          <w:szCs w:val="24"/>
          <w:highlight w:val="none"/>
          <w:lang w:val="en-US" w:eastAsia="zh-CN"/>
        </w:rPr>
        <w:t>100%；通过分析可知，该项目</w:t>
      </w:r>
      <w:r>
        <w:rPr>
          <w:rFonts w:hint="eastAsia" w:ascii="宋体" w:hAnsi="宋体" w:eastAsia="宋体" w:cs="宋体"/>
          <w:sz w:val="24"/>
          <w:szCs w:val="24"/>
          <w:highlight w:val="none"/>
        </w:rPr>
        <w:t>财政资金足额拨付到位，能够及时足额</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给</w:t>
      </w:r>
      <w:r>
        <w:rPr>
          <w:rFonts w:hint="eastAsia" w:ascii="宋体" w:hAnsi="宋体" w:eastAsia="宋体" w:cs="宋体"/>
          <w:sz w:val="24"/>
          <w:szCs w:val="24"/>
          <w:highlight w:val="none"/>
          <w:lang w:val="en-US" w:eastAsia="zh-CN"/>
        </w:rPr>
        <w:t>实施</w:t>
      </w:r>
      <w:r>
        <w:rPr>
          <w:rFonts w:hint="eastAsia" w:ascii="宋体" w:hAnsi="宋体" w:eastAsia="宋体" w:cs="宋体"/>
          <w:sz w:val="24"/>
          <w:szCs w:val="24"/>
          <w:highlight w:val="none"/>
        </w:rPr>
        <w:t>单位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分。   </w:t>
      </w:r>
    </w:p>
    <w:p w14:paraId="703F508F">
      <w:pPr>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预算执行率：</w:t>
      </w:r>
    </w:p>
    <w:p w14:paraId="0A360A0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本项目实际支出资金</w:t>
      </w:r>
      <w:r>
        <w:rPr>
          <w:rFonts w:hint="eastAsia" w:ascii="宋体" w:hAnsi="宋体" w:eastAsia="宋体" w:cs="宋体"/>
          <w:sz w:val="24"/>
          <w:szCs w:val="24"/>
          <w:highlight w:val="none"/>
          <w:lang w:val="en-US" w:eastAsia="zh-CN"/>
        </w:rPr>
        <w:t>60.55</w:t>
      </w:r>
      <w:r>
        <w:rPr>
          <w:rFonts w:hint="eastAsia" w:ascii="宋体" w:hAnsi="宋体" w:eastAsia="宋体" w:cs="宋体"/>
          <w:sz w:val="24"/>
          <w:szCs w:val="24"/>
          <w:highlight w:val="none"/>
        </w:rPr>
        <w:t>万元，预算执行率=（</w:t>
      </w:r>
      <w:r>
        <w:rPr>
          <w:rFonts w:hint="eastAsia" w:ascii="宋体" w:hAnsi="宋体" w:eastAsia="宋体" w:cs="宋体"/>
          <w:sz w:val="24"/>
          <w:szCs w:val="24"/>
          <w:highlight w:val="none"/>
          <w:lang w:val="en-US" w:eastAsia="zh-CN"/>
        </w:rPr>
        <w:t>60.55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90.28</w:t>
      </w:r>
      <w:r>
        <w:rPr>
          <w:rFonts w:hint="eastAsia" w:ascii="宋体" w:hAnsi="宋体" w:eastAsia="宋体" w:cs="宋体"/>
          <w:sz w:val="24"/>
          <w:szCs w:val="24"/>
          <w:highlight w:val="none"/>
        </w:rPr>
        <w:t>）×100.0%=</w:t>
      </w:r>
      <w:r>
        <w:rPr>
          <w:rFonts w:hint="eastAsia" w:ascii="宋体" w:hAnsi="宋体" w:eastAsia="宋体" w:cs="宋体"/>
          <w:sz w:val="24"/>
          <w:szCs w:val="24"/>
          <w:highlight w:val="none"/>
          <w:lang w:val="en-US" w:eastAsia="zh-CN"/>
        </w:rPr>
        <w:t>68.49</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通过分析可知，该项目</w:t>
      </w:r>
      <w:r>
        <w:rPr>
          <w:rFonts w:hint="eastAsia" w:ascii="宋体" w:hAnsi="宋体" w:eastAsia="宋体" w:cs="宋体"/>
          <w:sz w:val="24"/>
          <w:szCs w:val="24"/>
          <w:highlight w:val="none"/>
        </w:rPr>
        <w:t>预算编制较为详细，项目资金支出总体能够按照预算执行，根据评分标准，该指标扣</w:t>
      </w:r>
      <w:r>
        <w:rPr>
          <w:rFonts w:hint="eastAsia" w:ascii="宋体" w:hAnsi="宋体" w:eastAsia="宋体" w:cs="宋体"/>
          <w:sz w:val="24"/>
          <w:szCs w:val="24"/>
          <w:highlight w:val="none"/>
          <w:lang w:val="en-US" w:eastAsia="zh-CN"/>
        </w:rPr>
        <w:t>0.63</w:t>
      </w:r>
      <w:r>
        <w:rPr>
          <w:rFonts w:hint="eastAsia" w:ascii="宋体" w:hAnsi="宋体" w:eastAsia="宋体" w:cs="宋体"/>
          <w:sz w:val="24"/>
          <w:szCs w:val="24"/>
          <w:highlight w:val="none"/>
        </w:rPr>
        <w:t>分，得</w:t>
      </w:r>
      <w:r>
        <w:rPr>
          <w:rFonts w:hint="eastAsia" w:ascii="宋体" w:hAnsi="宋体" w:eastAsia="宋体" w:cs="宋体"/>
          <w:sz w:val="24"/>
          <w:szCs w:val="24"/>
          <w:highlight w:val="none"/>
          <w:lang w:val="en-US" w:eastAsia="zh-CN"/>
        </w:rPr>
        <w:t>1.37</w:t>
      </w:r>
      <w:r>
        <w:rPr>
          <w:rFonts w:hint="eastAsia" w:ascii="宋体" w:hAnsi="宋体" w:eastAsia="宋体" w:cs="宋体"/>
          <w:sz w:val="24"/>
          <w:szCs w:val="24"/>
          <w:highlight w:val="none"/>
        </w:rPr>
        <w:t>分。</w:t>
      </w:r>
    </w:p>
    <w:p w14:paraId="008ACAE0">
      <w:pPr>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资金使用合规性：</w:t>
      </w:r>
    </w:p>
    <w:p w14:paraId="11B72C4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通过检查项目资金申请文件、</w:t>
      </w:r>
      <w:r>
        <w:rPr>
          <w:rFonts w:hint="eastAsia" w:ascii="宋体" w:hAnsi="宋体" w:eastAsia="宋体" w:cs="宋体"/>
          <w:sz w:val="24"/>
          <w:szCs w:val="24"/>
          <w:highlight w:val="none"/>
          <w:lang w:val="en-US" w:eastAsia="zh-CN"/>
        </w:rPr>
        <w:t>国库支付凭证</w:t>
      </w:r>
      <w:r>
        <w:rPr>
          <w:rFonts w:hint="eastAsia" w:ascii="宋体" w:hAnsi="宋体" w:eastAsia="宋体" w:cs="宋体"/>
          <w:sz w:val="24"/>
          <w:szCs w:val="24"/>
          <w:highlight w:val="none"/>
        </w:rPr>
        <w:t>等财务</w:t>
      </w:r>
      <w:r>
        <w:rPr>
          <w:rFonts w:hint="eastAsia" w:ascii="宋体" w:hAnsi="宋体" w:eastAsia="宋体" w:cs="宋体"/>
          <w:sz w:val="24"/>
          <w:szCs w:val="24"/>
          <w:highlight w:val="none"/>
          <w:lang w:val="en-US" w:eastAsia="zh-CN"/>
        </w:rPr>
        <w:t>资料</w:t>
      </w:r>
      <w:r>
        <w:rPr>
          <w:rFonts w:hint="eastAsia" w:ascii="宋体" w:hAnsi="宋体" w:eastAsia="宋体" w:cs="宋体"/>
          <w:sz w:val="24"/>
          <w:szCs w:val="24"/>
          <w:highlight w:val="none"/>
        </w:rPr>
        <w:t>，得出本项目资金支出符合国家财经法规、《政府会计制度》《</w:t>
      </w:r>
      <w:r>
        <w:rPr>
          <w:rFonts w:hint="eastAsia" w:ascii="宋体" w:hAnsi="宋体" w:eastAsia="宋体" w:cs="宋体"/>
          <w:sz w:val="24"/>
          <w:szCs w:val="24"/>
          <w:highlight w:val="none"/>
          <w:lang w:val="en-US" w:eastAsia="zh-CN"/>
        </w:rPr>
        <w:t>洛浦县融媒体中心</w:t>
      </w:r>
      <w:r>
        <w:rPr>
          <w:rFonts w:hint="eastAsia" w:ascii="宋体" w:hAnsi="宋体" w:eastAsia="宋体" w:cs="宋体"/>
          <w:sz w:val="24"/>
          <w:szCs w:val="24"/>
          <w:highlight w:val="none"/>
        </w:rPr>
        <w:t>单位资金管理办法》《</w:t>
      </w:r>
      <w:r>
        <w:rPr>
          <w:rFonts w:hint="eastAsia" w:ascii="宋体" w:hAnsi="宋体" w:eastAsia="宋体" w:cs="宋体"/>
          <w:sz w:val="24"/>
          <w:szCs w:val="24"/>
          <w:highlight w:val="none"/>
          <w:lang w:val="en-US" w:eastAsia="zh-CN"/>
        </w:rPr>
        <w:t>洛浦县融媒体中心</w:t>
      </w:r>
      <w:r>
        <w:rPr>
          <w:rFonts w:hint="eastAsia" w:ascii="宋体" w:hAnsi="宋体" w:eastAsia="宋体" w:cs="宋体"/>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40158B75">
      <w:pPr>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）管理制度健全性：</w:t>
      </w:r>
    </w:p>
    <w:p w14:paraId="2A76CE8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我单位已制定《</w:t>
      </w:r>
      <w:r>
        <w:rPr>
          <w:rFonts w:hint="eastAsia" w:ascii="宋体" w:hAnsi="宋体" w:eastAsia="宋体" w:cs="宋体"/>
          <w:sz w:val="24"/>
          <w:szCs w:val="24"/>
          <w:highlight w:val="none"/>
          <w:lang w:val="en-US" w:eastAsia="zh-CN"/>
        </w:rPr>
        <w:t>洛浦县融媒体中心</w:t>
      </w:r>
      <w:r>
        <w:rPr>
          <w:rFonts w:hint="eastAsia" w:ascii="宋体" w:hAnsi="宋体" w:eastAsia="宋体" w:cs="宋体"/>
          <w:sz w:val="24"/>
          <w:szCs w:val="24"/>
          <w:highlight w:val="none"/>
        </w:rPr>
        <w:t>资金管理办法》《</w:t>
      </w:r>
      <w:r>
        <w:rPr>
          <w:rFonts w:hint="eastAsia" w:ascii="宋体" w:hAnsi="宋体" w:eastAsia="宋体" w:cs="宋体"/>
          <w:sz w:val="24"/>
          <w:szCs w:val="24"/>
          <w:highlight w:val="none"/>
          <w:lang w:val="en-US" w:eastAsia="zh-CN"/>
        </w:rPr>
        <w:t>洛浦县融媒体中心</w:t>
      </w:r>
      <w:r>
        <w:rPr>
          <w:rFonts w:hint="eastAsia" w:ascii="宋体" w:hAnsi="宋体" w:eastAsia="宋体" w:cs="宋体"/>
          <w:sz w:val="24"/>
          <w:szCs w:val="24"/>
          <w:highlight w:val="none"/>
        </w:rPr>
        <w:t>收支业务管理制度》《</w:t>
      </w:r>
      <w:r>
        <w:rPr>
          <w:rFonts w:hint="eastAsia" w:ascii="宋体" w:hAnsi="宋体" w:eastAsia="宋体" w:cs="宋体"/>
          <w:sz w:val="24"/>
          <w:szCs w:val="24"/>
          <w:highlight w:val="none"/>
          <w:lang w:val="en-US" w:eastAsia="zh-CN"/>
        </w:rPr>
        <w:t>洛浦县融媒体中心</w:t>
      </w:r>
      <w:r>
        <w:rPr>
          <w:rFonts w:hint="eastAsia" w:ascii="宋体" w:hAnsi="宋体" w:eastAsia="宋体" w:cs="宋体"/>
          <w:sz w:val="24"/>
          <w:szCs w:val="24"/>
          <w:highlight w:val="none"/>
        </w:rPr>
        <w:t>政府采购业务管理制度》《</w:t>
      </w:r>
      <w:r>
        <w:rPr>
          <w:rFonts w:hint="eastAsia" w:ascii="宋体" w:hAnsi="宋体" w:eastAsia="宋体" w:cs="宋体"/>
          <w:sz w:val="24"/>
          <w:szCs w:val="24"/>
          <w:highlight w:val="none"/>
          <w:lang w:val="en-US" w:eastAsia="zh-CN"/>
        </w:rPr>
        <w:t>洛浦县融媒体中心</w:t>
      </w:r>
      <w:r>
        <w:rPr>
          <w:rFonts w:hint="eastAsia" w:ascii="宋体" w:hAnsi="宋体" w:eastAsia="宋体" w:cs="宋体"/>
          <w:sz w:val="24"/>
          <w:szCs w:val="24"/>
          <w:highlight w:val="none"/>
        </w:rPr>
        <w:t>合同管理制度》，</w:t>
      </w:r>
      <w:r>
        <w:rPr>
          <w:rFonts w:hint="eastAsia" w:ascii="宋体" w:hAnsi="宋体" w:eastAsia="宋体" w:cs="宋体"/>
          <w:sz w:val="24"/>
          <w:szCs w:val="24"/>
          <w:highlight w:val="none"/>
          <w:lang w:val="en-US" w:eastAsia="zh-CN"/>
        </w:rPr>
        <w:t>相关</w:t>
      </w:r>
      <w:r>
        <w:rPr>
          <w:rFonts w:hint="eastAsia" w:ascii="宋体" w:hAnsi="宋体" w:eastAsia="宋体" w:cs="宋体"/>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41EDFF30">
      <w:pPr>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）制度执行有效性：</w:t>
      </w:r>
    </w:p>
    <w:p w14:paraId="3C2BEE0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①该项目的实施符合《</w:t>
      </w:r>
      <w:r>
        <w:rPr>
          <w:rFonts w:hint="eastAsia" w:ascii="宋体" w:hAnsi="宋体" w:eastAsia="宋体" w:cs="宋体"/>
          <w:sz w:val="24"/>
          <w:szCs w:val="24"/>
          <w:highlight w:val="none"/>
          <w:lang w:val="en-US" w:eastAsia="zh-CN"/>
        </w:rPr>
        <w:t>洛浦县融媒体中心</w:t>
      </w:r>
      <w:r>
        <w:rPr>
          <w:rFonts w:hint="eastAsia" w:ascii="宋体" w:hAnsi="宋体" w:eastAsia="宋体" w:cs="宋体"/>
          <w:sz w:val="24"/>
          <w:szCs w:val="24"/>
          <w:highlight w:val="none"/>
        </w:rPr>
        <w:t>办法》《</w:t>
      </w:r>
      <w:r>
        <w:rPr>
          <w:rFonts w:hint="eastAsia" w:ascii="宋体" w:hAnsi="宋体" w:eastAsia="宋体" w:cs="宋体"/>
          <w:sz w:val="24"/>
          <w:szCs w:val="24"/>
          <w:highlight w:val="none"/>
          <w:lang w:val="en-US" w:eastAsia="zh-CN"/>
        </w:rPr>
        <w:t>洛浦县融媒体中心</w:t>
      </w:r>
      <w:r>
        <w:rPr>
          <w:rFonts w:hint="eastAsia" w:ascii="宋体" w:hAnsi="宋体" w:eastAsia="宋体" w:cs="宋体"/>
          <w:sz w:val="24"/>
          <w:szCs w:val="24"/>
          <w:highlight w:val="none"/>
        </w:rPr>
        <w:t>管理制度》《</w:t>
      </w:r>
      <w:r>
        <w:rPr>
          <w:rFonts w:hint="eastAsia" w:ascii="宋体" w:hAnsi="宋体" w:eastAsia="宋体" w:cs="宋体"/>
          <w:sz w:val="24"/>
          <w:szCs w:val="24"/>
          <w:highlight w:val="none"/>
          <w:lang w:val="en-US" w:eastAsia="zh-CN"/>
        </w:rPr>
        <w:t>洛浦县融媒体中心</w:t>
      </w:r>
      <w:r>
        <w:rPr>
          <w:rFonts w:hint="eastAsia" w:ascii="宋体" w:hAnsi="宋体" w:eastAsia="宋体" w:cs="宋体"/>
          <w:sz w:val="24"/>
          <w:szCs w:val="24"/>
          <w:highlight w:val="none"/>
        </w:rPr>
        <w:t>采购业务管理制度》《</w:t>
      </w:r>
      <w:r>
        <w:rPr>
          <w:rFonts w:hint="eastAsia" w:ascii="宋体" w:hAnsi="宋体" w:eastAsia="宋体" w:cs="宋体"/>
          <w:sz w:val="24"/>
          <w:szCs w:val="24"/>
          <w:highlight w:val="none"/>
          <w:lang w:val="en-US" w:eastAsia="zh-CN"/>
        </w:rPr>
        <w:t>洛浦县融媒体中心</w:t>
      </w:r>
      <w:r>
        <w:rPr>
          <w:rFonts w:hint="eastAsia" w:ascii="宋体" w:hAnsi="宋体" w:eastAsia="宋体" w:cs="宋体"/>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6A9EFC8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②经现场查证项目合同书、验收评审表、财务支付凭证等资料齐全并及时归档。</w:t>
      </w:r>
    </w:p>
    <w:p w14:paraId="29E71AB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③该项目实施过程中不存在调整事项</w:t>
      </w:r>
      <w:r>
        <w:rPr>
          <w:rFonts w:hint="eastAsia" w:ascii="宋体" w:hAnsi="宋体" w:eastAsia="宋体" w:cs="宋体"/>
          <w:sz w:val="24"/>
          <w:szCs w:val="24"/>
          <w:highlight w:val="none"/>
          <w:lang w:eastAsia="zh-CN"/>
        </w:rPr>
        <w:t>。</w:t>
      </w:r>
    </w:p>
    <w:p w14:paraId="3C4A438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sz w:val="24"/>
          <w:szCs w:val="24"/>
          <w:highlight w:val="none"/>
          <w:lang w:eastAsia="zh-CN"/>
        </w:rPr>
        <w:t>2024年村村通运行维护经费</w:t>
      </w:r>
      <w:r>
        <w:rPr>
          <w:rFonts w:hint="eastAsia" w:ascii="宋体" w:hAnsi="宋体" w:eastAsia="宋体" w:cs="宋体"/>
          <w:sz w:val="24"/>
          <w:szCs w:val="24"/>
          <w:highlight w:val="none"/>
        </w:rPr>
        <w:t>工作领导小组，由</w:t>
      </w:r>
      <w:r>
        <w:rPr>
          <w:rFonts w:hint="eastAsia" w:ascii="宋体" w:hAnsi="宋体" w:eastAsia="宋体" w:cs="宋体"/>
          <w:sz w:val="24"/>
          <w:szCs w:val="24"/>
          <w:highlight w:val="none"/>
          <w:lang w:val="en-US" w:eastAsia="zh-CN"/>
        </w:rPr>
        <w:t>赵志炎</w:t>
      </w:r>
      <w:r>
        <w:rPr>
          <w:rFonts w:hint="eastAsia" w:ascii="宋体" w:hAnsi="宋体" w:eastAsia="宋体" w:cs="宋体"/>
          <w:sz w:val="24"/>
          <w:szCs w:val="24"/>
          <w:highlight w:val="none"/>
        </w:rPr>
        <w:t>任组长，负责项目的组织工作</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徐新云</w:t>
      </w:r>
      <w:r>
        <w:rPr>
          <w:rFonts w:hint="eastAsia" w:ascii="宋体" w:hAnsi="宋体" w:eastAsia="宋体" w:cs="宋体"/>
          <w:sz w:val="24"/>
          <w:szCs w:val="24"/>
          <w:highlight w:val="none"/>
        </w:rPr>
        <w:t>任副组长，负责项目的实施工作；组员包括：</w:t>
      </w:r>
      <w:r>
        <w:rPr>
          <w:rFonts w:hint="eastAsia" w:ascii="宋体" w:hAnsi="宋体" w:eastAsia="宋体" w:cs="宋体"/>
          <w:sz w:val="24"/>
          <w:szCs w:val="24"/>
          <w:highlight w:val="none"/>
          <w:lang w:val="en-US" w:eastAsia="zh-CN"/>
        </w:rPr>
        <w:t>潘腊</w:t>
      </w:r>
      <w:r>
        <w:rPr>
          <w:rFonts w:hint="eastAsia" w:ascii="宋体" w:hAnsi="宋体" w:eastAsia="宋体" w:cs="宋体"/>
          <w:sz w:val="24"/>
          <w:szCs w:val="24"/>
          <w:highlight w:val="none"/>
        </w:rPr>
        <w:t>，主要负责项目监督管理、验收以及资金核拨等工作。根据评分标准，该指标不扣分，得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59D6DEC6">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6849E89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85.71</w:t>
      </w:r>
      <w:r>
        <w:rPr>
          <w:rFonts w:hint="eastAsia" w:ascii="宋体" w:hAnsi="宋体" w:eastAsia="宋体" w:cs="宋体"/>
          <w:color w:val="auto"/>
          <w:sz w:val="24"/>
          <w:szCs w:val="24"/>
          <w:highlight w:val="none"/>
        </w:rPr>
        <w:t>%。</w:t>
      </w:r>
    </w:p>
    <w:p w14:paraId="0FA26C89">
      <w:pPr>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4DD6175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发射机维护数量指标，预期指标值为≥1部，实际完成值为1部，指标完成率为100%，与预期目标一致，根据评分标准，该指标不扣分，得5分。</w:t>
      </w:r>
    </w:p>
    <w:p w14:paraId="06C1B1E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购置村村通、大喇叭材料数量指标，预期指标值为≥1批，实际完成值为1批，指标完成率为100%，与预期目标一致，根据评分标准，该指标不扣分，得5分。</w:t>
      </w:r>
    </w:p>
    <w:p w14:paraId="0A0089E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合计得10分。</w:t>
      </w:r>
    </w:p>
    <w:p w14:paraId="1AB705F9">
      <w:pPr>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6A9BBC4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资金使用合规率指标，预期指标值为=100%，实际完成值为100%。达到预期目标。根据评分标准，该指标不扣分，得10分。</w:t>
      </w:r>
    </w:p>
    <w:p w14:paraId="69FC216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合计得10分。</w:t>
      </w:r>
    </w:p>
    <w:p w14:paraId="325010AE">
      <w:pPr>
        <w:pStyle w:val="10"/>
        <w:pageBreakBefore w:val="0"/>
        <w:widowControl w:val="0"/>
        <w:numPr>
          <w:ilvl w:val="0"/>
          <w:numId w:val="3"/>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对于“产出时效”：</w:t>
      </w:r>
    </w:p>
    <w:p w14:paraId="3752AD3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资金支付及时率指标，预期指标值为=100%，实际完成值为100%，指标完成率为100%，与预期目标一致，根据评分标准，该指标不扣分，得5分。</w:t>
      </w:r>
    </w:p>
    <w:p w14:paraId="24ABFF5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项目完成时间，预期指标值为2024年12月31日，实际完成值为2024年12月，指标完成率为100%，与预期目标一致，根据评分标准，该指标不扣分，得5分。</w:t>
      </w:r>
    </w:p>
    <w:p w14:paraId="5BF6A67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合计得10分。</w:t>
      </w:r>
    </w:p>
    <w:p w14:paraId="2340B24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（4）对于“产出成本”：</w:t>
      </w:r>
    </w:p>
    <w:p w14:paraId="4D0B105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村村通运行维护费指标，预期指标值为≤89万元，实际完成值为60.55万元，指标完成率为68.03%，与预期目标不一致，根据评分标准，该指标扣5分，得0分。偏差原因：因我单位剩余资金按照合同约定付款时间为2025年，导致该项指标未完成。</w:t>
      </w:r>
    </w:p>
    <w:p w14:paraId="5B46793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地县台站运维费，预期指标值为≤1.28万元，实际完成值为2024年12月，指标完成率为100%，与预期目标一致，根据评分标准，该指标不扣分，得5分。</w:t>
      </w:r>
    </w:p>
    <w:p w14:paraId="0E2836E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合计得</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p w14:paraId="2525D11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7FA201B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个方面的内容，由2个三级指标构成，权重分为</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分，得分率为100%。</w:t>
      </w:r>
    </w:p>
    <w:p w14:paraId="28F607E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44C9525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项目实施产生的社会效益指标为丰富人民群众精神文化生活，与预期指标一致，根据评分标准，该指标不扣分，得</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分。</w:t>
      </w:r>
    </w:p>
    <w:p w14:paraId="356178A2">
      <w:pPr>
        <w:pStyle w:val="1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2</w:t>
      </w:r>
      <w:r>
        <w:rPr>
          <w:rFonts w:hint="eastAsia" w:ascii="宋体" w:hAnsi="宋体" w:eastAsia="宋体" w:cs="宋体"/>
          <w:bCs/>
          <w:sz w:val="24"/>
          <w:szCs w:val="24"/>
        </w:rPr>
        <w:t>）满意度指标分析</w:t>
      </w:r>
    </w:p>
    <w:p w14:paraId="79BBC93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满意度指标为听众和观众满意度，预期指标值为</w:t>
      </w:r>
      <w:r>
        <w:rPr>
          <w:rFonts w:hint="eastAsia" w:ascii="宋体" w:hAnsi="宋体" w:eastAsia="宋体" w:cs="宋体"/>
          <w:sz w:val="24"/>
          <w:szCs w:val="24"/>
          <w:lang w:val="en-US" w:eastAsia="zh-CN"/>
        </w:rPr>
        <w:t>大于等于95%</w:t>
      </w:r>
      <w:r>
        <w:rPr>
          <w:rFonts w:hint="eastAsia" w:ascii="宋体" w:hAnsi="宋体" w:eastAsia="宋体" w:cs="宋体"/>
          <w:sz w:val="24"/>
          <w:szCs w:val="24"/>
        </w:rPr>
        <w:t>，</w:t>
      </w:r>
      <w:r>
        <w:rPr>
          <w:rFonts w:hint="eastAsia" w:ascii="宋体" w:hAnsi="宋体" w:eastAsia="宋体" w:cs="宋体"/>
          <w:bCs/>
          <w:sz w:val="24"/>
          <w:szCs w:val="24"/>
        </w:rPr>
        <w:t>经问卷调查，实际完</w:t>
      </w:r>
      <w:r>
        <w:rPr>
          <w:rFonts w:hint="eastAsia" w:ascii="宋体" w:hAnsi="宋体" w:eastAsia="宋体" w:cs="宋体"/>
          <w:sz w:val="24"/>
          <w:szCs w:val="24"/>
        </w:rPr>
        <w:t>成值为</w:t>
      </w:r>
      <w:r>
        <w:rPr>
          <w:rFonts w:hint="eastAsia" w:ascii="宋体" w:hAnsi="宋体" w:eastAsia="宋体" w:cs="宋体"/>
          <w:sz w:val="24"/>
          <w:szCs w:val="24"/>
          <w:lang w:val="en-US" w:eastAsia="zh-CN"/>
        </w:rPr>
        <w:t>98%</w:t>
      </w:r>
      <w:r>
        <w:rPr>
          <w:rFonts w:hint="eastAsia" w:ascii="宋体" w:hAnsi="宋体" w:eastAsia="宋体" w:cs="宋体"/>
          <w:sz w:val="24"/>
          <w:szCs w:val="24"/>
        </w:rPr>
        <w:t>，</w:t>
      </w:r>
      <w:bookmarkEnd w:id="13"/>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w:t>
      </w:r>
    </w:p>
    <w:p w14:paraId="5FF9437A">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085C905A">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36BD672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本项目年初预算资金总额为</w:t>
      </w:r>
      <w:r>
        <w:rPr>
          <w:rFonts w:hint="eastAsia" w:ascii="宋体" w:hAnsi="宋体" w:eastAsia="宋体" w:cs="宋体"/>
          <w:sz w:val="24"/>
          <w:szCs w:val="24"/>
          <w:lang w:val="en-US" w:eastAsia="zh-CN"/>
        </w:rPr>
        <w:t>90.28</w:t>
      </w:r>
      <w:r>
        <w:rPr>
          <w:rFonts w:hint="eastAsia" w:ascii="宋体" w:hAnsi="宋体" w:eastAsia="宋体" w:cs="宋体"/>
          <w:sz w:val="24"/>
          <w:szCs w:val="24"/>
        </w:rPr>
        <w:t>万元，全年预算数为</w:t>
      </w:r>
      <w:r>
        <w:rPr>
          <w:rFonts w:hint="eastAsia" w:ascii="宋体" w:hAnsi="宋体" w:eastAsia="宋体" w:cs="宋体"/>
          <w:sz w:val="24"/>
          <w:szCs w:val="24"/>
          <w:lang w:val="en-US" w:eastAsia="zh-CN"/>
        </w:rPr>
        <w:t>90.28</w:t>
      </w:r>
      <w:r>
        <w:rPr>
          <w:rFonts w:hint="eastAsia" w:ascii="宋体" w:hAnsi="宋体" w:eastAsia="宋体" w:cs="宋体"/>
          <w:sz w:val="24"/>
          <w:szCs w:val="24"/>
        </w:rPr>
        <w:t>万元，全年执行数为</w:t>
      </w:r>
      <w:r>
        <w:rPr>
          <w:rFonts w:hint="eastAsia" w:ascii="宋体" w:hAnsi="宋体" w:eastAsia="宋体" w:cs="宋体"/>
          <w:sz w:val="24"/>
          <w:szCs w:val="24"/>
          <w:lang w:val="en-US" w:eastAsia="zh-CN"/>
        </w:rPr>
        <w:t>60.55</w:t>
      </w:r>
      <w:r>
        <w:rPr>
          <w:rFonts w:hint="eastAsia" w:ascii="宋体" w:hAnsi="宋体" w:eastAsia="宋体" w:cs="宋体"/>
          <w:sz w:val="24"/>
          <w:szCs w:val="24"/>
        </w:rPr>
        <w:t>万元，预算执行率为</w:t>
      </w:r>
      <w:r>
        <w:rPr>
          <w:rFonts w:hint="eastAsia" w:ascii="宋体" w:hAnsi="宋体" w:eastAsia="宋体" w:cs="宋体"/>
          <w:sz w:val="24"/>
          <w:szCs w:val="24"/>
          <w:lang w:val="en-US" w:eastAsia="zh-CN"/>
        </w:rPr>
        <w:t>68.03%</w:t>
      </w:r>
      <w:r>
        <w:rPr>
          <w:rFonts w:hint="eastAsia" w:ascii="宋体" w:hAnsi="宋体" w:eastAsia="宋体" w:cs="宋体"/>
          <w:sz w:val="24"/>
          <w:szCs w:val="24"/>
        </w:rPr>
        <w:t>。</w:t>
      </w:r>
    </w:p>
    <w:p w14:paraId="33D5A1A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9</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8</w:t>
      </w:r>
      <w:r>
        <w:rPr>
          <w:rFonts w:hint="eastAsia" w:ascii="宋体" w:hAnsi="宋体" w:eastAsia="宋体" w:cs="宋体"/>
          <w:sz w:val="24"/>
          <w:szCs w:val="24"/>
        </w:rPr>
        <w:t>个，扣分指标数量</w:t>
      </w:r>
      <w:r>
        <w:rPr>
          <w:rFonts w:hint="eastAsia" w:ascii="宋体" w:hAnsi="宋体" w:eastAsia="宋体" w:cs="宋体"/>
          <w:sz w:val="24"/>
          <w:szCs w:val="24"/>
          <w:lang w:val="en-US" w:eastAsia="zh-CN"/>
        </w:rPr>
        <w:t>1</w:t>
      </w:r>
      <w:r>
        <w:rPr>
          <w:rFonts w:hint="eastAsia" w:ascii="宋体" w:hAnsi="宋体" w:eastAsia="宋体" w:cs="宋体"/>
          <w:sz w:val="24"/>
          <w:szCs w:val="24"/>
        </w:rPr>
        <w:t>个，经分析计算所有三级指标完成率得出，本项目总体完成率为</w:t>
      </w:r>
      <w:r>
        <w:rPr>
          <w:rFonts w:hint="eastAsia" w:ascii="宋体" w:hAnsi="宋体" w:eastAsia="宋体" w:cs="宋体"/>
          <w:sz w:val="24"/>
          <w:szCs w:val="24"/>
          <w:lang w:val="en-US" w:eastAsia="zh-CN"/>
        </w:rPr>
        <w:t>88.89</w:t>
      </w:r>
      <w:r>
        <w:rPr>
          <w:rFonts w:hint="eastAsia" w:ascii="宋体" w:hAnsi="宋体" w:eastAsia="宋体" w:cs="宋体"/>
          <w:sz w:val="24"/>
          <w:szCs w:val="24"/>
        </w:rPr>
        <w:t>%。</w:t>
      </w:r>
    </w:p>
    <w:p w14:paraId="4CD7688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lang w:val="en-US" w:eastAsia="zh-CN"/>
        </w:rPr>
        <w:t>20.86</w:t>
      </w:r>
      <w:r>
        <w:rPr>
          <w:rFonts w:hint="eastAsia" w:ascii="宋体" w:hAnsi="宋体" w:eastAsia="宋体" w:cs="宋体"/>
          <w:sz w:val="24"/>
          <w:szCs w:val="24"/>
        </w:rPr>
        <w:t>%。</w:t>
      </w:r>
    </w:p>
    <w:p w14:paraId="272E121B">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4" w:name="_Toc68364673"/>
    </w:p>
    <w:p w14:paraId="2BDE6EC2">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六、主要经验及做法、存在的问题及原因分析</w:t>
      </w:r>
    </w:p>
    <w:p w14:paraId="6109B2D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sz w:val="24"/>
          <w:szCs w:val="24"/>
        </w:rPr>
        <w:t>（一）主要经验及做法</w:t>
      </w:r>
      <w:bookmarkEnd w:id="14"/>
    </w:p>
    <w:p w14:paraId="2DBB67F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加强沟通协调，我单位及时向领导汇报项目建设进度，加强与施工单位的沟通，确保项目按期完工。</w:t>
      </w:r>
    </w:p>
    <w:p w14:paraId="53211B9A">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bookmarkStart w:id="15" w:name="_Toc68364674"/>
      <w:r>
        <w:rPr>
          <w:rFonts w:hint="eastAsia" w:ascii="宋体" w:hAnsi="宋体" w:eastAsia="宋体" w:cs="宋体"/>
          <w:sz w:val="24"/>
          <w:szCs w:val="24"/>
        </w:rPr>
        <w:t>（二）存在问题及原因分析</w:t>
      </w:r>
      <w:bookmarkEnd w:id="15"/>
    </w:p>
    <w:p w14:paraId="445A3055">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sz w:val="24"/>
          <w:szCs w:val="24"/>
        </w:rPr>
      </w:pPr>
      <w:bookmarkStart w:id="16" w:name="_Toc68364675"/>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部门沟通协调不足，监督责任不明确。</w:t>
      </w:r>
    </w:p>
    <w:p w14:paraId="53135B57">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项目资金监督和管理需进一步完善。</w:t>
      </w:r>
    </w:p>
    <w:p w14:paraId="3B77A5F3">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现场评价的工作量少，后续效益评价具体措施和方法较少。</w:t>
      </w:r>
    </w:p>
    <w:p w14:paraId="5C332CBC">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6B492AA0">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val="0"/>
          <w:bCs w:val="0"/>
          <w:color w:val="FF0000"/>
          <w:sz w:val="24"/>
          <w:szCs w:val="24"/>
        </w:rPr>
      </w:pPr>
      <w:r>
        <w:rPr>
          <w:rFonts w:hint="eastAsia" w:ascii="黑体" w:hAnsi="黑体" w:eastAsia="黑体" w:cs="黑体"/>
          <w:sz w:val="24"/>
          <w:szCs w:val="24"/>
        </w:rPr>
        <w:t>七、有关建议</w:t>
      </w:r>
      <w:bookmarkEnd w:id="16"/>
    </w:p>
    <w:p w14:paraId="6C5ED7A1">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bookmarkStart w:id="17" w:name="_Toc68364676"/>
      <w:r>
        <w:rPr>
          <w:rFonts w:hint="eastAsia" w:ascii="宋体" w:hAnsi="宋体" w:eastAsia="宋体" w:cs="宋体"/>
          <w:sz w:val="24"/>
          <w:szCs w:val="24"/>
          <w:lang w:val="en-US" w:eastAsia="zh-CN"/>
        </w:rPr>
        <w:t>1.项目评价资料有待进一步完善。项目启动时同步做好档案的归纳与整理，及时整理、收集、汇总，健全档案资料。项目后续管理有待进一步加强和跟踪。</w:t>
      </w:r>
    </w:p>
    <w:p w14:paraId="2667E0BD">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2.通过绩效管理，发现实施中存在漏洞，以后加强管理，及时掌握与之相关的各类信息，减少成本，使资金效益最大化。</w:t>
      </w:r>
    </w:p>
    <w:p w14:paraId="2456388C">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3．评价工作应从项目实施方案源头抓起，评价工作和意识应贯穿项目整个过程。</w:t>
      </w:r>
    </w:p>
    <w:p w14:paraId="385AFF0F">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084DCD00">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八、其他需要说明的问题</w:t>
      </w:r>
      <w:bookmarkEnd w:id="17"/>
    </w:p>
    <w:p w14:paraId="60986AC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4204B5A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p>
    <w:p w14:paraId="7B3526BE">
      <w:pPr>
        <w:pageBreakBefore w:val="0"/>
        <w:widowControl w:val="0"/>
        <w:kinsoku/>
        <w:wordWrap/>
        <w:overflowPunct/>
        <w:topLinePunct w:val="0"/>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附件1：2024年村村通运行维护经费项目绩效评价指标体系</w:t>
      </w:r>
    </w:p>
    <w:p w14:paraId="722D01A2">
      <w:pPr>
        <w:pageBreakBefore w:val="0"/>
        <w:widowControl w:val="0"/>
        <w:kinsoku/>
        <w:wordWrap/>
        <w:overflowPunct/>
        <w:topLinePunct w:val="0"/>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附件2：2024年村村通运行维护经费项目综合得分表</w:t>
      </w:r>
    </w:p>
    <w:p w14:paraId="31B5EC90">
      <w:pPr>
        <w:pageBreakBefore w:val="0"/>
        <w:widowControl w:val="0"/>
        <w:kinsoku/>
        <w:wordWrap/>
        <w:overflowPunct/>
        <w:topLinePunct w:val="0"/>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附件3：广播电视基本公共服务满意度调查情况汇总表</w:t>
      </w:r>
    </w:p>
    <w:p w14:paraId="065D550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4C2844F9">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16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4"/>
        <w:gridCol w:w="569"/>
        <w:gridCol w:w="768"/>
        <w:gridCol w:w="549"/>
        <w:gridCol w:w="663"/>
        <w:gridCol w:w="549"/>
        <w:gridCol w:w="2645"/>
        <w:gridCol w:w="870"/>
        <w:gridCol w:w="4763"/>
        <w:gridCol w:w="897"/>
        <w:gridCol w:w="779"/>
      </w:tblGrid>
      <w:tr w14:paraId="7D34C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57" w:type="pct"/>
            <w:gridSpan w:val="3"/>
            <w:tcBorders>
              <w:top w:val="nil"/>
              <w:left w:val="nil"/>
              <w:bottom w:val="nil"/>
              <w:right w:val="nil"/>
            </w:tcBorders>
            <w:noWrap/>
            <w:vAlign w:val="center"/>
          </w:tcPr>
          <w:p w14:paraId="12461FE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c>
          <w:tcPr>
            <w:tcW w:w="199" w:type="pct"/>
            <w:tcBorders>
              <w:top w:val="nil"/>
              <w:left w:val="nil"/>
              <w:bottom w:val="nil"/>
              <w:right w:val="nil"/>
            </w:tcBorders>
            <w:noWrap/>
            <w:vAlign w:val="center"/>
          </w:tcPr>
          <w:p w14:paraId="5592761F">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40" w:type="pct"/>
            <w:tcBorders>
              <w:top w:val="nil"/>
              <w:left w:val="nil"/>
              <w:bottom w:val="nil"/>
              <w:right w:val="nil"/>
            </w:tcBorders>
            <w:noWrap/>
            <w:vAlign w:val="center"/>
          </w:tcPr>
          <w:p w14:paraId="3E4FB245">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199" w:type="pct"/>
            <w:tcBorders>
              <w:top w:val="nil"/>
              <w:left w:val="nil"/>
              <w:bottom w:val="nil"/>
              <w:right w:val="nil"/>
            </w:tcBorders>
            <w:noWrap/>
            <w:vAlign w:val="center"/>
          </w:tcPr>
          <w:p w14:paraId="4F404417">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958" w:type="pct"/>
            <w:tcBorders>
              <w:top w:val="nil"/>
              <w:left w:val="nil"/>
              <w:bottom w:val="nil"/>
              <w:right w:val="nil"/>
            </w:tcBorders>
            <w:noWrap/>
            <w:vAlign w:val="center"/>
          </w:tcPr>
          <w:p w14:paraId="65E690C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15" w:type="pct"/>
            <w:tcBorders>
              <w:top w:val="nil"/>
              <w:left w:val="nil"/>
              <w:bottom w:val="nil"/>
              <w:right w:val="nil"/>
            </w:tcBorders>
            <w:noWrap/>
            <w:vAlign w:val="center"/>
          </w:tcPr>
          <w:p w14:paraId="731AD36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1725" w:type="pct"/>
            <w:tcBorders>
              <w:top w:val="nil"/>
              <w:left w:val="nil"/>
              <w:bottom w:val="nil"/>
              <w:right w:val="nil"/>
            </w:tcBorders>
            <w:noWrap/>
            <w:vAlign w:val="center"/>
          </w:tcPr>
          <w:p w14:paraId="5AFCC28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325" w:type="pct"/>
            <w:tcBorders>
              <w:top w:val="nil"/>
              <w:left w:val="nil"/>
              <w:bottom w:val="nil"/>
              <w:right w:val="nil"/>
            </w:tcBorders>
            <w:noWrap/>
            <w:vAlign w:val="center"/>
          </w:tcPr>
          <w:p w14:paraId="1055672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77" w:type="pct"/>
            <w:tcBorders>
              <w:top w:val="nil"/>
              <w:left w:val="nil"/>
              <w:bottom w:val="nil"/>
              <w:right w:val="nil"/>
            </w:tcBorders>
            <w:noWrap/>
            <w:vAlign w:val="center"/>
          </w:tcPr>
          <w:p w14:paraId="0C5C794F">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r>
      <w:tr w14:paraId="0C651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2690B7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FF0000"/>
                <w:sz w:val="21"/>
                <w:szCs w:val="21"/>
                <w:u w:val="none"/>
              </w:rPr>
            </w:pPr>
            <w:r>
              <w:rPr>
                <w:rStyle w:val="59"/>
                <w:rFonts w:hint="eastAsia" w:ascii="宋体" w:hAnsi="宋体" w:eastAsia="宋体" w:cs="宋体"/>
                <w:i w:val="0"/>
                <w:iCs w:val="0"/>
                <w:sz w:val="21"/>
                <w:szCs w:val="21"/>
                <w:lang w:val="en-US" w:eastAsia="zh-CN"/>
              </w:rPr>
              <w:t>2024年村村通运行维护经费项目</w:t>
            </w:r>
            <w:r>
              <w:rPr>
                <w:rStyle w:val="59"/>
                <w:rFonts w:hint="eastAsia" w:ascii="宋体" w:hAnsi="宋体" w:eastAsia="宋体" w:cs="宋体"/>
                <w:sz w:val="21"/>
                <w:szCs w:val="21"/>
                <w:lang w:val="en-US" w:eastAsia="zh-CN"/>
              </w:rPr>
              <w:t>绩效评价指标体系综合评分表</w:t>
            </w:r>
          </w:p>
        </w:tc>
      </w:tr>
      <w:tr w14:paraId="402DA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73" w:type="pct"/>
            <w:tcBorders>
              <w:top w:val="single" w:color="auto" w:sz="4" w:space="0"/>
              <w:left w:val="single" w:color="auto" w:sz="4" w:space="0"/>
              <w:bottom w:val="single" w:color="auto" w:sz="4" w:space="0"/>
              <w:right w:val="single" w:color="auto" w:sz="4" w:space="0"/>
            </w:tcBorders>
            <w:noWrap w:val="0"/>
            <w:vAlign w:val="center"/>
          </w:tcPr>
          <w:p w14:paraId="7F3664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236066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6C21F9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3BA706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0DD080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046B9D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79C097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02E9BD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2E98B9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543C37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42EFC1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2217A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9" w:hRule="atLeast"/>
        </w:trPr>
        <w:tc>
          <w:tcPr>
            <w:tcW w:w="273" w:type="pct"/>
            <w:vMerge w:val="restart"/>
            <w:tcBorders>
              <w:top w:val="single" w:color="auto" w:sz="4" w:space="0"/>
              <w:left w:val="single" w:color="auto" w:sz="4" w:space="0"/>
              <w:bottom w:val="single" w:color="auto" w:sz="4" w:space="0"/>
              <w:right w:val="single" w:color="auto" w:sz="4" w:space="0"/>
            </w:tcBorders>
            <w:noWrap w:val="0"/>
            <w:vAlign w:val="center"/>
          </w:tcPr>
          <w:p w14:paraId="5F1232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206" w:type="pct"/>
            <w:vMerge w:val="restart"/>
            <w:tcBorders>
              <w:top w:val="single" w:color="auto" w:sz="4" w:space="0"/>
              <w:left w:val="single" w:color="auto" w:sz="4" w:space="0"/>
              <w:bottom w:val="single" w:color="auto" w:sz="4" w:space="0"/>
              <w:right w:val="single" w:color="auto" w:sz="4" w:space="0"/>
            </w:tcBorders>
            <w:noWrap w:val="0"/>
            <w:vAlign w:val="center"/>
          </w:tcPr>
          <w:p w14:paraId="4561AC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2A3C3A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5FB1A9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42754A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5F95F6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14101A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623DF4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6650F3A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099619C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4CFEA18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7C181DE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77D3C3E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0775AC9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7E3EF0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08BFBE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41EB7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38CA1F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3361A5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196FA1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4A2CCB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0" w:type="pct"/>
            <w:tcBorders>
              <w:top w:val="single" w:color="auto" w:sz="4" w:space="0"/>
              <w:left w:val="single" w:color="auto" w:sz="4" w:space="0"/>
              <w:bottom w:val="single" w:color="auto" w:sz="4" w:space="0"/>
              <w:right w:val="single" w:color="auto" w:sz="4" w:space="0"/>
            </w:tcBorders>
            <w:noWrap w:val="0"/>
            <w:vAlign w:val="center"/>
          </w:tcPr>
          <w:p w14:paraId="452A4A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54B07B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4791A8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4CE1DC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39C1ED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72080E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14D71C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792614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778BDA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12B29E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47235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07FA0A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456CD5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5E413A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5E924D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65C753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05BB50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5B23D8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347D47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25785A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3AEA0C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04A3F3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3A8DDD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3508E7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620290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7069CC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8287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360980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64E0E7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0FCE68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72A44A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0" w:type="pct"/>
            <w:tcBorders>
              <w:top w:val="single" w:color="auto" w:sz="4" w:space="0"/>
              <w:left w:val="single" w:color="auto" w:sz="4" w:space="0"/>
              <w:bottom w:val="single" w:color="auto" w:sz="4" w:space="0"/>
              <w:right w:val="single" w:color="auto" w:sz="4" w:space="0"/>
            </w:tcBorders>
            <w:noWrap w:val="0"/>
            <w:vAlign w:val="center"/>
          </w:tcPr>
          <w:p w14:paraId="48B892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185154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114E3B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792D89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0C5856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4B722A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552A8F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7375A7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2475B5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5C15A7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562D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19467E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0D0DB1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4219DB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0EC96B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412DAA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66AD71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22BB36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58041D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5C73F4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16C34D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78AEC4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4101B6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57A29E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44CF24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12AD7F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6DBFA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3A86E6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2DDDBB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65B2C1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569781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0" w:type="pct"/>
            <w:tcBorders>
              <w:top w:val="single" w:color="auto" w:sz="4" w:space="0"/>
              <w:left w:val="single" w:color="auto" w:sz="4" w:space="0"/>
              <w:bottom w:val="single" w:color="auto" w:sz="4" w:space="0"/>
              <w:right w:val="single" w:color="auto" w:sz="4" w:space="0"/>
            </w:tcBorders>
            <w:noWrap w:val="0"/>
            <w:vAlign w:val="center"/>
          </w:tcPr>
          <w:p w14:paraId="3BF371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1CDAB2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50174E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02D652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797727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3697B1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114809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712CD2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6E6CD9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46B58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273" w:type="pct"/>
            <w:vMerge w:val="restart"/>
            <w:tcBorders>
              <w:top w:val="single" w:color="auto" w:sz="4" w:space="0"/>
              <w:left w:val="single" w:color="auto" w:sz="4" w:space="0"/>
              <w:bottom w:val="single" w:color="auto" w:sz="4" w:space="0"/>
              <w:right w:val="single" w:color="auto" w:sz="4" w:space="0"/>
            </w:tcBorders>
            <w:noWrap w:val="0"/>
            <w:vAlign w:val="center"/>
          </w:tcPr>
          <w:p w14:paraId="780368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206" w:type="pct"/>
            <w:vMerge w:val="restart"/>
            <w:tcBorders>
              <w:top w:val="single" w:color="auto" w:sz="4" w:space="0"/>
              <w:left w:val="single" w:color="auto" w:sz="4" w:space="0"/>
              <w:bottom w:val="single" w:color="auto" w:sz="4" w:space="0"/>
              <w:right w:val="single" w:color="auto" w:sz="4" w:space="0"/>
            </w:tcBorders>
            <w:noWrap w:val="0"/>
            <w:vAlign w:val="center"/>
          </w:tcPr>
          <w:p w14:paraId="731665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0049A7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69E894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0E4D56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20D3DA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499787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24BB73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138D2E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0A4FDF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28B3AD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5735DF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r>
      <w:tr w14:paraId="2993A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5D2F15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2D5E28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3ED2E2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366A5F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0" w:type="pct"/>
            <w:tcBorders>
              <w:top w:val="single" w:color="auto" w:sz="4" w:space="0"/>
              <w:left w:val="single" w:color="auto" w:sz="4" w:space="0"/>
              <w:bottom w:val="single" w:color="auto" w:sz="4" w:space="0"/>
              <w:right w:val="single" w:color="auto" w:sz="4" w:space="0"/>
            </w:tcBorders>
            <w:noWrap w:val="0"/>
            <w:vAlign w:val="center"/>
          </w:tcPr>
          <w:p w14:paraId="0641B5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6D56F5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278B22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021432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234F1C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4A6642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49CCF2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68.49%</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0A7D33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1.37</w:t>
            </w:r>
          </w:p>
        </w:tc>
      </w:tr>
      <w:tr w14:paraId="167DC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3D91FB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440440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5C06E0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6C040E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0" w:type="pct"/>
            <w:tcBorders>
              <w:top w:val="single" w:color="auto" w:sz="4" w:space="0"/>
              <w:left w:val="single" w:color="auto" w:sz="4" w:space="0"/>
              <w:bottom w:val="single" w:color="auto" w:sz="4" w:space="0"/>
              <w:right w:val="single" w:color="auto" w:sz="4" w:space="0"/>
            </w:tcBorders>
            <w:noWrap w:val="0"/>
            <w:vAlign w:val="center"/>
          </w:tcPr>
          <w:p w14:paraId="36FCFF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3A6B30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706C80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6E0CA3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5A8833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31581D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1A3CDE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517D60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013D52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0BF9A8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3D6441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2E6A8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751FE9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645FBB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33F537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0C7F95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54DC0E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52CD2F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740407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69EEF1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6CDC24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16DCEB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56D472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2B6A99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5DC33A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32A03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028550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11D3D9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7B2D37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2FC3C0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0" w:type="pct"/>
            <w:tcBorders>
              <w:top w:val="single" w:color="auto" w:sz="4" w:space="0"/>
              <w:left w:val="single" w:color="auto" w:sz="4" w:space="0"/>
              <w:bottom w:val="single" w:color="auto" w:sz="4" w:space="0"/>
              <w:right w:val="single" w:color="auto" w:sz="4" w:space="0"/>
            </w:tcBorders>
            <w:noWrap w:val="0"/>
            <w:vAlign w:val="center"/>
          </w:tcPr>
          <w:p w14:paraId="309031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152D1C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0BD35B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745B2A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170E00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09C112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3BFA4D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3DA4CD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13458A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3DCB13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3214B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73" w:type="pct"/>
            <w:vMerge w:val="restart"/>
            <w:tcBorders>
              <w:top w:val="single" w:color="auto" w:sz="4" w:space="0"/>
              <w:left w:val="single" w:color="auto" w:sz="4" w:space="0"/>
              <w:right w:val="single" w:color="auto" w:sz="4" w:space="0"/>
            </w:tcBorders>
            <w:noWrap w:val="0"/>
            <w:vAlign w:val="center"/>
          </w:tcPr>
          <w:p w14:paraId="75A7988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206" w:type="pct"/>
            <w:vMerge w:val="restart"/>
            <w:tcBorders>
              <w:top w:val="single" w:color="auto" w:sz="4" w:space="0"/>
              <w:left w:val="single" w:color="auto" w:sz="4" w:space="0"/>
              <w:right w:val="single" w:color="auto" w:sz="4" w:space="0"/>
            </w:tcBorders>
            <w:noWrap w:val="0"/>
            <w:vAlign w:val="center"/>
          </w:tcPr>
          <w:p w14:paraId="3698598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35</w:t>
            </w:r>
          </w:p>
        </w:tc>
        <w:tc>
          <w:tcPr>
            <w:tcW w:w="277" w:type="pct"/>
            <w:vMerge w:val="restart"/>
            <w:tcBorders>
              <w:top w:val="single" w:color="auto" w:sz="4" w:space="0"/>
              <w:left w:val="single" w:color="auto" w:sz="4" w:space="0"/>
              <w:right w:val="single" w:color="auto" w:sz="4" w:space="0"/>
            </w:tcBorders>
            <w:noWrap w:val="0"/>
            <w:vAlign w:val="center"/>
          </w:tcPr>
          <w:p w14:paraId="2818FBE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199" w:type="pct"/>
            <w:vMerge w:val="restart"/>
            <w:tcBorders>
              <w:top w:val="single" w:color="auto" w:sz="4" w:space="0"/>
              <w:left w:val="single" w:color="auto" w:sz="4" w:space="0"/>
              <w:right w:val="single" w:color="auto" w:sz="4" w:space="0"/>
            </w:tcBorders>
            <w:noWrap w:val="0"/>
            <w:vAlign w:val="center"/>
          </w:tcPr>
          <w:p w14:paraId="390E8C4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0" w:type="pct"/>
            <w:vMerge w:val="restart"/>
            <w:tcBorders>
              <w:top w:val="single" w:color="auto" w:sz="4" w:space="0"/>
              <w:left w:val="single" w:color="auto" w:sz="4" w:space="0"/>
              <w:right w:val="single" w:color="auto" w:sz="4" w:space="0"/>
            </w:tcBorders>
            <w:noWrap w:val="0"/>
            <w:vAlign w:val="center"/>
          </w:tcPr>
          <w:p w14:paraId="700FCC5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199" w:type="pct"/>
            <w:vMerge w:val="restart"/>
            <w:tcBorders>
              <w:top w:val="single" w:color="auto" w:sz="4" w:space="0"/>
              <w:left w:val="single" w:color="auto" w:sz="4" w:space="0"/>
              <w:right w:val="single" w:color="auto" w:sz="4" w:space="0"/>
            </w:tcBorders>
            <w:noWrap w:val="0"/>
            <w:vAlign w:val="center"/>
          </w:tcPr>
          <w:p w14:paraId="7FDF5F75">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07CA310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发射机维护数量</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2EE9C24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≥1部</w:t>
            </w:r>
          </w:p>
        </w:tc>
        <w:tc>
          <w:tcPr>
            <w:tcW w:w="1725" w:type="pct"/>
            <w:vMerge w:val="restart"/>
            <w:tcBorders>
              <w:top w:val="single" w:color="auto" w:sz="4" w:space="0"/>
              <w:left w:val="single" w:color="auto" w:sz="4" w:space="0"/>
              <w:right w:val="single" w:color="auto" w:sz="4" w:space="0"/>
            </w:tcBorders>
            <w:noWrap w:val="0"/>
            <w:vAlign w:val="center"/>
          </w:tcPr>
          <w:p w14:paraId="318984F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实际完成率=（实际完成/预期完成）×100%。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①实际完成率≥100%，且偏离程度＜20%，得满分；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②实际完成率≥100%，偏离程度≥20%，得0分；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③实际完成率×100%＜100%，得分=实际完成率×指标分值。</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7727642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1部</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599D4238">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1DBB7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73" w:type="pct"/>
            <w:vMerge w:val="continue"/>
            <w:tcBorders>
              <w:left w:val="single" w:color="auto" w:sz="4" w:space="0"/>
              <w:bottom w:val="single" w:color="auto" w:sz="4" w:space="0"/>
              <w:right w:val="single" w:color="auto" w:sz="4" w:space="0"/>
            </w:tcBorders>
            <w:noWrap w:val="0"/>
            <w:vAlign w:val="center"/>
          </w:tcPr>
          <w:p w14:paraId="35D8224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206" w:type="pct"/>
            <w:vMerge w:val="continue"/>
            <w:tcBorders>
              <w:left w:val="single" w:color="auto" w:sz="4" w:space="0"/>
              <w:bottom w:val="single" w:color="auto" w:sz="4" w:space="0"/>
              <w:right w:val="single" w:color="auto" w:sz="4" w:space="0"/>
            </w:tcBorders>
            <w:noWrap w:val="0"/>
            <w:vAlign w:val="center"/>
          </w:tcPr>
          <w:p w14:paraId="3C7FD524">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277" w:type="pct"/>
            <w:vMerge w:val="continue"/>
            <w:tcBorders>
              <w:left w:val="single" w:color="auto" w:sz="4" w:space="0"/>
              <w:bottom w:val="single" w:color="auto" w:sz="4" w:space="0"/>
              <w:right w:val="single" w:color="auto" w:sz="4" w:space="0"/>
            </w:tcBorders>
            <w:noWrap w:val="0"/>
            <w:vAlign w:val="center"/>
          </w:tcPr>
          <w:p w14:paraId="6580583E">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052BDEC5">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240" w:type="pct"/>
            <w:vMerge w:val="continue"/>
            <w:tcBorders>
              <w:left w:val="single" w:color="auto" w:sz="4" w:space="0"/>
              <w:bottom w:val="single" w:color="auto" w:sz="4" w:space="0"/>
              <w:right w:val="single" w:color="auto" w:sz="4" w:space="0"/>
            </w:tcBorders>
            <w:noWrap w:val="0"/>
            <w:vAlign w:val="center"/>
          </w:tcPr>
          <w:p w14:paraId="209D0BD2">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62481E06">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958" w:type="pct"/>
            <w:tcBorders>
              <w:top w:val="single" w:color="auto" w:sz="4" w:space="0"/>
              <w:left w:val="single" w:color="auto" w:sz="4" w:space="0"/>
              <w:bottom w:val="single" w:color="auto" w:sz="4" w:space="0"/>
              <w:right w:val="single" w:color="auto" w:sz="4" w:space="0"/>
            </w:tcBorders>
            <w:noWrap w:val="0"/>
            <w:vAlign w:val="center"/>
          </w:tcPr>
          <w:p w14:paraId="45DA9E9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购置村村通、大喇叭材料数量</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59CA2F7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≥1批</w:t>
            </w:r>
          </w:p>
        </w:tc>
        <w:tc>
          <w:tcPr>
            <w:tcW w:w="1725" w:type="pct"/>
            <w:vMerge w:val="continue"/>
            <w:tcBorders>
              <w:left w:val="single" w:color="auto" w:sz="4" w:space="0"/>
              <w:bottom w:val="single" w:color="auto" w:sz="4" w:space="0"/>
              <w:right w:val="single" w:color="auto" w:sz="4" w:space="0"/>
            </w:tcBorders>
            <w:noWrap w:val="0"/>
            <w:vAlign w:val="center"/>
          </w:tcPr>
          <w:p w14:paraId="12A44CCF">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rPr>
            </w:pPr>
          </w:p>
        </w:tc>
        <w:tc>
          <w:tcPr>
            <w:tcW w:w="325" w:type="pct"/>
            <w:tcBorders>
              <w:top w:val="single" w:color="auto" w:sz="4" w:space="0"/>
              <w:left w:val="single" w:color="auto" w:sz="4" w:space="0"/>
              <w:bottom w:val="single" w:color="auto" w:sz="4" w:space="0"/>
              <w:right w:val="single" w:color="auto" w:sz="4" w:space="0"/>
            </w:tcBorders>
            <w:noWrap w:val="0"/>
            <w:vAlign w:val="center"/>
          </w:tcPr>
          <w:p w14:paraId="6350D0F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1批</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2F5B616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7AFDA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0C9B822C">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2A2A484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tcBorders>
              <w:top w:val="single" w:color="auto" w:sz="4" w:space="0"/>
              <w:left w:val="single" w:color="auto" w:sz="4" w:space="0"/>
              <w:bottom w:val="single" w:color="auto" w:sz="4" w:space="0"/>
              <w:right w:val="single" w:color="auto" w:sz="4" w:space="0"/>
            </w:tcBorders>
            <w:noWrap w:val="0"/>
            <w:vAlign w:val="center"/>
          </w:tcPr>
          <w:p w14:paraId="4716E37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76B90B3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2A838A8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65D4B525">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5037969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资金使用合规率</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682EE19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1725" w:type="pct"/>
            <w:tcBorders>
              <w:top w:val="single" w:color="auto" w:sz="4" w:space="0"/>
              <w:left w:val="single" w:color="auto" w:sz="4" w:space="0"/>
              <w:right w:val="single" w:color="auto" w:sz="4" w:space="0"/>
            </w:tcBorders>
            <w:noWrap w:val="0"/>
            <w:vAlign w:val="center"/>
          </w:tcPr>
          <w:p w14:paraId="6338C79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p w14:paraId="44880AE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7108518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3E56B3D7">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4030C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4B13B0AE">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7110B65A">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right w:val="single" w:color="auto" w:sz="4" w:space="0"/>
            </w:tcBorders>
            <w:noWrap w:val="0"/>
            <w:vAlign w:val="center"/>
          </w:tcPr>
          <w:p w14:paraId="0C050A1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199" w:type="pct"/>
            <w:vMerge w:val="restart"/>
            <w:tcBorders>
              <w:top w:val="single" w:color="auto" w:sz="4" w:space="0"/>
              <w:left w:val="single" w:color="auto" w:sz="4" w:space="0"/>
              <w:right w:val="single" w:color="auto" w:sz="4" w:space="0"/>
            </w:tcBorders>
            <w:noWrap w:val="0"/>
            <w:vAlign w:val="center"/>
          </w:tcPr>
          <w:p w14:paraId="11EAAEE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0" w:type="pct"/>
            <w:vMerge w:val="restart"/>
            <w:tcBorders>
              <w:top w:val="single" w:color="auto" w:sz="4" w:space="0"/>
              <w:left w:val="single" w:color="auto" w:sz="4" w:space="0"/>
              <w:right w:val="single" w:color="auto" w:sz="4" w:space="0"/>
            </w:tcBorders>
            <w:noWrap w:val="0"/>
            <w:vAlign w:val="center"/>
          </w:tcPr>
          <w:p w14:paraId="4B204D4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199" w:type="pct"/>
            <w:vMerge w:val="restart"/>
            <w:tcBorders>
              <w:top w:val="single" w:color="auto" w:sz="4" w:space="0"/>
              <w:left w:val="single" w:color="auto" w:sz="4" w:space="0"/>
              <w:right w:val="single" w:color="auto" w:sz="4" w:space="0"/>
            </w:tcBorders>
            <w:noWrap w:val="0"/>
            <w:vAlign w:val="center"/>
          </w:tcPr>
          <w:p w14:paraId="716290CA">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378A773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资金支付及时率</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1FBD710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1725" w:type="pct"/>
            <w:vMerge w:val="restart"/>
            <w:tcBorders>
              <w:top w:val="single" w:color="auto" w:sz="4" w:space="0"/>
              <w:left w:val="single" w:color="auto" w:sz="4" w:space="0"/>
              <w:right w:val="single" w:color="auto" w:sz="4" w:space="0"/>
            </w:tcBorders>
            <w:noWrap w:val="0"/>
            <w:vAlign w:val="center"/>
          </w:tcPr>
          <w:p w14:paraId="086664C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p w14:paraId="5B71478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5EDE713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5864414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1A72F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3" w:type="pct"/>
            <w:vMerge w:val="continue"/>
            <w:tcBorders>
              <w:left w:val="single" w:color="auto" w:sz="4" w:space="0"/>
              <w:bottom w:val="single" w:color="auto" w:sz="4" w:space="0"/>
              <w:right w:val="single" w:color="auto" w:sz="4" w:space="0"/>
            </w:tcBorders>
            <w:noWrap w:val="0"/>
            <w:vAlign w:val="center"/>
          </w:tcPr>
          <w:p w14:paraId="551CAABE">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206" w:type="pct"/>
            <w:vMerge w:val="continue"/>
            <w:tcBorders>
              <w:left w:val="single" w:color="auto" w:sz="4" w:space="0"/>
              <w:bottom w:val="single" w:color="auto" w:sz="4" w:space="0"/>
              <w:right w:val="single" w:color="auto" w:sz="4" w:space="0"/>
            </w:tcBorders>
            <w:noWrap w:val="0"/>
            <w:vAlign w:val="center"/>
          </w:tcPr>
          <w:p w14:paraId="184E965F">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277" w:type="pct"/>
            <w:vMerge w:val="continue"/>
            <w:tcBorders>
              <w:left w:val="single" w:color="auto" w:sz="4" w:space="0"/>
              <w:bottom w:val="single" w:color="auto" w:sz="4" w:space="0"/>
              <w:right w:val="single" w:color="auto" w:sz="4" w:space="0"/>
            </w:tcBorders>
            <w:noWrap w:val="0"/>
            <w:vAlign w:val="center"/>
          </w:tcPr>
          <w:p w14:paraId="54750B06">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5869AF67">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240" w:type="pct"/>
            <w:vMerge w:val="continue"/>
            <w:tcBorders>
              <w:left w:val="single" w:color="auto" w:sz="4" w:space="0"/>
              <w:bottom w:val="single" w:color="auto" w:sz="4" w:space="0"/>
              <w:right w:val="single" w:color="auto" w:sz="4" w:space="0"/>
            </w:tcBorders>
            <w:noWrap w:val="0"/>
            <w:vAlign w:val="center"/>
          </w:tcPr>
          <w:p w14:paraId="0A99C567">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789A2D0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958" w:type="pct"/>
            <w:tcBorders>
              <w:top w:val="single" w:color="auto" w:sz="4" w:space="0"/>
              <w:left w:val="single" w:color="auto" w:sz="4" w:space="0"/>
              <w:bottom w:val="single" w:color="auto" w:sz="4" w:space="0"/>
              <w:right w:val="single" w:color="auto" w:sz="4" w:space="0"/>
            </w:tcBorders>
            <w:noWrap w:val="0"/>
            <w:vAlign w:val="center"/>
          </w:tcPr>
          <w:p w14:paraId="221AD80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项目完成时间</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5DD2F24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2024年12月31日</w:t>
            </w:r>
          </w:p>
        </w:tc>
        <w:tc>
          <w:tcPr>
            <w:tcW w:w="1725" w:type="pct"/>
            <w:vMerge w:val="continue"/>
            <w:tcBorders>
              <w:left w:val="single" w:color="auto" w:sz="4" w:space="0"/>
              <w:right w:val="single" w:color="auto" w:sz="4" w:space="0"/>
            </w:tcBorders>
            <w:noWrap w:val="0"/>
            <w:vAlign w:val="center"/>
          </w:tcPr>
          <w:p w14:paraId="5AB8E799">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kern w:val="0"/>
                <w:sz w:val="21"/>
                <w:szCs w:val="21"/>
                <w:u w:val="none"/>
                <w:lang w:val="en-US" w:eastAsia="zh-CN"/>
              </w:rPr>
            </w:pPr>
          </w:p>
        </w:tc>
        <w:tc>
          <w:tcPr>
            <w:tcW w:w="325" w:type="pct"/>
            <w:tcBorders>
              <w:top w:val="single" w:color="auto" w:sz="4" w:space="0"/>
              <w:left w:val="single" w:color="auto" w:sz="4" w:space="0"/>
              <w:bottom w:val="single" w:color="auto" w:sz="4" w:space="0"/>
              <w:right w:val="single" w:color="auto" w:sz="4" w:space="0"/>
            </w:tcBorders>
            <w:noWrap w:val="0"/>
            <w:vAlign w:val="center"/>
          </w:tcPr>
          <w:p w14:paraId="0E1AE81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2024年12月31日</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4F64F84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5</w:t>
            </w:r>
          </w:p>
        </w:tc>
      </w:tr>
      <w:tr w14:paraId="5FCD9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10E8663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650917DF">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right w:val="single" w:color="auto" w:sz="4" w:space="0"/>
            </w:tcBorders>
            <w:noWrap w:val="0"/>
            <w:vAlign w:val="center"/>
          </w:tcPr>
          <w:p w14:paraId="42637D3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199" w:type="pct"/>
            <w:vMerge w:val="restart"/>
            <w:tcBorders>
              <w:top w:val="single" w:color="auto" w:sz="4" w:space="0"/>
              <w:left w:val="single" w:color="auto" w:sz="4" w:space="0"/>
              <w:right w:val="single" w:color="auto" w:sz="4" w:space="0"/>
            </w:tcBorders>
            <w:noWrap w:val="0"/>
            <w:vAlign w:val="center"/>
          </w:tcPr>
          <w:p w14:paraId="39B478D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0" w:type="pct"/>
            <w:vMerge w:val="restart"/>
            <w:tcBorders>
              <w:top w:val="single" w:color="auto" w:sz="4" w:space="0"/>
              <w:left w:val="single" w:color="auto" w:sz="4" w:space="0"/>
              <w:right w:val="single" w:color="auto" w:sz="4" w:space="0"/>
            </w:tcBorders>
            <w:noWrap w:val="0"/>
            <w:vAlign w:val="center"/>
          </w:tcPr>
          <w:p w14:paraId="55D3BAC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199" w:type="pct"/>
            <w:vMerge w:val="restart"/>
            <w:tcBorders>
              <w:top w:val="single" w:color="auto" w:sz="4" w:space="0"/>
              <w:left w:val="single" w:color="auto" w:sz="4" w:space="0"/>
              <w:right w:val="single" w:color="auto" w:sz="4" w:space="0"/>
            </w:tcBorders>
            <w:noWrap w:val="0"/>
            <w:vAlign w:val="center"/>
          </w:tcPr>
          <w:p w14:paraId="7047644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21BEA10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村村通运行维护费</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04B29F9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≤89万元</w:t>
            </w:r>
          </w:p>
        </w:tc>
        <w:tc>
          <w:tcPr>
            <w:tcW w:w="1725" w:type="pct"/>
            <w:vMerge w:val="restart"/>
            <w:tcBorders>
              <w:top w:val="single" w:color="auto" w:sz="4" w:space="0"/>
              <w:left w:val="single" w:color="auto" w:sz="4" w:space="0"/>
              <w:right w:val="single" w:color="auto" w:sz="4" w:space="0"/>
            </w:tcBorders>
            <w:noWrap w:val="0"/>
            <w:vAlign w:val="center"/>
          </w:tcPr>
          <w:p w14:paraId="4A7D7E1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①实际完成率＞年度指标值，得0得分；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②实际完成率≤年度指标值，且偏离程度＜20%，得满分；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5939C20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60.55万元</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1CCD9C6A">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0</w:t>
            </w:r>
          </w:p>
        </w:tc>
      </w:tr>
      <w:tr w14:paraId="07833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trPr>
        <w:tc>
          <w:tcPr>
            <w:tcW w:w="273" w:type="pct"/>
            <w:vMerge w:val="continue"/>
            <w:tcBorders>
              <w:left w:val="single" w:color="auto" w:sz="4" w:space="0"/>
              <w:bottom w:val="single" w:color="auto" w:sz="4" w:space="0"/>
              <w:right w:val="single" w:color="auto" w:sz="4" w:space="0"/>
            </w:tcBorders>
            <w:noWrap w:val="0"/>
            <w:vAlign w:val="center"/>
          </w:tcPr>
          <w:p w14:paraId="5DADF363">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206" w:type="pct"/>
            <w:vMerge w:val="continue"/>
            <w:tcBorders>
              <w:left w:val="single" w:color="auto" w:sz="4" w:space="0"/>
              <w:bottom w:val="single" w:color="auto" w:sz="4" w:space="0"/>
              <w:right w:val="single" w:color="auto" w:sz="4" w:space="0"/>
            </w:tcBorders>
            <w:noWrap w:val="0"/>
            <w:vAlign w:val="center"/>
          </w:tcPr>
          <w:p w14:paraId="2FBBF8CF">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277" w:type="pct"/>
            <w:vMerge w:val="continue"/>
            <w:tcBorders>
              <w:left w:val="single" w:color="auto" w:sz="4" w:space="0"/>
              <w:bottom w:val="single" w:color="auto" w:sz="4" w:space="0"/>
              <w:right w:val="single" w:color="auto" w:sz="4" w:space="0"/>
            </w:tcBorders>
            <w:noWrap w:val="0"/>
            <w:vAlign w:val="center"/>
          </w:tcPr>
          <w:p w14:paraId="5776531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02C50E4F">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240" w:type="pct"/>
            <w:vMerge w:val="continue"/>
            <w:tcBorders>
              <w:left w:val="single" w:color="auto" w:sz="4" w:space="0"/>
              <w:bottom w:val="single" w:color="auto" w:sz="4" w:space="0"/>
              <w:right w:val="single" w:color="auto" w:sz="4" w:space="0"/>
            </w:tcBorders>
            <w:noWrap w:val="0"/>
            <w:vAlign w:val="center"/>
          </w:tcPr>
          <w:p w14:paraId="1B653F46">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56A2224A">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pPr>
          </w:p>
        </w:tc>
        <w:tc>
          <w:tcPr>
            <w:tcW w:w="958" w:type="pct"/>
            <w:tcBorders>
              <w:top w:val="single" w:color="auto" w:sz="4" w:space="0"/>
              <w:left w:val="single" w:color="auto" w:sz="4" w:space="0"/>
              <w:bottom w:val="single" w:color="auto" w:sz="4" w:space="0"/>
              <w:right w:val="single" w:color="auto" w:sz="4" w:space="0"/>
            </w:tcBorders>
            <w:noWrap w:val="0"/>
            <w:vAlign w:val="center"/>
          </w:tcPr>
          <w:p w14:paraId="340E75C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地县台站运维费</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0E04813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≤1.28万元</w:t>
            </w:r>
          </w:p>
        </w:tc>
        <w:tc>
          <w:tcPr>
            <w:tcW w:w="1725" w:type="pct"/>
            <w:vMerge w:val="continue"/>
            <w:tcBorders>
              <w:left w:val="single" w:color="auto" w:sz="4" w:space="0"/>
              <w:bottom w:val="single" w:color="auto" w:sz="4" w:space="0"/>
              <w:right w:val="single" w:color="auto" w:sz="4" w:space="0"/>
            </w:tcBorders>
            <w:noWrap w:val="0"/>
            <w:vAlign w:val="center"/>
          </w:tcPr>
          <w:p w14:paraId="28637E6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25" w:type="pct"/>
            <w:tcBorders>
              <w:top w:val="single" w:color="auto" w:sz="4" w:space="0"/>
              <w:left w:val="single" w:color="auto" w:sz="4" w:space="0"/>
              <w:bottom w:val="single" w:color="auto" w:sz="4" w:space="0"/>
              <w:right w:val="single" w:color="auto" w:sz="4" w:space="0"/>
            </w:tcBorders>
            <w:noWrap w:val="0"/>
            <w:vAlign w:val="center"/>
          </w:tcPr>
          <w:p w14:paraId="1C29F2F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1.28万元</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68A2118A">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00C92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273" w:type="pct"/>
            <w:vMerge w:val="restart"/>
            <w:tcBorders>
              <w:top w:val="single" w:color="auto" w:sz="4" w:space="0"/>
              <w:left w:val="single" w:color="auto" w:sz="4" w:space="0"/>
              <w:bottom w:val="single" w:color="auto" w:sz="4" w:space="0"/>
              <w:right w:val="single" w:color="auto" w:sz="4" w:space="0"/>
            </w:tcBorders>
            <w:noWrap w:val="0"/>
            <w:vAlign w:val="center"/>
          </w:tcPr>
          <w:p w14:paraId="049A016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06" w:type="pct"/>
            <w:vMerge w:val="restart"/>
            <w:tcBorders>
              <w:top w:val="single" w:color="auto" w:sz="4" w:space="0"/>
              <w:left w:val="single" w:color="auto" w:sz="4" w:space="0"/>
              <w:bottom w:val="single" w:color="auto" w:sz="4" w:space="0"/>
              <w:right w:val="single" w:color="auto" w:sz="4" w:space="0"/>
            </w:tcBorders>
            <w:noWrap w:val="0"/>
            <w:vAlign w:val="center"/>
          </w:tcPr>
          <w:p w14:paraId="51041B8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30</w:t>
            </w: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28C0905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0FE01F2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30</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1023EAB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5D57D28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20</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3C8156AC">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丰富人民群众精神文化生活</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1ADA3A5C">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效果显著</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73D81E9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1471A00A">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效果显著</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61FB5D99">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r>
      <w:tr w14:paraId="4C84D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73" w:type="pct"/>
            <w:vMerge w:val="continue"/>
            <w:tcBorders>
              <w:top w:val="single" w:color="auto" w:sz="4" w:space="0"/>
              <w:left w:val="single" w:color="auto" w:sz="4" w:space="0"/>
              <w:bottom w:val="single" w:color="auto" w:sz="4" w:space="0"/>
              <w:right w:val="single" w:color="auto" w:sz="4" w:space="0"/>
            </w:tcBorders>
            <w:noWrap w:val="0"/>
            <w:vAlign w:val="center"/>
          </w:tcPr>
          <w:p w14:paraId="3CB2EABC">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717E4198">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06F48E3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3B552B65">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0" w:type="pct"/>
            <w:tcBorders>
              <w:top w:val="single" w:color="auto" w:sz="4" w:space="0"/>
              <w:left w:val="single" w:color="auto" w:sz="4" w:space="0"/>
              <w:bottom w:val="single" w:color="auto" w:sz="4" w:space="0"/>
              <w:right w:val="single" w:color="auto" w:sz="4" w:space="0"/>
            </w:tcBorders>
            <w:noWrap w:val="0"/>
            <w:vAlign w:val="center"/>
          </w:tcPr>
          <w:p w14:paraId="14B7A98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598BAF4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3FE4591E">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听众和观众满意度</w:t>
            </w:r>
          </w:p>
        </w:tc>
        <w:tc>
          <w:tcPr>
            <w:tcW w:w="315" w:type="pct"/>
            <w:tcBorders>
              <w:top w:val="single" w:color="auto" w:sz="4" w:space="0"/>
              <w:left w:val="single" w:color="auto" w:sz="4" w:space="0"/>
              <w:bottom w:val="single" w:color="auto" w:sz="4" w:space="0"/>
              <w:right w:val="single" w:color="auto" w:sz="4" w:space="0"/>
            </w:tcBorders>
            <w:noWrap w:val="0"/>
            <w:vAlign w:val="center"/>
          </w:tcPr>
          <w:p w14:paraId="48B9C7E5">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≥95%</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1ED4F94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325" w:type="pct"/>
            <w:tcBorders>
              <w:top w:val="single" w:color="auto" w:sz="4" w:space="0"/>
              <w:left w:val="single" w:color="auto" w:sz="4" w:space="0"/>
              <w:bottom w:val="single" w:color="auto" w:sz="4" w:space="0"/>
              <w:right w:val="single" w:color="auto" w:sz="4" w:space="0"/>
            </w:tcBorders>
            <w:noWrap w:val="0"/>
            <w:vAlign w:val="center"/>
          </w:tcPr>
          <w:p w14:paraId="10FD98C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98%</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1BA26AF1">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2F081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73" w:type="pct"/>
            <w:tcBorders>
              <w:top w:val="single" w:color="auto" w:sz="4" w:space="0"/>
              <w:left w:val="single" w:color="auto" w:sz="4" w:space="0"/>
              <w:bottom w:val="single" w:color="auto" w:sz="4" w:space="0"/>
              <w:right w:val="single" w:color="auto" w:sz="4" w:space="0"/>
            </w:tcBorders>
            <w:noWrap w:val="0"/>
            <w:vAlign w:val="center"/>
          </w:tcPr>
          <w:p w14:paraId="54AC5DF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486E328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6AD12031">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2F7AC62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40" w:type="pct"/>
            <w:tcBorders>
              <w:top w:val="single" w:color="auto" w:sz="4" w:space="0"/>
              <w:left w:val="single" w:color="auto" w:sz="4" w:space="0"/>
              <w:bottom w:val="single" w:color="auto" w:sz="4" w:space="0"/>
              <w:right w:val="single" w:color="auto" w:sz="4" w:space="0"/>
            </w:tcBorders>
            <w:noWrap w:val="0"/>
            <w:vAlign w:val="center"/>
          </w:tcPr>
          <w:p w14:paraId="6B3B61EC">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44C3215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958" w:type="pct"/>
            <w:tcBorders>
              <w:top w:val="single" w:color="auto" w:sz="4" w:space="0"/>
              <w:left w:val="single" w:color="auto" w:sz="4" w:space="0"/>
              <w:bottom w:val="single" w:color="auto" w:sz="4" w:space="0"/>
              <w:right w:val="single" w:color="auto" w:sz="4" w:space="0"/>
            </w:tcBorders>
            <w:noWrap w:val="0"/>
            <w:vAlign w:val="center"/>
          </w:tcPr>
          <w:p w14:paraId="0EC3006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15" w:type="pct"/>
            <w:tcBorders>
              <w:top w:val="single" w:color="auto" w:sz="4" w:space="0"/>
              <w:left w:val="single" w:color="auto" w:sz="4" w:space="0"/>
              <w:bottom w:val="single" w:color="auto" w:sz="4" w:space="0"/>
              <w:right w:val="single" w:color="auto" w:sz="4" w:space="0"/>
            </w:tcBorders>
            <w:noWrap w:val="0"/>
            <w:vAlign w:val="center"/>
          </w:tcPr>
          <w:p w14:paraId="0B2DCF5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1725" w:type="pct"/>
            <w:tcBorders>
              <w:top w:val="single" w:color="auto" w:sz="4" w:space="0"/>
              <w:left w:val="single" w:color="auto" w:sz="4" w:space="0"/>
              <w:bottom w:val="single" w:color="auto" w:sz="4" w:space="0"/>
              <w:right w:val="single" w:color="auto" w:sz="4" w:space="0"/>
            </w:tcBorders>
            <w:noWrap w:val="0"/>
            <w:vAlign w:val="center"/>
          </w:tcPr>
          <w:p w14:paraId="35A762F5">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25" w:type="pct"/>
            <w:tcBorders>
              <w:top w:val="single" w:color="auto" w:sz="4" w:space="0"/>
              <w:left w:val="single" w:color="auto" w:sz="4" w:space="0"/>
              <w:bottom w:val="single" w:color="auto" w:sz="4" w:space="0"/>
              <w:right w:val="single" w:color="auto" w:sz="4" w:space="0"/>
            </w:tcBorders>
            <w:noWrap w:val="0"/>
            <w:vAlign w:val="center"/>
          </w:tcPr>
          <w:p w14:paraId="7C809E04">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7" w:type="pct"/>
            <w:tcBorders>
              <w:top w:val="single" w:color="auto" w:sz="4" w:space="0"/>
              <w:left w:val="single" w:color="auto" w:sz="4" w:space="0"/>
              <w:bottom w:val="single" w:color="auto" w:sz="4" w:space="0"/>
              <w:right w:val="single" w:color="auto" w:sz="4" w:space="0"/>
            </w:tcBorders>
            <w:noWrap w:val="0"/>
            <w:vAlign w:val="center"/>
          </w:tcPr>
          <w:p w14:paraId="6A512AB4">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94.37</w:t>
            </w:r>
          </w:p>
        </w:tc>
      </w:tr>
    </w:tbl>
    <w:p w14:paraId="21B3109C">
      <w:pPr>
        <w:pStyle w:val="10"/>
        <w:shd w:val="clear" w:color="auto" w:fill="auto"/>
        <w:rPr>
          <w:rFonts w:hint="eastAsia" w:ascii="宋体" w:hAnsi="宋体" w:eastAsia="宋体" w:cs="宋体"/>
          <w:sz w:val="24"/>
          <w:szCs w:val="24"/>
          <w:lang w:eastAsia="zh-CN"/>
        </w:rPr>
      </w:pPr>
    </w:p>
    <w:p w14:paraId="7AD039DB">
      <w:pPr>
        <w:pStyle w:val="10"/>
        <w:rPr>
          <w:rFonts w:hint="eastAsia" w:ascii="宋体" w:hAnsi="宋体" w:eastAsia="宋体" w:cs="宋体"/>
          <w:sz w:val="24"/>
          <w:szCs w:val="24"/>
          <w:lang w:eastAsia="zh-CN"/>
        </w:rPr>
      </w:pPr>
    </w:p>
    <w:p w14:paraId="6DDC00F7">
      <w:pPr>
        <w:pStyle w:val="10"/>
        <w:ind w:left="0" w:leftChars="0" w:firstLine="0" w:firstLineChars="0"/>
        <w:jc w:val="both"/>
        <w:rPr>
          <w:rFonts w:hint="eastAsia" w:ascii="宋体" w:hAnsi="宋体" w:eastAsia="宋体" w:cs="宋体"/>
          <w:sz w:val="24"/>
          <w:szCs w:val="24"/>
          <w:lang w:val="en-US" w:eastAsia="zh-CN"/>
        </w:rPr>
      </w:pPr>
    </w:p>
    <w:p w14:paraId="3839943C">
      <w:pPr>
        <w:pStyle w:val="10"/>
        <w:ind w:left="0" w:leftChars="0" w:firstLine="0" w:firstLineChars="0"/>
        <w:jc w:val="both"/>
        <w:rPr>
          <w:rFonts w:hint="eastAsia" w:ascii="宋体" w:hAnsi="宋体" w:eastAsia="宋体" w:cs="宋体"/>
          <w:sz w:val="24"/>
          <w:szCs w:val="24"/>
          <w:lang w:val="en-US" w:eastAsia="zh-CN"/>
        </w:rPr>
      </w:pPr>
    </w:p>
    <w:p w14:paraId="59E09E4D">
      <w:pPr>
        <w:pStyle w:val="10"/>
        <w:ind w:left="0" w:leftChars="0" w:firstLine="0" w:firstLineChars="0"/>
        <w:jc w:val="both"/>
        <w:rPr>
          <w:rFonts w:hint="eastAsia" w:ascii="宋体" w:hAnsi="宋体" w:eastAsia="宋体" w:cs="宋体"/>
          <w:sz w:val="24"/>
          <w:szCs w:val="24"/>
          <w:lang w:val="en-US" w:eastAsia="zh-CN"/>
        </w:rPr>
      </w:pPr>
    </w:p>
    <w:p w14:paraId="05880585">
      <w:pPr>
        <w:pStyle w:val="10"/>
        <w:ind w:left="0" w:leftChars="0" w:firstLine="0" w:firstLineChars="0"/>
        <w:jc w:val="both"/>
        <w:rPr>
          <w:rFonts w:hint="eastAsia" w:ascii="宋体" w:hAnsi="宋体" w:eastAsia="宋体" w:cs="宋体"/>
          <w:sz w:val="24"/>
          <w:szCs w:val="24"/>
          <w:lang w:val="en-US" w:eastAsia="zh-CN"/>
        </w:rPr>
      </w:pPr>
    </w:p>
    <w:p w14:paraId="764F0431">
      <w:pPr>
        <w:pStyle w:val="10"/>
        <w:ind w:left="0" w:leftChars="0" w:firstLine="0" w:firstLineChars="0"/>
        <w:jc w:val="both"/>
        <w:rPr>
          <w:rFonts w:hint="eastAsia" w:ascii="宋体" w:hAnsi="宋体" w:eastAsia="宋体" w:cs="宋体"/>
          <w:sz w:val="24"/>
          <w:szCs w:val="24"/>
          <w:lang w:val="en-US" w:eastAsia="zh-CN"/>
        </w:rPr>
      </w:pPr>
    </w:p>
    <w:p w14:paraId="0F24E96C">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05DC2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3B5D71A9">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5932116F">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4D43E64B">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11D8D680">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5499A7B4">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716A00AA">
            <w:pPr>
              <w:rPr>
                <w:rFonts w:hint="eastAsia" w:ascii="宋体" w:hAnsi="宋体" w:eastAsia="宋体" w:cs="宋体"/>
                <w:i w:val="0"/>
                <w:iCs w:val="0"/>
                <w:color w:val="000000"/>
                <w:sz w:val="22"/>
                <w:szCs w:val="22"/>
                <w:u w:val="none"/>
              </w:rPr>
            </w:pPr>
          </w:p>
        </w:tc>
      </w:tr>
      <w:tr w14:paraId="0608A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3860E26A">
            <w:pPr>
              <w:keepNext w:val="0"/>
              <w:keepLines w:val="0"/>
              <w:widowControl/>
              <w:suppressLineNumbers w:val="0"/>
              <w:jc w:val="center"/>
              <w:textAlignment w:val="center"/>
              <w:rPr>
                <w:rFonts w:hint="eastAsia" w:ascii="宋体" w:hAnsi="宋体" w:eastAsia="宋体" w:cs="宋体"/>
                <w:b/>
                <w:bCs/>
                <w:i w:val="0"/>
                <w:iCs w:val="0"/>
                <w:color w:val="FF0000"/>
                <w:sz w:val="36"/>
                <w:szCs w:val="36"/>
                <w:u w:val="none"/>
              </w:rPr>
            </w:pPr>
            <w:r>
              <w:rPr>
                <w:rFonts w:hint="eastAsia" w:ascii="宋体" w:hAnsi="宋体" w:eastAsia="宋体" w:cs="宋体"/>
                <w:b/>
                <w:bCs/>
                <w:i w:val="0"/>
                <w:iCs w:val="0"/>
                <w:color w:val="auto"/>
                <w:kern w:val="0"/>
                <w:sz w:val="36"/>
                <w:szCs w:val="36"/>
                <w:u w:val="none"/>
                <w:lang w:val="en-US" w:eastAsia="zh-CN"/>
              </w:rPr>
              <w:t>2024年村村通运行维护经费项目综合得分表</w:t>
            </w:r>
          </w:p>
        </w:tc>
      </w:tr>
      <w:tr w14:paraId="323FC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36FE9C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BCC75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97EA7C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595787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3520B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B2B15F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70A44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41BD62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4CAD0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E15A7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4A9C1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35.00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BFBC5C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30.00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D6DFE1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100.00 </w:t>
            </w:r>
          </w:p>
        </w:tc>
      </w:tr>
      <w:tr w14:paraId="5CB32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16E245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624CFD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DAD05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11.37</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F7F00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30.00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FFECE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30.00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25D3D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94.37</w:t>
            </w:r>
          </w:p>
        </w:tc>
      </w:tr>
      <w:tr w14:paraId="1D170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7027E2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CC15D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95E34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94.75%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42143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85.71%</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9D6BC3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B5113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94.37%</w:t>
            </w:r>
          </w:p>
        </w:tc>
      </w:tr>
    </w:tbl>
    <w:p w14:paraId="4D218E4D">
      <w:pPr>
        <w:pStyle w:val="10"/>
        <w:ind w:left="0" w:leftChars="0" w:firstLine="0" w:firstLineChars="0"/>
        <w:jc w:val="both"/>
        <w:rPr>
          <w:rFonts w:hint="default" w:ascii="宋体" w:hAnsi="宋体" w:eastAsia="宋体" w:cs="宋体"/>
          <w:sz w:val="24"/>
          <w:szCs w:val="24"/>
          <w:lang w:val="en-US" w:eastAsia="zh-CN"/>
        </w:rPr>
      </w:pPr>
    </w:p>
    <w:p w14:paraId="39226BDC">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07FD3F5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2143316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广播电视基本公共服务满意度调查情况汇总表</w:t>
      </w:r>
    </w:p>
    <w:p w14:paraId="30C3ACA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sz w:val="24"/>
          <w:szCs w:val="24"/>
          <w:highlight w:val="none"/>
          <w:lang w:val="en-US" w:eastAsia="zh-CN"/>
        </w:rPr>
      </w:pPr>
      <w:r>
        <w:pict>
          <v:shape id="_x0000_i1025" o:spt="75" type="#_x0000_t75" style="height:256.15pt;width:418.6pt;" filled="f" o:preferrelative="t" stroked="f" coordsize="21600,21600">
            <v:path/>
            <v:fill on="f" focussize="0,0"/>
            <v:stroke on="f" joinstyle="miter"/>
            <v:imagedata r:id="rId8" o:title=""/>
            <o:lock v:ext="edit" aspectratio="t"/>
            <w10:wrap type="none"/>
            <w10:anchorlock/>
          </v:shape>
        </w:pict>
      </w:r>
    </w:p>
    <w:p w14:paraId="7309FBC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sz w:val="24"/>
          <w:szCs w:val="24"/>
          <w:highlight w:val="none"/>
          <w:lang w:val="en-US" w:eastAsia="zh-CN"/>
        </w:rPr>
      </w:pPr>
      <w:r>
        <w:pict>
          <v:shape id="_x0000_i1026" o:spt="75" type="#_x0000_t75" style="height:253.8pt;width:420.85pt;" filled="f" o:preferrelative="t" stroked="f" coordsize="21600,21600">
            <v:path/>
            <v:fill on="f" focussize="0,0"/>
            <v:stroke on="f" joinstyle="miter"/>
            <v:imagedata r:id="rId9" o:title=""/>
            <o:lock v:ext="edit" aspectratio="t"/>
            <w10:wrap type="none"/>
            <w10:anchorlock/>
          </v:shape>
        </w:pict>
      </w:r>
    </w:p>
    <w:p w14:paraId="73F0D3A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5C96BE8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洛浦县融媒体中心</w:t>
      </w:r>
    </w:p>
    <w:p w14:paraId="5F3EAC9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lang w:val="en-US" w:eastAsia="zh-CN"/>
        </w:rPr>
        <w:t>2025年2月27日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F7E47">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C3D3C">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5"/>
      <w:numFmt w:val="decimal"/>
      <w:suff w:val="nothing"/>
      <w:lvlText w:val="（%1）"/>
      <w:lvlJc w:val="left"/>
    </w:lvl>
  </w:abstractNum>
  <w:abstractNum w:abstractNumId="1">
    <w:nsid w:val="0053208E"/>
    <w:multiLevelType w:val="singleLevel"/>
    <w:tmpl w:val="0053208E"/>
    <w:lvl w:ilvl="0" w:tentative="0">
      <w:start w:val="1"/>
      <w:numFmt w:val="decimal"/>
      <w:suff w:val="nothing"/>
      <w:lvlText w:val="（%1）"/>
      <w:lvlJc w:val="left"/>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1AC9649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3"/>
    <w:unhideWhenUsed/>
    <w:uiPriority w:val="0"/>
    <w:pPr>
      <w:ind w:firstLine="420"/>
    </w:pPr>
  </w:style>
  <w:style w:type="paragraph" w:styleId="4">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9"/>
    <w:unhideWhenUsed/>
    <w:uiPriority w:val="99"/>
    <w:rPr>
      <w:rFonts w:cs="Times New Roman"/>
      <w:kern w:val="0"/>
      <w:sz w:val="18"/>
      <w:szCs w:val="18"/>
    </w:rPr>
  </w:style>
  <w:style w:type="paragraph" w:styleId="15">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b/>
      <w:bCs/>
    </w:r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标题 1 Char"/>
    <w:link w:val="2"/>
    <w:uiPriority w:val="9"/>
    <w:rPr>
      <w:rFonts w:ascii="Times New Roman" w:hAnsi="Times New Roman" w:eastAsia="仿宋_GB2312" w:cs="Times New Roman"/>
      <w:b/>
      <w:bCs/>
      <w:kern w:val="44"/>
      <w:sz w:val="32"/>
      <w:szCs w:val="44"/>
    </w:rPr>
  </w:style>
  <w:style w:type="character" w:customStyle="1" w:styleId="32">
    <w:name w:val="正文文本缩进 Char"/>
    <w:link w:val="4"/>
    <w:semiHidden/>
    <w:uiPriority w:val="99"/>
    <w:rPr>
      <w:rFonts w:ascii="Calibri" w:hAnsi="Calibri" w:eastAsia="仿宋_GB2312" w:cs="黑体"/>
      <w:sz w:val="28"/>
    </w:rPr>
  </w:style>
  <w:style w:type="character" w:customStyle="1" w:styleId="33">
    <w:name w:val="正文首行缩进 2 Char"/>
    <w:link w:val="3"/>
    <w:uiPriority w:val="0"/>
    <w:rPr>
      <w:rFonts w:ascii="Calibri" w:hAnsi="Calibri" w:eastAsia="仿宋_GB2312" w:cs="黑体"/>
      <w:sz w:val="28"/>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4"/>
    <w:semiHidden/>
    <w:uiPriority w:val="99"/>
    <w:rPr>
      <w:rFonts w:ascii="Calibri" w:hAnsi="Calibri" w:eastAsia="仿宋_GB2312" w:cs="黑体"/>
      <w:sz w:val="18"/>
      <w:szCs w:val="18"/>
    </w:rPr>
  </w:style>
  <w:style w:type="character" w:customStyle="1" w:styleId="40">
    <w:name w:val="页脚 Char"/>
    <w:link w:val="15"/>
    <w:uiPriority w:val="99"/>
    <w:rPr>
      <w:rFonts w:ascii="Calibri" w:hAnsi="Calibri" w:eastAsia="仿宋_GB2312" w:cs="黑体"/>
      <w:sz w:val="18"/>
      <w:szCs w:val="18"/>
    </w:rPr>
  </w:style>
  <w:style w:type="character" w:customStyle="1" w:styleId="41">
    <w:name w:val="页眉 Char"/>
    <w:link w:val="16"/>
    <w:uiPriority w:val="99"/>
    <w:rPr>
      <w:rFonts w:ascii="Calibri" w:hAnsi="Calibri" w:eastAsia="仿宋_GB2312" w:cs="黑体"/>
      <w:sz w:val="18"/>
      <w:szCs w:val="18"/>
    </w:rPr>
  </w:style>
  <w:style w:type="character" w:customStyle="1" w:styleId="42">
    <w:name w:val="标题 Char"/>
    <w:link w:val="22"/>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5"/>
    <w:uiPriority w:val="0"/>
    <w:rPr>
      <w:rFonts w:hint="eastAsia" w:ascii="微软雅黑" w:hAnsi="微软雅黑" w:eastAsia="微软雅黑" w:cs="微软雅黑"/>
      <w:b/>
      <w:bCs/>
      <w:color w:val="000000"/>
      <w:sz w:val="32"/>
      <w:szCs w:val="32"/>
      <w:u w:val="none"/>
    </w:rPr>
  </w:style>
  <w:style w:type="paragraph" w:customStyle="1" w:styleId="60">
    <w:name w:val="Body text|1"/>
    <w:basedOn w:val="1"/>
    <w:uiPriority w:val="0"/>
    <w:pPr>
      <w:spacing w:line="420" w:lineRule="auto"/>
      <w:ind w:firstLine="400"/>
    </w:pPr>
    <w:rPr>
      <w:rFonts w:ascii="宋体" w:hAnsi="宋体" w:eastAsia="宋体" w:cs="宋体"/>
      <w:szCs w:val="30"/>
      <w:lang w:val="zh-TW" w:eastAsia="zh-TW" w:bidi="zh-TW"/>
    </w:rPr>
  </w:style>
  <w:style w:type="paragraph" w:customStyle="1" w:styleId="6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62">
    <w:name w:val="闻政正文"/>
    <w:basedOn w:val="1"/>
    <w:qFormat/>
    <w:uiPriority w:val="0"/>
    <w:pPr>
      <w:spacing w:line="500" w:lineRule="exact"/>
      <w:ind w:firstLine="560" w:firstLineChars="200"/>
    </w:pPr>
    <w:rPr>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717F7DE9ABC549ACB3238B9EE33B5DD8_13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79e72ef0-e7a6-4b93-8b2f-38692d26ebd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10787</Words>
  <Characters>11367</Characters>
  <Lines>44</Lines>
  <Paragraphs>12</Paragraphs>
  <TotalTime>0</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2025-10-10T09:23:21Z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717F7DE9ABC549ACB3238B9EE33B5DD8_13</vt:lpwstr>
  </property>
  <property fmtid="{D5CDD505-2E9C-101B-9397-08002B2CF9AE}" pid="4" name="KSOTemplateDocerSaveRecord">
    <vt:lpwstr>eyJoZGlkIjoiZDE5MGZhMTJhZDM2OTQwYzkzYWVjM2FhZDUxN2Q0M2IiLCJ1c2VySWQiOiI2NTE5NDIwMjYifQ_x003D__x003D_</vt:lpwstr>
  </property>
</Properties>
</file>