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E33BC">
      <w:bookmarkStart w:id="20" w:name="_GoBack"/>
      <w:bookmarkEnd w:id="20"/>
    </w:p>
    <w:p w14:paraId="091C39B0">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highlight w:val="none"/>
          <w:lang w:val="en-US" w:eastAsia="zh-CN" w:bidi="en-US"/>
        </w:rPr>
      </w:pPr>
    </w:p>
    <w:p w14:paraId="3C39883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highlight w:val="none"/>
        </w:rPr>
      </w:pPr>
      <w:r>
        <w:rPr>
          <w:rFonts w:hint="eastAsia" w:ascii="黑体" w:hAnsi="黑体" w:eastAsia="黑体" w:cs="黑体"/>
          <w:b/>
          <w:color w:val="auto"/>
          <w:sz w:val="36"/>
          <w:szCs w:val="36"/>
          <w:highlight w:val="none"/>
          <w:lang w:val="en-US" w:eastAsia="zh-CN"/>
        </w:rPr>
        <w:t>和田地区洛浦县2022年文化保护传承利用工程中央投资资金--洛浦县热瓦克佛寺遗址保护利用设施资金</w:t>
      </w:r>
      <w:r>
        <w:rPr>
          <w:rFonts w:hint="eastAsia" w:ascii="黑体" w:hAnsi="黑体" w:eastAsia="黑体" w:cs="黑体"/>
          <w:b/>
          <w:color w:val="auto"/>
          <w:sz w:val="36"/>
          <w:szCs w:val="36"/>
          <w:highlight w:val="none"/>
        </w:rPr>
        <w:t>支出绩效评价报告</w:t>
      </w:r>
    </w:p>
    <w:p w14:paraId="0CD5A74C">
      <w:pPr>
        <w:pStyle w:val="2"/>
        <w:jc w:val="center"/>
        <w:rPr>
          <w:rFonts w:hint="eastAsia" w:ascii="黑体" w:hAnsi="黑体" w:eastAsia="黑体" w:cs="黑体"/>
          <w:color w:val="auto"/>
          <w:highlight w:val="none"/>
          <w:lang w:eastAsia="zh-CN"/>
        </w:rPr>
      </w:pPr>
      <w:r>
        <w:rPr>
          <w:rFonts w:hint="eastAsia" w:ascii="黑体" w:hAnsi="黑体" w:eastAsia="黑体" w:cs="黑体"/>
          <w:color w:val="auto"/>
          <w:highlight w:val="none"/>
          <w:lang w:eastAsia="zh-CN"/>
        </w:rPr>
        <w:t>（</w:t>
      </w:r>
      <w:r>
        <w:rPr>
          <w:rFonts w:hint="eastAsia" w:ascii="黑体" w:hAnsi="黑体" w:eastAsia="黑体" w:cs="黑体"/>
          <w:color w:val="auto"/>
          <w:highlight w:val="none"/>
          <w:lang w:val="en-US" w:eastAsia="zh-CN"/>
        </w:rPr>
        <w:t>2024年度</w:t>
      </w:r>
      <w:r>
        <w:rPr>
          <w:rFonts w:hint="eastAsia" w:ascii="黑体" w:hAnsi="黑体" w:eastAsia="黑体" w:cs="黑体"/>
          <w:color w:val="auto"/>
          <w:highlight w:val="none"/>
          <w:lang w:eastAsia="zh-CN"/>
        </w:rPr>
        <w:t>）</w:t>
      </w:r>
    </w:p>
    <w:p w14:paraId="0F5C37A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4FC0F38A">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5D9530FC">
      <w:pPr>
        <w:pStyle w:val="2"/>
        <w:rPr>
          <w:rFonts w:hint="eastAsia" w:eastAsia="方正仿宋_GBK" w:cs="方正仿宋_GBK"/>
          <w:b/>
          <w:color w:val="auto"/>
          <w:kern w:val="0"/>
          <w:sz w:val="32"/>
          <w:szCs w:val="32"/>
          <w:highlight w:val="none"/>
          <w:lang w:bidi="en-US"/>
        </w:rPr>
      </w:pPr>
    </w:p>
    <w:p w14:paraId="64A86E3A">
      <w:pPr>
        <w:pStyle w:val="2"/>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highlight w:val="none"/>
          <w:lang w:bidi="en-US"/>
        </w:rPr>
      </w:pPr>
    </w:p>
    <w:p w14:paraId="1A23D6D5">
      <w:pPr>
        <w:pageBreakBefore w:val="0"/>
        <w:widowControl w:val="0"/>
        <w:kinsoku/>
        <w:wordWrap/>
        <w:topLinePunct w:val="0"/>
        <w:autoSpaceDE/>
        <w:autoSpaceDN/>
        <w:bidi w:val="0"/>
        <w:spacing w:line="560" w:lineRule="exact"/>
        <w:ind w:left="0" w:leftChars="0" w:firstLine="560"/>
        <w:textAlignment w:val="auto"/>
        <w:rPr>
          <w:rFonts w:hint="eastAsia"/>
          <w:color w:val="auto"/>
          <w:highlight w:val="none"/>
        </w:rPr>
      </w:pPr>
    </w:p>
    <w:p w14:paraId="0C5416E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highlight w:val="none"/>
          <w:lang w:bidi="en-US"/>
        </w:rPr>
      </w:pPr>
    </w:p>
    <w:p w14:paraId="5FC4306F">
      <w:pPr>
        <w:pageBreakBefore w:val="0"/>
        <w:widowControl w:val="0"/>
        <w:kinsoku/>
        <w:wordWrap/>
        <w:topLinePunct w:val="0"/>
        <w:autoSpaceDE/>
        <w:autoSpaceDN/>
        <w:bidi w:val="0"/>
        <w:spacing w:line="560" w:lineRule="exact"/>
        <w:ind w:left="2240" w:leftChars="200" w:hanging="1680" w:hangingChars="6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项目名称：：</w:t>
      </w:r>
      <w:r>
        <w:rPr>
          <w:rFonts w:hint="eastAsia" w:ascii="宋体" w:hAnsi="宋体" w:eastAsia="宋体" w:cs="宋体"/>
          <w:color w:val="auto"/>
          <w:kern w:val="0"/>
          <w:sz w:val="28"/>
          <w:szCs w:val="28"/>
          <w:highlight w:val="none"/>
          <w:lang w:val="en-US" w:eastAsia="zh-CN" w:bidi="en-US"/>
        </w:rPr>
        <w:t>2022年文化保护传承利用工程（第一批）中央投资资金--洛浦县热瓦克佛寺遗址保护利用设施资金</w:t>
      </w:r>
    </w:p>
    <w:p w14:paraId="5D25E604">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项目单位：洛浦县文化体育广播电视和旅游局</w:t>
      </w:r>
    </w:p>
    <w:p w14:paraId="5CECB3BD">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主管部门：洛浦县</w:t>
      </w:r>
      <w:r>
        <w:rPr>
          <w:rFonts w:hint="eastAsia" w:ascii="宋体" w:hAnsi="宋体" w:eastAsia="宋体" w:cs="宋体"/>
          <w:color w:val="auto"/>
          <w:kern w:val="0"/>
          <w:sz w:val="28"/>
          <w:szCs w:val="28"/>
          <w:highlight w:val="none"/>
          <w:lang w:val="en-US" w:eastAsia="zh-CN" w:bidi="en-US"/>
        </w:rPr>
        <w:t>人民政府</w:t>
      </w:r>
    </w:p>
    <w:p w14:paraId="7C04B960">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val="en-US" w:eastAsia="zh-CN" w:bidi="en-US"/>
        </w:rPr>
        <w:t>排日迪古丽</w:t>
      </w:r>
    </w:p>
    <w:p w14:paraId="01F8C66C">
      <w:pPr>
        <w:pageBreakBefore w:val="0"/>
        <w:widowControl w:val="0"/>
        <w:kinsoku/>
        <w:wordWrap/>
        <w:topLinePunct w:val="0"/>
        <w:autoSpaceDE/>
        <w:autoSpaceDN/>
        <w:bidi w:val="0"/>
        <w:spacing w:line="560" w:lineRule="exact"/>
        <w:jc w:val="left"/>
        <w:textAlignment w:val="auto"/>
        <w:rPr>
          <w:rFonts w:hint="default" w:eastAsia="方正仿宋_GBK" w:cs="方正仿宋_GBK"/>
          <w:b/>
          <w:color w:val="auto"/>
          <w:kern w:val="0"/>
          <w:sz w:val="28"/>
          <w:szCs w:val="28"/>
          <w:highlight w:val="none"/>
          <w:lang w:val="en-US" w:bidi="en-US"/>
        </w:rPr>
      </w:pPr>
      <w:r>
        <w:rPr>
          <w:rFonts w:hint="eastAsia" w:ascii="宋体" w:hAnsi="宋体" w:eastAsia="宋体" w:cs="宋体"/>
          <w:color w:val="auto"/>
          <w:kern w:val="0"/>
          <w:sz w:val="28"/>
          <w:szCs w:val="28"/>
          <w:highlight w:val="none"/>
          <w:lang w:bidi="en-US"/>
        </w:rPr>
        <w:t>填报时间：</w:t>
      </w:r>
      <w:r>
        <w:rPr>
          <w:rFonts w:hint="eastAsia" w:ascii="宋体" w:hAnsi="宋体" w:eastAsia="宋体" w:cs="宋体"/>
          <w:color w:val="auto"/>
          <w:kern w:val="0"/>
          <w:sz w:val="28"/>
          <w:szCs w:val="28"/>
          <w:highlight w:val="none"/>
          <w:lang w:val="en-US" w:eastAsia="zh-CN" w:bidi="en-US"/>
        </w:rPr>
        <w:t>2025</w:t>
      </w:r>
      <w:r>
        <w:rPr>
          <w:rFonts w:hint="eastAsia" w:ascii="宋体" w:hAnsi="宋体" w:eastAsia="宋体" w:cs="宋体"/>
          <w:color w:val="auto"/>
          <w:kern w:val="0"/>
          <w:sz w:val="28"/>
          <w:szCs w:val="28"/>
          <w:highlight w:val="none"/>
          <w:lang w:bidi="en-US"/>
        </w:rPr>
        <w:t xml:space="preserve"> 年 </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 xml:space="preserve"> 月 </w:t>
      </w:r>
      <w:r>
        <w:rPr>
          <w:rFonts w:hint="eastAsia" w:ascii="宋体" w:hAnsi="宋体" w:eastAsia="宋体" w:cs="宋体"/>
          <w:color w:val="auto"/>
          <w:kern w:val="0"/>
          <w:sz w:val="28"/>
          <w:szCs w:val="28"/>
          <w:highlight w:val="none"/>
          <w:lang w:val="en-US" w:eastAsia="zh-CN" w:bidi="en-US"/>
        </w:rPr>
        <w:t>31日</w:t>
      </w:r>
    </w:p>
    <w:p w14:paraId="54570955">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lang w:val="en-US" w:eastAsia="zh-CN"/>
        </w:rPr>
        <w:sectPr>
          <w:headerReference r:id="rId5" w:type="default"/>
          <w:footerReference r:id="rId6" w:type="default"/>
          <w:pgSz w:w="11906" w:h="16838"/>
          <w:pgMar w:top="1843" w:right="1531" w:bottom="1843" w:left="1531" w:header="851" w:footer="992" w:gutter="0"/>
          <w:pgNumType w:fmt="decimal" w:start="1"/>
          <w:cols w:space="720" w:num="1"/>
          <w:docGrid w:type="linesAndChars" w:linePitch="386" w:charSpace="0"/>
        </w:sectPr>
      </w:pPr>
      <w:bookmarkStart w:id="0" w:name="_Toc68364657"/>
    </w:p>
    <w:p w14:paraId="0704AE04">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2743D68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61258DE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01BACA0B">
      <w:pPr>
        <w:pStyle w:val="62"/>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窗体顶端</w:t>
      </w:r>
    </w:p>
    <w:p w14:paraId="1F307D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kern w:val="0"/>
          <w:sz w:val="24"/>
          <w:szCs w:val="24"/>
          <w:highlight w:val="none"/>
          <w:shd w:val="clear" w:color="auto" w:fill="FFFFFF"/>
          <w:lang w:val="en-US" w:eastAsia="zh-CN"/>
        </w:rPr>
      </w:pPr>
      <w:r>
        <w:rPr>
          <w:rFonts w:hint="eastAsia" w:ascii="宋体" w:hAnsi="宋体" w:eastAsia="宋体" w:cs="宋体"/>
          <w:i w:val="0"/>
          <w:iCs w:val="0"/>
          <w:caps w:val="0"/>
          <w:color w:val="333333"/>
          <w:spacing w:val="0"/>
          <w:kern w:val="0"/>
          <w:sz w:val="24"/>
          <w:szCs w:val="24"/>
          <w:highlight w:val="none"/>
          <w:shd w:val="clear" w:color="auto" w:fill="FFFFFF"/>
          <w:lang w:val="en-US" w:eastAsia="zh-CN"/>
        </w:rPr>
        <w:t>根据《财政部关于下达2022年文化保护传承利用工程（第一批）中央投资资金--洛浦县热瓦克佛寺遗址保护利用设施》（和地财建【2022】20号）文件立项。</w:t>
      </w:r>
    </w:p>
    <w:p w14:paraId="745E06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highlight w:val="none"/>
          <w:u w:val="none"/>
        </w:rPr>
      </w:pPr>
      <w:r>
        <w:rPr>
          <w:rFonts w:hint="eastAsia" w:ascii="宋体" w:hAnsi="宋体" w:eastAsia="宋体" w:cs="宋体"/>
          <w:i w:val="0"/>
          <w:iCs w:val="0"/>
          <w:caps w:val="0"/>
          <w:color w:val="333333"/>
          <w:spacing w:val="0"/>
          <w:kern w:val="0"/>
          <w:sz w:val="24"/>
          <w:szCs w:val="24"/>
          <w:highlight w:val="none"/>
          <w:shd w:val="clear" w:color="auto" w:fill="FFFFFF"/>
          <w:lang w:val="en-US" w:eastAsia="zh-CN"/>
        </w:rPr>
        <w:t>项目主要内容为：保障1个项目工程款，通过项目实施，保障政府公信力，积极推进了考古与文物保护利用各项工作，提升了综合保护能力，打造了一处让文物说话让历史发声的群众文教基地。</w:t>
      </w:r>
    </w:p>
    <w:p w14:paraId="6E668D63">
      <w:pPr>
        <w:pStyle w:val="63"/>
        <w:pageBreakBefore w:val="0"/>
        <w:shd w:val="clear" w:color="auto" w:fill="auto"/>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窗体底端</w:t>
      </w:r>
    </w:p>
    <w:p w14:paraId="468E6971">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5A8BFC1C">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30DBB3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kern w:val="0"/>
          <w:sz w:val="24"/>
          <w:szCs w:val="24"/>
          <w:highlight w:val="none"/>
          <w:shd w:val="clear" w:color="auto" w:fill="FFFFFF"/>
          <w:lang w:val="en-US" w:eastAsia="zh-CN"/>
        </w:rPr>
        <w:t>项目主要内容为：保障1个项目工程款。通过项目实施，保障政府公信力，积极推进了考古与文物保护利用各项工作，提升了综合保护能力，打造了一处让文物说话让历史发声的群众文教基地。</w:t>
      </w:r>
    </w:p>
    <w:p w14:paraId="131B259E">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79C9B651">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08E7C2B7">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w:t>
      </w:r>
      <w:r>
        <w:rPr>
          <w:rFonts w:hint="eastAsia" w:ascii="宋体" w:hAnsi="宋体" w:eastAsia="宋体" w:cs="宋体"/>
          <w:color w:val="auto"/>
          <w:kern w:val="0"/>
          <w:sz w:val="24"/>
          <w:szCs w:val="24"/>
          <w:highlight w:val="none"/>
          <w:lang w:val="en-US" w:eastAsia="zh-CN" w:bidi="en-US"/>
        </w:rPr>
        <w:t>人民政府</w:t>
      </w:r>
      <w:r>
        <w:rPr>
          <w:rFonts w:hint="eastAsia" w:ascii="宋体" w:hAnsi="宋体" w:eastAsia="宋体" w:cs="宋体"/>
          <w:b w:val="0"/>
          <w:bCs w:val="0"/>
          <w:color w:val="auto"/>
          <w:sz w:val="24"/>
          <w:szCs w:val="24"/>
          <w:highlight w:val="none"/>
          <w:lang w:val="en-US" w:eastAsia="zh-CN"/>
        </w:rPr>
        <w:t>，实施单位为洛浦县</w:t>
      </w:r>
      <w:r>
        <w:rPr>
          <w:rFonts w:hint="eastAsia" w:ascii="宋体" w:hAnsi="宋体" w:eastAsia="宋体" w:cs="宋体"/>
          <w:color w:val="auto"/>
          <w:kern w:val="0"/>
          <w:sz w:val="24"/>
          <w:szCs w:val="24"/>
          <w:highlight w:val="none"/>
          <w:lang w:bidi="en-US"/>
        </w:rPr>
        <w:t>洛浦县文化体育广播电视和旅游</w:t>
      </w:r>
      <w:r>
        <w:rPr>
          <w:rFonts w:hint="eastAsia" w:ascii="宋体" w:hAnsi="宋体" w:eastAsia="宋体" w:cs="宋体"/>
          <w:b w:val="0"/>
          <w:bCs w:val="0"/>
          <w:color w:val="auto"/>
          <w:sz w:val="24"/>
          <w:szCs w:val="24"/>
          <w:highlight w:val="none"/>
          <w:lang w:val="en-US" w:eastAsia="zh-CN"/>
        </w:rPr>
        <w:t>局。</w:t>
      </w:r>
    </w:p>
    <w:p w14:paraId="4A96A363">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6D00865A">
      <w:pPr>
        <w:pStyle w:val="47"/>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4558B7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333333"/>
          <w:spacing w:val="0"/>
          <w:sz w:val="24"/>
          <w:szCs w:val="24"/>
          <w:highlight w:val="none"/>
          <w:u w:val="none"/>
        </w:rPr>
      </w:pPr>
      <w:r>
        <w:rPr>
          <w:rFonts w:hint="eastAsia" w:ascii="宋体" w:hAnsi="宋体" w:eastAsia="宋体" w:cs="宋体"/>
          <w:i w:val="0"/>
          <w:iCs w:val="0"/>
          <w:caps w:val="0"/>
          <w:color w:val="333333"/>
          <w:spacing w:val="0"/>
          <w:kern w:val="0"/>
          <w:sz w:val="24"/>
          <w:szCs w:val="24"/>
          <w:highlight w:val="none"/>
          <w:shd w:val="clear" w:color="auto" w:fill="FFFFFF"/>
          <w:lang w:val="en-US" w:eastAsia="zh-CN"/>
        </w:rPr>
        <w:t>根据《财政部关于下达文化保护传承利用工程（第一批）中央投资资金--洛浦县热瓦克佛寺遗址保护利用设施》（和地财建【2022】20号）文件立项。项目主要内容为：保障1个项目工程款，通过项目实施，保障政府公信力，积极推进了考古与文物保护利用各项工作，提升了综合保护能力，打造了一处让文物说话让历史发声的群众文教基地。</w:t>
      </w:r>
    </w:p>
    <w:p w14:paraId="09D7347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4157B6F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5E68AC9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万元，资金来源为部门预算中央专项资金，其中：财政资金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48D0EF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05F2FFF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项目工程费用480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w:t>
      </w:r>
    </w:p>
    <w:p w14:paraId="722D889A">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9"/>
      <w:r>
        <w:rPr>
          <w:rFonts w:hint="eastAsia" w:ascii="宋体" w:hAnsi="宋体" w:eastAsia="宋体" w:cs="宋体"/>
          <w:color w:val="auto"/>
          <w:sz w:val="24"/>
          <w:szCs w:val="24"/>
          <w:highlight w:val="none"/>
        </w:rPr>
        <w:t>（二）项目绩效目标</w:t>
      </w:r>
      <w:bookmarkEnd w:id="2"/>
    </w:p>
    <w:p w14:paraId="5D27EE5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55F6BE5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66793568">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阶段性目标</w:t>
      </w:r>
    </w:p>
    <w:p w14:paraId="18A0706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4E6CFBB7">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5678327B">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249602B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指标1：预期指标值为保障项目数量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w:t>
      </w:r>
    </w:p>
    <w:p w14:paraId="3DDCB15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6F68F24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w:t>
      </w:r>
      <w:r>
        <w:rPr>
          <w:rFonts w:hint="eastAsia" w:ascii="宋体" w:hAnsi="宋体" w:eastAsia="宋体" w:cs="宋体"/>
          <w:color w:val="auto"/>
          <w:sz w:val="24"/>
          <w:szCs w:val="24"/>
          <w:highlight w:val="none"/>
          <w:lang w:val="en-US" w:eastAsia="zh-CN"/>
        </w:rPr>
        <w:t>资金使用</w:t>
      </w:r>
      <w:r>
        <w:rPr>
          <w:rFonts w:hint="eastAsia" w:ascii="宋体" w:hAnsi="宋体" w:eastAsia="宋体" w:cs="宋体"/>
          <w:color w:val="auto"/>
          <w:sz w:val="24"/>
          <w:szCs w:val="24"/>
          <w:highlight w:val="none"/>
        </w:rPr>
        <w:t>合规率</w:t>
      </w:r>
      <w:r>
        <w:rPr>
          <w:rFonts w:hint="eastAsia" w:ascii="宋体" w:hAnsi="宋体" w:eastAsia="宋体" w:cs="宋体"/>
          <w:color w:val="auto"/>
          <w:sz w:val="24"/>
          <w:szCs w:val="24"/>
          <w:highlight w:val="none"/>
          <w:lang w:val="en-US" w:eastAsia="zh-CN"/>
        </w:rPr>
        <w:t xml:space="preserve"> =100%</w:t>
      </w:r>
      <w:r>
        <w:rPr>
          <w:rFonts w:hint="eastAsia" w:ascii="宋体" w:hAnsi="宋体" w:eastAsia="宋体" w:cs="宋体"/>
          <w:color w:val="auto"/>
          <w:sz w:val="24"/>
          <w:szCs w:val="24"/>
          <w:highlight w:val="none"/>
        </w:rPr>
        <w:t>；</w:t>
      </w:r>
    </w:p>
    <w:p w14:paraId="7344B69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733EC126">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指标1：预期指标值为项目完成时间</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w:t>
      </w:r>
    </w:p>
    <w:p w14:paraId="5C50906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指标2：预期指标值为项目完成及时率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DB9937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2818EFA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5B6E48E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480万元</w:t>
      </w:r>
      <w:r>
        <w:rPr>
          <w:rFonts w:hint="eastAsia" w:ascii="宋体" w:hAnsi="宋体" w:eastAsia="宋体" w:cs="宋体"/>
          <w:color w:val="auto"/>
          <w:sz w:val="24"/>
          <w:szCs w:val="24"/>
          <w:highlight w:val="none"/>
        </w:rPr>
        <w:t>；</w:t>
      </w:r>
    </w:p>
    <w:p w14:paraId="3CA0C55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572D814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38F8F81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指标1：预期指标值为保障政府公信力</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有效保障</w:t>
      </w:r>
      <w:r>
        <w:rPr>
          <w:rFonts w:hint="eastAsia" w:ascii="宋体" w:hAnsi="宋体" w:eastAsia="宋体" w:cs="宋体"/>
          <w:color w:val="auto"/>
          <w:sz w:val="24"/>
          <w:szCs w:val="24"/>
          <w:highlight w:val="none"/>
        </w:rPr>
        <w:t>；</w:t>
      </w:r>
    </w:p>
    <w:p w14:paraId="755B953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1BF3751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指标1：预期指标值为</w:t>
      </w:r>
      <w:r>
        <w:rPr>
          <w:rFonts w:hint="eastAsia" w:ascii="宋体" w:hAnsi="宋体" w:eastAsia="宋体" w:cs="宋体"/>
          <w:color w:val="auto"/>
          <w:sz w:val="24"/>
          <w:szCs w:val="24"/>
          <w:highlight w:val="none"/>
          <w:lang w:val="en-US" w:eastAsia="zh-CN"/>
        </w:rPr>
        <w:t>项目单位</w:t>
      </w:r>
      <w:r>
        <w:rPr>
          <w:rFonts w:hint="eastAsia" w:ascii="宋体" w:hAnsi="宋体" w:eastAsia="宋体" w:cs="宋体"/>
          <w:color w:val="auto"/>
          <w:sz w:val="24"/>
          <w:szCs w:val="24"/>
          <w:highlight w:val="none"/>
        </w:rPr>
        <w:t>满意度≥</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w:t>
      </w:r>
    </w:p>
    <w:p w14:paraId="14846DB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034E5C44">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3"/>
    </w:p>
    <w:p w14:paraId="56B07470">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4" w:name="_Toc68364661"/>
      <w:r>
        <w:rPr>
          <w:rFonts w:hint="eastAsia" w:ascii="宋体" w:hAnsi="宋体" w:eastAsia="宋体" w:cs="宋体"/>
          <w:color w:val="auto"/>
          <w:sz w:val="24"/>
          <w:szCs w:val="24"/>
          <w:highlight w:val="none"/>
        </w:rPr>
        <w:t>（一）绩效评价目的、对象和范围</w:t>
      </w:r>
      <w:bookmarkEnd w:id="4"/>
    </w:p>
    <w:p w14:paraId="46DE5CAC">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0583240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5006182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B20EEC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F437B2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35DD602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1739322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6E4F6189">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5B2A76EE">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117C2A33">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5"/>
    </w:p>
    <w:p w14:paraId="26A322E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1154A51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3B37F34">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625D1D8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EE5F63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502EBCA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50CE5D9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3C6189D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479B4A7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6253E20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6E7AFA1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7DA9FA0F">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792FF2B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0B52988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008338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66C838FF">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2473CB8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79113D9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4741FAF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1779903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5134413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3AE10AD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5922E57D">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5B10852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7B8E7C8D">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2BBEB7C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03A8F49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9B492A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471B92D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1EDA17A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w:t>
      </w:r>
      <w:r>
        <w:rPr>
          <w:rFonts w:hint="eastAsia" w:ascii="宋体" w:hAnsi="宋体" w:eastAsia="宋体" w:cs="宋体"/>
          <w:color w:val="auto"/>
          <w:sz w:val="24"/>
          <w:szCs w:val="24"/>
          <w:highlight w:val="none"/>
        </w:rPr>
        <w:t>标准。</w:t>
      </w:r>
    </w:p>
    <w:p w14:paraId="6E5C36D4">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7" w:name="_Toc17882"/>
      <w:bookmarkStart w:id="8" w:name="_Toc31464"/>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7"/>
      <w:bookmarkEnd w:id="8"/>
    </w:p>
    <w:p w14:paraId="55810CB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9" w:name="_Toc16028"/>
      <w:bookmarkStart w:id="10" w:name="_Toc430"/>
      <w:r>
        <w:rPr>
          <w:rFonts w:hint="eastAsia" w:ascii="宋体" w:hAnsi="宋体" w:eastAsia="宋体" w:cs="宋体"/>
          <w:b/>
          <w:bCs/>
          <w:color w:val="auto"/>
          <w:sz w:val="24"/>
          <w:szCs w:val="24"/>
          <w:highlight w:val="none"/>
        </w:rPr>
        <w:t>历史标准：</w:t>
      </w:r>
      <w:r>
        <w:rPr>
          <w:rFonts w:hint="eastAsia" w:ascii="宋体" w:hAnsi="宋体" w:eastAsia="宋体" w:cs="宋体"/>
          <w:color w:val="auto"/>
          <w:sz w:val="24"/>
          <w:szCs w:val="24"/>
          <w:highlight w:val="none"/>
        </w:rPr>
        <w:t>指参照历史数据制定的评价标准，为体现绩效改进的原则，在可实现的条件下应当确定相对较高的评价标准。</w:t>
      </w:r>
      <w:bookmarkEnd w:id="9"/>
      <w:bookmarkEnd w:id="10"/>
    </w:p>
    <w:p w14:paraId="36BF7A3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6"/>
    </w:p>
    <w:p w14:paraId="5A8EE3A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4"/>
      <w:r>
        <w:rPr>
          <w:rFonts w:hint="eastAsia" w:ascii="宋体" w:hAnsi="宋体" w:eastAsia="宋体" w:cs="宋体"/>
          <w:color w:val="auto"/>
          <w:sz w:val="24"/>
          <w:szCs w:val="24"/>
          <w:highlight w:val="none"/>
        </w:rPr>
        <w:t>1.前期准备</w:t>
      </w:r>
    </w:p>
    <w:p w14:paraId="637093D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00A8A7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排日迪古丽</w:t>
      </w:r>
      <w:r>
        <w:rPr>
          <w:rFonts w:hint="eastAsia" w:ascii="宋体" w:hAnsi="宋体" w:eastAsia="宋体" w:cs="宋体"/>
          <w:color w:val="auto"/>
          <w:sz w:val="24"/>
          <w:szCs w:val="24"/>
          <w:highlight w:val="none"/>
        </w:rPr>
        <w:t>（评价小组组长）：主要负责</w:t>
      </w:r>
      <w:r>
        <w:rPr>
          <w:rFonts w:hint="eastAsia" w:ascii="宋体" w:hAnsi="宋体" w:eastAsia="宋体" w:cs="宋体"/>
          <w:b w:val="0"/>
          <w:bCs w:val="0"/>
          <w:color w:val="auto"/>
          <w:sz w:val="24"/>
          <w:szCs w:val="24"/>
          <w:highlight w:val="none"/>
          <w:lang w:val="en-US" w:eastAsia="zh-CN"/>
        </w:rPr>
        <w:t>组织安排绩效评价工作</w:t>
      </w:r>
      <w:r>
        <w:rPr>
          <w:rFonts w:hint="eastAsia" w:ascii="宋体" w:hAnsi="宋体" w:eastAsia="宋体" w:cs="宋体"/>
          <w:color w:val="auto"/>
          <w:sz w:val="24"/>
          <w:szCs w:val="24"/>
          <w:highlight w:val="none"/>
        </w:rPr>
        <w:t>;</w:t>
      </w:r>
    </w:p>
    <w:p w14:paraId="4809303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马洪瑜</w:t>
      </w:r>
      <w:r>
        <w:rPr>
          <w:rFonts w:hint="eastAsia" w:ascii="宋体" w:hAnsi="宋体" w:eastAsia="宋体" w:cs="宋体"/>
          <w:color w:val="auto"/>
          <w:sz w:val="24"/>
          <w:szCs w:val="24"/>
          <w:highlight w:val="none"/>
        </w:rPr>
        <w:t>（评价小组组员）：主要负责主要负责财务管理;</w:t>
      </w:r>
    </w:p>
    <w:p w14:paraId="28C187E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苏玉</w:t>
      </w:r>
      <w:r>
        <w:rPr>
          <w:rFonts w:hint="eastAsia" w:ascii="宋体" w:hAnsi="宋体" w:eastAsia="宋体" w:cs="宋体"/>
          <w:color w:val="auto"/>
          <w:sz w:val="24"/>
          <w:szCs w:val="24"/>
          <w:highlight w:val="none"/>
        </w:rPr>
        <w:t>（评价小组组员）：主要负责主要负责协调、落实项目建设全过程。</w:t>
      </w:r>
    </w:p>
    <w:p w14:paraId="1408F19F">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66371CE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666C353">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5410345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10076A9B">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08D1C7C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DA2BCD9">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2265ACE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C129D3E">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7227243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24AD182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741635F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1"/>
    </w:p>
    <w:p w14:paraId="1BF52A43">
      <w:pPr>
        <w:pStyle w:val="50"/>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5"/>
      <w:r>
        <w:rPr>
          <w:rFonts w:hint="eastAsia" w:ascii="宋体" w:hAnsi="宋体" w:eastAsia="宋体" w:cs="宋体"/>
          <w:color w:val="auto"/>
          <w:sz w:val="24"/>
          <w:szCs w:val="24"/>
          <w:highlight w:val="none"/>
        </w:rPr>
        <w:t>（一）综合评价情况</w:t>
      </w:r>
      <w:bookmarkEnd w:id="12"/>
    </w:p>
    <w:p w14:paraId="0DFEBBBB">
      <w:pPr>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产生以深化推进文化润疆工程为目标，不断提升公共文化服务效能，完善公共文化服务体系，促进文化事业繁荣发展效益。项目实施主要通过项目决策、项目过程、项目产出以及项目效益等方面进行评价，其中：</w:t>
      </w:r>
    </w:p>
    <w:p w14:paraId="4F476F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根据《财政部关于下达2024年中央支持地方公共文化服务体系建设补助资金预算的通知》（和地财教〔2023〕47号）文件立项。</w:t>
      </w:r>
      <w:r>
        <w:rPr>
          <w:rFonts w:hint="eastAsia" w:ascii="宋体" w:hAnsi="宋体" w:eastAsia="宋体" w:cs="宋体"/>
          <w:color w:val="auto"/>
          <w:sz w:val="24"/>
          <w:szCs w:val="24"/>
          <w:highlight w:val="none"/>
        </w:rPr>
        <w:t>项目实施符合</w:t>
      </w:r>
      <w:r>
        <w:rPr>
          <w:rFonts w:hint="eastAsia" w:ascii="宋体" w:hAnsi="宋体" w:eastAsia="宋体" w:cs="宋体"/>
          <w:color w:val="auto"/>
          <w:sz w:val="24"/>
          <w:szCs w:val="24"/>
          <w:highlight w:val="none"/>
          <w:lang w:val="en-US" w:eastAsia="zh-CN"/>
        </w:rPr>
        <w:t>相关资金管理办法要求执行，逐级审批；认真落实项目资金使用的各项管理制度。</w:t>
      </w:r>
      <w:r>
        <w:rPr>
          <w:rFonts w:hint="eastAsia" w:ascii="宋体" w:hAnsi="宋体" w:eastAsia="宋体" w:cs="宋体"/>
          <w:color w:val="auto"/>
          <w:sz w:val="24"/>
          <w:szCs w:val="24"/>
          <w:highlight w:val="none"/>
        </w:rPr>
        <w:t xml:space="preserve">项目立项依据充分，立项程序规范。 </w:t>
      </w:r>
    </w:p>
    <w:p w14:paraId="3C3EA5BF">
      <w:pPr>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 xml:space="preserve">预算安排 </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70F7254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数量指标：</w:t>
      </w:r>
      <w:r>
        <w:rPr>
          <w:rFonts w:hint="eastAsia" w:ascii="宋体" w:hAnsi="宋体" w:eastAsia="宋体" w:cs="宋体"/>
          <w:color w:val="auto"/>
          <w:sz w:val="24"/>
          <w:szCs w:val="24"/>
          <w:highlight w:val="none"/>
        </w:rPr>
        <w:t>保障项目数量</w:t>
      </w:r>
      <w:r>
        <w:rPr>
          <w:rFonts w:hint="eastAsia" w:ascii="宋体" w:hAnsi="宋体" w:eastAsia="宋体" w:cs="宋体"/>
          <w:color w:val="auto"/>
          <w:sz w:val="24"/>
          <w:szCs w:val="24"/>
          <w:highlight w:val="none"/>
          <w:lang w:val="en-US" w:eastAsia="zh-CN"/>
        </w:rPr>
        <w:t>，预期指标是大于等于1个，实际完成值是1个，指标完成率是100%，达到预期目标。</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质量指标：资金使用合规率，预期指标是等于100%，实际完成值是100%，指标完成率是100%，达到预期目标。</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时效指标：项目完成时间，预期指标是2024年12月，实际完成值是2024年12月，指标完成率是100%，达到预期目标。</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时效指标：项目完成及时率，预期指标是等于100%，实际完成值是100%，指标完成率是100%，达到预期目标。</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经济成本指标：工程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，预期指标是小于等于480万元，实际完成值是480万元，指标完成率是100%，达到预期目标。</w:t>
      </w:r>
    </w:p>
    <w:p w14:paraId="655B6EA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项目效益：</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社会效益指标：</w:t>
      </w:r>
      <w:r>
        <w:rPr>
          <w:rFonts w:hint="eastAsia" w:ascii="宋体" w:hAnsi="宋体" w:eastAsia="宋体" w:cs="宋体"/>
          <w:color w:val="auto"/>
          <w:sz w:val="24"/>
          <w:szCs w:val="24"/>
          <w:highlight w:val="none"/>
        </w:rPr>
        <w:t>保障政府公信力</w:t>
      </w:r>
      <w:r>
        <w:rPr>
          <w:rFonts w:hint="eastAsia" w:ascii="宋体" w:hAnsi="宋体" w:eastAsia="宋体" w:cs="宋体"/>
          <w:color w:val="auto"/>
          <w:sz w:val="24"/>
          <w:szCs w:val="24"/>
          <w:highlight w:val="none"/>
          <w:lang w:val="en-US" w:eastAsia="zh-CN"/>
        </w:rPr>
        <w:t>，预期指标是有效保障，实际完成值是有效保障，指标完成率是100%，达到预期目标。</w:t>
      </w:r>
    </w:p>
    <w:p w14:paraId="19E29FF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246E21E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2024年中央支持地方公共文化服务体系建设补助资金</w:t>
      </w:r>
      <w:r>
        <w:rPr>
          <w:rFonts w:hint="eastAsia" w:ascii="宋体" w:hAnsi="宋体" w:eastAsia="宋体" w:cs="宋体"/>
          <w:color w:val="auto"/>
          <w:sz w:val="24"/>
          <w:szCs w:val="24"/>
          <w:highlight w:val="none"/>
        </w:rPr>
        <w:t>项目进行客观评价，最终评分结果：评价总分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3"/>
      <w:bookmarkStart w:id="14" w:name="_Toc68364667"/>
    </w:p>
    <w:p w14:paraId="00501AD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0246BA06">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四、绩效评价指标分析</w:t>
      </w:r>
      <w:bookmarkEnd w:id="14"/>
    </w:p>
    <w:p w14:paraId="729849D7">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5" w:name="_Toc68364668"/>
      <w:r>
        <w:rPr>
          <w:rFonts w:hint="eastAsia" w:ascii="宋体" w:hAnsi="宋体" w:eastAsia="宋体" w:cs="宋体"/>
          <w:color w:val="auto"/>
          <w:sz w:val="24"/>
          <w:szCs w:val="24"/>
          <w:highlight w:val="none"/>
        </w:rPr>
        <w:t>（一）项目决策情况</w:t>
      </w:r>
    </w:p>
    <w:p w14:paraId="49B57D07">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AC34637">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4AEA32C4">
      <w:pPr>
        <w:pageBreakBefore w:val="0"/>
        <w:widowControl/>
        <w:kinsoku/>
        <w:wordWrap/>
        <w:topLinePunct w:val="0"/>
        <w:autoSpaceDE/>
        <w:autoSpaceDN/>
        <w:bidi w:val="0"/>
        <w:adjustRightInd/>
        <w:snapToGrid/>
        <w:spacing w:line="360" w:lineRule="auto"/>
        <w:ind w:left="0" w:leftChars="0" w:firstLine="480" w:firstLineChars="200"/>
        <w:textAlignment w:val="auto"/>
        <w:outlineLvl w:val="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本项目立项符合该项目主要通过</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根据《财政部关于下达2022年文化保护传承利用工程（第一批）中央投资资金--洛浦县热瓦克佛寺遗址保护利用设施》（和地财建【2022】20号）文件立项。</w:t>
      </w:r>
      <w:r>
        <w:rPr>
          <w:rFonts w:hint="eastAsia" w:ascii="宋体" w:hAnsi="宋体" w:eastAsia="宋体" w:cs="宋体"/>
          <w:color w:val="auto"/>
          <w:sz w:val="24"/>
          <w:szCs w:val="24"/>
          <w:highlight w:val="none"/>
        </w:rPr>
        <w:t>本项目立项符合</w:t>
      </w:r>
      <w:r>
        <w:rPr>
          <w:rFonts w:hint="eastAsia" w:ascii="宋体" w:hAnsi="宋体" w:eastAsia="宋体" w:cs="宋体"/>
          <w:b w:val="0"/>
          <w:bCs/>
          <w:color w:val="auto"/>
          <w:kern w:val="2"/>
          <w:sz w:val="24"/>
          <w:szCs w:val="24"/>
          <w:highlight w:val="none"/>
          <w:lang w:val="en-US" w:eastAsia="zh-CN" w:bidi="ar-SA"/>
        </w:rPr>
        <w:t>项目主要内容为：保障1个项目工程款，通过项目实施，保障政府公信力，积极推进了考古与文物保护利用各项工作，提升了综合保护能力，打造了一处让文物说话让历史发声的群众文教基地。</w:t>
      </w:r>
      <w:r>
        <w:rPr>
          <w:rFonts w:hint="eastAsia" w:ascii="宋体" w:hAnsi="宋体" w:eastAsia="宋体" w:cs="宋体"/>
          <w:color w:val="auto"/>
          <w:sz w:val="24"/>
          <w:szCs w:val="24"/>
          <w:highlight w:val="none"/>
        </w:rPr>
        <w:t>符合行业发展规划和政策要求；本项目立项符合《</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color w:val="auto"/>
          <w:sz w:val="24"/>
          <w:szCs w:val="24"/>
          <w:highlight w:val="none"/>
        </w:rPr>
        <w:t>单位配置内设机构和人员编制规定》中职责范围中的“</w:t>
      </w:r>
      <w:r>
        <w:rPr>
          <w:rFonts w:hint="eastAsia" w:ascii="宋体" w:hAnsi="宋体" w:eastAsia="宋体" w:cs="宋体"/>
          <w:color w:val="auto"/>
          <w:sz w:val="24"/>
          <w:szCs w:val="24"/>
          <w:highlight w:val="none"/>
          <w:lang w:val="en-US" w:eastAsia="zh-CN"/>
        </w:rPr>
        <w:t>负责承办各类展览、讲座、培训等，普及科学文化知识，开展社会教育，提高群众文化素质；组织开展丰富多彩、群众喜闻乐见的文化活动；开展交流文化服务；指导群众业余文艺团队建设，辅导和培训群众文艺骨干；组织并指导群众文艺创作，开展群众文化工作理论研究；收集、整理、研究非物质文化遗产，开展非物质文化遗产的普查、展示、宣传活动；开展数字文化信息服务；指导洛浦县老年文化、老年教育、少儿文化工作；指导乡镇文化工作；开展对外民间文化交流；完成上级主管部门交办的其他工作。</w:t>
      </w:r>
      <w:r>
        <w:rPr>
          <w:rFonts w:hint="eastAsia" w:ascii="宋体" w:hAnsi="宋体" w:eastAsia="宋体" w:cs="宋体"/>
          <w:color w:val="auto"/>
          <w:sz w:val="24"/>
          <w:szCs w:val="24"/>
          <w:highlight w:val="none"/>
        </w:rPr>
        <w:t>”，属于我单位履职所需；根据《财政资金直接支付申请书》，本项目资金性质为“公共财政预算”功能分类为“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2070204</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30905</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44B8BCB1">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30BBEBA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3268646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特定</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w:t>
      </w:r>
    </w:p>
    <w:p w14:paraId="3228879F">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4AC9B9C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项目主要内容为：保障1个项目工程款</w:t>
      </w:r>
      <w:r>
        <w:rPr>
          <w:rFonts w:hint="eastAsia" w:ascii="宋体" w:hAnsi="宋体" w:eastAsia="宋体" w:cs="宋体"/>
          <w:color w:val="auto"/>
          <w:sz w:val="24"/>
          <w:szCs w:val="24"/>
          <w:highlight w:val="none"/>
        </w:rPr>
        <w:t>”。</w:t>
      </w:r>
    </w:p>
    <w:p w14:paraId="2F8090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项目主要内容为：</w:t>
      </w:r>
      <w:r>
        <w:rPr>
          <w:rFonts w:hint="eastAsia" w:ascii="宋体" w:hAnsi="宋体" w:eastAsia="宋体" w:cs="宋体"/>
          <w:b w:val="0"/>
          <w:bCs/>
          <w:color w:val="auto"/>
          <w:kern w:val="2"/>
          <w:sz w:val="24"/>
          <w:szCs w:val="24"/>
          <w:highlight w:val="none"/>
          <w:lang w:val="en-US" w:eastAsia="zh-CN" w:bidi="ar-SA"/>
        </w:rPr>
        <w:t>保障1个项目工程款，通过项目实施，保障政府公信力，积极推进了考古与文物保护利用各项工作，提升了综合保护能力，打造了一处让文物说话让历史发声的群众文教基地</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w:t>
      </w:r>
      <w:r>
        <w:rPr>
          <w:rFonts w:hint="eastAsia" w:ascii="宋体" w:hAnsi="宋体" w:eastAsia="宋体" w:cs="宋体"/>
          <w:color w:val="auto"/>
          <w:sz w:val="24"/>
          <w:szCs w:val="24"/>
          <w:highlight w:val="none"/>
        </w:rPr>
        <w:t>绩效目标与实际工作内容一致，两者具有相关性。</w:t>
      </w:r>
    </w:p>
    <w:p w14:paraId="25C91A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b w:val="0"/>
          <w:bCs/>
          <w:color w:val="auto"/>
          <w:kern w:val="2"/>
          <w:sz w:val="24"/>
          <w:szCs w:val="24"/>
          <w:highlight w:val="none"/>
          <w:lang w:val="en-US" w:eastAsia="zh-CN" w:bidi="ar-SA"/>
        </w:rPr>
        <w:t>保障1个项目工程款</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w:t>
      </w:r>
      <w:r>
        <w:rPr>
          <w:rFonts w:hint="eastAsia" w:ascii="宋体" w:hAnsi="宋体" w:eastAsia="宋体" w:cs="宋体"/>
          <w:color w:val="auto"/>
          <w:sz w:val="24"/>
          <w:szCs w:val="24"/>
          <w:highlight w:val="none"/>
        </w:rPr>
        <w:t>达到</w:t>
      </w:r>
      <w:r>
        <w:rPr>
          <w:rFonts w:hint="eastAsia" w:ascii="宋体" w:hAnsi="宋体" w:eastAsia="宋体" w:cs="宋体"/>
          <w:b w:val="0"/>
          <w:bCs/>
          <w:color w:val="auto"/>
          <w:kern w:val="2"/>
          <w:sz w:val="24"/>
          <w:szCs w:val="24"/>
          <w:highlight w:val="none"/>
          <w:lang w:val="en-US" w:eastAsia="zh-CN" w:bidi="ar-SA"/>
        </w:rPr>
        <w:t>保障政府公信力，积极推进了考古与文物保护利用各项工作</w:t>
      </w:r>
      <w:r>
        <w:rPr>
          <w:rFonts w:hint="eastAsia" w:ascii="宋体" w:hAnsi="宋体" w:eastAsia="宋体" w:cs="宋体"/>
          <w:color w:val="auto"/>
          <w:sz w:val="24"/>
          <w:szCs w:val="24"/>
          <w:highlight w:val="none"/>
        </w:rPr>
        <w:t>。</w:t>
      </w:r>
    </w:p>
    <w:p w14:paraId="7DCB181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万元，预算确定的项目资金与预算确定的项目投资额相匹配。</w:t>
      </w:r>
    </w:p>
    <w:p w14:paraId="6529C3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32896AB">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71.42</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55F0ED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该《项目绩效目标申报表》中，数量指标值为保障项目数量，三级指标的年度指标值与年度绩效目标中任务数一致，已设置时效指标“项目完成时间</w:t>
      </w:r>
      <w:r>
        <w:rPr>
          <w:rFonts w:hint="eastAsia" w:ascii="宋体" w:hAnsi="宋体" w:eastAsia="宋体" w:cs="宋体"/>
          <w:color w:val="auto"/>
          <w:sz w:val="24"/>
          <w:szCs w:val="24"/>
          <w:highlight w:val="none"/>
          <w:lang w:eastAsia="zh-CN"/>
        </w:rPr>
        <w:t>、项目完成及时率</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3ACF94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，即预算编制较科学且经过论证；预算申请内容为</w:t>
      </w:r>
      <w:r>
        <w:rPr>
          <w:rFonts w:hint="eastAsia" w:ascii="宋体" w:hAnsi="宋体" w:eastAsia="宋体" w:cs="宋体"/>
          <w:b w:val="0"/>
          <w:bCs/>
          <w:color w:val="auto"/>
          <w:kern w:val="2"/>
          <w:sz w:val="24"/>
          <w:szCs w:val="24"/>
          <w:highlight w:val="none"/>
          <w:lang w:val="en-US" w:eastAsia="zh-CN" w:bidi="ar-SA"/>
        </w:rPr>
        <w:t>保障1个项目工程款，通过项目实施，保障政府公信力，积极推进了考古与文物保护利用各项工作，提升了综合保护能力，打造了一处让文物说话让历史发声的群众文教基地</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w:t>
      </w:r>
      <w:r>
        <w:rPr>
          <w:rFonts w:hint="eastAsia" w:ascii="宋体" w:hAnsi="宋体" w:eastAsia="宋体" w:cs="宋体"/>
          <w:color w:val="auto"/>
          <w:sz w:val="24"/>
          <w:szCs w:val="24"/>
          <w:highlight w:val="none"/>
        </w:rPr>
        <w:t>项目实际内容为</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w:t>
      </w:r>
      <w:r>
        <w:rPr>
          <w:rFonts w:hint="eastAsia" w:ascii="宋体" w:hAnsi="宋体" w:eastAsia="宋体" w:cs="宋体"/>
          <w:b w:val="0"/>
          <w:bCs/>
          <w:color w:val="auto"/>
          <w:kern w:val="2"/>
          <w:sz w:val="24"/>
          <w:szCs w:val="24"/>
          <w:highlight w:val="none"/>
          <w:lang w:val="en-US" w:eastAsia="zh-CN" w:bidi="ar-SA"/>
        </w:rPr>
        <w:t>保障1个项目工程款，通过项目实施，保障政府公信力，积极推进了考古与文物保护利用各项工作，提升了综合保护能力，打造了一处让文物说话让历史发声的群众文教基地</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w:t>
      </w:r>
      <w:r>
        <w:rPr>
          <w:rFonts w:hint="eastAsia" w:ascii="宋体" w:hAnsi="宋体" w:eastAsia="宋体" w:cs="宋体"/>
          <w:color w:val="auto"/>
          <w:sz w:val="24"/>
          <w:szCs w:val="24"/>
          <w:highlight w:val="none"/>
        </w:rPr>
        <w:t>预算申请与《</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项目实施方案》中涉及的项目内容匹配；</w:t>
      </w:r>
    </w:p>
    <w:p w14:paraId="13B2406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480万元，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0C4620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的请示》和《</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项目实施方案》为依据进行资金分配，预算资金分配依据充分。根据《财政部</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关于下达2022年文化保护传承利用工程（第一批）中央投资资金--洛浦县热瓦克佛寺遗址保护利用设施资金预算的通知》（和地财建〔2022〕20号）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5149843">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52292ED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项目过程类指标包括资金管理和组织实施两方面的内容，由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E922F9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480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480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480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2F41803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00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w:t>
      </w:r>
      <w:r>
        <w:rPr>
          <w:rFonts w:hint="eastAsia" w:ascii="宋体" w:hAnsi="宋体" w:eastAsia="宋体" w:cs="宋体"/>
          <w:color w:val="auto"/>
          <w:sz w:val="24"/>
          <w:szCs w:val="24"/>
          <w:highlight w:val="none"/>
        </w:rPr>
        <w:t>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D7859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color w:val="auto"/>
          <w:sz w:val="24"/>
          <w:szCs w:val="24"/>
          <w:highlight w:val="none"/>
        </w:rPr>
        <w:t>单位资金管理办法》《</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文化保护传承利用工程</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D0FA71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项目支出绩效评价</w:t>
      </w:r>
      <w:r>
        <w:rPr>
          <w:rFonts w:hint="eastAsia" w:ascii="宋体" w:hAnsi="宋体" w:eastAsia="宋体" w:cs="宋体"/>
          <w:b w:val="0"/>
          <w:bCs w:val="0"/>
          <w:color w:val="auto"/>
          <w:sz w:val="24"/>
          <w:szCs w:val="24"/>
          <w:highlight w:val="none"/>
        </w:rPr>
        <w:t>管理办法》《</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7F3ADFC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项目支出绩效评价</w:t>
      </w:r>
      <w:r>
        <w:rPr>
          <w:rFonts w:hint="eastAsia" w:ascii="宋体" w:hAnsi="宋体" w:eastAsia="宋体" w:cs="宋体"/>
          <w:b w:val="0"/>
          <w:bCs w:val="0"/>
          <w:color w:val="auto"/>
          <w:sz w:val="24"/>
          <w:szCs w:val="24"/>
          <w:highlight w:val="none"/>
        </w:rPr>
        <w:t>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b w:val="0"/>
          <w:bCs w:val="0"/>
          <w:color w:val="auto"/>
          <w:sz w:val="24"/>
          <w:szCs w:val="24"/>
          <w:highlight w:val="none"/>
        </w:rPr>
        <w:t>收支业务</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洛浦县文旅局</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2BEF2D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388805C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352D793C">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val="en-US" w:eastAsia="zh-CN"/>
        </w:rPr>
        <w:t>排日迪古丽</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苏玉</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马湘君</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马洪瑜</w:t>
      </w:r>
      <w:r>
        <w:rPr>
          <w:rFonts w:hint="eastAsia" w:ascii="宋体" w:hAnsi="宋体" w:eastAsia="宋体" w:cs="宋体"/>
          <w:color w:val="auto"/>
          <w:sz w:val="24"/>
          <w:szCs w:val="24"/>
          <w:highlight w:val="none"/>
        </w:rPr>
        <w:t>，主要负责项目监督管理、验收以及资金核拨等工作。</w:t>
      </w:r>
    </w:p>
    <w:p w14:paraId="4D1DACB0">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0FACCAEB">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EFB70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DAF5E76">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5AD4115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lang w:val="en-US" w:eastAsia="zh-CN"/>
        </w:rPr>
        <w:t>保障项目数量</w:t>
      </w:r>
      <w:r>
        <w:rPr>
          <w:rFonts w:hint="eastAsia" w:ascii="宋体" w:hAnsi="宋体" w:eastAsia="宋体" w:cs="宋体"/>
          <w:b w:val="0"/>
          <w:bCs/>
          <w:color w:val="auto"/>
          <w:sz w:val="24"/>
          <w:szCs w:val="24"/>
          <w:highlight w:val="none"/>
          <w:lang w:val="en-US" w:eastAsia="zh-CN"/>
        </w:rPr>
        <w:t>指标，预期指标为1个，实际完成值为1个，指标完成率是100%，</w:t>
      </w:r>
      <w:r>
        <w:rPr>
          <w:rFonts w:hint="eastAsia" w:ascii="宋体" w:hAnsi="宋体" w:eastAsia="宋体" w:cs="宋体"/>
          <w:b w:val="0"/>
          <w:bCs/>
          <w:color w:val="auto"/>
          <w:sz w:val="24"/>
          <w:szCs w:val="24"/>
          <w:highlight w:val="none"/>
        </w:rPr>
        <w:t>项目经费都能控制绩效目标范围内，根据评分标准，该指标不扣分，得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571FA67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11AFE57B">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0226057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w:t>
      </w:r>
      <w:r>
        <w:rPr>
          <w:rFonts w:hint="eastAsia" w:ascii="宋体" w:hAnsi="宋体" w:eastAsia="宋体" w:cs="宋体"/>
          <w:color w:val="auto"/>
          <w:sz w:val="24"/>
          <w:szCs w:val="24"/>
          <w:highlight w:val="none"/>
          <w:lang w:val="en-US" w:eastAsia="zh-CN"/>
        </w:rPr>
        <w:t>使用</w:t>
      </w:r>
      <w:r>
        <w:rPr>
          <w:rFonts w:hint="eastAsia" w:ascii="宋体" w:hAnsi="宋体" w:eastAsia="宋体" w:cs="宋体"/>
          <w:color w:val="auto"/>
          <w:sz w:val="24"/>
          <w:szCs w:val="24"/>
          <w:highlight w:val="none"/>
        </w:rPr>
        <w:t>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F638F1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2103DF4A">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4B5A7C3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项目完成时间指标，预期指标值为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4ADE0DF9">
      <w:pPr>
        <w:pStyle w:val="22"/>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项目完成及时率</w:t>
      </w:r>
      <w:r>
        <w:rPr>
          <w:rFonts w:hint="eastAsia" w:ascii="宋体" w:hAnsi="宋体" w:eastAsia="宋体" w:cs="宋体"/>
          <w:b w:val="0"/>
          <w:color w:val="auto"/>
          <w:sz w:val="24"/>
          <w:szCs w:val="24"/>
          <w:highlight w:val="none"/>
        </w:rPr>
        <w:t>指标预期指标值为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49F04E4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0D78CF40">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C57BCD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工程费用指标，预期指标为480万元，实际完成值为480万元，指标完成率是100%，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0452A7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71D04820">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3FCA8AF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p>
    <w:p w14:paraId="58616C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2A5D452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保障政府公信力指标，该指标预期指标值为</w:t>
      </w:r>
      <w:r>
        <w:rPr>
          <w:rFonts w:hint="eastAsia" w:ascii="宋体" w:hAnsi="宋体" w:eastAsia="宋体" w:cs="宋体"/>
          <w:color w:val="auto"/>
          <w:sz w:val="24"/>
          <w:szCs w:val="24"/>
          <w:highlight w:val="none"/>
          <w:lang w:val="en-US" w:eastAsia="zh-CN"/>
        </w:rPr>
        <w:t>有效保障</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有效保障</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34CD20B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）满意度指标分析</w:t>
      </w:r>
    </w:p>
    <w:p w14:paraId="2FCBD6F5">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对于“满意度指标：</w:t>
      </w:r>
      <w:r>
        <w:rPr>
          <w:rFonts w:hint="eastAsia" w:ascii="宋体" w:hAnsi="宋体" w:eastAsia="宋体" w:cs="宋体"/>
          <w:color w:val="auto"/>
          <w:sz w:val="24"/>
          <w:szCs w:val="24"/>
          <w:highlight w:val="none"/>
          <w:lang w:val="en-US" w:eastAsia="zh-CN"/>
        </w:rPr>
        <w:t>项目单位</w:t>
      </w:r>
      <w:r>
        <w:rPr>
          <w:rFonts w:hint="eastAsia" w:ascii="宋体" w:hAnsi="宋体" w:eastAsia="宋体" w:cs="宋体"/>
          <w:color w:val="auto"/>
          <w:sz w:val="24"/>
          <w:szCs w:val="24"/>
          <w:highlight w:val="none"/>
        </w:rPr>
        <w:t>满意度指标，该指标预期指标值为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bookmarkEnd w:id="15"/>
    </w:p>
    <w:p w14:paraId="05DABC8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E2F3072">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五、预算执行进度与绩效指标偏差情况</w:t>
      </w:r>
    </w:p>
    <w:p w14:paraId="0A9481C7">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480</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1C7AB50">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7376D57">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w:t>
      </w:r>
    </w:p>
    <w:p w14:paraId="61057B7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6" w:name="_Toc68364673"/>
    </w:p>
    <w:p w14:paraId="6C0676F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六、主要经验及做法、存在的问题及原因分析</w:t>
      </w:r>
    </w:p>
    <w:p w14:paraId="3D63A70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6"/>
    </w:p>
    <w:p w14:paraId="29ED39AC">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18C5916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5EBCB9B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三是加强沟通协调，我单位及时向领导汇报项目建设进度，加强与施工单位的沟通，确保项目按期完工。</w:t>
      </w:r>
    </w:p>
    <w:p w14:paraId="5759582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bookmarkStart w:id="17" w:name="_Toc68364674"/>
      <w:r>
        <w:rPr>
          <w:rFonts w:hint="eastAsia" w:ascii="宋体" w:hAnsi="宋体" w:eastAsia="宋体" w:cs="宋体"/>
          <w:color w:val="auto"/>
          <w:sz w:val="24"/>
          <w:szCs w:val="24"/>
          <w:highlight w:val="none"/>
        </w:rPr>
        <w:t>（二）存在问题及原因分析</w:t>
      </w:r>
      <w:bookmarkEnd w:id="17"/>
    </w:p>
    <w:p w14:paraId="0FA53EE5">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bookmarkStart w:id="18" w:name="_Toc68364675"/>
      <w:r>
        <w:rPr>
          <w:rFonts w:hint="eastAsia" w:ascii="宋体" w:hAnsi="宋体" w:eastAsia="宋体" w:cs="宋体"/>
          <w:b w:val="0"/>
          <w:bCs w:val="0"/>
          <w:color w:val="auto"/>
          <w:sz w:val="24"/>
          <w:szCs w:val="24"/>
          <w:highlight w:val="none"/>
          <w:lang w:val="en-US" w:eastAsia="zh-CN"/>
        </w:rPr>
        <w:t>1、部门沟通协调不足，监督责任不明确。</w:t>
      </w:r>
    </w:p>
    <w:p w14:paraId="0C353E3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2、项目资金监督和管理需进一步完善。</w:t>
      </w:r>
    </w:p>
    <w:p w14:paraId="456B843D">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3、现场评价的工作量少，后续效益评价具体措施和方法较少。</w:t>
      </w:r>
    </w:p>
    <w:p w14:paraId="1C9D5FF3">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3BE4B971">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val="0"/>
          <w:bCs w:val="0"/>
          <w:color w:val="auto"/>
          <w:sz w:val="24"/>
          <w:szCs w:val="24"/>
          <w:highlight w:val="none"/>
        </w:rPr>
      </w:pPr>
      <w:r>
        <w:rPr>
          <w:rFonts w:hint="eastAsia" w:ascii="黑体" w:hAnsi="黑体" w:eastAsia="黑体" w:cs="黑体"/>
          <w:color w:val="auto"/>
          <w:sz w:val="24"/>
          <w:szCs w:val="24"/>
          <w:highlight w:val="none"/>
        </w:rPr>
        <w:t>七、有关建议</w:t>
      </w:r>
      <w:bookmarkEnd w:id="18"/>
    </w:p>
    <w:p w14:paraId="65A5D1AA">
      <w:pPr>
        <w:pStyle w:val="4"/>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19" w:name="_Toc68364676"/>
      <w:r>
        <w:rPr>
          <w:rFonts w:hint="eastAsia" w:ascii="宋体" w:hAnsi="宋体" w:eastAsia="宋体" w:cs="宋体"/>
          <w:color w:val="auto"/>
          <w:sz w:val="24"/>
          <w:szCs w:val="24"/>
          <w:highlight w:val="none"/>
        </w:rPr>
        <w:t>1、加强财务管理，严格财务审核。加强单位财务管理，健全单位财务管理制度体系，规范单位财务行为。在费用报账支付时，按照预算规定的费用项目和用途进行资金使用审核、财务严格核算，杜绝超支现象的发生。</w:t>
      </w:r>
    </w:p>
    <w:p w14:paraId="39CBB34A">
      <w:pPr>
        <w:pStyle w:val="4"/>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2、合理安排会计岗位，适当增加会计人员，增加业务知识培训，加强决算工作与账务处理工作衔接。</w:t>
      </w:r>
    </w:p>
    <w:p w14:paraId="430FB124">
      <w:pPr>
        <w:pStyle w:val="4"/>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3、对相关人员加强培训，特别是针对《中华人民共和国预算法》、《行政事业单位会计制度》等学习培训，规范部门预算收支核算，切实提高部门预算收支管理水平。</w:t>
      </w:r>
    </w:p>
    <w:p w14:paraId="12A24002">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7A3F5F4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八、其他需要说明的问题</w:t>
      </w:r>
      <w:bookmarkEnd w:id="19"/>
    </w:p>
    <w:p w14:paraId="7345CEA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155E77B7">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kern w:val="0"/>
          <w:sz w:val="24"/>
          <w:szCs w:val="24"/>
          <w:highlight w:val="none"/>
          <w:lang w:val="en-US" w:eastAsia="zh-CN" w:bidi="ar-SA"/>
        </w:rPr>
        <w:t>项目绩效评价指标体系</w:t>
      </w:r>
    </w:p>
    <w:p w14:paraId="19F7AD08">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w:t>
      </w:r>
      <w:r>
        <w:rPr>
          <w:rFonts w:hint="eastAsia" w:ascii="宋体" w:hAnsi="宋体" w:eastAsia="宋体" w:cs="宋体"/>
          <w:i w:val="0"/>
          <w:iCs w:val="0"/>
          <w:caps w:val="0"/>
          <w:color w:val="333333"/>
          <w:spacing w:val="0"/>
          <w:kern w:val="0"/>
          <w:sz w:val="24"/>
          <w:szCs w:val="24"/>
          <w:highlight w:val="none"/>
          <w:shd w:val="clear" w:color="auto" w:fill="FFFFFF"/>
          <w:lang w:val="en-US" w:eastAsia="zh-CN"/>
        </w:rPr>
        <w:t>2022年文化保护传承利用工程（第一批）中央投资资金--洛浦县热瓦克佛寺遗址保护利用设施资金</w:t>
      </w:r>
      <w:r>
        <w:rPr>
          <w:rFonts w:hint="eastAsia" w:ascii="宋体" w:hAnsi="宋体" w:eastAsia="宋体" w:cs="宋体"/>
          <w:color w:val="auto"/>
          <w:kern w:val="0"/>
          <w:sz w:val="24"/>
          <w:szCs w:val="24"/>
          <w:highlight w:val="none"/>
          <w:lang w:val="en-US" w:eastAsia="zh-CN" w:bidi="ar-SA"/>
        </w:rPr>
        <w:t>项目综合得分表</w:t>
      </w:r>
    </w:p>
    <w:p w14:paraId="78307C75">
      <w:pPr>
        <w:pageBreakBefore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附件3：满意度调查问分析情况</w:t>
      </w:r>
    </w:p>
    <w:p w14:paraId="60430D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E064E41">
      <w:pPr>
        <w:pStyle w:val="10"/>
        <w:ind w:left="0" w:leftChars="0" w:firstLine="0" w:firstLineChars="0"/>
        <w:jc w:val="both"/>
        <w:rPr>
          <w:rFonts w:hint="eastAsia" w:ascii="宋体" w:hAnsi="宋体" w:eastAsia="宋体" w:cs="宋体"/>
          <w:color w:val="auto"/>
          <w:sz w:val="24"/>
          <w:szCs w:val="24"/>
          <w:highlight w:val="none"/>
        </w:rPr>
      </w:pPr>
    </w:p>
    <w:p w14:paraId="3B51B92D">
      <w:pPr>
        <w:pStyle w:val="10"/>
        <w:ind w:left="0" w:leftChars="0" w:firstLine="0" w:firstLineChars="0"/>
        <w:jc w:val="both"/>
        <w:rPr>
          <w:rFonts w:hint="eastAsia" w:ascii="宋体" w:hAnsi="宋体" w:eastAsia="宋体" w:cs="宋体"/>
          <w:color w:val="auto"/>
          <w:sz w:val="24"/>
          <w:szCs w:val="24"/>
          <w:highlight w:val="none"/>
        </w:rPr>
        <w:sectPr>
          <w:footerReference r:id="rId7" w:type="default"/>
          <w:pgSz w:w="11906" w:h="16838"/>
          <w:pgMar w:top="1843" w:right="1531" w:bottom="1843" w:left="1531" w:header="851" w:footer="992" w:gutter="0"/>
          <w:pgNumType w:fmt="decimal" w:start="1"/>
          <w:cols w:space="720" w:num="1"/>
          <w:docGrid w:type="linesAndChars" w:linePitch="386" w:charSpace="0"/>
        </w:sectPr>
      </w:pPr>
    </w:p>
    <w:tbl>
      <w:tblPr>
        <w:tblStyle w:val="2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4"/>
        <w:gridCol w:w="554"/>
        <w:gridCol w:w="564"/>
        <w:gridCol w:w="554"/>
        <w:gridCol w:w="699"/>
        <w:gridCol w:w="554"/>
        <w:gridCol w:w="1745"/>
        <w:gridCol w:w="1094"/>
        <w:gridCol w:w="4856"/>
        <w:gridCol w:w="1361"/>
        <w:gridCol w:w="727"/>
      </w:tblGrid>
      <w:tr w14:paraId="76A6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gridSpan w:val="11"/>
            <w:tcBorders>
              <w:top w:val="nil"/>
              <w:left w:val="nil"/>
              <w:bottom w:val="nil"/>
              <w:right w:val="nil"/>
            </w:tcBorders>
            <w:noWrap w:val="0"/>
            <w:vAlign w:val="center"/>
          </w:tcPr>
          <w:p w14:paraId="36BF335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附件1：</w:t>
            </w:r>
          </w:p>
        </w:tc>
      </w:tr>
      <w:tr w14:paraId="48279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0" w:type="auto"/>
            <w:gridSpan w:val="11"/>
            <w:tcBorders>
              <w:top w:val="nil"/>
              <w:left w:val="nil"/>
              <w:bottom w:val="nil"/>
              <w:right w:val="nil"/>
            </w:tcBorders>
            <w:noWrap w:val="0"/>
            <w:vAlign w:val="center"/>
          </w:tcPr>
          <w:p w14:paraId="06465B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2022年文化保护传承利用工程（第一批）中央投资资金--洛浦县热瓦克佛寺遗址保护利用设施资金</w:t>
            </w:r>
          </w:p>
        </w:tc>
      </w:tr>
      <w:tr w14:paraId="2A3B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gridSpan w:val="11"/>
            <w:tcBorders>
              <w:top w:val="nil"/>
              <w:left w:val="nil"/>
              <w:bottom w:val="nil"/>
              <w:right w:val="nil"/>
            </w:tcBorders>
            <w:noWrap w:val="0"/>
            <w:vAlign w:val="center"/>
          </w:tcPr>
          <w:p w14:paraId="3BF903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项目绩效评价指标体系综合评分表</w:t>
            </w:r>
          </w:p>
        </w:tc>
      </w:tr>
      <w:tr w14:paraId="3C64B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single" w:color="auto" w:sz="8" w:space="0"/>
              <w:left w:val="single" w:color="auto" w:sz="8" w:space="0"/>
              <w:bottom w:val="single" w:color="auto" w:sz="8" w:space="0"/>
              <w:right w:val="single" w:color="auto" w:sz="8" w:space="0"/>
            </w:tcBorders>
            <w:noWrap w:val="0"/>
            <w:vAlign w:val="center"/>
          </w:tcPr>
          <w:p w14:paraId="00994A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一级指标</w:t>
            </w:r>
          </w:p>
        </w:tc>
        <w:tc>
          <w:tcPr>
            <w:tcW w:w="0" w:type="auto"/>
            <w:tcBorders>
              <w:top w:val="single" w:color="auto" w:sz="8" w:space="0"/>
              <w:left w:val="nil"/>
              <w:bottom w:val="single" w:color="auto" w:sz="8" w:space="0"/>
              <w:right w:val="single" w:color="auto" w:sz="8" w:space="0"/>
            </w:tcBorders>
            <w:noWrap w:val="0"/>
            <w:vAlign w:val="center"/>
          </w:tcPr>
          <w:p w14:paraId="094C0B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0" w:type="auto"/>
            <w:tcBorders>
              <w:top w:val="single" w:color="auto" w:sz="8" w:space="0"/>
              <w:left w:val="nil"/>
              <w:bottom w:val="single" w:color="auto" w:sz="8" w:space="0"/>
              <w:right w:val="single" w:color="auto" w:sz="8" w:space="0"/>
            </w:tcBorders>
            <w:noWrap w:val="0"/>
            <w:vAlign w:val="center"/>
          </w:tcPr>
          <w:p w14:paraId="2454F6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二级指标</w:t>
            </w:r>
          </w:p>
        </w:tc>
        <w:tc>
          <w:tcPr>
            <w:tcW w:w="0" w:type="auto"/>
            <w:tcBorders>
              <w:top w:val="single" w:color="auto" w:sz="8" w:space="0"/>
              <w:left w:val="nil"/>
              <w:bottom w:val="single" w:color="auto" w:sz="8" w:space="0"/>
              <w:right w:val="single" w:color="auto" w:sz="8" w:space="0"/>
            </w:tcBorders>
            <w:noWrap w:val="0"/>
            <w:vAlign w:val="center"/>
          </w:tcPr>
          <w:p w14:paraId="26F72F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0" w:type="auto"/>
            <w:tcBorders>
              <w:top w:val="single" w:color="auto" w:sz="8" w:space="0"/>
              <w:left w:val="nil"/>
              <w:bottom w:val="single" w:color="auto" w:sz="8" w:space="0"/>
              <w:right w:val="single" w:color="auto" w:sz="8" w:space="0"/>
            </w:tcBorders>
            <w:noWrap w:val="0"/>
            <w:vAlign w:val="center"/>
          </w:tcPr>
          <w:p w14:paraId="52CA00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三级指标</w:t>
            </w:r>
          </w:p>
        </w:tc>
        <w:tc>
          <w:tcPr>
            <w:tcW w:w="0" w:type="auto"/>
            <w:tcBorders>
              <w:top w:val="single" w:color="auto" w:sz="8" w:space="0"/>
              <w:left w:val="nil"/>
              <w:bottom w:val="single" w:color="auto" w:sz="8" w:space="0"/>
              <w:right w:val="single" w:color="auto" w:sz="8" w:space="0"/>
            </w:tcBorders>
            <w:noWrap w:val="0"/>
            <w:vAlign w:val="center"/>
          </w:tcPr>
          <w:p w14:paraId="6C81B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1745" w:type="dxa"/>
            <w:tcBorders>
              <w:top w:val="single" w:color="auto" w:sz="8" w:space="0"/>
              <w:left w:val="nil"/>
              <w:bottom w:val="single" w:color="auto" w:sz="8" w:space="0"/>
              <w:right w:val="single" w:color="auto" w:sz="8" w:space="0"/>
            </w:tcBorders>
            <w:noWrap w:val="0"/>
            <w:vAlign w:val="center"/>
          </w:tcPr>
          <w:p w14:paraId="2F1473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指标解释</w:t>
            </w:r>
          </w:p>
        </w:tc>
        <w:tc>
          <w:tcPr>
            <w:tcW w:w="1094" w:type="dxa"/>
            <w:tcBorders>
              <w:top w:val="single" w:color="auto" w:sz="8" w:space="0"/>
              <w:left w:val="nil"/>
              <w:bottom w:val="single" w:color="auto" w:sz="8" w:space="0"/>
              <w:right w:val="single" w:color="auto" w:sz="8" w:space="0"/>
            </w:tcBorders>
            <w:noWrap w:val="0"/>
            <w:vAlign w:val="center"/>
          </w:tcPr>
          <w:p w14:paraId="080A96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标杆值</w:t>
            </w:r>
          </w:p>
        </w:tc>
        <w:tc>
          <w:tcPr>
            <w:tcW w:w="4856" w:type="dxa"/>
            <w:tcBorders>
              <w:top w:val="single" w:color="auto" w:sz="8" w:space="0"/>
              <w:left w:val="nil"/>
              <w:bottom w:val="single" w:color="auto" w:sz="8" w:space="0"/>
              <w:right w:val="single" w:color="auto" w:sz="8" w:space="0"/>
            </w:tcBorders>
            <w:noWrap w:val="0"/>
            <w:vAlign w:val="center"/>
          </w:tcPr>
          <w:p w14:paraId="067A18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评分标准</w:t>
            </w:r>
          </w:p>
        </w:tc>
        <w:tc>
          <w:tcPr>
            <w:tcW w:w="1361" w:type="dxa"/>
            <w:tcBorders>
              <w:top w:val="single" w:color="auto" w:sz="8" w:space="0"/>
              <w:left w:val="nil"/>
              <w:bottom w:val="single" w:color="auto" w:sz="8" w:space="0"/>
              <w:right w:val="single" w:color="auto" w:sz="8" w:space="0"/>
            </w:tcBorders>
            <w:noWrap w:val="0"/>
            <w:vAlign w:val="center"/>
          </w:tcPr>
          <w:p w14:paraId="5167D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完成值</w:t>
            </w:r>
          </w:p>
        </w:tc>
        <w:tc>
          <w:tcPr>
            <w:tcW w:w="727" w:type="dxa"/>
            <w:tcBorders>
              <w:top w:val="single" w:color="auto" w:sz="8" w:space="0"/>
              <w:left w:val="nil"/>
              <w:bottom w:val="single" w:color="auto" w:sz="8" w:space="0"/>
              <w:right w:val="single" w:color="auto" w:sz="8" w:space="0"/>
            </w:tcBorders>
            <w:noWrap w:val="0"/>
            <w:vAlign w:val="center"/>
          </w:tcPr>
          <w:p w14:paraId="4C3ED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w:t>
            </w:r>
          </w:p>
        </w:tc>
      </w:tr>
      <w:tr w14:paraId="0C32C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1" w:hRule="atLeast"/>
        </w:trPr>
        <w:tc>
          <w:tcPr>
            <w:tcW w:w="0" w:type="auto"/>
            <w:vMerge w:val="restart"/>
            <w:tcBorders>
              <w:top w:val="nil"/>
              <w:left w:val="single" w:color="auto" w:sz="8" w:space="0"/>
              <w:bottom w:val="single" w:color="auto" w:sz="8" w:space="0"/>
              <w:right w:val="single" w:color="auto" w:sz="8" w:space="0"/>
            </w:tcBorders>
            <w:noWrap w:val="0"/>
            <w:vAlign w:val="center"/>
          </w:tcPr>
          <w:p w14:paraId="77B3D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项目决策</w:t>
            </w:r>
          </w:p>
        </w:tc>
        <w:tc>
          <w:tcPr>
            <w:tcW w:w="0" w:type="auto"/>
            <w:vMerge w:val="restart"/>
            <w:tcBorders>
              <w:top w:val="nil"/>
              <w:left w:val="nil"/>
              <w:bottom w:val="single" w:color="auto" w:sz="8" w:space="0"/>
              <w:right w:val="single" w:color="auto" w:sz="8" w:space="0"/>
            </w:tcBorders>
            <w:noWrap w:val="0"/>
            <w:vAlign w:val="center"/>
          </w:tcPr>
          <w:p w14:paraId="0C7E07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23</w:t>
            </w:r>
          </w:p>
        </w:tc>
        <w:tc>
          <w:tcPr>
            <w:tcW w:w="0" w:type="auto"/>
            <w:vMerge w:val="restart"/>
            <w:tcBorders>
              <w:top w:val="nil"/>
              <w:left w:val="nil"/>
              <w:bottom w:val="single" w:color="auto" w:sz="8" w:space="0"/>
              <w:right w:val="single" w:color="auto" w:sz="8" w:space="0"/>
            </w:tcBorders>
            <w:noWrap w:val="0"/>
            <w:vAlign w:val="center"/>
          </w:tcPr>
          <w:p w14:paraId="4BF1A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w:t>
            </w:r>
          </w:p>
        </w:tc>
        <w:tc>
          <w:tcPr>
            <w:tcW w:w="0" w:type="auto"/>
            <w:vMerge w:val="restart"/>
            <w:tcBorders>
              <w:top w:val="nil"/>
              <w:left w:val="nil"/>
              <w:bottom w:val="single" w:color="auto" w:sz="8" w:space="0"/>
              <w:right w:val="single" w:color="auto" w:sz="8" w:space="0"/>
            </w:tcBorders>
            <w:noWrap w:val="0"/>
            <w:vAlign w:val="center"/>
          </w:tcPr>
          <w:p w14:paraId="705A0E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0" w:type="auto"/>
            <w:tcBorders>
              <w:top w:val="nil"/>
              <w:left w:val="nil"/>
              <w:bottom w:val="single" w:color="auto" w:sz="8" w:space="0"/>
              <w:right w:val="single" w:color="auto" w:sz="8" w:space="0"/>
            </w:tcBorders>
            <w:noWrap w:val="0"/>
            <w:vAlign w:val="center"/>
          </w:tcPr>
          <w:p w14:paraId="6CC90E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立项依据充分性</w:t>
            </w:r>
          </w:p>
        </w:tc>
        <w:tc>
          <w:tcPr>
            <w:tcW w:w="0" w:type="auto"/>
            <w:tcBorders>
              <w:top w:val="nil"/>
              <w:left w:val="nil"/>
              <w:bottom w:val="single" w:color="auto" w:sz="8" w:space="0"/>
              <w:right w:val="single" w:color="auto" w:sz="8" w:space="0"/>
            </w:tcBorders>
            <w:noWrap w:val="0"/>
            <w:vAlign w:val="center"/>
          </w:tcPr>
          <w:p w14:paraId="436690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1745" w:type="dxa"/>
            <w:tcBorders>
              <w:top w:val="nil"/>
              <w:left w:val="nil"/>
              <w:bottom w:val="single" w:color="auto" w:sz="8" w:space="0"/>
              <w:right w:val="single" w:color="auto" w:sz="8" w:space="0"/>
            </w:tcBorders>
            <w:noWrap w:val="0"/>
            <w:vAlign w:val="center"/>
          </w:tcPr>
          <w:p w14:paraId="0A2ED4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项目立项是否符合法律法规、相关政策、发展规划以及部门职责，用以反映和考核项目立项依据情况。</w:t>
            </w:r>
          </w:p>
        </w:tc>
        <w:tc>
          <w:tcPr>
            <w:tcW w:w="1094" w:type="dxa"/>
            <w:tcBorders>
              <w:top w:val="nil"/>
              <w:left w:val="nil"/>
              <w:bottom w:val="single" w:color="auto" w:sz="8" w:space="0"/>
              <w:right w:val="single" w:color="auto" w:sz="8" w:space="0"/>
            </w:tcBorders>
            <w:noWrap w:val="0"/>
            <w:vAlign w:val="center"/>
          </w:tcPr>
          <w:p w14:paraId="1F625A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4856" w:type="dxa"/>
            <w:tcBorders>
              <w:top w:val="nil"/>
              <w:left w:val="nil"/>
              <w:bottom w:val="single" w:color="auto" w:sz="8" w:space="0"/>
              <w:right w:val="single" w:color="auto" w:sz="8" w:space="0"/>
            </w:tcBorders>
            <w:noWrap w:val="0"/>
            <w:vAlign w:val="center"/>
          </w:tcPr>
          <w:p w14:paraId="5232F1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①项目立项是否符合国家法律法规、国民经济发展规划和相关政策；</w:t>
            </w:r>
          </w:p>
          <w:p w14:paraId="0649BE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②项目立项是否符合行业发展规划和政策要求；</w:t>
            </w:r>
          </w:p>
          <w:p w14:paraId="60DBAE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③项目立项是否与部门职责范围相符，属于部门履职所需；</w:t>
            </w:r>
          </w:p>
          <w:p w14:paraId="23117A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④项目是否属于公共财政支持范围，是否符合中央、地方事权支出责任划分原则；</w:t>
            </w:r>
          </w:p>
          <w:p w14:paraId="75C7B9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⑤项目是否与相关部门同类项目或部门内部相关项目重复。</w:t>
            </w:r>
          </w:p>
          <w:p w14:paraId="6CE5D6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以上每条要素占权重分的20%，每有一条不符合，扣除对应权重分，扣完为止。</w:t>
            </w:r>
          </w:p>
        </w:tc>
        <w:tc>
          <w:tcPr>
            <w:tcW w:w="1361" w:type="dxa"/>
            <w:tcBorders>
              <w:top w:val="nil"/>
              <w:left w:val="nil"/>
              <w:bottom w:val="single" w:color="auto" w:sz="8" w:space="0"/>
              <w:right w:val="single" w:color="auto" w:sz="8" w:space="0"/>
            </w:tcBorders>
            <w:noWrap w:val="0"/>
            <w:vAlign w:val="center"/>
          </w:tcPr>
          <w:p w14:paraId="53A9A3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727" w:type="dxa"/>
            <w:tcBorders>
              <w:top w:val="nil"/>
              <w:left w:val="nil"/>
              <w:bottom w:val="single" w:color="auto" w:sz="8" w:space="0"/>
              <w:right w:val="single" w:color="auto" w:sz="8" w:space="0"/>
            </w:tcBorders>
            <w:noWrap w:val="0"/>
            <w:vAlign w:val="center"/>
          </w:tcPr>
          <w:p w14:paraId="7E45C4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r>
      <w:tr w14:paraId="4F73A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4D9B7C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0D00D4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A41A0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4B84B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79ADC5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立项程序规范性</w:t>
            </w:r>
          </w:p>
        </w:tc>
        <w:tc>
          <w:tcPr>
            <w:tcW w:w="0" w:type="auto"/>
            <w:tcBorders>
              <w:top w:val="nil"/>
              <w:left w:val="nil"/>
              <w:bottom w:val="single" w:color="auto" w:sz="8" w:space="0"/>
              <w:right w:val="single" w:color="auto" w:sz="8" w:space="0"/>
            </w:tcBorders>
            <w:noWrap w:val="0"/>
            <w:vAlign w:val="center"/>
          </w:tcPr>
          <w:p w14:paraId="262B72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1745" w:type="dxa"/>
            <w:tcBorders>
              <w:top w:val="nil"/>
              <w:left w:val="nil"/>
              <w:bottom w:val="single" w:color="auto" w:sz="8" w:space="0"/>
              <w:right w:val="single" w:color="auto" w:sz="8" w:space="0"/>
            </w:tcBorders>
            <w:noWrap w:val="0"/>
            <w:vAlign w:val="center"/>
          </w:tcPr>
          <w:p w14:paraId="04D8EF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项目申请、设立过程是否符合相关要求，用以反映和考核项目立项的规范情况。</w:t>
            </w:r>
          </w:p>
        </w:tc>
        <w:tc>
          <w:tcPr>
            <w:tcW w:w="1094" w:type="dxa"/>
            <w:tcBorders>
              <w:top w:val="nil"/>
              <w:left w:val="nil"/>
              <w:bottom w:val="single" w:color="auto" w:sz="8" w:space="0"/>
              <w:right w:val="single" w:color="auto" w:sz="8" w:space="0"/>
            </w:tcBorders>
            <w:noWrap w:val="0"/>
            <w:vAlign w:val="center"/>
          </w:tcPr>
          <w:p w14:paraId="5DCA4B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4856" w:type="dxa"/>
            <w:tcBorders>
              <w:top w:val="nil"/>
              <w:left w:val="nil"/>
              <w:bottom w:val="single" w:color="auto" w:sz="8" w:space="0"/>
              <w:right w:val="single" w:color="auto" w:sz="8" w:space="0"/>
            </w:tcBorders>
            <w:noWrap w:val="0"/>
            <w:vAlign w:val="center"/>
          </w:tcPr>
          <w:p w14:paraId="45B49C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①项目是否按照规定的程序申请设立；</w:t>
            </w:r>
          </w:p>
          <w:p w14:paraId="3C2EF5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②审批文件、材料是否符合相关要求；</w:t>
            </w:r>
          </w:p>
          <w:p w14:paraId="5B50B9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③事前是否已经过必要的可行性研究、专家论证、风险评估、绩效评估、集体决策。</w:t>
            </w:r>
          </w:p>
          <w:p w14:paraId="6EE8CF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①②③齐全得权重分的100%，缺①扣权重分的40%，缺②扣权重分的30%，缺③扣权重分的30%。</w:t>
            </w:r>
          </w:p>
        </w:tc>
        <w:tc>
          <w:tcPr>
            <w:tcW w:w="1361" w:type="dxa"/>
            <w:tcBorders>
              <w:top w:val="nil"/>
              <w:left w:val="nil"/>
              <w:bottom w:val="single" w:color="auto" w:sz="8" w:space="0"/>
              <w:right w:val="single" w:color="auto" w:sz="8" w:space="0"/>
            </w:tcBorders>
            <w:noWrap w:val="0"/>
            <w:vAlign w:val="center"/>
          </w:tcPr>
          <w:p w14:paraId="088C46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727" w:type="dxa"/>
            <w:tcBorders>
              <w:top w:val="nil"/>
              <w:left w:val="nil"/>
              <w:bottom w:val="single" w:color="auto" w:sz="8" w:space="0"/>
              <w:right w:val="single" w:color="auto" w:sz="8" w:space="0"/>
            </w:tcBorders>
            <w:noWrap w:val="0"/>
            <w:vAlign w:val="center"/>
          </w:tcPr>
          <w:p w14:paraId="13BAFC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37877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0B0B89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4CDB92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restart"/>
            <w:tcBorders>
              <w:top w:val="nil"/>
              <w:left w:val="nil"/>
              <w:bottom w:val="single" w:color="auto" w:sz="8" w:space="0"/>
              <w:right w:val="single" w:color="auto" w:sz="8" w:space="0"/>
            </w:tcBorders>
            <w:noWrap w:val="0"/>
            <w:vAlign w:val="center"/>
          </w:tcPr>
          <w:p w14:paraId="0A1A3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w:t>
            </w:r>
          </w:p>
        </w:tc>
        <w:tc>
          <w:tcPr>
            <w:tcW w:w="0" w:type="auto"/>
            <w:vMerge w:val="restart"/>
            <w:tcBorders>
              <w:top w:val="nil"/>
              <w:left w:val="nil"/>
              <w:bottom w:val="single" w:color="auto" w:sz="8" w:space="0"/>
              <w:right w:val="single" w:color="auto" w:sz="8" w:space="0"/>
            </w:tcBorders>
            <w:noWrap w:val="0"/>
            <w:vAlign w:val="center"/>
          </w:tcPr>
          <w:p w14:paraId="5379A4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0" w:type="auto"/>
            <w:tcBorders>
              <w:top w:val="nil"/>
              <w:left w:val="nil"/>
              <w:bottom w:val="single" w:color="auto" w:sz="8" w:space="0"/>
              <w:right w:val="single" w:color="auto" w:sz="8" w:space="0"/>
            </w:tcBorders>
            <w:noWrap w:val="0"/>
            <w:vAlign w:val="center"/>
          </w:tcPr>
          <w:p w14:paraId="3C3F6C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绩效目标合理性</w:t>
            </w:r>
          </w:p>
        </w:tc>
        <w:tc>
          <w:tcPr>
            <w:tcW w:w="0" w:type="auto"/>
            <w:tcBorders>
              <w:top w:val="nil"/>
              <w:left w:val="nil"/>
              <w:bottom w:val="single" w:color="auto" w:sz="8" w:space="0"/>
              <w:right w:val="single" w:color="auto" w:sz="8" w:space="0"/>
            </w:tcBorders>
            <w:noWrap w:val="0"/>
            <w:vAlign w:val="center"/>
          </w:tcPr>
          <w:p w14:paraId="5129FF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1745" w:type="dxa"/>
            <w:tcBorders>
              <w:top w:val="nil"/>
              <w:left w:val="nil"/>
              <w:bottom w:val="single" w:color="auto" w:sz="8" w:space="0"/>
              <w:right w:val="single" w:color="auto" w:sz="8" w:space="0"/>
            </w:tcBorders>
            <w:noWrap w:val="0"/>
            <w:vAlign w:val="center"/>
          </w:tcPr>
          <w:p w14:paraId="5A5737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项目所设定的绩效目标是否依据充分，是否符合客观实际，用以反映和考核项目绩效目标与项目实施的相符情况。</w:t>
            </w:r>
          </w:p>
        </w:tc>
        <w:tc>
          <w:tcPr>
            <w:tcW w:w="1094" w:type="dxa"/>
            <w:tcBorders>
              <w:top w:val="nil"/>
              <w:left w:val="nil"/>
              <w:bottom w:val="single" w:color="auto" w:sz="8" w:space="0"/>
              <w:right w:val="single" w:color="auto" w:sz="8" w:space="0"/>
            </w:tcBorders>
            <w:noWrap w:val="0"/>
            <w:vAlign w:val="center"/>
          </w:tcPr>
          <w:p w14:paraId="01C369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856" w:type="dxa"/>
            <w:tcBorders>
              <w:top w:val="nil"/>
              <w:left w:val="nil"/>
              <w:bottom w:val="single" w:color="auto" w:sz="8" w:space="0"/>
              <w:right w:val="single" w:color="auto" w:sz="8" w:space="0"/>
            </w:tcBorders>
            <w:noWrap w:val="0"/>
            <w:vAlign w:val="center"/>
          </w:tcPr>
          <w:p w14:paraId="7A346B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①项目是否有绩效目标；</w:t>
            </w:r>
          </w:p>
          <w:p w14:paraId="4ACC3C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②项目绩效目标与实际工作内容是否具有相关性；</w:t>
            </w:r>
          </w:p>
          <w:p w14:paraId="018C56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③项目预期产出效益和效果是否符合正常的业绩水平；</w:t>
            </w:r>
          </w:p>
          <w:p w14:paraId="51CCFB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④是否与预算确定的项目投资额或资金量相匹配。</w:t>
            </w:r>
          </w:p>
          <w:p w14:paraId="7AB446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1361" w:type="dxa"/>
            <w:tcBorders>
              <w:top w:val="nil"/>
              <w:left w:val="nil"/>
              <w:bottom w:val="single" w:color="auto" w:sz="8" w:space="0"/>
              <w:right w:val="single" w:color="auto" w:sz="8" w:space="0"/>
            </w:tcBorders>
            <w:noWrap w:val="0"/>
            <w:vAlign w:val="center"/>
          </w:tcPr>
          <w:p w14:paraId="3B6C2A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727" w:type="dxa"/>
            <w:tcBorders>
              <w:top w:val="nil"/>
              <w:left w:val="nil"/>
              <w:bottom w:val="single" w:color="auto" w:sz="8" w:space="0"/>
              <w:right w:val="single" w:color="auto" w:sz="8" w:space="0"/>
            </w:tcBorders>
            <w:noWrap w:val="0"/>
            <w:vAlign w:val="center"/>
          </w:tcPr>
          <w:p w14:paraId="7A2ADD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r>
      <w:tr w14:paraId="7EE86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7FACB5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EFD84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767606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5099D8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3CD59C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绩效指标明确性</w:t>
            </w:r>
          </w:p>
        </w:tc>
        <w:tc>
          <w:tcPr>
            <w:tcW w:w="0" w:type="auto"/>
            <w:tcBorders>
              <w:top w:val="nil"/>
              <w:left w:val="nil"/>
              <w:bottom w:val="single" w:color="auto" w:sz="8" w:space="0"/>
              <w:right w:val="single" w:color="auto" w:sz="8" w:space="0"/>
            </w:tcBorders>
            <w:noWrap w:val="0"/>
            <w:vAlign w:val="center"/>
          </w:tcPr>
          <w:p w14:paraId="2432FD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1745" w:type="dxa"/>
            <w:tcBorders>
              <w:top w:val="nil"/>
              <w:left w:val="nil"/>
              <w:bottom w:val="single" w:color="auto" w:sz="8" w:space="0"/>
              <w:right w:val="single" w:color="auto" w:sz="8" w:space="0"/>
            </w:tcBorders>
            <w:noWrap w:val="0"/>
            <w:vAlign w:val="center"/>
          </w:tcPr>
          <w:p w14:paraId="5F2D1E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依据绩效目标设定的绩效指标是否清晰、细化、可衡量等，用以反映和考核项目绩效目标的明细化情况。</w:t>
            </w:r>
          </w:p>
        </w:tc>
        <w:tc>
          <w:tcPr>
            <w:tcW w:w="1094" w:type="dxa"/>
            <w:tcBorders>
              <w:top w:val="nil"/>
              <w:left w:val="nil"/>
              <w:bottom w:val="single" w:color="auto" w:sz="8" w:space="0"/>
              <w:right w:val="single" w:color="auto" w:sz="8" w:space="0"/>
            </w:tcBorders>
            <w:noWrap w:val="0"/>
            <w:vAlign w:val="center"/>
          </w:tcPr>
          <w:p w14:paraId="09854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4856" w:type="dxa"/>
            <w:tcBorders>
              <w:top w:val="nil"/>
              <w:left w:val="nil"/>
              <w:bottom w:val="single" w:color="auto" w:sz="8" w:space="0"/>
              <w:right w:val="single" w:color="auto" w:sz="8" w:space="0"/>
            </w:tcBorders>
            <w:noWrap w:val="0"/>
            <w:vAlign w:val="center"/>
          </w:tcPr>
          <w:p w14:paraId="3C4B90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①是否将项目绩效目标细化分解为具体的绩效指标；</w:t>
            </w:r>
          </w:p>
          <w:p w14:paraId="53679B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②是否通过清晰、可衡量的指标值予以体现；</w:t>
            </w:r>
          </w:p>
          <w:p w14:paraId="39F884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③是否与项目目标任务数或计划数相对应。</w:t>
            </w:r>
          </w:p>
          <w:p w14:paraId="51EE9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①②③齐全得权重分的100%，缺①扣权重分的20%，缺②扣权重分的50%，缺③扣权重分的30%。</w:t>
            </w:r>
          </w:p>
        </w:tc>
        <w:tc>
          <w:tcPr>
            <w:tcW w:w="1361" w:type="dxa"/>
            <w:tcBorders>
              <w:top w:val="nil"/>
              <w:left w:val="nil"/>
              <w:bottom w:val="single" w:color="auto" w:sz="8" w:space="0"/>
              <w:right w:val="single" w:color="auto" w:sz="8" w:space="0"/>
            </w:tcBorders>
            <w:noWrap w:val="0"/>
            <w:vAlign w:val="center"/>
          </w:tcPr>
          <w:p w14:paraId="58582C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727" w:type="dxa"/>
            <w:tcBorders>
              <w:top w:val="nil"/>
              <w:left w:val="nil"/>
              <w:bottom w:val="single" w:color="auto" w:sz="8" w:space="0"/>
              <w:right w:val="single" w:color="auto" w:sz="8" w:space="0"/>
            </w:tcBorders>
            <w:noWrap w:val="0"/>
            <w:vAlign w:val="center"/>
          </w:tcPr>
          <w:p w14:paraId="008A90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r>
      <w:tr w14:paraId="6E756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6BC637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1A10B8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restart"/>
            <w:tcBorders>
              <w:top w:val="nil"/>
              <w:left w:val="nil"/>
              <w:bottom w:val="single" w:color="auto" w:sz="8" w:space="0"/>
              <w:right w:val="single" w:color="auto" w:sz="8" w:space="0"/>
            </w:tcBorders>
            <w:noWrap w:val="0"/>
            <w:vAlign w:val="center"/>
          </w:tcPr>
          <w:p w14:paraId="2182DA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资金投入</w:t>
            </w:r>
          </w:p>
        </w:tc>
        <w:tc>
          <w:tcPr>
            <w:tcW w:w="0" w:type="auto"/>
            <w:vMerge w:val="restart"/>
            <w:tcBorders>
              <w:top w:val="nil"/>
              <w:left w:val="nil"/>
              <w:bottom w:val="single" w:color="auto" w:sz="8" w:space="0"/>
              <w:right w:val="single" w:color="auto" w:sz="8" w:space="0"/>
            </w:tcBorders>
            <w:noWrap w:val="0"/>
            <w:vAlign w:val="center"/>
          </w:tcPr>
          <w:p w14:paraId="707D72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8</w:t>
            </w:r>
          </w:p>
        </w:tc>
        <w:tc>
          <w:tcPr>
            <w:tcW w:w="0" w:type="auto"/>
            <w:tcBorders>
              <w:top w:val="nil"/>
              <w:left w:val="nil"/>
              <w:bottom w:val="single" w:color="auto" w:sz="8" w:space="0"/>
              <w:right w:val="single" w:color="auto" w:sz="8" w:space="0"/>
            </w:tcBorders>
            <w:noWrap w:val="0"/>
            <w:vAlign w:val="center"/>
          </w:tcPr>
          <w:p w14:paraId="74E3D2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预算编制科学性</w:t>
            </w:r>
          </w:p>
        </w:tc>
        <w:tc>
          <w:tcPr>
            <w:tcW w:w="0" w:type="auto"/>
            <w:tcBorders>
              <w:top w:val="nil"/>
              <w:left w:val="nil"/>
              <w:bottom w:val="single" w:color="auto" w:sz="8" w:space="0"/>
              <w:right w:val="single" w:color="auto" w:sz="8" w:space="0"/>
            </w:tcBorders>
            <w:noWrap w:val="0"/>
            <w:vAlign w:val="center"/>
          </w:tcPr>
          <w:p w14:paraId="0CF6D9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1745" w:type="dxa"/>
            <w:tcBorders>
              <w:top w:val="nil"/>
              <w:left w:val="nil"/>
              <w:bottom w:val="single" w:color="auto" w:sz="8" w:space="0"/>
              <w:right w:val="single" w:color="auto" w:sz="8" w:space="0"/>
            </w:tcBorders>
            <w:noWrap w:val="0"/>
            <w:vAlign w:val="center"/>
          </w:tcPr>
          <w:p w14:paraId="0689D4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项目预算编制是否经过科学论证、有明确标准，资金额度与年度目标是否相适应，用以反映和考核项目预算编制的科学性、合理性情况。</w:t>
            </w:r>
          </w:p>
        </w:tc>
        <w:tc>
          <w:tcPr>
            <w:tcW w:w="1094" w:type="dxa"/>
            <w:tcBorders>
              <w:top w:val="nil"/>
              <w:left w:val="nil"/>
              <w:bottom w:val="single" w:color="auto" w:sz="8" w:space="0"/>
              <w:right w:val="single" w:color="auto" w:sz="8" w:space="0"/>
            </w:tcBorders>
            <w:noWrap w:val="0"/>
            <w:vAlign w:val="center"/>
          </w:tcPr>
          <w:p w14:paraId="72C85A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4856" w:type="dxa"/>
            <w:tcBorders>
              <w:top w:val="nil"/>
              <w:left w:val="nil"/>
              <w:bottom w:val="single" w:color="auto" w:sz="8" w:space="0"/>
              <w:right w:val="single" w:color="auto" w:sz="8" w:space="0"/>
            </w:tcBorders>
            <w:noWrap w:val="0"/>
            <w:vAlign w:val="center"/>
          </w:tcPr>
          <w:p w14:paraId="4DB729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①预算编制是否经过科学论证；</w:t>
            </w:r>
          </w:p>
          <w:p w14:paraId="4D71AD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②预算内容与项目内容是否匹配；</w:t>
            </w:r>
          </w:p>
          <w:p w14:paraId="30B60D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③预算额度测算依据是否充分，是否按照标准编制；</w:t>
            </w:r>
          </w:p>
          <w:p w14:paraId="2FF0A8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④预算确定的项目投资额或资金量是否与工作任务相匹配。</w:t>
            </w:r>
          </w:p>
          <w:p w14:paraId="0F592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1361" w:type="dxa"/>
            <w:tcBorders>
              <w:top w:val="nil"/>
              <w:left w:val="nil"/>
              <w:bottom w:val="single" w:color="auto" w:sz="8" w:space="0"/>
              <w:right w:val="single" w:color="auto" w:sz="8" w:space="0"/>
            </w:tcBorders>
            <w:noWrap w:val="0"/>
            <w:vAlign w:val="center"/>
          </w:tcPr>
          <w:p w14:paraId="0D27F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727" w:type="dxa"/>
            <w:tcBorders>
              <w:top w:val="nil"/>
              <w:left w:val="nil"/>
              <w:bottom w:val="single" w:color="auto" w:sz="8" w:space="0"/>
              <w:right w:val="single" w:color="auto" w:sz="8" w:space="0"/>
            </w:tcBorders>
            <w:noWrap w:val="0"/>
            <w:vAlign w:val="center"/>
          </w:tcPr>
          <w:p w14:paraId="631ECF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r>
      <w:tr w14:paraId="70606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27048D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40696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F5B22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618B2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290A40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资金分配合理性</w:t>
            </w:r>
          </w:p>
        </w:tc>
        <w:tc>
          <w:tcPr>
            <w:tcW w:w="0" w:type="auto"/>
            <w:tcBorders>
              <w:top w:val="nil"/>
              <w:left w:val="nil"/>
              <w:bottom w:val="single" w:color="auto" w:sz="8" w:space="0"/>
              <w:right w:val="single" w:color="auto" w:sz="8" w:space="0"/>
            </w:tcBorders>
            <w:noWrap w:val="0"/>
            <w:vAlign w:val="center"/>
          </w:tcPr>
          <w:p w14:paraId="044C86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1745" w:type="dxa"/>
            <w:tcBorders>
              <w:top w:val="nil"/>
              <w:left w:val="nil"/>
              <w:bottom w:val="single" w:color="auto" w:sz="8" w:space="0"/>
              <w:right w:val="single" w:color="auto" w:sz="8" w:space="0"/>
            </w:tcBorders>
            <w:noWrap w:val="0"/>
            <w:vAlign w:val="center"/>
          </w:tcPr>
          <w:p w14:paraId="022034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项目预算资金分配是否有测算依据，与补助单位或地方实际是否相适应，用以反映和考核项目预算资金分配的科学性、合理性情况。</w:t>
            </w:r>
          </w:p>
        </w:tc>
        <w:tc>
          <w:tcPr>
            <w:tcW w:w="1094" w:type="dxa"/>
            <w:tcBorders>
              <w:top w:val="nil"/>
              <w:left w:val="nil"/>
              <w:bottom w:val="single" w:color="auto" w:sz="8" w:space="0"/>
              <w:right w:val="single" w:color="auto" w:sz="8" w:space="0"/>
            </w:tcBorders>
            <w:noWrap w:val="0"/>
            <w:vAlign w:val="center"/>
          </w:tcPr>
          <w:p w14:paraId="4746FC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856" w:type="dxa"/>
            <w:tcBorders>
              <w:top w:val="nil"/>
              <w:left w:val="nil"/>
              <w:bottom w:val="single" w:color="auto" w:sz="8" w:space="0"/>
              <w:right w:val="single" w:color="auto" w:sz="8" w:space="0"/>
            </w:tcBorders>
            <w:noWrap w:val="0"/>
            <w:vAlign w:val="center"/>
          </w:tcPr>
          <w:p w14:paraId="67C56D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①预算资金分配依据是否充分；</w:t>
            </w:r>
          </w:p>
          <w:p w14:paraId="33EDEE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②资金分配额度是否合理，与项目单位或地方实际是否相适应。</w:t>
            </w:r>
          </w:p>
          <w:p w14:paraId="75DD15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1361" w:type="dxa"/>
            <w:tcBorders>
              <w:top w:val="nil"/>
              <w:left w:val="nil"/>
              <w:bottom w:val="single" w:color="auto" w:sz="8" w:space="0"/>
              <w:right w:val="single" w:color="auto" w:sz="8" w:space="0"/>
            </w:tcBorders>
            <w:noWrap w:val="0"/>
            <w:vAlign w:val="center"/>
          </w:tcPr>
          <w:p w14:paraId="0EB709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727" w:type="dxa"/>
            <w:tcBorders>
              <w:top w:val="nil"/>
              <w:left w:val="nil"/>
              <w:bottom w:val="single" w:color="auto" w:sz="8" w:space="0"/>
              <w:right w:val="single" w:color="auto" w:sz="8" w:space="0"/>
            </w:tcBorders>
            <w:noWrap w:val="0"/>
            <w:vAlign w:val="center"/>
          </w:tcPr>
          <w:p w14:paraId="04A56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r>
      <w:tr w14:paraId="59A14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0" w:type="auto"/>
            <w:vMerge w:val="restart"/>
            <w:tcBorders>
              <w:top w:val="nil"/>
              <w:left w:val="single" w:color="auto" w:sz="8" w:space="0"/>
              <w:bottom w:val="single" w:color="auto" w:sz="8" w:space="0"/>
              <w:right w:val="single" w:color="auto" w:sz="8" w:space="0"/>
            </w:tcBorders>
            <w:noWrap w:val="0"/>
            <w:vAlign w:val="center"/>
          </w:tcPr>
          <w:p w14:paraId="38475F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项目过程</w:t>
            </w:r>
          </w:p>
        </w:tc>
        <w:tc>
          <w:tcPr>
            <w:tcW w:w="0" w:type="auto"/>
            <w:vMerge w:val="restart"/>
            <w:tcBorders>
              <w:top w:val="nil"/>
              <w:left w:val="nil"/>
              <w:bottom w:val="single" w:color="auto" w:sz="8" w:space="0"/>
              <w:right w:val="single" w:color="auto" w:sz="8" w:space="0"/>
            </w:tcBorders>
            <w:noWrap w:val="0"/>
            <w:vAlign w:val="center"/>
          </w:tcPr>
          <w:p w14:paraId="4C990F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12</w:t>
            </w:r>
          </w:p>
        </w:tc>
        <w:tc>
          <w:tcPr>
            <w:tcW w:w="0" w:type="auto"/>
            <w:vMerge w:val="restart"/>
            <w:tcBorders>
              <w:top w:val="nil"/>
              <w:left w:val="nil"/>
              <w:bottom w:val="single" w:color="auto" w:sz="8" w:space="0"/>
              <w:right w:val="single" w:color="auto" w:sz="8" w:space="0"/>
            </w:tcBorders>
            <w:noWrap w:val="0"/>
            <w:vAlign w:val="center"/>
          </w:tcPr>
          <w:p w14:paraId="610871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资金管理</w:t>
            </w:r>
          </w:p>
        </w:tc>
        <w:tc>
          <w:tcPr>
            <w:tcW w:w="0" w:type="auto"/>
            <w:vMerge w:val="restart"/>
            <w:tcBorders>
              <w:top w:val="nil"/>
              <w:left w:val="nil"/>
              <w:bottom w:val="single" w:color="auto" w:sz="8" w:space="0"/>
              <w:right w:val="single" w:color="auto" w:sz="8" w:space="0"/>
            </w:tcBorders>
            <w:noWrap w:val="0"/>
            <w:vAlign w:val="center"/>
          </w:tcPr>
          <w:p w14:paraId="0ED5D2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0" w:type="auto"/>
            <w:tcBorders>
              <w:top w:val="nil"/>
              <w:left w:val="nil"/>
              <w:bottom w:val="single" w:color="auto" w:sz="8" w:space="0"/>
              <w:right w:val="single" w:color="auto" w:sz="8" w:space="0"/>
            </w:tcBorders>
            <w:noWrap w:val="0"/>
            <w:vAlign w:val="center"/>
          </w:tcPr>
          <w:p w14:paraId="40E0BA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w:t>
            </w:r>
          </w:p>
        </w:tc>
        <w:tc>
          <w:tcPr>
            <w:tcW w:w="0" w:type="auto"/>
            <w:tcBorders>
              <w:top w:val="nil"/>
              <w:left w:val="nil"/>
              <w:bottom w:val="single" w:color="auto" w:sz="8" w:space="0"/>
              <w:right w:val="single" w:color="auto" w:sz="8" w:space="0"/>
            </w:tcBorders>
            <w:noWrap w:val="0"/>
            <w:vAlign w:val="center"/>
          </w:tcPr>
          <w:p w14:paraId="08CDB8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c>
          <w:tcPr>
            <w:tcW w:w="1745" w:type="dxa"/>
            <w:tcBorders>
              <w:top w:val="nil"/>
              <w:left w:val="nil"/>
              <w:bottom w:val="single" w:color="auto" w:sz="8" w:space="0"/>
              <w:right w:val="single" w:color="auto" w:sz="8" w:space="0"/>
            </w:tcBorders>
            <w:noWrap w:val="0"/>
            <w:vAlign w:val="center"/>
          </w:tcPr>
          <w:p w14:paraId="69EA58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实际到位资金与预算资金的比率，用以反映和考核资金落实情况对项目实施的总体保障程度。</w:t>
            </w:r>
          </w:p>
        </w:tc>
        <w:tc>
          <w:tcPr>
            <w:tcW w:w="1094" w:type="dxa"/>
            <w:tcBorders>
              <w:top w:val="nil"/>
              <w:left w:val="nil"/>
              <w:bottom w:val="single" w:color="auto" w:sz="8" w:space="0"/>
              <w:right w:val="single" w:color="auto" w:sz="8" w:space="0"/>
            </w:tcBorders>
            <w:noWrap w:val="0"/>
            <w:vAlign w:val="center"/>
          </w:tcPr>
          <w:p w14:paraId="0FC32F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856" w:type="dxa"/>
            <w:tcBorders>
              <w:top w:val="nil"/>
              <w:left w:val="nil"/>
              <w:bottom w:val="single" w:color="auto" w:sz="8" w:space="0"/>
              <w:right w:val="single" w:color="auto" w:sz="8" w:space="0"/>
            </w:tcBorders>
            <w:noWrap w:val="0"/>
            <w:vAlign w:val="center"/>
          </w:tcPr>
          <w:p w14:paraId="4453E5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资金到位率=（实际到位资金/预算资金）×100%。</w:t>
            </w:r>
          </w:p>
          <w:p w14:paraId="741D5F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资金到位率=100%，得权重分满分，每降低1%，扣除5%权重分，扣完为止。</w:t>
            </w:r>
          </w:p>
        </w:tc>
        <w:tc>
          <w:tcPr>
            <w:tcW w:w="1361" w:type="dxa"/>
            <w:tcBorders>
              <w:top w:val="nil"/>
              <w:left w:val="nil"/>
              <w:bottom w:val="single" w:color="auto" w:sz="8" w:space="0"/>
              <w:right w:val="single" w:color="auto" w:sz="8" w:space="0"/>
            </w:tcBorders>
            <w:noWrap w:val="0"/>
            <w:vAlign w:val="center"/>
          </w:tcPr>
          <w:p w14:paraId="4401FC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27" w:type="dxa"/>
            <w:tcBorders>
              <w:top w:val="nil"/>
              <w:left w:val="nil"/>
              <w:bottom w:val="single" w:color="auto" w:sz="8" w:space="0"/>
              <w:right w:val="single" w:color="auto" w:sz="8" w:space="0"/>
            </w:tcBorders>
            <w:noWrap w:val="0"/>
            <w:vAlign w:val="center"/>
          </w:tcPr>
          <w:p w14:paraId="0B3DB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r>
      <w:tr w14:paraId="2A5F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26F442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91E9C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21F28B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CCE90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6948D0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w:t>
            </w:r>
          </w:p>
        </w:tc>
        <w:tc>
          <w:tcPr>
            <w:tcW w:w="0" w:type="auto"/>
            <w:tcBorders>
              <w:top w:val="nil"/>
              <w:left w:val="nil"/>
              <w:bottom w:val="single" w:color="auto" w:sz="8" w:space="0"/>
              <w:right w:val="single" w:color="auto" w:sz="8" w:space="0"/>
            </w:tcBorders>
            <w:noWrap w:val="0"/>
            <w:vAlign w:val="center"/>
          </w:tcPr>
          <w:p w14:paraId="389AF7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1745" w:type="dxa"/>
            <w:tcBorders>
              <w:top w:val="nil"/>
              <w:left w:val="nil"/>
              <w:bottom w:val="single" w:color="auto" w:sz="8" w:space="0"/>
              <w:right w:val="single" w:color="auto" w:sz="8" w:space="0"/>
            </w:tcBorders>
            <w:noWrap w:val="0"/>
            <w:vAlign w:val="center"/>
          </w:tcPr>
          <w:p w14:paraId="5EC1F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项目预算资金是否按照计划执行，用以反映或考核项目预算执行情况。</w:t>
            </w:r>
          </w:p>
        </w:tc>
        <w:tc>
          <w:tcPr>
            <w:tcW w:w="1094" w:type="dxa"/>
            <w:tcBorders>
              <w:top w:val="nil"/>
              <w:left w:val="nil"/>
              <w:bottom w:val="single" w:color="auto" w:sz="8" w:space="0"/>
              <w:right w:val="single" w:color="auto" w:sz="8" w:space="0"/>
            </w:tcBorders>
            <w:noWrap w:val="0"/>
            <w:vAlign w:val="center"/>
          </w:tcPr>
          <w:p w14:paraId="2B2BD9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856" w:type="dxa"/>
            <w:tcBorders>
              <w:top w:val="nil"/>
              <w:left w:val="nil"/>
              <w:bottom w:val="single" w:color="auto" w:sz="8" w:space="0"/>
              <w:right w:val="single" w:color="auto" w:sz="8" w:space="0"/>
            </w:tcBorders>
            <w:noWrap w:val="0"/>
            <w:vAlign w:val="center"/>
          </w:tcPr>
          <w:p w14:paraId="1A5DAB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预算执行率=（实际支出资金/实际到位资金）×100%。</w:t>
            </w:r>
          </w:p>
          <w:p w14:paraId="3EFC26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预算执行率=100%，得权重分满分；若预算执行率＜100%，得分=预算执行率*分值；若执行率≤60%，则不得分。</w:t>
            </w:r>
          </w:p>
        </w:tc>
        <w:tc>
          <w:tcPr>
            <w:tcW w:w="1361" w:type="dxa"/>
            <w:tcBorders>
              <w:top w:val="nil"/>
              <w:left w:val="nil"/>
              <w:bottom w:val="single" w:color="auto" w:sz="8" w:space="0"/>
              <w:right w:val="single" w:color="auto" w:sz="8" w:space="0"/>
            </w:tcBorders>
            <w:noWrap w:val="0"/>
            <w:vAlign w:val="center"/>
          </w:tcPr>
          <w:p w14:paraId="2D4527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27" w:type="dxa"/>
            <w:tcBorders>
              <w:top w:val="nil"/>
              <w:left w:val="nil"/>
              <w:bottom w:val="single" w:color="auto" w:sz="8" w:space="0"/>
              <w:right w:val="single" w:color="auto" w:sz="8" w:space="0"/>
            </w:tcBorders>
            <w:noWrap w:val="0"/>
            <w:vAlign w:val="center"/>
          </w:tcPr>
          <w:p w14:paraId="1B60F5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r>
      <w:tr w14:paraId="57850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5DC9AE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1BED7F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11481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AF065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128AB2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资金使用合规性</w:t>
            </w:r>
          </w:p>
        </w:tc>
        <w:tc>
          <w:tcPr>
            <w:tcW w:w="0" w:type="auto"/>
            <w:tcBorders>
              <w:top w:val="nil"/>
              <w:left w:val="nil"/>
              <w:bottom w:val="single" w:color="auto" w:sz="8" w:space="0"/>
              <w:right w:val="single" w:color="auto" w:sz="8" w:space="0"/>
            </w:tcBorders>
            <w:noWrap w:val="0"/>
            <w:vAlign w:val="center"/>
          </w:tcPr>
          <w:p w14:paraId="78A1B3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1745" w:type="dxa"/>
            <w:tcBorders>
              <w:top w:val="nil"/>
              <w:left w:val="nil"/>
              <w:bottom w:val="single" w:color="auto" w:sz="8" w:space="0"/>
              <w:right w:val="single" w:color="auto" w:sz="8" w:space="0"/>
            </w:tcBorders>
            <w:noWrap w:val="0"/>
            <w:vAlign w:val="center"/>
          </w:tcPr>
          <w:p w14:paraId="5013D9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项目资金使用是否符合相关的财务管理制度规定，用以反映和考核项目资金的规范运行情况。</w:t>
            </w:r>
          </w:p>
        </w:tc>
        <w:tc>
          <w:tcPr>
            <w:tcW w:w="1094" w:type="dxa"/>
            <w:tcBorders>
              <w:top w:val="nil"/>
              <w:left w:val="nil"/>
              <w:bottom w:val="single" w:color="auto" w:sz="8" w:space="0"/>
              <w:right w:val="single" w:color="auto" w:sz="8" w:space="0"/>
            </w:tcBorders>
            <w:noWrap w:val="0"/>
            <w:vAlign w:val="center"/>
          </w:tcPr>
          <w:p w14:paraId="333FD3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4856" w:type="dxa"/>
            <w:tcBorders>
              <w:top w:val="nil"/>
              <w:left w:val="nil"/>
              <w:bottom w:val="single" w:color="auto" w:sz="8" w:space="0"/>
              <w:right w:val="single" w:color="auto" w:sz="8" w:space="0"/>
            </w:tcBorders>
            <w:noWrap w:val="0"/>
            <w:vAlign w:val="center"/>
          </w:tcPr>
          <w:p w14:paraId="199BEF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①否符合国家财经法规和财务管理制度以及有关专项资金管理办法的规定；</w:t>
            </w:r>
          </w:p>
          <w:p w14:paraId="673A9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②资金的拨付是否有完整的审批程序和手续；</w:t>
            </w:r>
          </w:p>
          <w:p w14:paraId="2509D1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③是否符合项目预算批复或合同规定的用途；</w:t>
            </w:r>
          </w:p>
          <w:p w14:paraId="38C11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④是否存在截留、挤占、挪用、虚列支出等情况。</w:t>
            </w:r>
          </w:p>
          <w:p w14:paraId="01CCA4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以上每条指标各占权重分的25%，要素①②不符合，扣除对应权重分；要素③④不符合属于重大违纪，该指标不得分。</w:t>
            </w:r>
          </w:p>
        </w:tc>
        <w:tc>
          <w:tcPr>
            <w:tcW w:w="1361" w:type="dxa"/>
            <w:tcBorders>
              <w:top w:val="nil"/>
              <w:left w:val="nil"/>
              <w:bottom w:val="single" w:color="auto" w:sz="8" w:space="0"/>
              <w:right w:val="single" w:color="auto" w:sz="8" w:space="0"/>
            </w:tcBorders>
            <w:noWrap w:val="0"/>
            <w:vAlign w:val="center"/>
          </w:tcPr>
          <w:p w14:paraId="0242A0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727" w:type="dxa"/>
            <w:tcBorders>
              <w:top w:val="nil"/>
              <w:left w:val="nil"/>
              <w:bottom w:val="single" w:color="auto" w:sz="8" w:space="0"/>
              <w:right w:val="single" w:color="auto" w:sz="8" w:space="0"/>
            </w:tcBorders>
            <w:noWrap w:val="0"/>
            <w:vAlign w:val="center"/>
          </w:tcPr>
          <w:p w14:paraId="20CA6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74650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1D1744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34A4D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restart"/>
            <w:tcBorders>
              <w:top w:val="nil"/>
              <w:left w:val="nil"/>
              <w:bottom w:val="single" w:color="auto" w:sz="8" w:space="0"/>
              <w:right w:val="single" w:color="auto" w:sz="8" w:space="0"/>
            </w:tcBorders>
            <w:noWrap w:val="0"/>
            <w:vAlign w:val="center"/>
          </w:tcPr>
          <w:p w14:paraId="372E3B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组织实施</w:t>
            </w:r>
          </w:p>
        </w:tc>
        <w:tc>
          <w:tcPr>
            <w:tcW w:w="0" w:type="auto"/>
            <w:vMerge w:val="restart"/>
            <w:tcBorders>
              <w:top w:val="nil"/>
              <w:left w:val="nil"/>
              <w:bottom w:val="single" w:color="auto" w:sz="8" w:space="0"/>
              <w:right w:val="single" w:color="auto" w:sz="8" w:space="0"/>
            </w:tcBorders>
            <w:noWrap w:val="0"/>
            <w:vAlign w:val="center"/>
          </w:tcPr>
          <w:p w14:paraId="43B623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0" w:type="auto"/>
            <w:tcBorders>
              <w:top w:val="nil"/>
              <w:left w:val="nil"/>
              <w:bottom w:val="single" w:color="auto" w:sz="8" w:space="0"/>
              <w:right w:val="single" w:color="auto" w:sz="8" w:space="0"/>
            </w:tcBorders>
            <w:noWrap w:val="0"/>
            <w:vAlign w:val="center"/>
          </w:tcPr>
          <w:p w14:paraId="39948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管理制度健全性</w:t>
            </w:r>
          </w:p>
        </w:tc>
        <w:tc>
          <w:tcPr>
            <w:tcW w:w="0" w:type="auto"/>
            <w:tcBorders>
              <w:top w:val="nil"/>
              <w:left w:val="nil"/>
              <w:bottom w:val="single" w:color="auto" w:sz="8" w:space="0"/>
              <w:right w:val="single" w:color="auto" w:sz="8" w:space="0"/>
            </w:tcBorders>
            <w:noWrap w:val="0"/>
            <w:vAlign w:val="center"/>
          </w:tcPr>
          <w:p w14:paraId="165049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1745" w:type="dxa"/>
            <w:tcBorders>
              <w:top w:val="nil"/>
              <w:left w:val="nil"/>
              <w:bottom w:val="single" w:color="auto" w:sz="8" w:space="0"/>
              <w:right w:val="single" w:color="auto" w:sz="8" w:space="0"/>
            </w:tcBorders>
            <w:noWrap w:val="0"/>
            <w:vAlign w:val="center"/>
          </w:tcPr>
          <w:p w14:paraId="22B67A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项目实施单位的财务和业务管理制度是否健全，用以反映和考核财务和业务管理制度对项目顺利实施的保障情况。</w:t>
            </w:r>
          </w:p>
        </w:tc>
        <w:tc>
          <w:tcPr>
            <w:tcW w:w="1094" w:type="dxa"/>
            <w:tcBorders>
              <w:top w:val="nil"/>
              <w:left w:val="nil"/>
              <w:bottom w:val="single" w:color="auto" w:sz="8" w:space="0"/>
              <w:right w:val="single" w:color="auto" w:sz="8" w:space="0"/>
            </w:tcBorders>
            <w:noWrap w:val="0"/>
            <w:vAlign w:val="center"/>
          </w:tcPr>
          <w:p w14:paraId="527400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4856" w:type="dxa"/>
            <w:tcBorders>
              <w:top w:val="nil"/>
              <w:left w:val="nil"/>
              <w:bottom w:val="single" w:color="auto" w:sz="8" w:space="0"/>
              <w:right w:val="single" w:color="auto" w:sz="8" w:space="0"/>
            </w:tcBorders>
            <w:noWrap w:val="0"/>
            <w:vAlign w:val="center"/>
          </w:tcPr>
          <w:p w14:paraId="60A960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①是否已制定或具有相应的财务和业务管理制度；</w:t>
            </w:r>
          </w:p>
          <w:p w14:paraId="4AA0D9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②财务和业务管理制度是否合法、合规、完整。</w:t>
            </w:r>
          </w:p>
          <w:p w14:paraId="01A31D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1361" w:type="dxa"/>
            <w:tcBorders>
              <w:top w:val="nil"/>
              <w:left w:val="nil"/>
              <w:bottom w:val="single" w:color="auto" w:sz="8" w:space="0"/>
              <w:right w:val="single" w:color="auto" w:sz="8" w:space="0"/>
            </w:tcBorders>
            <w:noWrap w:val="0"/>
            <w:vAlign w:val="center"/>
          </w:tcPr>
          <w:p w14:paraId="05542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727" w:type="dxa"/>
            <w:tcBorders>
              <w:top w:val="nil"/>
              <w:left w:val="nil"/>
              <w:bottom w:val="single" w:color="auto" w:sz="8" w:space="0"/>
              <w:right w:val="single" w:color="auto" w:sz="8" w:space="0"/>
            </w:tcBorders>
            <w:noWrap w:val="0"/>
            <w:vAlign w:val="center"/>
          </w:tcPr>
          <w:p w14:paraId="14C67E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35DF7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2693F6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32FAAB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5C285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BFCC7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64F95F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0" w:type="auto"/>
            <w:tcBorders>
              <w:top w:val="nil"/>
              <w:left w:val="nil"/>
              <w:bottom w:val="single" w:color="auto" w:sz="8" w:space="0"/>
              <w:right w:val="single" w:color="auto" w:sz="8" w:space="0"/>
            </w:tcBorders>
            <w:noWrap w:val="0"/>
            <w:vAlign w:val="center"/>
          </w:tcPr>
          <w:p w14:paraId="76B781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1745" w:type="dxa"/>
            <w:tcBorders>
              <w:top w:val="nil"/>
              <w:left w:val="nil"/>
              <w:bottom w:val="single" w:color="auto" w:sz="8" w:space="0"/>
              <w:right w:val="single" w:color="auto" w:sz="8" w:space="0"/>
            </w:tcBorders>
            <w:noWrap w:val="0"/>
            <w:vAlign w:val="center"/>
          </w:tcPr>
          <w:p w14:paraId="057597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项定，用以反映和考核相关管理制度的有效执行情况。目实施是否符合相关管理规</w:t>
            </w:r>
          </w:p>
        </w:tc>
        <w:tc>
          <w:tcPr>
            <w:tcW w:w="1094" w:type="dxa"/>
            <w:tcBorders>
              <w:top w:val="nil"/>
              <w:left w:val="nil"/>
              <w:bottom w:val="single" w:color="auto" w:sz="8" w:space="0"/>
              <w:right w:val="single" w:color="auto" w:sz="8" w:space="0"/>
            </w:tcBorders>
            <w:noWrap w:val="0"/>
            <w:vAlign w:val="center"/>
          </w:tcPr>
          <w:p w14:paraId="0458B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4856" w:type="dxa"/>
            <w:tcBorders>
              <w:top w:val="nil"/>
              <w:left w:val="nil"/>
              <w:bottom w:val="single" w:color="auto" w:sz="8" w:space="0"/>
              <w:right w:val="single" w:color="auto" w:sz="8" w:space="0"/>
            </w:tcBorders>
            <w:noWrap w:val="0"/>
            <w:vAlign w:val="center"/>
          </w:tcPr>
          <w:p w14:paraId="1F182B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15D4AD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3F08ED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662388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1361" w:type="dxa"/>
            <w:tcBorders>
              <w:top w:val="nil"/>
              <w:left w:val="nil"/>
              <w:bottom w:val="single" w:color="auto" w:sz="8" w:space="0"/>
              <w:right w:val="single" w:color="auto" w:sz="8" w:space="0"/>
            </w:tcBorders>
            <w:noWrap w:val="0"/>
            <w:vAlign w:val="center"/>
          </w:tcPr>
          <w:p w14:paraId="2684AE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727" w:type="dxa"/>
            <w:tcBorders>
              <w:top w:val="nil"/>
              <w:left w:val="nil"/>
              <w:bottom w:val="single" w:color="auto" w:sz="8" w:space="0"/>
              <w:right w:val="single" w:color="auto" w:sz="8" w:space="0"/>
            </w:tcBorders>
            <w:noWrap w:val="0"/>
            <w:vAlign w:val="center"/>
          </w:tcPr>
          <w:p w14:paraId="6ACADB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1BB09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0" w:type="auto"/>
            <w:vMerge w:val="restart"/>
            <w:tcBorders>
              <w:top w:val="nil"/>
              <w:left w:val="single" w:color="auto" w:sz="8" w:space="0"/>
              <w:bottom w:val="single" w:color="auto" w:sz="8" w:space="0"/>
              <w:right w:val="single" w:color="auto" w:sz="8" w:space="0"/>
            </w:tcBorders>
            <w:noWrap w:val="0"/>
            <w:vAlign w:val="center"/>
          </w:tcPr>
          <w:p w14:paraId="6FF7D6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0" w:type="auto"/>
            <w:vMerge w:val="restart"/>
            <w:tcBorders>
              <w:top w:val="nil"/>
              <w:left w:val="nil"/>
              <w:bottom w:val="single" w:color="auto" w:sz="8" w:space="0"/>
              <w:right w:val="single" w:color="auto" w:sz="8" w:space="0"/>
            </w:tcBorders>
            <w:noWrap w:val="0"/>
            <w:vAlign w:val="center"/>
          </w:tcPr>
          <w:p w14:paraId="5C96FF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40</w:t>
            </w:r>
          </w:p>
        </w:tc>
        <w:tc>
          <w:tcPr>
            <w:tcW w:w="0" w:type="auto"/>
            <w:tcBorders>
              <w:top w:val="nil"/>
              <w:left w:val="nil"/>
              <w:bottom w:val="single" w:color="auto" w:sz="8" w:space="0"/>
              <w:right w:val="single" w:color="auto" w:sz="8" w:space="0"/>
            </w:tcBorders>
            <w:noWrap w:val="0"/>
            <w:vAlign w:val="center"/>
          </w:tcPr>
          <w:p w14:paraId="47F1EC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0" w:type="auto"/>
            <w:tcBorders>
              <w:top w:val="nil"/>
              <w:left w:val="nil"/>
              <w:bottom w:val="single" w:color="auto" w:sz="8" w:space="0"/>
              <w:right w:val="single" w:color="auto" w:sz="8" w:space="0"/>
            </w:tcBorders>
            <w:noWrap w:val="0"/>
            <w:vAlign w:val="center"/>
          </w:tcPr>
          <w:p w14:paraId="371216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0" w:type="auto"/>
            <w:tcBorders>
              <w:top w:val="nil"/>
              <w:left w:val="nil"/>
              <w:bottom w:val="single" w:color="auto" w:sz="8" w:space="0"/>
              <w:right w:val="single" w:color="auto" w:sz="8" w:space="0"/>
            </w:tcBorders>
            <w:noWrap w:val="0"/>
            <w:vAlign w:val="center"/>
          </w:tcPr>
          <w:p w14:paraId="658C5A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0" w:type="auto"/>
            <w:tcBorders>
              <w:top w:val="nil"/>
              <w:left w:val="nil"/>
              <w:bottom w:val="single" w:color="auto" w:sz="8" w:space="0"/>
              <w:right w:val="single" w:color="auto" w:sz="8" w:space="0"/>
            </w:tcBorders>
            <w:noWrap w:val="0"/>
            <w:vAlign w:val="center"/>
          </w:tcPr>
          <w:p w14:paraId="10A7AB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1745" w:type="dxa"/>
            <w:tcBorders>
              <w:top w:val="nil"/>
              <w:left w:val="nil"/>
              <w:bottom w:val="single" w:color="auto" w:sz="8" w:space="0"/>
              <w:right w:val="single" w:color="auto" w:sz="8" w:space="0"/>
            </w:tcBorders>
            <w:noWrap w:val="0"/>
            <w:vAlign w:val="center"/>
          </w:tcPr>
          <w:p w14:paraId="618DF8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保障项目数量</w:t>
            </w:r>
          </w:p>
        </w:tc>
        <w:tc>
          <w:tcPr>
            <w:tcW w:w="1094" w:type="dxa"/>
            <w:tcBorders>
              <w:top w:val="nil"/>
              <w:left w:val="nil"/>
              <w:bottom w:val="single" w:color="auto" w:sz="8" w:space="0"/>
              <w:right w:val="single" w:color="auto" w:sz="8" w:space="0"/>
            </w:tcBorders>
            <w:noWrap w:val="0"/>
            <w:vAlign w:val="center"/>
          </w:tcPr>
          <w:p w14:paraId="47DC21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1个</w:t>
            </w:r>
          </w:p>
        </w:tc>
        <w:tc>
          <w:tcPr>
            <w:tcW w:w="4856" w:type="dxa"/>
            <w:tcBorders>
              <w:top w:val="nil"/>
              <w:left w:val="nil"/>
              <w:bottom w:val="single" w:color="auto" w:sz="8" w:space="0"/>
              <w:right w:val="single" w:color="auto" w:sz="8" w:space="0"/>
            </w:tcBorders>
            <w:noWrap w:val="0"/>
            <w:vAlign w:val="center"/>
          </w:tcPr>
          <w:p w14:paraId="1B0BB2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实际完成率=（实际完成/预期完成）×100%。</w:t>
            </w:r>
          </w:p>
          <w:p w14:paraId="7FC5C7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①实际完成率≥100%，且偏离程度＜20%，得满分；</w:t>
            </w:r>
          </w:p>
          <w:p w14:paraId="7E371C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②实际完成率≥100%，偏离程度≥20%，得0分；</w:t>
            </w:r>
          </w:p>
          <w:p w14:paraId="5EF54F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③实际完成率×100%＜100%，得分=实际完成率×指标分值。</w:t>
            </w:r>
          </w:p>
        </w:tc>
        <w:tc>
          <w:tcPr>
            <w:tcW w:w="1361" w:type="dxa"/>
            <w:tcBorders>
              <w:top w:val="nil"/>
              <w:left w:val="nil"/>
              <w:bottom w:val="single" w:color="auto" w:sz="8" w:space="0"/>
              <w:right w:val="single" w:color="auto" w:sz="8" w:space="0"/>
            </w:tcBorders>
            <w:noWrap w:val="0"/>
            <w:vAlign w:val="center"/>
          </w:tcPr>
          <w:p w14:paraId="5D5083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1个</w:t>
            </w:r>
          </w:p>
        </w:tc>
        <w:tc>
          <w:tcPr>
            <w:tcW w:w="727" w:type="dxa"/>
            <w:tcBorders>
              <w:top w:val="nil"/>
              <w:left w:val="nil"/>
              <w:bottom w:val="single" w:color="auto" w:sz="8" w:space="0"/>
              <w:right w:val="single" w:color="auto" w:sz="8" w:space="0"/>
            </w:tcBorders>
            <w:noWrap w:val="0"/>
            <w:vAlign w:val="center"/>
          </w:tcPr>
          <w:p w14:paraId="2DC100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21883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6379F7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2450C6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0E7808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0" w:type="auto"/>
            <w:tcBorders>
              <w:top w:val="nil"/>
              <w:left w:val="nil"/>
              <w:bottom w:val="single" w:color="auto" w:sz="8" w:space="0"/>
              <w:right w:val="single" w:color="auto" w:sz="8" w:space="0"/>
            </w:tcBorders>
            <w:noWrap w:val="0"/>
            <w:vAlign w:val="center"/>
          </w:tcPr>
          <w:p w14:paraId="4385AB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0" w:type="auto"/>
            <w:tcBorders>
              <w:top w:val="nil"/>
              <w:left w:val="nil"/>
              <w:bottom w:val="single" w:color="auto" w:sz="8" w:space="0"/>
              <w:right w:val="single" w:color="auto" w:sz="8" w:space="0"/>
            </w:tcBorders>
            <w:noWrap w:val="0"/>
            <w:vAlign w:val="center"/>
          </w:tcPr>
          <w:p w14:paraId="5A10D3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0" w:type="auto"/>
            <w:tcBorders>
              <w:top w:val="nil"/>
              <w:left w:val="nil"/>
              <w:bottom w:val="single" w:color="auto" w:sz="8" w:space="0"/>
              <w:right w:val="single" w:color="auto" w:sz="8" w:space="0"/>
            </w:tcBorders>
            <w:noWrap w:val="0"/>
            <w:vAlign w:val="center"/>
          </w:tcPr>
          <w:p w14:paraId="342D13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1745" w:type="dxa"/>
            <w:tcBorders>
              <w:top w:val="nil"/>
              <w:left w:val="nil"/>
              <w:bottom w:val="single" w:color="auto" w:sz="8" w:space="0"/>
              <w:right w:val="single" w:color="auto" w:sz="8" w:space="0"/>
            </w:tcBorders>
            <w:noWrap w:val="0"/>
            <w:vAlign w:val="center"/>
          </w:tcPr>
          <w:p w14:paraId="759A52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资金使用合规率</w:t>
            </w:r>
          </w:p>
        </w:tc>
        <w:tc>
          <w:tcPr>
            <w:tcW w:w="1094" w:type="dxa"/>
            <w:tcBorders>
              <w:top w:val="nil"/>
              <w:left w:val="nil"/>
              <w:bottom w:val="single" w:color="auto" w:sz="8" w:space="0"/>
              <w:right w:val="single" w:color="auto" w:sz="8" w:space="0"/>
            </w:tcBorders>
            <w:noWrap w:val="0"/>
            <w:vAlign w:val="center"/>
          </w:tcPr>
          <w:p w14:paraId="6EDD6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856" w:type="dxa"/>
            <w:tcBorders>
              <w:top w:val="nil"/>
              <w:left w:val="nil"/>
              <w:bottom w:val="nil"/>
              <w:right w:val="single" w:color="auto" w:sz="8" w:space="0"/>
            </w:tcBorders>
            <w:noWrap w:val="0"/>
            <w:vAlign w:val="center"/>
          </w:tcPr>
          <w:p w14:paraId="257497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若指标达到标杆值，则得100%权重分；否则，得分=（实际完成/预期完成）×100%×指标分值。</w:t>
            </w:r>
          </w:p>
          <w:p w14:paraId="0131B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若指标完成值达到标杆值，则得100%权重分；否则，不得分。</w:t>
            </w:r>
          </w:p>
        </w:tc>
        <w:tc>
          <w:tcPr>
            <w:tcW w:w="1361" w:type="dxa"/>
            <w:tcBorders>
              <w:top w:val="nil"/>
              <w:left w:val="nil"/>
              <w:bottom w:val="single" w:color="auto" w:sz="8" w:space="0"/>
              <w:right w:val="single" w:color="auto" w:sz="8" w:space="0"/>
            </w:tcBorders>
            <w:noWrap w:val="0"/>
            <w:vAlign w:val="center"/>
          </w:tcPr>
          <w:p w14:paraId="062EE8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27" w:type="dxa"/>
            <w:tcBorders>
              <w:top w:val="nil"/>
              <w:left w:val="nil"/>
              <w:bottom w:val="single" w:color="auto" w:sz="8" w:space="0"/>
              <w:right w:val="single" w:color="auto" w:sz="8" w:space="0"/>
            </w:tcBorders>
            <w:noWrap w:val="0"/>
            <w:vAlign w:val="center"/>
          </w:tcPr>
          <w:p w14:paraId="262E3A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0F44C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79B74D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0CC1DA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restart"/>
            <w:tcBorders>
              <w:top w:val="nil"/>
              <w:left w:val="nil"/>
              <w:bottom w:val="single" w:color="auto" w:sz="8" w:space="0"/>
              <w:right w:val="single" w:color="auto" w:sz="8" w:space="0"/>
            </w:tcBorders>
            <w:noWrap w:val="0"/>
            <w:vAlign w:val="center"/>
          </w:tcPr>
          <w:p w14:paraId="355A13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0" w:type="auto"/>
            <w:vMerge w:val="restart"/>
            <w:tcBorders>
              <w:top w:val="nil"/>
              <w:left w:val="nil"/>
              <w:bottom w:val="single" w:color="auto" w:sz="8" w:space="0"/>
              <w:right w:val="single" w:color="auto" w:sz="8" w:space="0"/>
            </w:tcBorders>
            <w:noWrap w:val="0"/>
            <w:vAlign w:val="center"/>
          </w:tcPr>
          <w:p w14:paraId="5A02E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0" w:type="auto"/>
            <w:vMerge w:val="restart"/>
            <w:tcBorders>
              <w:top w:val="nil"/>
              <w:left w:val="nil"/>
              <w:bottom w:val="single" w:color="auto" w:sz="8" w:space="0"/>
              <w:right w:val="single" w:color="auto" w:sz="8" w:space="0"/>
            </w:tcBorders>
            <w:noWrap w:val="0"/>
            <w:vAlign w:val="center"/>
          </w:tcPr>
          <w:p w14:paraId="0AF2D7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0" w:type="auto"/>
            <w:tcBorders>
              <w:top w:val="nil"/>
              <w:left w:val="nil"/>
              <w:bottom w:val="single" w:color="auto" w:sz="8" w:space="0"/>
              <w:right w:val="single" w:color="auto" w:sz="8" w:space="0"/>
            </w:tcBorders>
            <w:noWrap w:val="0"/>
            <w:vAlign w:val="center"/>
          </w:tcPr>
          <w:p w14:paraId="27BD5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1745" w:type="dxa"/>
            <w:tcBorders>
              <w:top w:val="nil"/>
              <w:left w:val="nil"/>
              <w:bottom w:val="single" w:color="auto" w:sz="8" w:space="0"/>
              <w:right w:val="single" w:color="auto" w:sz="8" w:space="0"/>
            </w:tcBorders>
            <w:noWrap w:val="0"/>
            <w:vAlign w:val="center"/>
          </w:tcPr>
          <w:p w14:paraId="289877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项目完成时间</w:t>
            </w:r>
          </w:p>
        </w:tc>
        <w:tc>
          <w:tcPr>
            <w:tcW w:w="1094" w:type="dxa"/>
            <w:tcBorders>
              <w:top w:val="nil"/>
              <w:left w:val="nil"/>
              <w:bottom w:val="single" w:color="auto" w:sz="8" w:space="0"/>
              <w:right w:val="single" w:color="auto" w:sz="8" w:space="0"/>
            </w:tcBorders>
            <w:noWrap w:val="0"/>
            <w:vAlign w:val="center"/>
          </w:tcPr>
          <w:p w14:paraId="016EA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2024年12月</w:t>
            </w:r>
          </w:p>
        </w:tc>
        <w:tc>
          <w:tcPr>
            <w:tcW w:w="4856" w:type="dxa"/>
            <w:vMerge w:val="restart"/>
            <w:tcBorders>
              <w:top w:val="single" w:color="auto" w:sz="8" w:space="0"/>
              <w:left w:val="nil"/>
              <w:right w:val="single" w:color="auto" w:sz="8" w:space="0"/>
            </w:tcBorders>
            <w:noWrap w:val="0"/>
            <w:vAlign w:val="center"/>
          </w:tcPr>
          <w:p w14:paraId="562F2D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若指标完成值达到标杆值，则得100%权重分；否则，得分=（实际完成/预期完成）×100%×指标分值。</w:t>
            </w:r>
          </w:p>
          <w:p w14:paraId="342917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1361" w:type="dxa"/>
            <w:tcBorders>
              <w:top w:val="nil"/>
              <w:left w:val="nil"/>
              <w:bottom w:val="single" w:color="auto" w:sz="8" w:space="0"/>
              <w:right w:val="single" w:color="auto" w:sz="8" w:space="0"/>
            </w:tcBorders>
            <w:noWrap w:val="0"/>
            <w:vAlign w:val="center"/>
          </w:tcPr>
          <w:p w14:paraId="585F83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2024年12月</w:t>
            </w:r>
          </w:p>
        </w:tc>
        <w:tc>
          <w:tcPr>
            <w:tcW w:w="727" w:type="dxa"/>
            <w:vMerge w:val="restart"/>
            <w:tcBorders>
              <w:top w:val="nil"/>
              <w:left w:val="nil"/>
              <w:bottom w:val="single" w:color="auto" w:sz="8" w:space="0"/>
              <w:right w:val="single" w:color="auto" w:sz="8" w:space="0"/>
            </w:tcBorders>
            <w:noWrap w:val="0"/>
            <w:vAlign w:val="center"/>
          </w:tcPr>
          <w:p w14:paraId="0F9F01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1FBEA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35C959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1128DA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0BC7D5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2CD38A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1155AE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15B992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1745" w:type="dxa"/>
            <w:tcBorders>
              <w:top w:val="nil"/>
              <w:left w:val="nil"/>
              <w:bottom w:val="single" w:color="auto" w:sz="8" w:space="0"/>
              <w:right w:val="single" w:color="auto" w:sz="8" w:space="0"/>
            </w:tcBorders>
            <w:noWrap w:val="0"/>
            <w:vAlign w:val="center"/>
          </w:tcPr>
          <w:p w14:paraId="52D3A8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项目完成及时率</w:t>
            </w:r>
          </w:p>
        </w:tc>
        <w:tc>
          <w:tcPr>
            <w:tcW w:w="1094" w:type="dxa"/>
            <w:tcBorders>
              <w:top w:val="nil"/>
              <w:left w:val="nil"/>
              <w:bottom w:val="single" w:color="auto" w:sz="8" w:space="0"/>
              <w:right w:val="single" w:color="auto" w:sz="8" w:space="0"/>
            </w:tcBorders>
            <w:noWrap w:val="0"/>
            <w:vAlign w:val="center"/>
          </w:tcPr>
          <w:p w14:paraId="04C2BC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856" w:type="dxa"/>
            <w:vMerge w:val="continue"/>
            <w:tcBorders>
              <w:left w:val="nil"/>
              <w:bottom w:val="nil"/>
              <w:right w:val="single" w:color="auto" w:sz="8" w:space="0"/>
            </w:tcBorders>
            <w:noWrap w:val="0"/>
            <w:vAlign w:val="center"/>
          </w:tcPr>
          <w:p w14:paraId="0568C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p>
        </w:tc>
        <w:tc>
          <w:tcPr>
            <w:tcW w:w="1361" w:type="dxa"/>
            <w:tcBorders>
              <w:top w:val="nil"/>
              <w:left w:val="nil"/>
              <w:bottom w:val="single" w:color="auto" w:sz="8" w:space="0"/>
              <w:right w:val="single" w:color="auto" w:sz="8" w:space="0"/>
            </w:tcBorders>
            <w:noWrap w:val="0"/>
            <w:vAlign w:val="center"/>
          </w:tcPr>
          <w:p w14:paraId="2FCAD8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righ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27" w:type="dxa"/>
            <w:vMerge w:val="continue"/>
            <w:tcBorders>
              <w:top w:val="nil"/>
              <w:left w:val="nil"/>
              <w:bottom w:val="single" w:color="auto" w:sz="8" w:space="0"/>
              <w:right w:val="single" w:color="auto" w:sz="8" w:space="0"/>
            </w:tcBorders>
            <w:noWrap w:val="0"/>
            <w:vAlign w:val="center"/>
          </w:tcPr>
          <w:p w14:paraId="2E8F73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r>
      <w:tr w14:paraId="0176A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6F2727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047D91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493E3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0" w:type="auto"/>
            <w:tcBorders>
              <w:top w:val="nil"/>
              <w:left w:val="nil"/>
              <w:bottom w:val="single" w:color="auto" w:sz="8" w:space="0"/>
              <w:right w:val="single" w:color="auto" w:sz="8" w:space="0"/>
            </w:tcBorders>
            <w:noWrap w:val="0"/>
            <w:vAlign w:val="center"/>
          </w:tcPr>
          <w:p w14:paraId="6D6E28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0" w:type="auto"/>
            <w:tcBorders>
              <w:top w:val="nil"/>
              <w:left w:val="nil"/>
              <w:bottom w:val="single" w:color="auto" w:sz="8" w:space="0"/>
              <w:right w:val="single" w:color="auto" w:sz="8" w:space="0"/>
            </w:tcBorders>
            <w:noWrap w:val="0"/>
            <w:vAlign w:val="center"/>
          </w:tcPr>
          <w:p w14:paraId="525EBA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0" w:type="auto"/>
            <w:tcBorders>
              <w:top w:val="nil"/>
              <w:left w:val="nil"/>
              <w:bottom w:val="single" w:color="auto" w:sz="8" w:space="0"/>
              <w:right w:val="single" w:color="auto" w:sz="8" w:space="0"/>
            </w:tcBorders>
            <w:noWrap w:val="0"/>
            <w:vAlign w:val="center"/>
          </w:tcPr>
          <w:p w14:paraId="512581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1745" w:type="dxa"/>
            <w:tcBorders>
              <w:top w:val="nil"/>
              <w:left w:val="nil"/>
              <w:bottom w:val="single" w:color="auto" w:sz="8" w:space="0"/>
              <w:right w:val="single" w:color="auto" w:sz="8" w:space="0"/>
            </w:tcBorders>
            <w:noWrap w:val="0"/>
            <w:vAlign w:val="center"/>
          </w:tcPr>
          <w:p w14:paraId="10AC5A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工程费用</w:t>
            </w:r>
          </w:p>
        </w:tc>
        <w:tc>
          <w:tcPr>
            <w:tcW w:w="1094" w:type="dxa"/>
            <w:tcBorders>
              <w:top w:val="nil"/>
              <w:left w:val="nil"/>
              <w:bottom w:val="single" w:color="auto" w:sz="8" w:space="0"/>
              <w:right w:val="single" w:color="auto" w:sz="8" w:space="0"/>
            </w:tcBorders>
            <w:noWrap w:val="0"/>
            <w:vAlign w:val="center"/>
          </w:tcPr>
          <w:p w14:paraId="1B2EA4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480万元</w:t>
            </w:r>
          </w:p>
        </w:tc>
        <w:tc>
          <w:tcPr>
            <w:tcW w:w="4856" w:type="dxa"/>
            <w:tcBorders>
              <w:top w:val="single" w:color="auto" w:sz="8" w:space="0"/>
              <w:left w:val="nil"/>
              <w:bottom w:val="single" w:color="auto" w:sz="8" w:space="0"/>
              <w:right w:val="single" w:color="auto" w:sz="8" w:space="0"/>
            </w:tcBorders>
            <w:noWrap w:val="0"/>
            <w:vAlign w:val="center"/>
          </w:tcPr>
          <w:p w14:paraId="1C265B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实际完成率=（实际支付资金数/计划应支付资金数）×100%。</w:t>
            </w:r>
          </w:p>
          <w:p w14:paraId="36F04E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①实际完成率＞年度指标值，得0得分；</w:t>
            </w:r>
          </w:p>
          <w:p w14:paraId="4C9314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②实际完成率≤年度指标值，且偏离程度＜20%，得满分；</w:t>
            </w:r>
          </w:p>
          <w:p w14:paraId="62C842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③实际完成率＜年度指标值，且偏离程度≥20%，得分=实际完成率×分值。</w:t>
            </w:r>
          </w:p>
        </w:tc>
        <w:tc>
          <w:tcPr>
            <w:tcW w:w="1361" w:type="dxa"/>
            <w:tcBorders>
              <w:top w:val="nil"/>
              <w:left w:val="nil"/>
              <w:bottom w:val="single" w:color="auto" w:sz="8" w:space="0"/>
              <w:right w:val="single" w:color="auto" w:sz="8" w:space="0"/>
            </w:tcBorders>
            <w:noWrap w:val="0"/>
            <w:vAlign w:val="center"/>
          </w:tcPr>
          <w:p w14:paraId="516DAC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480万元</w:t>
            </w:r>
          </w:p>
        </w:tc>
        <w:tc>
          <w:tcPr>
            <w:tcW w:w="727" w:type="dxa"/>
            <w:tcBorders>
              <w:top w:val="nil"/>
              <w:left w:val="nil"/>
              <w:bottom w:val="single" w:color="auto" w:sz="8" w:space="0"/>
              <w:right w:val="single" w:color="auto" w:sz="8" w:space="0"/>
            </w:tcBorders>
            <w:noWrap w:val="0"/>
            <w:vAlign w:val="center"/>
          </w:tcPr>
          <w:p w14:paraId="4939F2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25930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0" w:type="auto"/>
            <w:vMerge w:val="restart"/>
            <w:tcBorders>
              <w:top w:val="nil"/>
              <w:left w:val="single" w:color="auto" w:sz="8" w:space="0"/>
              <w:bottom w:val="single" w:color="auto" w:sz="8" w:space="0"/>
              <w:right w:val="single" w:color="auto" w:sz="8" w:space="0"/>
            </w:tcBorders>
            <w:noWrap w:val="0"/>
            <w:vAlign w:val="center"/>
          </w:tcPr>
          <w:p w14:paraId="04BCD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0" w:type="auto"/>
            <w:vMerge w:val="restart"/>
            <w:tcBorders>
              <w:top w:val="nil"/>
              <w:left w:val="nil"/>
              <w:bottom w:val="single" w:color="auto" w:sz="8" w:space="0"/>
              <w:right w:val="single" w:color="auto" w:sz="8" w:space="0"/>
            </w:tcBorders>
            <w:noWrap w:val="0"/>
            <w:vAlign w:val="center"/>
          </w:tcPr>
          <w:p w14:paraId="78B0B2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0" w:type="auto"/>
            <w:vMerge w:val="restart"/>
            <w:tcBorders>
              <w:top w:val="nil"/>
              <w:left w:val="nil"/>
              <w:bottom w:val="single" w:color="auto" w:sz="8" w:space="0"/>
              <w:right w:val="single" w:color="auto" w:sz="8" w:space="0"/>
            </w:tcBorders>
            <w:noWrap w:val="0"/>
            <w:vAlign w:val="center"/>
          </w:tcPr>
          <w:p w14:paraId="3CA5C2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0" w:type="auto"/>
            <w:vMerge w:val="restart"/>
            <w:tcBorders>
              <w:top w:val="nil"/>
              <w:left w:val="nil"/>
              <w:bottom w:val="single" w:color="auto" w:sz="8" w:space="0"/>
              <w:right w:val="single" w:color="auto" w:sz="8" w:space="0"/>
            </w:tcBorders>
            <w:noWrap w:val="0"/>
            <w:vAlign w:val="center"/>
          </w:tcPr>
          <w:p w14:paraId="7522DF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0" w:type="auto"/>
            <w:tcBorders>
              <w:top w:val="nil"/>
              <w:left w:val="nil"/>
              <w:bottom w:val="single" w:color="auto" w:sz="8" w:space="0"/>
              <w:right w:val="single" w:color="auto" w:sz="8" w:space="0"/>
            </w:tcBorders>
            <w:noWrap w:val="0"/>
            <w:vAlign w:val="center"/>
          </w:tcPr>
          <w:p w14:paraId="7D96F6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0" w:type="auto"/>
            <w:tcBorders>
              <w:top w:val="nil"/>
              <w:left w:val="nil"/>
              <w:bottom w:val="single" w:color="auto" w:sz="8" w:space="0"/>
              <w:right w:val="single" w:color="auto" w:sz="8" w:space="0"/>
            </w:tcBorders>
            <w:noWrap w:val="0"/>
            <w:vAlign w:val="center"/>
          </w:tcPr>
          <w:p w14:paraId="661B7D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15</w:t>
            </w:r>
          </w:p>
        </w:tc>
        <w:tc>
          <w:tcPr>
            <w:tcW w:w="1745" w:type="dxa"/>
            <w:tcBorders>
              <w:top w:val="nil"/>
              <w:left w:val="nil"/>
              <w:bottom w:val="single" w:color="auto" w:sz="8" w:space="0"/>
              <w:right w:val="single" w:color="auto" w:sz="8" w:space="0"/>
            </w:tcBorders>
            <w:noWrap w:val="0"/>
            <w:vAlign w:val="center"/>
          </w:tcPr>
          <w:p w14:paraId="4FF1BE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保障政府公信力</w:t>
            </w:r>
          </w:p>
        </w:tc>
        <w:tc>
          <w:tcPr>
            <w:tcW w:w="1094" w:type="dxa"/>
            <w:tcBorders>
              <w:top w:val="nil"/>
              <w:left w:val="nil"/>
              <w:bottom w:val="single" w:color="auto" w:sz="8" w:space="0"/>
              <w:right w:val="single" w:color="auto" w:sz="8" w:space="0"/>
            </w:tcBorders>
            <w:noWrap w:val="0"/>
            <w:vAlign w:val="center"/>
          </w:tcPr>
          <w:p w14:paraId="7CCA1E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有效保障</w:t>
            </w:r>
          </w:p>
        </w:tc>
        <w:tc>
          <w:tcPr>
            <w:tcW w:w="4856" w:type="dxa"/>
            <w:tcBorders>
              <w:top w:val="nil"/>
              <w:left w:val="nil"/>
              <w:bottom w:val="single" w:color="auto" w:sz="8" w:space="0"/>
              <w:right w:val="single" w:color="auto" w:sz="8" w:space="0"/>
            </w:tcBorders>
            <w:noWrap w:val="0"/>
            <w:vAlign w:val="center"/>
          </w:tcPr>
          <w:p w14:paraId="6F070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1361" w:type="dxa"/>
            <w:tcBorders>
              <w:top w:val="nil"/>
              <w:left w:val="nil"/>
              <w:bottom w:val="single" w:color="auto" w:sz="8" w:space="0"/>
              <w:right w:val="single" w:color="auto" w:sz="8" w:space="0"/>
            </w:tcBorders>
            <w:noWrap w:val="0"/>
            <w:vAlign w:val="center"/>
          </w:tcPr>
          <w:p w14:paraId="78467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有效保障</w:t>
            </w:r>
          </w:p>
        </w:tc>
        <w:tc>
          <w:tcPr>
            <w:tcW w:w="727" w:type="dxa"/>
            <w:tcBorders>
              <w:top w:val="nil"/>
              <w:left w:val="nil"/>
              <w:bottom w:val="single" w:color="auto" w:sz="8" w:space="0"/>
              <w:right w:val="single" w:color="auto" w:sz="8" w:space="0"/>
            </w:tcBorders>
            <w:noWrap w:val="0"/>
            <w:vAlign w:val="center"/>
          </w:tcPr>
          <w:p w14:paraId="13C1C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15</w:t>
            </w:r>
          </w:p>
        </w:tc>
      </w:tr>
      <w:tr w14:paraId="49704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nil"/>
              <w:left w:val="single" w:color="auto" w:sz="8" w:space="0"/>
              <w:bottom w:val="single" w:color="auto" w:sz="8" w:space="0"/>
              <w:right w:val="single" w:color="auto" w:sz="8" w:space="0"/>
            </w:tcBorders>
            <w:noWrap w:val="0"/>
            <w:vAlign w:val="center"/>
          </w:tcPr>
          <w:p w14:paraId="0CF5AC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6C8CA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0C4915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vMerge w:val="continue"/>
            <w:tcBorders>
              <w:top w:val="nil"/>
              <w:left w:val="nil"/>
              <w:bottom w:val="single" w:color="auto" w:sz="8" w:space="0"/>
              <w:right w:val="single" w:color="auto" w:sz="8" w:space="0"/>
            </w:tcBorders>
            <w:noWrap w:val="0"/>
            <w:vAlign w:val="center"/>
          </w:tcPr>
          <w:p w14:paraId="1D86EE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482FDD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0" w:type="auto"/>
            <w:tcBorders>
              <w:top w:val="nil"/>
              <w:left w:val="nil"/>
              <w:bottom w:val="single" w:color="auto" w:sz="8" w:space="0"/>
              <w:right w:val="single" w:color="auto" w:sz="8" w:space="0"/>
            </w:tcBorders>
            <w:noWrap w:val="0"/>
            <w:vAlign w:val="center"/>
          </w:tcPr>
          <w:p w14:paraId="1A5F9B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1745" w:type="dxa"/>
            <w:tcBorders>
              <w:top w:val="nil"/>
              <w:left w:val="nil"/>
              <w:bottom w:val="single" w:color="auto" w:sz="8" w:space="0"/>
              <w:right w:val="single" w:color="auto" w:sz="8" w:space="0"/>
            </w:tcBorders>
            <w:noWrap w:val="0"/>
            <w:vAlign w:val="center"/>
          </w:tcPr>
          <w:p w14:paraId="741216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项目单位满意度</w:t>
            </w:r>
          </w:p>
        </w:tc>
        <w:tc>
          <w:tcPr>
            <w:tcW w:w="1094" w:type="dxa"/>
            <w:tcBorders>
              <w:top w:val="nil"/>
              <w:left w:val="nil"/>
              <w:bottom w:val="single" w:color="auto" w:sz="8" w:space="0"/>
              <w:right w:val="single" w:color="auto" w:sz="8" w:space="0"/>
            </w:tcBorders>
            <w:noWrap w:val="0"/>
            <w:vAlign w:val="center"/>
          </w:tcPr>
          <w:p w14:paraId="04D79A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95%</w:t>
            </w:r>
          </w:p>
        </w:tc>
        <w:tc>
          <w:tcPr>
            <w:tcW w:w="4856" w:type="dxa"/>
            <w:tcBorders>
              <w:top w:val="nil"/>
              <w:left w:val="nil"/>
              <w:bottom w:val="single" w:color="auto" w:sz="8" w:space="0"/>
              <w:right w:val="single" w:color="auto" w:sz="8" w:space="0"/>
            </w:tcBorders>
            <w:noWrap w:val="0"/>
            <w:vAlign w:val="center"/>
          </w:tcPr>
          <w:p w14:paraId="6D52DF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根据问卷调查，满意度达到标杆值，得权重分的100%；否则低于95%，得分=实际满意度*指标分值。</w:t>
            </w:r>
          </w:p>
        </w:tc>
        <w:tc>
          <w:tcPr>
            <w:tcW w:w="1361" w:type="dxa"/>
            <w:tcBorders>
              <w:top w:val="nil"/>
              <w:left w:val="nil"/>
              <w:bottom w:val="single" w:color="auto" w:sz="8" w:space="0"/>
              <w:right w:val="single" w:color="auto" w:sz="8" w:space="0"/>
            </w:tcBorders>
            <w:noWrap w:val="0"/>
            <w:vAlign w:val="center"/>
          </w:tcPr>
          <w:p w14:paraId="5F35AC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95%</w:t>
            </w:r>
          </w:p>
        </w:tc>
        <w:tc>
          <w:tcPr>
            <w:tcW w:w="727" w:type="dxa"/>
            <w:tcBorders>
              <w:top w:val="nil"/>
              <w:left w:val="nil"/>
              <w:bottom w:val="single" w:color="auto" w:sz="8" w:space="0"/>
              <w:right w:val="single" w:color="auto" w:sz="8" w:space="0"/>
            </w:tcBorders>
            <w:noWrap w:val="0"/>
            <w:vAlign w:val="center"/>
          </w:tcPr>
          <w:p w14:paraId="022F65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5EE9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nil"/>
              <w:left w:val="single" w:color="auto" w:sz="8" w:space="0"/>
              <w:bottom w:val="single" w:color="auto" w:sz="8" w:space="0"/>
              <w:right w:val="single" w:color="auto" w:sz="8" w:space="0"/>
            </w:tcBorders>
            <w:noWrap w:val="0"/>
            <w:vAlign w:val="center"/>
          </w:tcPr>
          <w:p w14:paraId="1C3104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0" w:type="auto"/>
            <w:tcBorders>
              <w:top w:val="nil"/>
              <w:left w:val="nil"/>
              <w:bottom w:val="single" w:color="auto" w:sz="8" w:space="0"/>
              <w:right w:val="single" w:color="auto" w:sz="8" w:space="0"/>
            </w:tcBorders>
            <w:noWrap w:val="0"/>
            <w:vAlign w:val="center"/>
          </w:tcPr>
          <w:p w14:paraId="1ECDFE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0" w:type="auto"/>
            <w:tcBorders>
              <w:top w:val="nil"/>
              <w:left w:val="nil"/>
              <w:bottom w:val="single" w:color="auto" w:sz="8" w:space="0"/>
              <w:right w:val="single" w:color="auto" w:sz="8" w:space="0"/>
            </w:tcBorders>
            <w:noWrap w:val="0"/>
            <w:vAlign w:val="center"/>
          </w:tcPr>
          <w:p w14:paraId="5C12F0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262669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0" w:type="auto"/>
            <w:tcBorders>
              <w:top w:val="nil"/>
              <w:left w:val="nil"/>
              <w:bottom w:val="single" w:color="auto" w:sz="8" w:space="0"/>
              <w:right w:val="single" w:color="auto" w:sz="8" w:space="0"/>
            </w:tcBorders>
            <w:noWrap w:val="0"/>
            <w:vAlign w:val="center"/>
          </w:tcPr>
          <w:p w14:paraId="1E78FB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0" w:type="auto"/>
            <w:tcBorders>
              <w:top w:val="nil"/>
              <w:left w:val="nil"/>
              <w:bottom w:val="single" w:color="auto" w:sz="8" w:space="0"/>
              <w:right w:val="single" w:color="auto" w:sz="8" w:space="0"/>
            </w:tcBorders>
            <w:noWrap w:val="0"/>
            <w:vAlign w:val="center"/>
          </w:tcPr>
          <w:p w14:paraId="5B88CC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745" w:type="dxa"/>
            <w:tcBorders>
              <w:top w:val="nil"/>
              <w:left w:val="nil"/>
              <w:bottom w:val="single" w:color="auto" w:sz="8" w:space="0"/>
              <w:right w:val="single" w:color="auto" w:sz="8" w:space="0"/>
            </w:tcBorders>
            <w:noWrap w:val="0"/>
            <w:vAlign w:val="center"/>
          </w:tcPr>
          <w:p w14:paraId="7E72E1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1094" w:type="dxa"/>
            <w:tcBorders>
              <w:top w:val="nil"/>
              <w:left w:val="nil"/>
              <w:bottom w:val="single" w:color="auto" w:sz="8" w:space="0"/>
              <w:right w:val="single" w:color="auto" w:sz="8" w:space="0"/>
            </w:tcBorders>
            <w:noWrap w:val="0"/>
            <w:vAlign w:val="center"/>
          </w:tcPr>
          <w:p w14:paraId="6B37A8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4856" w:type="dxa"/>
            <w:tcBorders>
              <w:top w:val="nil"/>
              <w:left w:val="nil"/>
              <w:bottom w:val="single" w:color="auto" w:sz="8" w:space="0"/>
              <w:right w:val="single" w:color="auto" w:sz="8" w:space="0"/>
            </w:tcBorders>
            <w:noWrap w:val="0"/>
            <w:vAlign w:val="center"/>
          </w:tcPr>
          <w:p w14:paraId="1CB6A8C6">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1361" w:type="dxa"/>
            <w:tcBorders>
              <w:top w:val="nil"/>
              <w:left w:val="nil"/>
              <w:bottom w:val="single" w:color="auto" w:sz="8" w:space="0"/>
              <w:right w:val="single" w:color="auto" w:sz="8" w:space="0"/>
            </w:tcBorders>
            <w:noWrap w:val="0"/>
            <w:vAlign w:val="center"/>
          </w:tcPr>
          <w:p w14:paraId="725DCF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27" w:type="dxa"/>
            <w:tcBorders>
              <w:top w:val="nil"/>
              <w:left w:val="nil"/>
              <w:bottom w:val="single" w:color="auto" w:sz="8" w:space="0"/>
              <w:right w:val="single" w:color="auto" w:sz="8" w:space="0"/>
            </w:tcBorders>
            <w:noWrap w:val="0"/>
            <w:vAlign w:val="center"/>
          </w:tcPr>
          <w:p w14:paraId="7A659A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r>
    </w:tbl>
    <w:p w14:paraId="58B5F37C">
      <w:pPr>
        <w:pStyle w:val="10"/>
        <w:ind w:left="0" w:leftChars="0" w:firstLine="0" w:firstLineChars="0"/>
        <w:jc w:val="both"/>
        <w:rPr>
          <w:rFonts w:hint="eastAsia" w:ascii="宋体" w:hAnsi="宋体" w:eastAsia="宋体" w:cs="宋体"/>
          <w:sz w:val="24"/>
          <w:szCs w:val="24"/>
          <w:highlight w:val="none"/>
          <w:lang w:val="en-US" w:eastAsia="zh-CN"/>
        </w:rPr>
      </w:pPr>
    </w:p>
    <w:p w14:paraId="761D2469">
      <w:pPr>
        <w:pStyle w:val="10"/>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附件2：</w:t>
      </w:r>
    </w:p>
    <w:tbl>
      <w:tblPr>
        <w:tblStyle w:val="24"/>
        <w:tblW w:w="1302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311"/>
        <w:gridCol w:w="1469"/>
      </w:tblGrid>
      <w:tr w14:paraId="487F6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363" w:type="dxa"/>
            <w:tcBorders>
              <w:top w:val="nil"/>
              <w:left w:val="nil"/>
              <w:bottom w:val="nil"/>
              <w:right w:val="nil"/>
            </w:tcBorders>
            <w:noWrap/>
            <w:vAlign w:val="center"/>
          </w:tcPr>
          <w:p w14:paraId="00A6C336">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4"/>
                <w:szCs w:val="24"/>
                <w:highlight w:val="none"/>
                <w:u w:val="none"/>
              </w:rPr>
            </w:pPr>
          </w:p>
        </w:tc>
        <w:tc>
          <w:tcPr>
            <w:tcW w:w="1778" w:type="dxa"/>
            <w:tcBorders>
              <w:top w:val="nil"/>
              <w:left w:val="nil"/>
              <w:bottom w:val="nil"/>
              <w:right w:val="nil"/>
            </w:tcBorders>
            <w:noWrap/>
            <w:vAlign w:val="center"/>
          </w:tcPr>
          <w:p w14:paraId="49789127">
            <w:pPr>
              <w:rPr>
                <w:rFonts w:hint="eastAsia" w:ascii="宋体" w:hAnsi="宋体" w:eastAsia="宋体" w:cs="宋体"/>
                <w:i w:val="0"/>
                <w:iCs w:val="0"/>
                <w:color w:val="000000"/>
                <w:sz w:val="24"/>
                <w:szCs w:val="24"/>
                <w:highlight w:val="none"/>
                <w:u w:val="none"/>
              </w:rPr>
            </w:pPr>
          </w:p>
        </w:tc>
        <w:tc>
          <w:tcPr>
            <w:tcW w:w="2786" w:type="dxa"/>
            <w:tcBorders>
              <w:top w:val="nil"/>
              <w:left w:val="nil"/>
              <w:bottom w:val="nil"/>
              <w:right w:val="nil"/>
            </w:tcBorders>
            <w:noWrap/>
            <w:vAlign w:val="center"/>
          </w:tcPr>
          <w:p w14:paraId="1A7B060D">
            <w:pPr>
              <w:rPr>
                <w:rFonts w:hint="eastAsia" w:ascii="宋体" w:hAnsi="宋体" w:eastAsia="宋体" w:cs="宋体"/>
                <w:i w:val="0"/>
                <w:iCs w:val="0"/>
                <w:color w:val="000000"/>
                <w:sz w:val="24"/>
                <w:szCs w:val="24"/>
                <w:highlight w:val="none"/>
                <w:u w:val="none"/>
              </w:rPr>
            </w:pPr>
          </w:p>
        </w:tc>
        <w:tc>
          <w:tcPr>
            <w:tcW w:w="2314" w:type="dxa"/>
            <w:tcBorders>
              <w:top w:val="nil"/>
              <w:left w:val="nil"/>
              <w:bottom w:val="nil"/>
              <w:right w:val="nil"/>
            </w:tcBorders>
            <w:noWrap/>
            <w:vAlign w:val="center"/>
          </w:tcPr>
          <w:p w14:paraId="0C1800DC">
            <w:pPr>
              <w:rPr>
                <w:rFonts w:hint="eastAsia" w:ascii="宋体" w:hAnsi="宋体" w:eastAsia="宋体" w:cs="宋体"/>
                <w:i w:val="0"/>
                <w:iCs w:val="0"/>
                <w:color w:val="000000"/>
                <w:sz w:val="24"/>
                <w:szCs w:val="24"/>
                <w:highlight w:val="none"/>
                <w:u w:val="none"/>
              </w:rPr>
            </w:pPr>
          </w:p>
        </w:tc>
        <w:tc>
          <w:tcPr>
            <w:tcW w:w="3311" w:type="dxa"/>
            <w:tcBorders>
              <w:top w:val="nil"/>
              <w:left w:val="nil"/>
              <w:bottom w:val="nil"/>
              <w:right w:val="nil"/>
            </w:tcBorders>
            <w:noWrap/>
            <w:vAlign w:val="center"/>
          </w:tcPr>
          <w:p w14:paraId="5F3D41CD">
            <w:pPr>
              <w:rPr>
                <w:rFonts w:hint="eastAsia" w:ascii="宋体" w:hAnsi="宋体" w:eastAsia="宋体" w:cs="宋体"/>
                <w:i w:val="0"/>
                <w:iCs w:val="0"/>
                <w:color w:val="000000"/>
                <w:sz w:val="24"/>
                <w:szCs w:val="24"/>
                <w:highlight w:val="none"/>
                <w:u w:val="none"/>
              </w:rPr>
            </w:pPr>
          </w:p>
        </w:tc>
        <w:tc>
          <w:tcPr>
            <w:tcW w:w="1469" w:type="dxa"/>
            <w:tcBorders>
              <w:top w:val="nil"/>
              <w:left w:val="nil"/>
              <w:bottom w:val="nil"/>
              <w:right w:val="nil"/>
            </w:tcBorders>
            <w:noWrap/>
            <w:vAlign w:val="center"/>
          </w:tcPr>
          <w:p w14:paraId="544B961C">
            <w:pPr>
              <w:rPr>
                <w:rFonts w:hint="eastAsia" w:ascii="宋体" w:hAnsi="宋体" w:eastAsia="宋体" w:cs="宋体"/>
                <w:i w:val="0"/>
                <w:iCs w:val="0"/>
                <w:color w:val="000000"/>
                <w:sz w:val="24"/>
                <w:szCs w:val="24"/>
                <w:highlight w:val="none"/>
                <w:u w:val="none"/>
              </w:rPr>
            </w:pPr>
          </w:p>
        </w:tc>
      </w:tr>
      <w:tr w14:paraId="1530C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3021" w:type="dxa"/>
            <w:gridSpan w:val="6"/>
            <w:tcBorders>
              <w:top w:val="nil"/>
              <w:left w:val="nil"/>
              <w:bottom w:val="nil"/>
              <w:right w:val="nil"/>
            </w:tcBorders>
            <w:noWrap/>
            <w:vAlign w:val="center"/>
          </w:tcPr>
          <w:p w14:paraId="70693F4E">
            <w:pPr>
              <w:keepNext w:val="0"/>
              <w:keepLines w:val="0"/>
              <w:widowControl/>
              <w:suppressLineNumbers w:val="0"/>
              <w:jc w:val="center"/>
              <w:textAlignment w:val="center"/>
              <w:rPr>
                <w:rFonts w:hint="eastAsia" w:ascii="宋体" w:hAnsi="宋体" w:eastAsia="宋体" w:cs="宋体"/>
                <w:b/>
                <w:bCs/>
                <w:i w:val="0"/>
                <w:iCs w:val="0"/>
                <w:color w:val="FF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2022年文化保护传承利用工程（第一批）中央投资资金--洛浦县热瓦克佛寺遗址保护利用设施资金项目综合得分表</w:t>
            </w:r>
          </w:p>
        </w:tc>
      </w:tr>
      <w:tr w14:paraId="5349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283821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A194B7">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E3696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926F0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31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284735">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46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921708">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56E1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678B7A">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3303B4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B9E2E6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11D1A8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3311" w:type="dxa"/>
            <w:tcBorders>
              <w:top w:val="single" w:color="auto" w:sz="4" w:space="0"/>
              <w:left w:val="single" w:color="auto" w:sz="4" w:space="0"/>
              <w:bottom w:val="single" w:color="auto" w:sz="4" w:space="0"/>
              <w:right w:val="single" w:color="auto" w:sz="4" w:space="0"/>
            </w:tcBorders>
            <w:noWrap w:val="0"/>
            <w:vAlign w:val="center"/>
          </w:tcPr>
          <w:p w14:paraId="7E55E9F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1469" w:type="dxa"/>
            <w:tcBorders>
              <w:top w:val="single" w:color="auto" w:sz="4" w:space="0"/>
              <w:left w:val="single" w:color="auto" w:sz="4" w:space="0"/>
              <w:bottom w:val="single" w:color="auto" w:sz="4" w:space="0"/>
              <w:right w:val="single" w:color="auto" w:sz="4" w:space="0"/>
            </w:tcBorders>
            <w:noWrap w:val="0"/>
            <w:vAlign w:val="center"/>
          </w:tcPr>
          <w:p w14:paraId="31B8ACB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70C59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ED60B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C7467A5">
            <w:pPr>
              <w:pStyle w:val="61"/>
              <w:spacing w:line="560" w:lineRule="exact"/>
              <w:ind w:left="0" w:leftChars="0"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23</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9F8C72">
            <w:pPr>
              <w:pStyle w:val="61"/>
              <w:spacing w:line="560" w:lineRule="exact"/>
              <w:ind w:left="0" w:leftChars="0"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12</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F38293">
            <w:pPr>
              <w:pStyle w:val="61"/>
              <w:spacing w:line="560" w:lineRule="exact"/>
              <w:ind w:left="0" w:leftChars="0"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40</w:t>
            </w:r>
          </w:p>
        </w:tc>
        <w:tc>
          <w:tcPr>
            <w:tcW w:w="331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12B097">
            <w:pPr>
              <w:pStyle w:val="61"/>
              <w:spacing w:line="560" w:lineRule="exact"/>
              <w:ind w:left="0" w:leftChars="0"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25</w:t>
            </w:r>
          </w:p>
        </w:tc>
        <w:tc>
          <w:tcPr>
            <w:tcW w:w="1469" w:type="dxa"/>
            <w:tcBorders>
              <w:top w:val="single" w:color="auto" w:sz="4" w:space="0"/>
              <w:left w:val="single" w:color="auto" w:sz="4" w:space="0"/>
              <w:bottom w:val="single" w:color="auto" w:sz="4" w:space="0"/>
              <w:right w:val="single" w:color="auto" w:sz="4" w:space="0"/>
            </w:tcBorders>
            <w:noWrap w:val="0"/>
            <w:vAlign w:val="center"/>
          </w:tcPr>
          <w:p w14:paraId="374A2E8C">
            <w:pPr>
              <w:pStyle w:val="61"/>
              <w:spacing w:line="560" w:lineRule="exact"/>
              <w:ind w:left="0" w:leftChars="0" w:firstLine="0" w:firstLineChars="0"/>
              <w:jc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100</w:t>
            </w:r>
          </w:p>
        </w:tc>
      </w:tr>
      <w:tr w14:paraId="05AA0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CE460F">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A38BDC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25E7E5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B3A4AA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3311" w:type="dxa"/>
            <w:tcBorders>
              <w:top w:val="single" w:color="auto" w:sz="4" w:space="0"/>
              <w:left w:val="single" w:color="auto" w:sz="4" w:space="0"/>
              <w:bottom w:val="single" w:color="auto" w:sz="4" w:space="0"/>
              <w:right w:val="single" w:color="auto" w:sz="4" w:space="0"/>
            </w:tcBorders>
            <w:noWrap w:val="0"/>
            <w:vAlign w:val="center"/>
          </w:tcPr>
          <w:p w14:paraId="3629707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c>
          <w:tcPr>
            <w:tcW w:w="1469" w:type="dxa"/>
            <w:tcBorders>
              <w:top w:val="single" w:color="auto" w:sz="4" w:space="0"/>
              <w:left w:val="single" w:color="auto" w:sz="4" w:space="0"/>
              <w:bottom w:val="single" w:color="auto" w:sz="4" w:space="0"/>
              <w:right w:val="single" w:color="auto" w:sz="4" w:space="0"/>
            </w:tcBorders>
            <w:noWrap w:val="0"/>
            <w:vAlign w:val="center"/>
          </w:tcPr>
          <w:p w14:paraId="3587E72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w:t>
            </w:r>
          </w:p>
        </w:tc>
      </w:tr>
    </w:tbl>
    <w:p w14:paraId="03CE4AE4">
      <w:pPr>
        <w:pStyle w:val="10"/>
        <w:ind w:left="0" w:leftChars="0" w:firstLine="0" w:firstLineChars="0"/>
        <w:jc w:val="both"/>
        <w:rPr>
          <w:rFonts w:hint="eastAsia" w:ascii="宋体" w:hAnsi="宋体" w:eastAsia="宋体" w:cs="宋体"/>
          <w:sz w:val="24"/>
          <w:szCs w:val="24"/>
          <w:highlight w:val="none"/>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10A0968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color w:val="auto"/>
          <w:sz w:val="24"/>
          <w:szCs w:val="24"/>
          <w:highlight w:val="none"/>
          <w:lang w:val="en-US" w:eastAsia="zh-CN"/>
        </w:rPr>
        <w:t>附件3：</w:t>
      </w:r>
    </w:p>
    <w:p w14:paraId="5CE3EFE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2022年文化保护传承利用工程（第一批）中央投资资金--洛浦县热瓦克佛寺</w:t>
      </w:r>
    </w:p>
    <w:p w14:paraId="77C88F6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遗址保护利用设施资金项目满意度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532450D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6D05B1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30D0D339">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9C3C5D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i w:val="0"/>
          <w:iCs w:val="0"/>
          <w:color w:val="auto"/>
          <w:sz w:val="24"/>
          <w:szCs w:val="24"/>
          <w:highlight w:val="none"/>
        </w:rPr>
      </w:pPr>
      <w:r>
        <w:rPr>
          <w:rFonts w:hint="eastAsia" w:ascii="宋体" w:hAnsi="宋体" w:eastAsia="宋体" w:cs="宋体"/>
          <w:b w:val="0"/>
          <w:bCs/>
          <w:color w:val="auto"/>
          <w:sz w:val="24"/>
          <w:szCs w:val="24"/>
          <w:highlight w:val="none"/>
        </w:rPr>
        <w:t>本次</w:t>
      </w:r>
      <w:r>
        <w:rPr>
          <w:rFonts w:hint="eastAsia" w:ascii="宋体" w:hAnsi="宋体" w:eastAsia="宋体" w:cs="宋体"/>
          <w:b w:val="0"/>
          <w:bCs/>
          <w:color w:val="auto"/>
          <w:sz w:val="24"/>
          <w:szCs w:val="24"/>
          <w:highlight w:val="none"/>
          <w:lang w:eastAsia="zh-CN"/>
        </w:rPr>
        <w:t>调查</w:t>
      </w:r>
      <w:r>
        <w:rPr>
          <w:rFonts w:hint="eastAsia" w:ascii="宋体" w:hAnsi="宋体" w:eastAsia="宋体" w:cs="宋体"/>
          <w:b w:val="0"/>
          <w:bCs/>
          <w:color w:val="auto"/>
          <w:sz w:val="24"/>
          <w:szCs w:val="24"/>
          <w:highlight w:val="none"/>
        </w:rPr>
        <w:t>的受益对象为</w:t>
      </w:r>
      <w:r>
        <w:rPr>
          <w:rFonts w:hint="eastAsia" w:ascii="宋体" w:hAnsi="宋体" w:eastAsia="宋体" w:cs="宋体"/>
          <w:b w:val="0"/>
          <w:bCs/>
          <w:color w:val="auto"/>
          <w:sz w:val="24"/>
          <w:szCs w:val="24"/>
          <w:highlight w:val="none"/>
          <w:lang w:val="en-US" w:eastAsia="zh-CN"/>
        </w:rPr>
        <w:t>社会公众</w:t>
      </w:r>
      <w:r>
        <w:rPr>
          <w:rFonts w:hint="eastAsia" w:ascii="宋体" w:hAnsi="宋体" w:eastAsia="宋体" w:cs="宋体"/>
          <w:b w:val="0"/>
          <w:bCs/>
          <w:color w:val="auto"/>
          <w:sz w:val="24"/>
          <w:szCs w:val="24"/>
          <w:highlight w:val="none"/>
        </w:rPr>
        <w:t>。</w:t>
      </w:r>
    </w:p>
    <w:p w14:paraId="5485E1E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38F61E6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①您对2022年文化保护传承利用工程（第一批）中央投资资金--洛浦县热瓦克佛寺遗址保护利用设施资金项目的实施质量是否满意?  </w:t>
      </w:r>
    </w:p>
    <w:p w14:paraId="16D1DE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p>
    <w:p w14:paraId="14C0B76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②您对2022年文化保护传承利用工程（第一批）中央投资资金--洛浦县热瓦克佛寺遗址保护利用设施资金项目的公共设施体验度是否满意？</w:t>
      </w:r>
    </w:p>
    <w:p w14:paraId="7A81B0E8">
      <w:pPr>
        <w:pStyle w:val="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340EECA4">
      <w:pPr>
        <w:pStyle w:val="4"/>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p>
    <w:p w14:paraId="5B7458C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③总的来说，您对目前2022年文化保护传承利用工程（第一批）中央投资资金--洛浦县热瓦克佛寺遗址保护利用设施资金项目实施后的整体满意程度如何？</w:t>
      </w:r>
    </w:p>
    <w:p w14:paraId="7C97CCF7">
      <w:pPr>
        <w:pStyle w:val="4"/>
        <w:keepNext w:val="0"/>
        <w:keepLines w:val="0"/>
        <w:pageBreakBefore w:val="0"/>
        <w:widowControl w:val="0"/>
        <w:tabs>
          <w:tab w:val="left" w:pos="4261"/>
        </w:tabs>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非常满意     比较满意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一般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不满意      非常不满意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highlight w:val="none"/>
          <w:lang w:val="en-US" w:eastAsia="zh-CN"/>
        </w:rPr>
        <w:t xml:space="preserve">             </w:t>
      </w:r>
    </w:p>
    <w:p w14:paraId="48791E0A">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7272D75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3D0E252A">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12A7490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7E4EF7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038D3C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w:t>
      </w:r>
      <w:r>
        <w:rPr>
          <w:rFonts w:hint="eastAsia" w:ascii="宋体" w:hAnsi="宋体" w:eastAsia="宋体" w:cs="宋体"/>
          <w:color w:val="auto"/>
          <w:sz w:val="24"/>
          <w:szCs w:val="24"/>
          <w:highlight w:val="none"/>
          <w:lang w:val="en-US" w:eastAsia="zh-CN"/>
        </w:rPr>
        <w:t>30</w:t>
      </w:r>
      <w:r>
        <w:rPr>
          <w:rFonts w:hint="eastAsia" w:ascii="宋体" w:hAnsi="宋体" w:eastAsia="宋体" w:cs="宋体"/>
          <w:sz w:val="24"/>
          <w:szCs w:val="24"/>
          <w:highlight w:val="none"/>
          <w:lang w:val="en-US" w:eastAsia="zh-CN"/>
        </w:rPr>
        <w:t>份，其中有效问卷</w:t>
      </w:r>
      <w:r>
        <w:rPr>
          <w:rFonts w:hint="eastAsia" w:ascii="宋体" w:hAnsi="宋体" w:eastAsia="宋体" w:cs="宋体"/>
          <w:color w:val="auto"/>
          <w:sz w:val="24"/>
          <w:szCs w:val="24"/>
          <w:highlight w:val="none"/>
          <w:lang w:val="en-US" w:eastAsia="zh-CN"/>
        </w:rPr>
        <w:t>30</w:t>
      </w:r>
      <w:r>
        <w:rPr>
          <w:rFonts w:hint="eastAsia" w:ascii="宋体" w:hAnsi="宋体" w:eastAsia="宋体" w:cs="宋体"/>
          <w:sz w:val="24"/>
          <w:szCs w:val="24"/>
          <w:highlight w:val="none"/>
          <w:lang w:val="en-US" w:eastAsia="zh-CN"/>
        </w:rPr>
        <w:t>份，有效问卷回收率为100%。</w:t>
      </w:r>
    </w:p>
    <w:p w14:paraId="02F626EF">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5D54CC9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522A9AD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第一个问题：该项统计有效问卷数量30份，选择非常满意的人数为10人。选择比较满意的人数为15人，选择一般的人数5人，选择不满意的人数0人，选择非常不满意的人数0人。</w:t>
      </w:r>
    </w:p>
    <w:p w14:paraId="11D922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第二个问题：该项统计有效问卷数量30份，选择非常满意的人数为10人。选择比较满意的人数为10人，选择一般的人数10人，选择不满意的人数0人，选择非常不满意的人数0人。</w:t>
      </w:r>
    </w:p>
    <w:p w14:paraId="7EFA86A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第三个问题：该项统计有效问卷数量30份，选择非常满意的人数为10人。选择比较满意的人数为9人，选择一般的人数11人，选择不满意的人数0人，选择非常不满意的人数0人。</w:t>
      </w:r>
    </w:p>
    <w:p w14:paraId="53041B8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2AE938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2022年文化保护传承利用工程（第一批）中央投资资金--洛浦县热瓦克佛寺遗址保护利用设施资金项目</w:t>
      </w:r>
      <w:r>
        <w:rPr>
          <w:rFonts w:hint="eastAsia" w:ascii="宋体" w:hAnsi="宋体" w:eastAsia="宋体" w:cs="宋体"/>
          <w:sz w:val="24"/>
          <w:szCs w:val="24"/>
          <w:highlight w:val="none"/>
          <w:lang w:val="en-US" w:eastAsia="zh-CN"/>
        </w:rPr>
        <w:t>针对受益人员发放30份调查问卷，最终统计受益人群满意度为95%。</w:t>
      </w:r>
    </w:p>
    <w:p w14:paraId="5994A7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p>
    <w:p w14:paraId="0AE8866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1B3ACD4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126DD7C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                                                  洛浦县文旅局 </w:t>
      </w:r>
    </w:p>
    <w:p w14:paraId="46B2B044">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2025年3月31日    </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EB001">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CD02">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46050707">
                <w:pPr>
                  <w:pStyle w:val="15"/>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页 共 </w:t>
                </w:r>
                <w:r>
                  <w:rPr>
                    <w:rFonts w:hint="eastAsia" w:ascii="宋体" w:hAnsi="宋体" w:eastAsia="宋体" w:cs="宋体"/>
                    <w:sz w:val="21"/>
                    <w:szCs w:val="21"/>
                    <w:lang w:val="en-US" w:eastAsia="zh-CN"/>
                  </w:rPr>
                  <w:t>27</w:t>
                </w:r>
                <w:r>
                  <w:rPr>
                    <w:rFonts w:hint="eastAsia" w:ascii="宋体" w:hAnsi="宋体" w:eastAsia="宋体" w:cs="宋体"/>
                    <w:sz w:val="21"/>
                    <w:szCs w:val="21"/>
                  </w:rPr>
                  <w:t>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0054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27FB23A9"/>
    <w:rsid w:val="69E32FB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6"/>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2"/>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5"/>
    <w:unhideWhenUsed/>
    <w:qFormat/>
    <w:uiPriority w:val="0"/>
    <w:pPr>
      <w:ind w:firstLine="420"/>
    </w:pPr>
  </w:style>
  <w:style w:type="paragraph" w:styleId="5">
    <w:name w:val="Body Text Indent"/>
    <w:basedOn w:val="1"/>
    <w:link w:val="34"/>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8"/>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qFormat/>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qFormat/>
    <w:uiPriority w:val="99"/>
    <w:rPr>
      <w:b/>
      <w:bCs/>
    </w:rPr>
  </w:style>
  <w:style w:type="character" w:customStyle="1" w:styleId="31">
    <w:name w:val="Comment Reference"/>
    <w:unhideWhenUsed/>
    <w:qFormat/>
    <w:uiPriority w:val="99"/>
    <w:rPr>
      <w:sz w:val="16"/>
      <w:szCs w:val="16"/>
    </w:rPr>
  </w:style>
  <w:style w:type="character" w:customStyle="1" w:styleId="32">
    <w:name w:val="标题 3 Char"/>
    <w:link w:val="2"/>
    <w:qFormat/>
    <w:uiPriority w:val="9"/>
    <w:rPr>
      <w:rFonts w:ascii="Calibri" w:hAnsi="Calibri" w:eastAsia="仿宋_GB2312" w:cs="黑体"/>
      <w:bCs/>
      <w:sz w:val="28"/>
      <w:szCs w:val="32"/>
    </w:rPr>
  </w:style>
  <w:style w:type="character" w:customStyle="1" w:styleId="33">
    <w:name w:val="标题 1 Char"/>
    <w:link w:val="3"/>
    <w:qFormat/>
    <w:uiPriority w:val="9"/>
    <w:rPr>
      <w:rFonts w:ascii="Times New Roman" w:hAnsi="Times New Roman" w:eastAsia="仿宋_GB2312" w:cs="Times New Roman"/>
      <w:b/>
      <w:bCs/>
      <w:kern w:val="44"/>
      <w:sz w:val="32"/>
      <w:szCs w:val="44"/>
    </w:rPr>
  </w:style>
  <w:style w:type="character" w:customStyle="1" w:styleId="34">
    <w:name w:val="正文文本缩进 Char"/>
    <w:link w:val="5"/>
    <w:semiHidden/>
    <w:qFormat/>
    <w:uiPriority w:val="99"/>
    <w:rPr>
      <w:rFonts w:ascii="Calibri" w:hAnsi="Calibri" w:eastAsia="仿宋_GB2312" w:cs="黑体"/>
      <w:sz w:val="28"/>
    </w:rPr>
  </w:style>
  <w:style w:type="character" w:customStyle="1" w:styleId="35">
    <w:name w:val="正文首行缩进 2 Char"/>
    <w:link w:val="4"/>
    <w:qFormat/>
    <w:uiPriority w:val="0"/>
    <w:rPr>
      <w:rFonts w:ascii="Calibri" w:hAnsi="Calibri" w:eastAsia="仿宋_GB2312" w:cs="黑体"/>
      <w:sz w:val="28"/>
    </w:rPr>
  </w:style>
  <w:style w:type="character" w:customStyle="1" w:styleId="36">
    <w:name w:val="标题 2 Char"/>
    <w:link w:val="6"/>
    <w:qFormat/>
    <w:uiPriority w:val="0"/>
    <w:rPr>
      <w:rFonts w:ascii="Cambria" w:hAnsi="Cambria" w:eastAsia="仿宋_GB2312" w:cs="Times New Roman"/>
      <w:b/>
      <w:bCs/>
      <w:kern w:val="0"/>
      <w:sz w:val="30"/>
      <w:szCs w:val="32"/>
    </w:rPr>
  </w:style>
  <w:style w:type="character" w:customStyle="1" w:styleId="37">
    <w:name w:val="标题 4 Char"/>
    <w:link w:val="7"/>
    <w:semiHidden/>
    <w:qFormat/>
    <w:uiPriority w:val="9"/>
    <w:rPr>
      <w:rFonts w:ascii="Cambria" w:hAnsi="Cambria" w:eastAsia="宋体" w:cs="Times New Roman"/>
      <w:b/>
      <w:bCs/>
      <w:sz w:val="28"/>
      <w:szCs w:val="28"/>
    </w:rPr>
  </w:style>
  <w:style w:type="character" w:customStyle="1" w:styleId="38">
    <w:name w:val="文档结构图 Char"/>
    <w:link w:val="9"/>
    <w:semiHidden/>
    <w:qFormat/>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4"/>
    <w:semiHidden/>
    <w:qFormat/>
    <w:uiPriority w:val="99"/>
    <w:rPr>
      <w:rFonts w:ascii="Calibri" w:hAnsi="Calibri" w:eastAsia="仿宋_GB2312" w:cs="黑体"/>
      <w:sz w:val="18"/>
      <w:szCs w:val="18"/>
    </w:rPr>
  </w:style>
  <w:style w:type="character" w:customStyle="1" w:styleId="41">
    <w:name w:val="页脚 Char"/>
    <w:link w:val="15"/>
    <w:qFormat/>
    <w:uiPriority w:val="99"/>
    <w:rPr>
      <w:rFonts w:ascii="Calibri" w:hAnsi="Calibri" w:eastAsia="仿宋_GB2312" w:cs="黑体"/>
      <w:sz w:val="18"/>
      <w:szCs w:val="18"/>
    </w:rPr>
  </w:style>
  <w:style w:type="character" w:customStyle="1" w:styleId="42">
    <w:name w:val="页眉 Char"/>
    <w:link w:val="16"/>
    <w:qFormat/>
    <w:uiPriority w:val="99"/>
    <w:rPr>
      <w:rFonts w:ascii="Calibri" w:hAnsi="Calibri" w:eastAsia="仿宋_GB2312" w:cs="黑体"/>
      <w:sz w:val="18"/>
      <w:szCs w:val="18"/>
    </w:rPr>
  </w:style>
  <w:style w:type="character" w:customStyle="1" w:styleId="43">
    <w:name w:val="标题 Char"/>
    <w:link w:val="23"/>
    <w:qFormat/>
    <w:uiPriority w:val="10"/>
    <w:rPr>
      <w:rFonts w:ascii="Cambria" w:hAnsi="Cambria"/>
      <w:b/>
      <w:bCs/>
      <w:kern w:val="2"/>
      <w:sz w:val="32"/>
      <w:szCs w:val="32"/>
    </w:rPr>
  </w:style>
  <w:style w:type="character" w:customStyle="1" w:styleId="44">
    <w:name w:val="批注主题 Char"/>
    <w:link w:val="30"/>
    <w:semiHidden/>
    <w:qFormat/>
    <w:uiPriority w:val="99"/>
    <w:rPr>
      <w:rFonts w:ascii="Calibri" w:hAnsi="Calibri" w:eastAsia="仿宋_GB2312" w:cs="黑体"/>
      <w:b/>
      <w:bCs/>
      <w:sz w:val="20"/>
      <w:szCs w:val="20"/>
    </w:rPr>
  </w:style>
  <w:style w:type="character" w:customStyle="1" w:styleId="45">
    <w:name w:val="闻政-正文一级标题 Char"/>
    <w:link w:val="46"/>
    <w:qFormat/>
    <w:uiPriority w:val="3"/>
    <w:rPr>
      <w:rFonts w:ascii="黑体" w:hAnsi="黑体" w:eastAsia="黑体"/>
      <w:bCs/>
      <w:sz w:val="32"/>
      <w:szCs w:val="32"/>
    </w:rPr>
  </w:style>
  <w:style w:type="paragraph" w:customStyle="1" w:styleId="46">
    <w:name w:val="闻政-正文一级标题"/>
    <w:basedOn w:val="2"/>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qFormat/>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qFormat/>
    <w:uiPriority w:val="0"/>
    <w:rPr>
      <w:rFonts w:hint="eastAsia" w:ascii="微软雅黑" w:hAnsi="微软雅黑" w:eastAsia="微软雅黑" w:cs="微软雅黑"/>
      <w:b/>
      <w:bCs/>
      <w:color w:val="000000"/>
      <w:sz w:val="32"/>
      <w:szCs w:val="32"/>
      <w:u w:val="none"/>
    </w:rPr>
  </w:style>
  <w:style w:type="paragraph" w:customStyle="1" w:styleId="6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62">
    <w:name w:val="62"/>
    <w:basedOn w:val="1"/>
    <w:next w:val="1"/>
    <w:qFormat/>
    <w:uiPriority w:val="0"/>
    <w:pPr>
      <w:pBdr>
        <w:bottom w:val="single" w:color="auto" w:sz="6" w:space="1"/>
      </w:pBdr>
      <w:jc w:val="center"/>
    </w:pPr>
    <w:rPr>
      <w:rFonts w:ascii="Arial" w:eastAsia="宋体"/>
      <w:vanish/>
      <w:sz w:val="16"/>
    </w:rPr>
  </w:style>
  <w:style w:type="paragraph" w:customStyle="1" w:styleId="63">
    <w:name w:val="63"/>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9121587EBF7E417B8837502936ADDF53_13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18aef-7c4b-4d2c-9de4-d14ebb98a5c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4854</Words>
  <Characters>5050</Characters>
  <Lines>44</Lines>
  <Paragraphs>12</Paragraphs>
  <TotalTime>5</TotalTime>
  <ScaleCrop>false</ScaleCrop>
  <LinksUpToDate>false</LinksUpToDate>
  <CharactersWithSpaces>5068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2025-10-10T09:39:01Z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9121587EBF7E417B8837502936ADDF53_13</vt:lpwstr>
  </property>
  <property fmtid="{D5CDD505-2E9C-101B-9397-08002B2CF9AE}" pid="4" name="KSOTemplateDocerSaveRecord">
    <vt:lpwstr>eyJoZGlkIjoiMGIxZTI3ODM4ZmVjOGE5NDFiYmE3OTRiMjQ5OTEyNzIiLCJ1c2VySWQiOiIzNzI2MDMzNTYifQ==</vt:lpwstr>
  </property>
</Properties>
</file>