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3F3B9"/>
    <w:p w14:paraId="2529D306">
      <w:pPr>
        <w:pageBreakBefore w:val="0"/>
        <w:widowControl w:val="0"/>
        <w:kinsoku/>
        <w:wordWrap/>
        <w:topLinePunct w:val="0"/>
        <w:autoSpaceDE/>
        <w:autoSpaceDN/>
        <w:bidi w:val="0"/>
        <w:spacing w:line="560" w:lineRule="exact"/>
        <w:ind w:left="0" w:leftChars="0" w:firstLine="0" w:firstLineChars="0"/>
        <w:textAlignment w:val="auto"/>
        <w:rPr>
          <w:rFonts w:hint="eastAsia" w:ascii="宋体" w:hAnsi="宋体" w:eastAsia="宋体" w:cs="宋体"/>
          <w:b/>
          <w:color w:val="auto"/>
          <w:kern w:val="0"/>
          <w:sz w:val="24"/>
          <w:szCs w:val="24"/>
          <w:lang w:val="en-US" w:eastAsia="zh-CN" w:bidi="en-US"/>
        </w:rPr>
      </w:pPr>
    </w:p>
    <w:p w14:paraId="222D849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和田地区洛浦县2024年村级运转经费项目</w:t>
      </w:r>
    </w:p>
    <w:p w14:paraId="433A302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color w:val="auto"/>
          <w:sz w:val="36"/>
          <w:szCs w:val="36"/>
        </w:rPr>
      </w:pPr>
      <w:r>
        <w:rPr>
          <w:rFonts w:hint="eastAsia" w:ascii="黑体" w:hAnsi="黑体" w:eastAsia="黑体" w:cs="黑体"/>
          <w:b/>
          <w:color w:val="auto"/>
          <w:sz w:val="36"/>
          <w:szCs w:val="36"/>
        </w:rPr>
        <w:t>支出绩效评价报告</w:t>
      </w:r>
    </w:p>
    <w:p w14:paraId="7F89DA6B">
      <w:pPr>
        <w:pStyle w:val="6"/>
        <w:jc w:val="center"/>
        <w:rPr>
          <w:rFonts w:hint="eastAsia" w:ascii="黑体" w:hAnsi="黑体" w:eastAsia="黑体" w:cs="黑体"/>
          <w:color w:val="auto"/>
          <w:sz w:val="30"/>
          <w:szCs w:val="30"/>
          <w:lang w:eastAsia="zh-CN"/>
        </w:rPr>
      </w:pPr>
      <w:r>
        <w:rPr>
          <w:rFonts w:hint="eastAsia" w:ascii="黑体" w:hAnsi="黑体" w:eastAsia="黑体" w:cs="黑体"/>
          <w:color w:val="auto"/>
          <w:sz w:val="30"/>
          <w:szCs w:val="30"/>
          <w:lang w:eastAsia="zh-CN"/>
        </w:rPr>
        <w:t>（</w:t>
      </w:r>
      <w:r>
        <w:rPr>
          <w:rFonts w:hint="eastAsia" w:ascii="黑体" w:hAnsi="黑体" w:eastAsia="黑体" w:cs="黑体"/>
          <w:color w:val="auto"/>
          <w:sz w:val="30"/>
          <w:szCs w:val="30"/>
          <w:lang w:val="en-US" w:eastAsia="zh-CN"/>
        </w:rPr>
        <w:t>2024年度</w:t>
      </w:r>
      <w:r>
        <w:rPr>
          <w:rFonts w:hint="eastAsia" w:ascii="黑体" w:hAnsi="黑体" w:eastAsia="黑体" w:cs="黑体"/>
          <w:color w:val="auto"/>
          <w:sz w:val="30"/>
          <w:szCs w:val="30"/>
          <w:lang w:eastAsia="zh-CN"/>
        </w:rPr>
        <w:t>）</w:t>
      </w:r>
    </w:p>
    <w:p w14:paraId="2E54080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color w:val="auto"/>
          <w:kern w:val="0"/>
          <w:sz w:val="24"/>
          <w:szCs w:val="24"/>
          <w:lang w:bidi="en-US"/>
        </w:rPr>
      </w:pPr>
    </w:p>
    <w:p w14:paraId="5980091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ascii="宋体" w:hAnsi="宋体" w:eastAsia="宋体" w:cs="宋体"/>
          <w:b/>
          <w:color w:val="auto"/>
          <w:kern w:val="0"/>
          <w:sz w:val="24"/>
          <w:szCs w:val="24"/>
          <w:lang w:bidi="en-US"/>
        </w:rPr>
      </w:pPr>
    </w:p>
    <w:p w14:paraId="63A96E31">
      <w:pPr>
        <w:pStyle w:val="6"/>
        <w:rPr>
          <w:rFonts w:hint="eastAsia" w:ascii="宋体" w:hAnsi="宋体" w:eastAsia="宋体" w:cs="宋体"/>
          <w:b/>
          <w:color w:val="auto"/>
          <w:kern w:val="0"/>
          <w:sz w:val="24"/>
          <w:szCs w:val="24"/>
          <w:lang w:bidi="en-US"/>
        </w:rPr>
      </w:pPr>
    </w:p>
    <w:p w14:paraId="2B2806FD">
      <w:pPr>
        <w:rPr>
          <w:rFonts w:hint="eastAsia" w:ascii="宋体" w:hAnsi="宋体" w:eastAsia="宋体" w:cs="宋体"/>
          <w:b/>
          <w:color w:val="auto"/>
          <w:kern w:val="0"/>
          <w:sz w:val="24"/>
          <w:szCs w:val="24"/>
          <w:lang w:bidi="en-US"/>
        </w:rPr>
      </w:pPr>
    </w:p>
    <w:p w14:paraId="314EC546">
      <w:pPr>
        <w:pStyle w:val="6"/>
        <w:rPr>
          <w:rFonts w:hint="eastAsia" w:ascii="宋体" w:hAnsi="宋体" w:eastAsia="宋体" w:cs="宋体"/>
          <w:color w:val="auto"/>
          <w:sz w:val="24"/>
          <w:szCs w:val="24"/>
        </w:rPr>
      </w:pPr>
      <w:bookmarkStart w:id="20" w:name="_GoBack"/>
      <w:bookmarkEnd w:id="20"/>
    </w:p>
    <w:p w14:paraId="46A1B31A">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ascii="宋体" w:hAnsi="宋体" w:eastAsia="宋体" w:cs="宋体"/>
          <w:b/>
          <w:color w:val="auto"/>
          <w:sz w:val="24"/>
          <w:szCs w:val="24"/>
          <w:lang w:bidi="en-US"/>
        </w:rPr>
      </w:pPr>
    </w:p>
    <w:p w14:paraId="778E5502">
      <w:pPr>
        <w:pageBreakBefore w:val="0"/>
        <w:widowControl w:val="0"/>
        <w:kinsoku/>
        <w:wordWrap/>
        <w:topLinePunct w:val="0"/>
        <w:autoSpaceDE/>
        <w:autoSpaceDN/>
        <w:bidi w:val="0"/>
        <w:spacing w:line="560" w:lineRule="exact"/>
        <w:ind w:left="0" w:leftChars="0" w:firstLine="560"/>
        <w:textAlignment w:val="auto"/>
        <w:rPr>
          <w:rFonts w:hint="eastAsia" w:ascii="宋体" w:hAnsi="宋体" w:eastAsia="宋体" w:cs="宋体"/>
          <w:color w:val="auto"/>
          <w:sz w:val="24"/>
          <w:szCs w:val="24"/>
        </w:rPr>
      </w:pPr>
    </w:p>
    <w:p w14:paraId="3E5BB40D">
      <w:pPr>
        <w:pageBreakBefore w:val="0"/>
        <w:widowControl w:val="0"/>
        <w:kinsoku/>
        <w:wordWrap/>
        <w:topLinePunct w:val="0"/>
        <w:autoSpaceDE/>
        <w:autoSpaceDN/>
        <w:bidi w:val="0"/>
        <w:spacing w:line="560" w:lineRule="exact"/>
        <w:ind w:left="0" w:leftChars="0" w:firstLine="0" w:firstLineChars="0"/>
        <w:textAlignment w:val="auto"/>
        <w:rPr>
          <w:rFonts w:hint="eastAsia" w:ascii="宋体" w:hAnsi="宋体" w:eastAsia="宋体" w:cs="宋体"/>
          <w:color w:val="auto"/>
          <w:kern w:val="0"/>
          <w:sz w:val="24"/>
          <w:szCs w:val="24"/>
          <w:lang w:bidi="en-US"/>
        </w:rPr>
      </w:pPr>
    </w:p>
    <w:p w14:paraId="18D8E2A5">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color w:val="auto"/>
          <w:kern w:val="0"/>
          <w:sz w:val="24"/>
          <w:szCs w:val="24"/>
          <w:lang w:bidi="en-US"/>
        </w:rPr>
      </w:pPr>
      <w:r>
        <w:rPr>
          <w:rFonts w:hint="eastAsia" w:ascii="宋体" w:hAnsi="宋体" w:eastAsia="宋体" w:cs="宋体"/>
          <w:color w:val="auto"/>
          <w:kern w:val="0"/>
          <w:sz w:val="24"/>
          <w:szCs w:val="24"/>
          <w:lang w:bidi="en-US"/>
        </w:rPr>
        <w:t>项目名称：2024年村级运转经费目</w:t>
      </w:r>
    </w:p>
    <w:p w14:paraId="26644F77">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color w:val="auto"/>
          <w:kern w:val="0"/>
          <w:sz w:val="24"/>
          <w:szCs w:val="24"/>
          <w:lang w:eastAsia="zh-CN" w:bidi="en-US"/>
        </w:rPr>
      </w:pPr>
      <w:r>
        <w:rPr>
          <w:rFonts w:hint="eastAsia" w:ascii="宋体" w:hAnsi="宋体" w:eastAsia="宋体" w:cs="宋体"/>
          <w:color w:val="auto"/>
          <w:kern w:val="0"/>
          <w:sz w:val="24"/>
          <w:szCs w:val="24"/>
          <w:lang w:bidi="en-US"/>
        </w:rPr>
        <w:t>项目单位：洛浦县</w:t>
      </w:r>
      <w:r>
        <w:rPr>
          <w:rFonts w:hint="eastAsia" w:ascii="宋体" w:hAnsi="宋体" w:eastAsia="宋体" w:cs="宋体"/>
          <w:color w:val="auto"/>
          <w:kern w:val="0"/>
          <w:sz w:val="24"/>
          <w:szCs w:val="24"/>
          <w:lang w:eastAsia="zh-CN" w:bidi="en-US"/>
        </w:rPr>
        <w:t>纳瓦乡人民政府</w:t>
      </w:r>
    </w:p>
    <w:p w14:paraId="7D207C93">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color w:val="auto"/>
          <w:kern w:val="0"/>
          <w:sz w:val="24"/>
          <w:szCs w:val="24"/>
          <w:lang w:eastAsia="zh-CN" w:bidi="en-US"/>
        </w:rPr>
      </w:pPr>
      <w:r>
        <w:rPr>
          <w:rFonts w:hint="eastAsia" w:ascii="宋体" w:hAnsi="宋体" w:eastAsia="宋体" w:cs="宋体"/>
          <w:color w:val="auto"/>
          <w:kern w:val="0"/>
          <w:sz w:val="24"/>
          <w:szCs w:val="24"/>
          <w:lang w:bidi="en-US"/>
        </w:rPr>
        <w:t>主管部门：</w:t>
      </w:r>
      <w:r>
        <w:rPr>
          <w:rFonts w:hint="eastAsia" w:ascii="宋体" w:hAnsi="宋体" w:eastAsia="宋体" w:cs="宋体"/>
          <w:color w:val="auto"/>
          <w:kern w:val="0"/>
          <w:sz w:val="24"/>
          <w:szCs w:val="24"/>
          <w:lang w:eastAsia="zh-CN" w:bidi="en-US"/>
        </w:rPr>
        <w:t>洛浦县乡村振兴局</w:t>
      </w:r>
    </w:p>
    <w:p w14:paraId="40B815D2">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color w:val="auto"/>
          <w:kern w:val="0"/>
          <w:sz w:val="24"/>
          <w:szCs w:val="24"/>
          <w:lang w:eastAsia="zh-CN" w:bidi="en-US"/>
        </w:rPr>
      </w:pPr>
      <w:r>
        <w:rPr>
          <w:rFonts w:hint="eastAsia" w:ascii="宋体" w:hAnsi="宋体" w:eastAsia="宋体" w:cs="宋体"/>
          <w:color w:val="auto"/>
          <w:kern w:val="0"/>
          <w:sz w:val="24"/>
          <w:szCs w:val="24"/>
          <w:lang w:bidi="en-US"/>
        </w:rPr>
        <w:t>项目负责人：</w:t>
      </w:r>
      <w:r>
        <w:rPr>
          <w:rFonts w:hint="eastAsia" w:ascii="宋体" w:hAnsi="宋体" w:eastAsia="宋体" w:cs="宋体"/>
          <w:color w:val="auto"/>
          <w:kern w:val="0"/>
          <w:sz w:val="24"/>
          <w:szCs w:val="24"/>
          <w:lang w:eastAsia="zh-CN" w:bidi="en-US"/>
        </w:rPr>
        <w:t>买吐送</w:t>
      </w:r>
    </w:p>
    <w:p w14:paraId="5EFF3900">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bidi="en-US"/>
        </w:rPr>
        <w:t>填报时间：</w:t>
      </w:r>
      <w:r>
        <w:rPr>
          <w:rFonts w:hint="eastAsia" w:ascii="宋体" w:hAnsi="宋体" w:eastAsia="宋体" w:cs="宋体"/>
          <w:color w:val="auto"/>
          <w:kern w:val="0"/>
          <w:sz w:val="24"/>
          <w:szCs w:val="24"/>
          <w:lang w:val="en-US" w:eastAsia="zh-CN" w:bidi="en-US"/>
        </w:rPr>
        <w:t>2025</w:t>
      </w:r>
      <w:r>
        <w:rPr>
          <w:rFonts w:hint="eastAsia" w:ascii="宋体" w:hAnsi="宋体" w:eastAsia="宋体" w:cs="宋体"/>
          <w:color w:val="auto"/>
          <w:kern w:val="0"/>
          <w:sz w:val="24"/>
          <w:szCs w:val="24"/>
          <w:lang w:bidi="en-US"/>
        </w:rPr>
        <w:t>年</w:t>
      </w:r>
      <w:r>
        <w:rPr>
          <w:rFonts w:hint="eastAsia" w:ascii="宋体" w:hAnsi="宋体" w:eastAsia="宋体" w:cs="宋体"/>
          <w:color w:val="auto"/>
          <w:kern w:val="0"/>
          <w:sz w:val="24"/>
          <w:szCs w:val="24"/>
          <w:lang w:val="en-US" w:eastAsia="zh-CN" w:bidi="en-US"/>
        </w:rPr>
        <w:t>4</w:t>
      </w:r>
      <w:r>
        <w:rPr>
          <w:rFonts w:hint="eastAsia" w:ascii="宋体" w:hAnsi="宋体" w:eastAsia="宋体" w:cs="宋体"/>
          <w:color w:val="auto"/>
          <w:kern w:val="0"/>
          <w:sz w:val="24"/>
          <w:szCs w:val="24"/>
          <w:lang w:bidi="en-US"/>
        </w:rPr>
        <w:t>月</w:t>
      </w:r>
      <w:r>
        <w:rPr>
          <w:rFonts w:hint="eastAsia" w:ascii="宋体" w:hAnsi="宋体" w:eastAsia="宋体" w:cs="宋体"/>
          <w:color w:val="auto"/>
          <w:kern w:val="0"/>
          <w:sz w:val="24"/>
          <w:szCs w:val="24"/>
          <w:lang w:val="en-US" w:eastAsia="zh-CN" w:bidi="en-US"/>
        </w:rPr>
        <w:t>15</w:t>
      </w:r>
      <w:r>
        <w:rPr>
          <w:rFonts w:hint="eastAsia" w:ascii="宋体" w:hAnsi="宋体" w:eastAsia="宋体" w:cs="宋体"/>
          <w:color w:val="auto"/>
          <w:kern w:val="0"/>
          <w:sz w:val="24"/>
          <w:szCs w:val="24"/>
          <w:lang w:bidi="en-US"/>
        </w:rPr>
        <w:t>日</w:t>
      </w:r>
      <w:bookmarkStart w:id="0" w:name="_Toc68364657"/>
    </w:p>
    <w:p w14:paraId="22DD2A5F">
      <w:pPr>
        <w:pStyle w:val="4"/>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auto"/>
          <w:sz w:val="24"/>
          <w:szCs w:val="24"/>
          <w:lang w:val="en-US" w:eastAsia="zh-CN"/>
        </w:rPr>
        <w:sectPr>
          <w:headerReference r:id="rId5" w:type="default"/>
          <w:footerReference r:id="rId6" w:type="default"/>
          <w:pgSz w:w="11906" w:h="16838"/>
          <w:pgMar w:top="1985" w:right="1531" w:bottom="1701" w:left="1531" w:header="851" w:footer="992" w:gutter="0"/>
          <w:pgNumType w:fmt="decimal" w:start="1"/>
          <w:cols w:space="720" w:num="1"/>
          <w:docGrid w:type="linesAndChars" w:linePitch="386" w:charSpace="0"/>
        </w:sectPr>
      </w:pPr>
    </w:p>
    <w:p w14:paraId="248DACA5">
      <w:pPr>
        <w:pStyle w:val="4"/>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44FDC1C5">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5C14A26B">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6C2B4D6D">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为深入贯彻落实2024年中央和自治区农村综合改革转移支付预算，进一步做好和田地区农村公益事业财政奖补资金项目，根据洛财纪字【2024】9号、洛财纪字【2024】12号文件要求，结合我乡实际制定本方案。     </w:t>
      </w:r>
    </w:p>
    <w:p w14:paraId="4D853F57">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主要内容及实施情况</w:t>
      </w:r>
    </w:p>
    <w:p w14:paraId="728F8C25">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主要内容</w:t>
      </w:r>
    </w:p>
    <w:p w14:paraId="02225040">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洛浦县财经委员会会议纪要》（洛财纪字〔2023〕4号）文件实施此项目，项目主要内容为：保障辖区内13个行政村的办公经费、电费等各项运转经费，确保13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17C9AF36">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3.实施情况</w:t>
      </w:r>
    </w:p>
    <w:p w14:paraId="5B70A16B">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02C89825">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本项目主管部门为洛浦县财政局，实施单位为洛浦县纳瓦乡人民政府13个村。</w:t>
      </w:r>
    </w:p>
    <w:p w14:paraId="5E92F3B2">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177008FB">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077B9E02">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资金来源：项目总预算58.5元，实际拨付金额58.26万元，主要来源于财政拨款58.26元，占比100%；社会捐赠0元，占比0%；村集体经济收入自筹0元，占比0%；资金支出明细：办公经费57.58万元，包括办公用品购置、通讯费等日常办公开销；电费0.68万元，用于办公区域照明。 主要成效：组织运转效率提升：稳定的经费保障使得村组织能够按时开展各类会议、工作部署与落实，决策执行更加高效；公共服务水平提高；基层组织建设加强，党建活动经费保障党组织活动丰富多样，党员参与积极性提高，密切党群关系，增强党组织在群众中的影响力和号召力 。</w:t>
      </w:r>
    </w:p>
    <w:p w14:paraId="63B7BAA0">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02BD23A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2627A65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万元，资金来源为部门预算，其中：财政资金</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34DCA8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491D6E8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58.26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99.59</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村日常开支，</w:t>
      </w:r>
      <w:r>
        <w:rPr>
          <w:rFonts w:hint="eastAsia" w:ascii="宋体" w:hAnsi="宋体" w:eastAsia="宋体" w:cs="宋体"/>
          <w:b w:val="0"/>
          <w:bCs w:val="0"/>
          <w:color w:val="auto"/>
          <w:sz w:val="24"/>
          <w:szCs w:val="24"/>
          <w:lang w:val="en-US" w:eastAsia="zh-CN"/>
        </w:rPr>
        <w:t>办公经费，包括办公用品购置、通讯费等日常办公开销等</w:t>
      </w:r>
      <w:r>
        <w:rPr>
          <w:rFonts w:hint="eastAsia" w:ascii="宋体" w:hAnsi="宋体" w:eastAsia="宋体" w:cs="宋体"/>
          <w:color w:val="auto"/>
          <w:sz w:val="24"/>
          <w:szCs w:val="24"/>
          <w:lang w:val="en-US" w:eastAsia="zh-CN"/>
        </w:rPr>
        <w:t>。</w:t>
      </w:r>
    </w:p>
    <w:p w14:paraId="0E5178E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35730E4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11FA56F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0EC72635">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洛浦县财经委员会会议纪要》（洛财纪字〔2023〕4号）文件实施此项目，项目主要内容为：保障辖区内13个行政村的办公经费、电费等各项运转经费，确保13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6821861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阶段性目标</w:t>
      </w:r>
    </w:p>
    <w:p w14:paraId="145CC915">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3E354CD3">
      <w:pPr>
        <w:pStyle w:val="46"/>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0CA9BDDD">
      <w:pPr>
        <w:pStyle w:val="46"/>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2BEB00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指标1:涉及行政村个数，年度指标值：=13个村，计划标准；</w:t>
      </w:r>
    </w:p>
    <w:p w14:paraId="6F0B6B91">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质量指标：</w:t>
      </w:r>
    </w:p>
    <w:p w14:paraId="289DBA8B">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指标1:资金保障率，年度指标值：=100%，计划标准；</w:t>
      </w:r>
    </w:p>
    <w:p w14:paraId="26807AD0">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时效指标：</w:t>
      </w:r>
    </w:p>
    <w:p w14:paraId="2B5BC79F">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指标1:项目完成及时率，年度指标值：=100%，计划标准；</w:t>
      </w:r>
    </w:p>
    <w:p w14:paraId="2F51597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指标2:项目完成时间，2024年12月，计划标准；</w:t>
      </w:r>
    </w:p>
    <w:p w14:paraId="240A0735">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（二）成本指标</w:t>
      </w:r>
    </w:p>
    <w:p w14:paraId="4C7F3DE8">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指标1:每个村运转成本，年度指标值：≤4.5万元/村，计划标准；</w:t>
      </w:r>
    </w:p>
    <w:p w14:paraId="4BB56888">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效益情况</w:t>
      </w:r>
    </w:p>
    <w:p w14:paraId="0387005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社会效益：</w:t>
      </w:r>
    </w:p>
    <w:p w14:paraId="7CC2B1AB">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指标1:保障各村正常运转，年度指标值：有效保障，计划标准；</w:t>
      </w:r>
    </w:p>
    <w:p w14:paraId="3C0D0DA8">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（四）满意度</w:t>
      </w:r>
    </w:p>
    <w:p w14:paraId="49C8E13E">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指标1:村干部满意度，年度指标值：≥90%，计划标准。</w:t>
      </w:r>
    </w:p>
    <w:p w14:paraId="603EB83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p>
    <w:p w14:paraId="3FAABFE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2B24335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26E80C2F">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14E18AB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定，对洛浦县2024年村级运转经费项目开展本次部门项目支出绩效评价工作。全面了解</w:t>
      </w:r>
      <w:r>
        <w:rPr>
          <w:rFonts w:hint="eastAsia" w:ascii="宋体" w:hAnsi="宋体" w:eastAsia="宋体" w:cs="宋体"/>
          <w:color w:val="auto"/>
          <w:sz w:val="24"/>
          <w:szCs w:val="24"/>
          <w:lang w:val="en-US" w:eastAsia="zh-CN"/>
        </w:rPr>
        <w:t>洛浦县2024年村级运转经费</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6B277AF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4D125FF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7CB4F7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52D305E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44F09D6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1D5D125B">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0FEB8D2E">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rPr>
        <w:t>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5661B6D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643AD25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1C4B8319">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C59C83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02A9A53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3889E3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3BC98C1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264A921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3627F75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01C8EA9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3B4A710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DF1338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3A811B5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75F29D5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4BE70B2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883ECD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5CA8808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65E69A1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05F26AF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1581BEE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72071F7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4F81DEC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141F488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71A3AA0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3D3D630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600A506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1A0A4E6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49BAC6E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959175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609E5D2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6C5BC49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lang w:val="en-US" w:eastAsia="zh-CN"/>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w:t>
      </w:r>
      <w:r>
        <w:rPr>
          <w:rFonts w:hint="eastAsia" w:ascii="宋体" w:hAnsi="宋体" w:eastAsia="宋体" w:cs="宋体"/>
          <w:b w:val="0"/>
          <w:bCs w:val="0"/>
          <w:color w:val="auto"/>
          <w:sz w:val="24"/>
          <w:szCs w:val="24"/>
        </w:rPr>
        <w:t>次评价主要采用了计划标准标准。</w:t>
      </w:r>
    </w:p>
    <w:p w14:paraId="2003124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3422FF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行业标准</w:t>
      </w:r>
      <w:r>
        <w:rPr>
          <w:rFonts w:hint="eastAsia" w:ascii="宋体" w:hAnsi="宋体" w:eastAsia="宋体" w:cs="宋体"/>
          <w:color w:val="auto"/>
          <w:sz w:val="24"/>
          <w:szCs w:val="24"/>
          <w:lang w:val="en-US" w:eastAsia="zh-CN"/>
        </w:rPr>
        <w:t>。指参照国家公布的行业指标数据制定的评价标准。</w:t>
      </w:r>
    </w:p>
    <w:p w14:paraId="66BDF307">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9" w:name="_Toc430"/>
      <w:bookmarkStart w:id="10"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9"/>
      <w:bookmarkEnd w:id="10"/>
    </w:p>
    <w:p w14:paraId="421BC1F4">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784D292A">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bookmarkStart w:id="11" w:name="_Toc68364664"/>
      <w:r>
        <w:rPr>
          <w:rFonts w:hint="eastAsia" w:ascii="宋体" w:hAnsi="宋体" w:eastAsia="宋体" w:cs="宋体"/>
          <w:color w:val="auto"/>
          <w:sz w:val="24"/>
          <w:szCs w:val="24"/>
        </w:rPr>
        <w:t>1.前期准备</w:t>
      </w:r>
    </w:p>
    <w:p w14:paraId="6BA1911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65CC38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eastAsia="zh-CN" w:bidi="en-US"/>
        </w:rPr>
        <w:t>买吐送</w:t>
      </w:r>
      <w:r>
        <w:rPr>
          <w:rFonts w:hint="eastAsia" w:ascii="宋体" w:hAnsi="宋体" w:eastAsia="宋体" w:cs="宋体"/>
          <w:color w:val="auto"/>
          <w:sz w:val="24"/>
          <w:szCs w:val="24"/>
        </w:rPr>
        <w:t>（评价小组组长）：主要负责</w:t>
      </w:r>
      <w:r>
        <w:rPr>
          <w:rFonts w:hint="eastAsia" w:ascii="宋体" w:hAnsi="宋体" w:eastAsia="宋体" w:cs="宋体"/>
          <w:b w:val="0"/>
          <w:bCs w:val="0"/>
          <w:color w:val="auto"/>
          <w:sz w:val="24"/>
          <w:szCs w:val="24"/>
        </w:rPr>
        <w:t>组织安排绩效评价工作</w:t>
      </w:r>
      <w:r>
        <w:rPr>
          <w:rFonts w:hint="eastAsia" w:ascii="宋体" w:hAnsi="宋体" w:eastAsia="宋体" w:cs="宋体"/>
          <w:color w:val="auto"/>
          <w:sz w:val="24"/>
          <w:szCs w:val="24"/>
        </w:rPr>
        <w:t>;</w:t>
      </w:r>
    </w:p>
    <w:p w14:paraId="244072B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张腾（</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资料整理及信息汇总工作</w:t>
      </w:r>
      <w:r>
        <w:rPr>
          <w:rFonts w:hint="eastAsia" w:ascii="宋体" w:hAnsi="宋体" w:eastAsia="宋体" w:cs="宋体"/>
          <w:color w:val="auto"/>
          <w:sz w:val="24"/>
          <w:szCs w:val="24"/>
        </w:rPr>
        <w:t>;</w:t>
      </w:r>
    </w:p>
    <w:p w14:paraId="39B860A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布威艾洁尔</w:t>
      </w:r>
      <w:r>
        <w:rPr>
          <w:rFonts w:hint="eastAsia" w:ascii="宋体" w:hAnsi="宋体" w:eastAsia="宋体" w:cs="宋体"/>
          <w:color w:val="auto"/>
          <w:sz w:val="24"/>
          <w:szCs w:val="24"/>
        </w:rPr>
        <w:t>（评价小组组员）：主要负责</w:t>
      </w:r>
      <w:r>
        <w:rPr>
          <w:rFonts w:hint="eastAsia" w:ascii="宋体" w:hAnsi="宋体" w:eastAsia="宋体" w:cs="宋体"/>
          <w:b w:val="0"/>
          <w:bCs w:val="0"/>
          <w:color w:val="auto"/>
          <w:sz w:val="24"/>
          <w:szCs w:val="24"/>
        </w:rPr>
        <w:t>出具项目绩效评价报告</w:t>
      </w:r>
      <w:r>
        <w:rPr>
          <w:rFonts w:hint="eastAsia" w:ascii="宋体" w:hAnsi="宋体" w:eastAsia="宋体" w:cs="宋体"/>
          <w:color w:val="auto"/>
          <w:sz w:val="24"/>
          <w:szCs w:val="24"/>
        </w:rPr>
        <w:t>。</w:t>
      </w:r>
    </w:p>
    <w:p w14:paraId="0253C5F2">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3ACF8A4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86E9875">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16318F5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5B6EE2CD">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696152A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08153F8E">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2744ADC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9DF2669">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1BE18B6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189A2A0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1"/>
    </w:p>
    <w:p w14:paraId="110CB27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2" w:name="_Toc68364665"/>
      <w:r>
        <w:rPr>
          <w:rFonts w:hint="eastAsia" w:ascii="宋体" w:hAnsi="宋体" w:eastAsia="宋体" w:cs="宋体"/>
          <w:color w:val="auto"/>
          <w:sz w:val="24"/>
          <w:szCs w:val="24"/>
        </w:rPr>
        <w:t>（一）综合评价情况</w:t>
      </w:r>
      <w:bookmarkEnd w:id="12"/>
    </w:p>
    <w:p w14:paraId="031218F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13" w:name="_Toc68364666"/>
      <w:r>
        <w:rPr>
          <w:rFonts w:hint="eastAsia" w:ascii="宋体" w:hAnsi="宋体" w:eastAsia="宋体" w:cs="宋体"/>
          <w:i w:val="0"/>
          <w:iCs w:val="0"/>
          <w:caps w:val="0"/>
          <w:color w:val="auto"/>
          <w:spacing w:val="0"/>
          <w:sz w:val="24"/>
          <w:szCs w:val="24"/>
          <w:shd w:val="clear" w:color="auto" w:fill="FFFFFF"/>
          <w:lang w:val="en-US" w:eastAsia="zh-CN"/>
        </w:rPr>
        <w:t>通过实施洛浦县2024年村级运转经费项目产生本级绩效评价遵循科学规范、公开公正、绩效相关和问题导向的原则、重点评价项目的资金投入与财务管理</w:t>
      </w:r>
      <w:r>
        <w:rPr>
          <w:rFonts w:hint="eastAsia" w:ascii="宋体" w:hAnsi="宋体" w:eastAsia="宋体" w:cs="宋体"/>
          <w:i w:val="0"/>
          <w:iCs w:val="0"/>
          <w:caps w:val="0"/>
          <w:color w:val="auto"/>
          <w:spacing w:val="0"/>
          <w:sz w:val="24"/>
          <w:szCs w:val="24"/>
          <w:shd w:val="clear" w:color="auto" w:fill="FFFFFF"/>
        </w:rPr>
        <w:t>、</w:t>
      </w:r>
      <w:r>
        <w:rPr>
          <w:rFonts w:hint="eastAsia" w:ascii="宋体" w:hAnsi="宋体" w:eastAsia="宋体" w:cs="宋体"/>
          <w:i w:val="0"/>
          <w:iCs w:val="0"/>
          <w:caps w:val="0"/>
          <w:color w:val="auto"/>
          <w:spacing w:val="0"/>
          <w:sz w:val="24"/>
          <w:szCs w:val="24"/>
          <w:shd w:val="clear" w:color="auto" w:fill="FFFFFF"/>
          <w:lang w:val="en-US" w:eastAsia="zh-CN"/>
        </w:rPr>
        <w:t>组织管理、产出与效益效果。</w:t>
      </w:r>
      <w:r>
        <w:rPr>
          <w:rFonts w:hint="eastAsia" w:ascii="宋体" w:hAnsi="宋体" w:eastAsia="宋体" w:cs="宋体"/>
          <w:i w:val="0"/>
          <w:iCs w:val="0"/>
          <w:caps w:val="0"/>
          <w:color w:val="auto"/>
          <w:spacing w:val="0"/>
          <w:sz w:val="24"/>
          <w:szCs w:val="24"/>
          <w:shd w:val="clear" w:color="auto" w:fill="FFFFFF"/>
        </w:rPr>
        <w:t>项目实施主要通过项目决策、项目过程、项目产出以及项目效益</w:t>
      </w:r>
      <w:r>
        <w:rPr>
          <w:rFonts w:hint="eastAsia" w:ascii="宋体" w:hAnsi="宋体" w:eastAsia="宋体" w:cs="宋体"/>
          <w:color w:val="auto"/>
          <w:sz w:val="24"/>
          <w:szCs w:val="24"/>
        </w:rPr>
        <w:t>等方面进行评价，其中：</w:t>
      </w:r>
    </w:p>
    <w:p w14:paraId="45A6D42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项目决策：该项目主要通过</w:t>
      </w:r>
      <w:r>
        <w:rPr>
          <w:rFonts w:hint="eastAsia" w:ascii="宋体" w:hAnsi="宋体" w:eastAsia="宋体" w:cs="宋体"/>
          <w:color w:val="auto"/>
          <w:kern w:val="2"/>
          <w:sz w:val="24"/>
          <w:szCs w:val="24"/>
          <w:lang w:val="en-US" w:eastAsia="zh-CN" w:bidi="ar-SA"/>
        </w:rPr>
        <w:t>洛财纪字【2024】12号/洛财纪字【2024】9号</w:t>
      </w:r>
      <w:r>
        <w:rPr>
          <w:rFonts w:hint="eastAsia" w:ascii="宋体" w:hAnsi="宋体" w:eastAsia="宋体" w:cs="宋体"/>
          <w:color w:val="auto"/>
          <w:sz w:val="24"/>
          <w:szCs w:val="24"/>
        </w:rPr>
        <w:t>文件立项，项目实施符合</w:t>
      </w:r>
      <w:r>
        <w:rPr>
          <w:rFonts w:hint="eastAsia" w:ascii="宋体" w:hAnsi="宋体" w:eastAsia="宋体" w:cs="宋体"/>
          <w:color w:val="auto"/>
          <w:kern w:val="2"/>
          <w:sz w:val="24"/>
          <w:szCs w:val="24"/>
          <w:lang w:val="en-US" w:eastAsia="zh-CN" w:bidi="ar-SA"/>
        </w:rPr>
        <w:t>我乡实际制定本方案要求，</w:t>
      </w:r>
      <w:r>
        <w:rPr>
          <w:rFonts w:hint="eastAsia" w:ascii="宋体" w:hAnsi="宋体" w:eastAsia="宋体" w:cs="宋体"/>
          <w:color w:val="auto"/>
          <w:sz w:val="24"/>
          <w:szCs w:val="24"/>
        </w:rPr>
        <w:t xml:space="preserve">项目立项依据充分，立项程序规范。 </w:t>
      </w:r>
    </w:p>
    <w:p w14:paraId="4FBC5C5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i w:val="0"/>
          <w:iCs w:val="0"/>
          <w:caps w:val="0"/>
          <w:color w:val="auto"/>
          <w:spacing w:val="0"/>
          <w:sz w:val="24"/>
          <w:szCs w:val="24"/>
          <w:shd w:val="clear" w:color="auto" w:fill="FFFFFF"/>
          <w:lang w:val="en-US" w:eastAsia="zh-CN"/>
        </w:rPr>
        <w:t>洛浦县2024年村级运转经费</w:t>
      </w:r>
      <w:r>
        <w:rPr>
          <w:rFonts w:hint="eastAsia" w:ascii="宋体" w:hAnsi="宋体" w:eastAsia="宋体" w:cs="宋体"/>
          <w:color w:val="auto"/>
          <w:sz w:val="24"/>
          <w:szCs w:val="24"/>
        </w:rPr>
        <w:t>项目预算安排</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58.26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99.59</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1690C0B7">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项目产出：项目实施产生的数量、质量等</w:t>
      </w:r>
      <w:r>
        <w:rPr>
          <w:rFonts w:hint="eastAsia" w:ascii="宋体" w:hAnsi="宋体" w:eastAsia="宋体" w:cs="宋体"/>
          <w:color w:val="auto"/>
          <w:sz w:val="24"/>
          <w:szCs w:val="24"/>
          <w:lang w:val="en-US" w:eastAsia="zh-CN"/>
        </w:rPr>
        <w:t>完成情况本次</w:t>
      </w:r>
      <w:r>
        <w:rPr>
          <w:rFonts w:hint="eastAsia" w:ascii="宋体" w:hAnsi="宋体" w:eastAsia="宋体" w:cs="宋体"/>
          <w:i w:val="0"/>
          <w:iCs w:val="0"/>
          <w:caps w:val="0"/>
          <w:color w:val="auto"/>
          <w:spacing w:val="0"/>
          <w:sz w:val="24"/>
          <w:szCs w:val="24"/>
          <w:shd w:val="clear" w:color="auto" w:fill="FFFFFF"/>
          <w:lang w:val="en-US" w:eastAsia="zh-CN"/>
        </w:rPr>
        <w:t>洛浦县2024年村级运转经费</w:t>
      </w:r>
      <w:r>
        <w:rPr>
          <w:rFonts w:hint="eastAsia" w:ascii="宋体" w:hAnsi="宋体" w:eastAsia="宋体" w:cs="宋体"/>
          <w:color w:val="auto"/>
          <w:sz w:val="24"/>
          <w:szCs w:val="24"/>
          <w:lang w:val="en-US" w:eastAsia="zh-CN"/>
        </w:rPr>
        <w:t>资金要求，计划投资58.5万元，用于保障辖区内13个行政村的办公经费、电费等各项运转经费。</w:t>
      </w:r>
    </w:p>
    <w:p w14:paraId="5E16213F">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rPr>
        <w:t>项目效益：通过实施此项目产生</w:t>
      </w:r>
      <w:r>
        <w:rPr>
          <w:rFonts w:hint="eastAsia" w:ascii="宋体" w:hAnsi="宋体" w:eastAsia="宋体" w:cs="宋体"/>
          <w:color w:val="auto"/>
          <w:sz w:val="24"/>
          <w:szCs w:val="24"/>
          <w:lang w:val="en-US" w:eastAsia="zh-CN" w:bidi="ar-SA"/>
        </w:rPr>
        <w:t>本</w:t>
      </w:r>
      <w:r>
        <w:rPr>
          <w:rFonts w:hint="eastAsia" w:ascii="宋体" w:hAnsi="宋体" w:eastAsia="宋体" w:cs="宋体"/>
          <w:color w:val="auto"/>
          <w:sz w:val="24"/>
          <w:szCs w:val="24"/>
          <w:lang w:val="en-US" w:eastAsia="zh-CN"/>
        </w:rPr>
        <w:t>级绩效评价遵循科学规范、公开公正、绩效相关和问题导向的原则、重点评价项目的资金投入与财务管理、组织管理、产出与效益效果。</w:t>
      </w:r>
    </w:p>
    <w:p w14:paraId="0B3CB41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575CC226">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i w:val="0"/>
          <w:iCs w:val="0"/>
          <w:caps w:val="0"/>
          <w:color w:val="auto"/>
          <w:spacing w:val="0"/>
          <w:sz w:val="24"/>
          <w:szCs w:val="24"/>
          <w:highlight w:val="none"/>
          <w:shd w:val="clear" w:color="auto" w:fill="FFFFFF"/>
          <w:lang w:val="en-US" w:eastAsia="zh-CN"/>
        </w:rPr>
        <w:t>洛浦县2024年村级运转经费</w:t>
      </w:r>
      <w:r>
        <w:rPr>
          <w:rFonts w:hint="eastAsia" w:ascii="宋体" w:hAnsi="宋体" w:eastAsia="宋体" w:cs="宋体"/>
          <w:color w:val="auto"/>
          <w:sz w:val="24"/>
          <w:szCs w:val="24"/>
          <w:highlight w:val="none"/>
        </w:rPr>
        <w:t>项目进行客观评价，最终评分结果：评价总分</w:t>
      </w:r>
      <w:r>
        <w:rPr>
          <w:rFonts w:hint="eastAsia" w:ascii="宋体" w:hAnsi="宋体" w:eastAsia="宋体" w:cs="宋体"/>
          <w:color w:val="auto"/>
          <w:sz w:val="24"/>
          <w:szCs w:val="24"/>
          <w:highlight w:val="none"/>
          <w:lang w:val="en-US" w:eastAsia="zh-CN"/>
        </w:rPr>
        <w:t>99.94</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eastAsia="zh-CN"/>
        </w:rPr>
        <w:t>优</w:t>
      </w:r>
      <w:r>
        <w:rPr>
          <w:rFonts w:hint="eastAsia" w:ascii="宋体" w:hAnsi="宋体" w:eastAsia="宋体" w:cs="宋体"/>
          <w:color w:val="auto"/>
          <w:sz w:val="24"/>
          <w:szCs w:val="24"/>
          <w:highlight w:val="none"/>
        </w:rPr>
        <w:t>”。</w:t>
      </w:r>
      <w:bookmarkEnd w:id="13"/>
      <w:bookmarkStart w:id="14" w:name="_Toc68364667"/>
    </w:p>
    <w:p w14:paraId="4D05AE4E">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p>
    <w:p w14:paraId="6586DC37">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四、绩效评价指标分析</w:t>
      </w:r>
      <w:bookmarkEnd w:id="14"/>
    </w:p>
    <w:p w14:paraId="64DC8397">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8"/>
      <w:r>
        <w:rPr>
          <w:rFonts w:hint="eastAsia" w:ascii="宋体" w:hAnsi="宋体" w:eastAsia="宋体" w:cs="宋体"/>
          <w:color w:val="auto"/>
          <w:sz w:val="24"/>
          <w:szCs w:val="24"/>
        </w:rPr>
        <w:t>（一）项目决策情况</w:t>
      </w:r>
    </w:p>
    <w:p w14:paraId="170CBB86">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45A16D75">
      <w:pPr>
        <w:keepNext w:val="0"/>
        <w:keepLines w:val="0"/>
        <w:pageBreakBefore w:val="0"/>
        <w:widowControl w:val="0"/>
        <w:numPr>
          <w:ilvl w:val="0"/>
          <w:numId w:val="4"/>
        </w:numPr>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14883698">
      <w:pPr>
        <w:keepNext w:val="0"/>
        <w:keepLines w:val="0"/>
        <w:pageBreakBefore w:val="0"/>
        <w:widowControl w:val="0"/>
        <w:numPr>
          <w:ilvl w:val="0"/>
          <w:numId w:val="0"/>
        </w:numPr>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洛财纪字【2024】9号,洛财纪字【2024】12号</w:t>
      </w:r>
      <w:r>
        <w:rPr>
          <w:rFonts w:hint="eastAsia" w:ascii="宋体" w:hAnsi="宋体" w:eastAsia="宋体" w:cs="宋体"/>
          <w:color w:val="auto"/>
          <w:sz w:val="24"/>
          <w:szCs w:val="24"/>
        </w:rPr>
        <w:t>；本项目立项符合《</w:t>
      </w:r>
      <w:r>
        <w:rPr>
          <w:rFonts w:hint="eastAsia" w:ascii="宋体" w:hAnsi="宋体" w:eastAsia="宋体" w:cs="宋体"/>
          <w:color w:val="auto"/>
          <w:sz w:val="24"/>
          <w:szCs w:val="24"/>
          <w:lang w:val="en-US" w:eastAsia="zh-CN"/>
        </w:rPr>
        <w:t>洛浦县纳瓦乡人民政府</w:t>
      </w:r>
      <w:r>
        <w:rPr>
          <w:rFonts w:hint="eastAsia" w:ascii="宋体" w:hAnsi="宋体" w:eastAsia="宋体" w:cs="宋体"/>
          <w:color w:val="auto"/>
          <w:sz w:val="24"/>
          <w:szCs w:val="24"/>
        </w:rPr>
        <w:t>配置内设机构和人员编制规定》中职责范围中的</w:t>
      </w:r>
      <w:r>
        <w:rPr>
          <w:rFonts w:hint="eastAsia" w:ascii="宋体" w:hAnsi="宋体" w:eastAsia="宋体" w:cs="宋体"/>
          <w:color w:val="auto"/>
          <w:sz w:val="24"/>
          <w:szCs w:val="24"/>
          <w:lang w:eastAsia="zh-CN"/>
        </w:rPr>
        <w:t>相关规定</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2013299</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50201</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7F10743C">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1E5B63B0">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2E3B6BE6">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shd w:val="clear" w:color="auto" w:fill="FFFFFF"/>
          <w:lang w:val="en-US" w:eastAsia="zh-CN"/>
        </w:rPr>
        <w:t>洛浦县2024年村级运转经费</w:t>
      </w:r>
      <w:r>
        <w:rPr>
          <w:rFonts w:hint="eastAsia" w:ascii="宋体" w:hAnsi="宋体" w:eastAsia="宋体" w:cs="宋体"/>
          <w:color w:val="auto"/>
          <w:sz w:val="24"/>
          <w:szCs w:val="24"/>
          <w:highlight w:val="none"/>
        </w:rPr>
        <w:t>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58.5</w:t>
      </w:r>
      <w:r>
        <w:rPr>
          <w:rFonts w:hint="eastAsia" w:ascii="宋体" w:hAnsi="宋体" w:eastAsia="宋体" w:cs="宋体"/>
          <w:color w:val="auto"/>
          <w:sz w:val="24"/>
          <w:szCs w:val="24"/>
          <w:highlight w:val="none"/>
        </w:rPr>
        <w:t>万元，不涉及事前绩效评估和风险评估，已委托单位完成本项目可行性研究报告的编制，并经过专家论证。</w:t>
      </w:r>
    </w:p>
    <w:p w14:paraId="66CACB74">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2D01377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根据《洛浦县财经委员会会议纪要》（洛财纪字〔2023〕4号）文件实施此项目，项目主要内容为：保障辖区内13个行政村的办公经费、电费等各项运转经费，确保13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28A3E87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rPr>
        <w:t>确保13个村能够顺利开展工作，通过项目实施，不断加强党对农村工作的全面领导，保障村级各项工作运转高效、规范有序，进一步夯实了乡村振兴组织基础、提升了农村基层治理效能，改善村级人员办公环境，提高工作积极性和工作效率。</w:t>
      </w:r>
    </w:p>
    <w:p w14:paraId="75947450">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58.26万元的支付</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保障各村村正常运行</w:t>
      </w:r>
      <w:r>
        <w:rPr>
          <w:rFonts w:hint="eastAsia" w:ascii="宋体" w:hAnsi="宋体" w:eastAsia="宋体" w:cs="宋体"/>
          <w:color w:val="auto"/>
          <w:sz w:val="24"/>
          <w:szCs w:val="24"/>
          <w:highlight w:val="none"/>
        </w:rPr>
        <w:t>效益，预期产出效益和效果是否符合正常的业绩水平。</w:t>
      </w:r>
    </w:p>
    <w:p w14:paraId="0EE9C3F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58.5</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58.5</w:t>
      </w:r>
      <w:r>
        <w:rPr>
          <w:rFonts w:hint="eastAsia" w:ascii="宋体" w:hAnsi="宋体" w:eastAsia="宋体" w:cs="宋体"/>
          <w:color w:val="auto"/>
          <w:sz w:val="24"/>
          <w:szCs w:val="24"/>
          <w:highlight w:val="none"/>
        </w:rPr>
        <w:t>万元，预算确定的项目资金与预算确定的项目投资额相匹配。</w:t>
      </w:r>
    </w:p>
    <w:p w14:paraId="22BDD3F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7733533">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85.71</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0A53B21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eastAsia="zh-CN"/>
        </w:rPr>
        <w:t>涉及行政村个数</w:t>
      </w:r>
      <w:r>
        <w:rPr>
          <w:rFonts w:hint="eastAsia" w:ascii="宋体" w:hAnsi="宋体" w:eastAsia="宋体" w:cs="宋体"/>
          <w:color w:val="auto"/>
          <w:sz w:val="24"/>
          <w:szCs w:val="24"/>
          <w:highlight w:val="none"/>
          <w:lang w:val="en-US" w:eastAsia="zh-CN"/>
        </w:rPr>
        <w:t>13个</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A71F13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，即预算编制较科学且经过论证；</w:t>
      </w:r>
    </w:p>
    <w:p w14:paraId="57A135A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color w:val="auto"/>
          <w:sz w:val="24"/>
          <w:szCs w:val="24"/>
          <w:highlight w:val="none"/>
        </w:rPr>
        <w:t>，项目实际内容洛浦县2024年村级运转经费，预算申请与洛浦县2024年村级运转经费的项目内容匹配；</w:t>
      </w:r>
    </w:p>
    <w:p w14:paraId="182E21E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58.5</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办公经费57.58万元，包括办公用品购置、通讯费等日常办公开销；电费0.68万元，用于办公区域照明</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1BC2862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本项目实际分配资金以《洛财纪字【2024】9号和《洛财纪字【2024】12号》为依据进行资金分配，预算资金分配依据充分。根据《洛财纪字【2024】9号和《洛财纪字【2024】12号》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58.5</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78D2726">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681BDF9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5D25B06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58.5</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58.5</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58.5</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w:t>
      </w:r>
      <w:r>
        <w:rPr>
          <w:rFonts w:hint="eastAsia" w:ascii="宋体" w:hAnsi="宋体" w:eastAsia="宋体" w:cs="宋体"/>
          <w:b w:val="0"/>
          <w:bCs w:val="0"/>
          <w:color w:val="auto"/>
          <w:sz w:val="24"/>
          <w:szCs w:val="24"/>
          <w:highlight w:val="none"/>
          <w:lang w:val="en-US" w:eastAsia="zh-CN"/>
        </w:rPr>
        <w:t>不</w:t>
      </w:r>
      <w:r>
        <w:rPr>
          <w:rFonts w:hint="eastAsia" w:ascii="宋体" w:hAnsi="宋体" w:eastAsia="宋体" w:cs="宋体"/>
          <w:b w:val="0"/>
          <w:bCs w:val="0"/>
          <w:color w:val="auto"/>
          <w:sz w:val="24"/>
          <w:szCs w:val="24"/>
          <w:highlight w:val="none"/>
        </w:rPr>
        <w:t>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 xml:space="preserve">分。   </w:t>
      </w:r>
    </w:p>
    <w:p w14:paraId="6176127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58.26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99.95</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预算编制较为详细，项目资金支出总体能够按照预算执行，根据评分标准，该指标扣</w:t>
      </w:r>
      <w:r>
        <w:rPr>
          <w:rFonts w:hint="eastAsia" w:ascii="宋体" w:hAnsi="宋体" w:eastAsia="宋体" w:cs="宋体"/>
          <w:color w:val="auto"/>
          <w:sz w:val="24"/>
          <w:szCs w:val="24"/>
          <w:highlight w:val="none"/>
          <w:lang w:val="en-US" w:eastAsia="zh-CN"/>
        </w:rPr>
        <w:t>0.02</w:t>
      </w:r>
      <w:r>
        <w:rPr>
          <w:rFonts w:hint="eastAsia" w:ascii="宋体" w:hAnsi="宋体" w:eastAsia="宋体" w:cs="宋体"/>
          <w:color w:val="auto"/>
          <w:sz w:val="24"/>
          <w:szCs w:val="24"/>
          <w:highlight w:val="none"/>
        </w:rPr>
        <w:t>分，得3</w:t>
      </w:r>
      <w:r>
        <w:rPr>
          <w:rFonts w:hint="eastAsia" w:ascii="宋体" w:hAnsi="宋体" w:eastAsia="宋体" w:cs="宋体"/>
          <w:color w:val="auto"/>
          <w:sz w:val="24"/>
          <w:szCs w:val="24"/>
          <w:highlight w:val="none"/>
          <w:lang w:val="en-US" w:eastAsia="zh-CN"/>
        </w:rPr>
        <w:t>.98</w:t>
      </w:r>
      <w:r>
        <w:rPr>
          <w:rFonts w:hint="eastAsia" w:ascii="宋体" w:hAnsi="宋体" w:eastAsia="宋体" w:cs="宋体"/>
          <w:color w:val="auto"/>
          <w:sz w:val="24"/>
          <w:szCs w:val="24"/>
          <w:highlight w:val="none"/>
        </w:rPr>
        <w:t>分。</w:t>
      </w:r>
    </w:p>
    <w:p w14:paraId="598A2AC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纳瓦乡人民政府</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纳瓦乡人民政府</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70C0CD4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纳瓦乡人民政府</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纳瓦乡人民政府</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纳瓦乡</w:t>
      </w:r>
      <w:r>
        <w:rPr>
          <w:rFonts w:hint="eastAsia" w:ascii="宋体" w:hAnsi="宋体" w:eastAsia="宋体" w:cs="宋体"/>
          <w:b w:val="0"/>
          <w:color w:val="auto"/>
          <w:sz w:val="24"/>
          <w:szCs w:val="24"/>
          <w:highlight w:val="none"/>
          <w:lang w:val="en-US" w:eastAsia="zh-CN"/>
        </w:rPr>
        <w:t>人民政府</w:t>
      </w:r>
      <w:r>
        <w:rPr>
          <w:rFonts w:hint="eastAsia" w:ascii="宋体" w:hAnsi="宋体" w:eastAsia="宋体" w:cs="宋体"/>
          <w:b w:val="0"/>
          <w:bCs w:val="0"/>
          <w:color w:val="auto"/>
          <w:sz w:val="24"/>
          <w:szCs w:val="24"/>
          <w:highlight w:val="none"/>
        </w:rPr>
        <w:t>采购业务管理制度》《</w:t>
      </w:r>
      <w:r>
        <w:rPr>
          <w:rFonts w:hint="eastAsia" w:ascii="宋体" w:hAnsi="宋体" w:eastAsia="宋体" w:cs="宋体"/>
          <w:color w:val="auto"/>
          <w:sz w:val="24"/>
          <w:szCs w:val="24"/>
          <w:highlight w:val="none"/>
          <w:lang w:val="en-US" w:eastAsia="zh-CN"/>
        </w:rPr>
        <w:t>纳瓦乡人民政</w:t>
      </w:r>
      <w:r>
        <w:rPr>
          <w:rFonts w:hint="eastAsia" w:ascii="宋体" w:hAnsi="宋体" w:eastAsia="宋体" w:cs="宋体"/>
          <w:b w:val="0"/>
          <w:bCs w:val="0"/>
          <w:color w:val="auto"/>
          <w:sz w:val="24"/>
          <w:szCs w:val="24"/>
          <w:highlight w:val="none"/>
          <w:lang w:eastAsia="zh-CN"/>
        </w:rPr>
        <w:t>府</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08A9C8A3">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：①该项目的实施符合《洛浦县2024年村级运转经费</w:t>
      </w:r>
      <w:r>
        <w:rPr>
          <w:rFonts w:hint="eastAsia" w:ascii="宋体" w:hAnsi="宋体" w:eastAsia="宋体" w:cs="宋体"/>
          <w:b w:val="0"/>
          <w:bCs w:val="0"/>
          <w:color w:val="auto"/>
          <w:sz w:val="24"/>
          <w:szCs w:val="24"/>
          <w:highlight w:val="none"/>
          <w:lang w:eastAsia="zh-CN"/>
        </w:rPr>
        <w:t>实施</w:t>
      </w:r>
      <w:r>
        <w:rPr>
          <w:rFonts w:hint="eastAsia" w:ascii="宋体" w:hAnsi="宋体" w:eastAsia="宋体" w:cs="宋体"/>
          <w:color w:val="auto"/>
          <w:sz w:val="24"/>
          <w:szCs w:val="24"/>
          <w:highlight w:val="none"/>
        </w:rPr>
        <w:t>办法》《洛浦县2024年村级运转经费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管理制度》《洛浦县2024年村级运转经费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采购业务管理制度》《洛浦县2024年村级运转经费</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460B410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38CF671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5BCAAD8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2024年村级运转经费工作领导小组，由</w:t>
      </w:r>
      <w:r>
        <w:rPr>
          <w:rFonts w:hint="eastAsia" w:ascii="宋体" w:hAnsi="宋体" w:eastAsia="宋体" w:cs="宋体"/>
          <w:color w:val="auto"/>
          <w:sz w:val="24"/>
          <w:szCs w:val="24"/>
          <w:highlight w:val="none"/>
          <w:lang w:val="en-US" w:eastAsia="zh-CN"/>
        </w:rPr>
        <w:t>买图送</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张腾</w:t>
      </w:r>
      <w:r>
        <w:rPr>
          <w:rFonts w:hint="eastAsia" w:ascii="宋体" w:hAnsi="宋体" w:eastAsia="宋体" w:cs="宋体"/>
          <w:color w:val="auto"/>
          <w:sz w:val="24"/>
          <w:szCs w:val="24"/>
          <w:highlight w:val="none"/>
        </w:rPr>
        <w:t>副组长，负责项目的实施工作；组员包括：</w:t>
      </w:r>
      <w:r>
        <w:rPr>
          <w:rFonts w:hint="eastAsia" w:ascii="宋体" w:hAnsi="宋体" w:eastAsia="宋体" w:cs="宋体"/>
          <w:color w:val="auto"/>
          <w:sz w:val="24"/>
          <w:szCs w:val="24"/>
          <w:highlight w:val="none"/>
          <w:lang w:val="en-US" w:eastAsia="zh-CN"/>
        </w:rPr>
        <w:t>布威艾洁尔</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托合提买买提</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4C0F2BFB">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ADA180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39.95</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99.88</w:t>
      </w:r>
      <w:r>
        <w:rPr>
          <w:rFonts w:hint="eastAsia" w:ascii="宋体" w:hAnsi="宋体" w:eastAsia="宋体" w:cs="宋体"/>
          <w:color w:val="auto"/>
          <w:sz w:val="24"/>
          <w:szCs w:val="24"/>
          <w:highlight w:val="none"/>
        </w:rPr>
        <w:t>%。</w:t>
      </w:r>
    </w:p>
    <w:p w14:paraId="3A9DA837">
      <w:pPr>
        <w:pageBreakBefore w:val="0"/>
        <w:widowControl w:val="0"/>
        <w:numPr>
          <w:ilvl w:val="0"/>
          <w:numId w:val="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2DA5020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保障项目数量</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eastAsia="zh-CN"/>
        </w:rPr>
        <w:t>为等于</w:t>
      </w:r>
      <w:r>
        <w:rPr>
          <w:rFonts w:hint="eastAsia" w:ascii="宋体" w:hAnsi="宋体" w:eastAsia="宋体" w:cs="宋体"/>
          <w:color w:val="auto"/>
          <w:sz w:val="24"/>
          <w:szCs w:val="24"/>
          <w:highlight w:val="none"/>
          <w:lang w:val="en-US" w:eastAsia="zh-CN"/>
        </w:rPr>
        <w:t>13个村，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13个村，</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541229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55DD74EE">
      <w:pPr>
        <w:pageBreakBefore w:val="0"/>
        <w:widowControl w:val="0"/>
        <w:numPr>
          <w:ilvl w:val="0"/>
          <w:numId w:val="5"/>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7496324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资金保障率，预期指标值为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AE6DD4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644F246B">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364F6CE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val="0"/>
          <w:bCs/>
          <w:color w:val="auto"/>
          <w:sz w:val="24"/>
          <w:szCs w:val="24"/>
          <w:highlight w:val="none"/>
        </w:rPr>
        <w:t>项目完成及时率</w:t>
      </w:r>
      <w:r>
        <w:rPr>
          <w:rFonts w:hint="eastAsia" w:ascii="宋体" w:hAnsi="宋体" w:eastAsia="宋体" w:cs="宋体"/>
          <w:b w:val="0"/>
          <w:bCs/>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等于</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06AB108">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项目完成时间，预期指标值为</w:t>
      </w:r>
      <w:r>
        <w:rPr>
          <w:rFonts w:hint="eastAsia" w:ascii="宋体" w:hAnsi="宋体" w:eastAsia="宋体" w:cs="宋体"/>
          <w:b w:val="0"/>
          <w:color w:val="auto"/>
          <w:sz w:val="24"/>
          <w:szCs w:val="24"/>
          <w:highlight w:val="none"/>
          <w:lang w:eastAsia="zh-CN"/>
        </w:rPr>
        <w:t>等于</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3F11B7F5">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77B70C0D">
      <w:pPr>
        <w:pStyle w:val="46"/>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47A7F6B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每个村运转成本，预期指标值为</w:t>
      </w:r>
      <w:r>
        <w:rPr>
          <w:rFonts w:hint="eastAsia" w:ascii="宋体" w:hAnsi="宋体" w:eastAsia="宋体" w:cs="宋体"/>
          <w:color w:val="auto"/>
          <w:sz w:val="24"/>
          <w:szCs w:val="24"/>
          <w:highlight w:val="none"/>
          <w:lang w:eastAsia="zh-CN"/>
        </w:rPr>
        <w:t>小于等于</w:t>
      </w:r>
      <w:r>
        <w:rPr>
          <w:rFonts w:hint="eastAsia" w:ascii="宋体" w:hAnsi="宋体" w:eastAsia="宋体" w:cs="宋体"/>
          <w:color w:val="auto"/>
          <w:sz w:val="24"/>
          <w:szCs w:val="24"/>
          <w:highlight w:val="none"/>
          <w:lang w:val="en-US" w:eastAsia="zh-CN"/>
        </w:rPr>
        <w:t>4.5万元/村</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4.48万元/村</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99.56%，</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0.24</w:t>
      </w:r>
      <w:r>
        <w:rPr>
          <w:rFonts w:hint="eastAsia" w:ascii="宋体" w:hAnsi="宋体" w:eastAsia="宋体" w:cs="宋体"/>
          <w:color w:val="auto"/>
          <w:sz w:val="24"/>
          <w:szCs w:val="24"/>
          <w:highlight w:val="none"/>
        </w:rPr>
        <w:t>万元，项目经费都能控制绩效目标范围内，根据评分标准，该指标扣</w:t>
      </w:r>
      <w:r>
        <w:rPr>
          <w:rFonts w:hint="eastAsia" w:ascii="宋体" w:hAnsi="宋体" w:eastAsia="宋体" w:cs="宋体"/>
          <w:color w:val="auto"/>
          <w:sz w:val="24"/>
          <w:szCs w:val="24"/>
          <w:highlight w:val="none"/>
          <w:lang w:val="en-US" w:eastAsia="zh-CN"/>
        </w:rPr>
        <w:t>0.04</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9.96</w:t>
      </w:r>
      <w:r>
        <w:rPr>
          <w:rFonts w:hint="eastAsia" w:ascii="宋体" w:hAnsi="宋体" w:eastAsia="宋体" w:cs="宋体"/>
          <w:color w:val="auto"/>
          <w:sz w:val="24"/>
          <w:szCs w:val="24"/>
          <w:highlight w:val="none"/>
        </w:rPr>
        <w:t>分。</w:t>
      </w:r>
    </w:p>
    <w:p w14:paraId="123CB2BF">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673548A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个三级指标构成，权重分为20分，实际得分20分，得分率为100%。</w:t>
      </w:r>
    </w:p>
    <w:p w14:paraId="5EF000E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007F3B0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保障各村正常开展日常工作，</w:t>
      </w:r>
      <w:r>
        <w:rPr>
          <w:rFonts w:hint="eastAsia" w:ascii="宋体" w:hAnsi="宋体" w:eastAsia="宋体" w:cs="宋体"/>
          <w:color w:val="auto"/>
          <w:sz w:val="24"/>
          <w:szCs w:val="24"/>
        </w:rPr>
        <w:t>指标，该指标预期指标值为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有效保障</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分。</w:t>
      </w:r>
    </w:p>
    <w:p w14:paraId="5E61EC19">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7BC05C27">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群众</w:t>
      </w:r>
      <w:r>
        <w:rPr>
          <w:rFonts w:hint="eastAsia" w:ascii="宋体" w:hAnsi="宋体" w:eastAsia="宋体" w:cs="宋体"/>
          <w:color w:val="auto"/>
          <w:sz w:val="24"/>
          <w:szCs w:val="24"/>
        </w:rPr>
        <w:t>满意度，该指标预期指标值为</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5"/>
    </w:p>
    <w:p w14:paraId="12C3ADEF">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p>
    <w:p w14:paraId="67726B02">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6FD23895">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58.5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58.26</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99.59</w:t>
      </w:r>
      <w:r>
        <w:rPr>
          <w:rFonts w:hint="eastAsia" w:ascii="宋体" w:hAnsi="宋体" w:eastAsia="宋体" w:cs="宋体"/>
          <w:color w:val="auto"/>
          <w:sz w:val="24"/>
          <w:szCs w:val="24"/>
        </w:rPr>
        <w:t>%。</w:t>
      </w:r>
    </w:p>
    <w:p w14:paraId="44729BCC">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99.94</w:t>
      </w:r>
      <w:r>
        <w:rPr>
          <w:rFonts w:hint="eastAsia" w:ascii="宋体" w:hAnsi="宋体" w:eastAsia="宋体" w:cs="宋体"/>
          <w:color w:val="auto"/>
          <w:sz w:val="24"/>
          <w:szCs w:val="24"/>
        </w:rPr>
        <w:t>%。</w:t>
      </w:r>
    </w:p>
    <w:p w14:paraId="02B896EC">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0.06</w:t>
      </w:r>
      <w:r>
        <w:rPr>
          <w:rFonts w:hint="eastAsia" w:ascii="宋体" w:hAnsi="宋体" w:eastAsia="宋体" w:cs="宋体"/>
          <w:color w:val="auto"/>
          <w:sz w:val="24"/>
          <w:szCs w:val="24"/>
        </w:rPr>
        <w:t>%。</w:t>
      </w:r>
    </w:p>
    <w:p w14:paraId="1943386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6" w:name="_Toc68364673"/>
    </w:p>
    <w:p w14:paraId="2B667CE1">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62D704A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（一）主要经验及做法</w:t>
      </w:r>
      <w:bookmarkEnd w:id="16"/>
    </w:p>
    <w:p w14:paraId="570B56E6">
      <w:pPr>
        <w:pStyle w:val="60"/>
        <w:keepNext w:val="0"/>
        <w:keepLines w:val="0"/>
        <w:pageBreakBefore w:val="0"/>
        <w:widowControl w:val="0"/>
        <w:numPr>
          <w:ilvl w:val="0"/>
          <w:numId w:val="0"/>
        </w:numPr>
        <w:kinsoku/>
        <w:wordWrap/>
        <w:overflowPunct/>
        <w:topLinePunct w:val="0"/>
        <w:autoSpaceDE/>
        <w:autoSpaceDN/>
        <w:bidi w:val="0"/>
        <w:spacing w:line="24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r>
        <w:rPr>
          <w:rFonts w:hint="eastAsia" w:ascii="宋体" w:hAnsi="宋体" w:eastAsia="宋体" w:cs="宋体"/>
          <w:color w:val="auto"/>
          <w:sz w:val="24"/>
          <w:szCs w:val="24"/>
          <w:lang w:val="en-US" w:eastAsia="zh-CN"/>
        </w:rPr>
        <w:t>本项目的实施：一是村级层面改善人居环境整治，户级层面降低交通事故风险，起到举足轻重的作用；二是路灯亮化，为群众出行提供便利，解决群众夜间出行安全感问题，从而进一步改善村容村貌；三是使群众感受到党的温暖，让他们过上更加干净、整洁的生活，产生对美好生活的追求，激发他们内生动力。</w:t>
      </w:r>
    </w:p>
    <w:p w14:paraId="41E7EB2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15D4D0E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r>
        <w:rPr>
          <w:rFonts w:hint="eastAsia" w:ascii="宋体" w:hAnsi="宋体" w:eastAsia="宋体" w:cs="宋体"/>
          <w:color w:val="auto"/>
          <w:sz w:val="24"/>
          <w:szCs w:val="24"/>
          <w:lang w:val="en-US" w:eastAsia="zh-CN"/>
        </w:rPr>
        <w:t>村人居环境整治是打响乡村振兴战略的第一枪，全力打造提升村容村貌，打造宜居农村，持续改善人居环境，关系到广大村民的自身利益。过去的农村，给人们留下的印象永远是</w:t>
      </w:r>
      <w:r>
        <w:rPr>
          <w:rFonts w:hint="eastAsia" w:ascii="宋体" w:hAnsi="宋体" w:eastAsia="宋体" w:cs="宋体"/>
          <w:color w:val="auto"/>
          <w:sz w:val="24"/>
          <w:szCs w:val="24"/>
          <w:lang w:eastAsia="zh-CN"/>
        </w:rPr>
        <w:t>照明有助</w:t>
      </w:r>
      <w:r>
        <w:rPr>
          <w:rFonts w:hint="eastAsia" w:ascii="宋体" w:hAnsi="宋体" w:eastAsia="宋体" w:cs="宋体"/>
          <w:color w:val="auto"/>
          <w:sz w:val="24"/>
          <w:szCs w:val="24"/>
          <w:lang w:val="en-US" w:eastAsia="zh-CN"/>
        </w:rPr>
        <w:t>、所以，改变农村“</w:t>
      </w:r>
      <w:r>
        <w:rPr>
          <w:rFonts w:hint="eastAsia" w:ascii="宋体" w:hAnsi="宋体" w:eastAsia="宋体" w:cs="宋体"/>
          <w:color w:val="auto"/>
          <w:sz w:val="24"/>
          <w:szCs w:val="24"/>
          <w:lang w:eastAsia="zh-CN"/>
        </w:rPr>
        <w:t>交通事故风险</w:t>
      </w:r>
      <w:r>
        <w:rPr>
          <w:rFonts w:hint="eastAsia" w:ascii="宋体" w:hAnsi="宋体" w:eastAsia="宋体" w:cs="宋体"/>
          <w:color w:val="auto"/>
          <w:sz w:val="24"/>
          <w:szCs w:val="24"/>
          <w:lang w:val="en-US" w:eastAsia="zh-CN"/>
        </w:rPr>
        <w:t>”的现象是时代的要求，随着人们生活水平的提高，经济收入的增加，广大村民对生活质量要求越来越高，衣食住行有了新的要求，农村人居环境整治是彻底改变村容村貌的必要之路。</w:t>
      </w:r>
    </w:p>
    <w:p w14:paraId="5DEE85F3">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bookmarkStart w:id="17" w:name="_Toc68364674"/>
      <w:r>
        <w:rPr>
          <w:rFonts w:hint="eastAsia" w:ascii="宋体" w:hAnsi="宋体" w:eastAsia="宋体" w:cs="宋体"/>
          <w:color w:val="auto"/>
          <w:sz w:val="24"/>
          <w:szCs w:val="24"/>
        </w:rPr>
        <w:t>（二）存在问题及原因分析</w:t>
      </w:r>
      <w:bookmarkEnd w:id="17"/>
    </w:p>
    <w:p w14:paraId="0ADDDDA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一是对各项指标和指标值要进一步优化、完善，主要在细化、量化上改进；</w:t>
      </w:r>
    </w:p>
    <w:p w14:paraId="6220617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二是部门评价工作还存在自我审定的局限性，会影响评价质量，容易造成问题的疏漏，在客观性和公正性上说服力不强；</w:t>
      </w:r>
    </w:p>
    <w:p w14:paraId="082434E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是缺少带着问题去评价的意识；本项目资金来源为2024年农村综合改革（农村公益事业财政奖补）项目专项资金，在项目实施过程中严格落实项目单位法人制度，村第一书记为第一责任人，在项目实施过程中严格管理，在资金使用方面严格按照农村公益事业财政奖补的专项资金使用管理办法执行，实行报账制，杜绝占用、挪用资金情况发生。</w:t>
      </w:r>
    </w:p>
    <w:p w14:paraId="2629FBB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四是现场评价的工作量少，后续效益评价具体措施和方法较少。</w:t>
      </w:r>
    </w:p>
    <w:p w14:paraId="3BC3D24E">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8" w:name="_Toc68364675"/>
    </w:p>
    <w:p w14:paraId="373FEC0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val="0"/>
          <w:bCs w:val="0"/>
          <w:color w:val="auto"/>
          <w:sz w:val="24"/>
          <w:szCs w:val="24"/>
        </w:rPr>
      </w:pPr>
      <w:r>
        <w:rPr>
          <w:rFonts w:hint="eastAsia" w:ascii="黑体" w:hAnsi="黑体" w:eastAsia="黑体" w:cs="黑体"/>
          <w:color w:val="auto"/>
          <w:sz w:val="24"/>
          <w:szCs w:val="24"/>
        </w:rPr>
        <w:t>七、有关建议</w:t>
      </w:r>
      <w:bookmarkEnd w:id="18"/>
    </w:p>
    <w:p w14:paraId="6DEA335E">
      <w:pPr>
        <w:pStyle w:val="13"/>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kern w:val="0"/>
          <w:sz w:val="24"/>
          <w:szCs w:val="24"/>
          <w:lang w:val="en-US" w:eastAsia="zh-CN" w:bidi="ar-SA"/>
        </w:rPr>
      </w:pPr>
      <w:bookmarkStart w:id="19" w:name="_Toc68364676"/>
      <w:r>
        <w:rPr>
          <w:rFonts w:hint="eastAsia" w:ascii="宋体" w:hAnsi="宋体" w:eastAsia="宋体" w:cs="宋体"/>
          <w:color w:val="auto"/>
          <w:kern w:val="0"/>
          <w:sz w:val="24"/>
          <w:szCs w:val="24"/>
          <w:lang w:val="en-US" w:eastAsia="zh-CN" w:bidi="ar-SA"/>
        </w:rPr>
        <w:t>（一）提高认识，加强宣传引导。项目实施初期村级召开专题会议研究，确定亮化道路路段，对项目进行公示，扩大宣传范围，营造良好的氛围。</w:t>
      </w:r>
    </w:p>
    <w:p w14:paraId="042BAEF0">
      <w:pPr>
        <w:pStyle w:val="13"/>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二）严格项目审批，将工作落到实处。以上项目实施村两委积极听取各有关部门及农户需求，制定采购计划，明确采购标准，供货时限等要求，项目经审批后通过招投标方式进行招标，确保采购程序符合标准，在项目实施过程中严格把关，按照项目程序进行审批。</w:t>
      </w:r>
    </w:p>
    <w:p w14:paraId="24887427">
      <w:pPr>
        <w:pStyle w:val="13"/>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SA"/>
        </w:rPr>
        <w:t>（三）加强管理，严格资金使用。本项目资金来源为2024年农村综合改革（农村公益事业财政奖补）项目专项资金，在项目实施过程中严格落实项目单位法人制度，村第一书记为第一责任人，在项目实施过程中严格管理，在资金使用方面严格按照农村公益事业财政奖补的专项资金使用管理办法执行，实行报账制，杜绝占用、挪用资金情况发生。</w:t>
      </w:r>
    </w:p>
    <w:p w14:paraId="2BB097CA">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p>
    <w:p w14:paraId="549BE3D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19"/>
    </w:p>
    <w:p w14:paraId="62F07ED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68183F49">
      <w:pPr>
        <w:bidi w:val="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绩效评价指标体系</w:t>
      </w:r>
    </w:p>
    <w:p w14:paraId="421C2C9C">
      <w:pPr>
        <w:bidi w:val="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综合得分表</w:t>
      </w:r>
    </w:p>
    <w:p w14:paraId="3B0CEF38">
      <w:pPr>
        <w:bidi w:val="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w:t>
      </w:r>
      <w:r>
        <w:rPr>
          <w:rFonts w:hint="eastAsia" w:ascii="宋体" w:hAnsi="宋体" w:eastAsia="宋体" w:cs="宋体"/>
          <w:i w:val="0"/>
          <w:iCs w:val="0"/>
          <w:caps w:val="0"/>
          <w:color w:val="auto"/>
          <w:spacing w:val="0"/>
          <w:sz w:val="24"/>
          <w:szCs w:val="24"/>
          <w:shd w:val="clear" w:color="auto" w:fill="FFFFFF"/>
        </w:rPr>
        <w:t>洛浦县2024年村级运转经费</w:t>
      </w:r>
      <w:r>
        <w:rPr>
          <w:rFonts w:hint="eastAsia" w:ascii="宋体" w:hAnsi="宋体" w:eastAsia="宋体" w:cs="宋体"/>
          <w:i w:val="0"/>
          <w:iCs w:val="0"/>
          <w:caps w:val="0"/>
          <w:color w:val="auto"/>
          <w:spacing w:val="0"/>
          <w:sz w:val="24"/>
          <w:szCs w:val="24"/>
          <w:shd w:val="clear" w:color="auto" w:fill="FFFFFF"/>
          <w:lang w:val="en-US" w:eastAsia="zh-CN"/>
        </w:rPr>
        <w:t>项目</w:t>
      </w:r>
      <w:r>
        <w:rPr>
          <w:rFonts w:hint="eastAsia" w:ascii="宋体" w:hAnsi="宋体" w:eastAsia="宋体" w:cs="宋体"/>
          <w:color w:val="auto"/>
          <w:kern w:val="0"/>
          <w:sz w:val="24"/>
          <w:szCs w:val="24"/>
          <w:lang w:val="en-US" w:eastAsia="zh-CN" w:bidi="ar-SA"/>
        </w:rPr>
        <w:t>满意度调查问分析情况</w:t>
      </w:r>
    </w:p>
    <w:p w14:paraId="597B4D7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02C6F417">
      <w:pPr>
        <w:pStyle w:val="10"/>
        <w:ind w:left="0" w:leftChars="0" w:firstLine="0" w:firstLineChars="0"/>
        <w:jc w:val="both"/>
        <w:rPr>
          <w:rFonts w:hint="eastAsia" w:ascii="宋体" w:hAnsi="宋体" w:eastAsia="宋体" w:cs="宋体"/>
          <w:color w:val="auto"/>
          <w:sz w:val="24"/>
          <w:szCs w:val="24"/>
        </w:rPr>
      </w:pPr>
    </w:p>
    <w:p w14:paraId="60359999">
      <w:pPr>
        <w:pStyle w:val="10"/>
        <w:ind w:left="0" w:leftChars="0" w:firstLine="0" w:firstLineChars="0"/>
        <w:jc w:val="both"/>
        <w:rPr>
          <w:rFonts w:hint="eastAsia" w:ascii="宋体" w:hAnsi="宋体" w:eastAsia="宋体" w:cs="宋体"/>
          <w:color w:val="auto"/>
          <w:sz w:val="24"/>
          <w:szCs w:val="24"/>
        </w:rPr>
        <w:sectPr>
          <w:footerReference r:id="rId7" w:type="default"/>
          <w:pgSz w:w="11906" w:h="16838"/>
          <w:pgMar w:top="1985" w:right="1531" w:bottom="1701" w:left="1531" w:header="851" w:footer="992" w:gutter="0"/>
          <w:pgNumType w:fmt="decimal"/>
          <w:cols w:space="720" w:num="1"/>
          <w:docGrid w:type="linesAndChars" w:linePitch="386" w:charSpace="0"/>
        </w:sect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535"/>
        <w:gridCol w:w="665"/>
        <w:gridCol w:w="548"/>
        <w:gridCol w:w="941"/>
        <w:gridCol w:w="567"/>
        <w:gridCol w:w="2012"/>
        <w:gridCol w:w="1240"/>
        <w:gridCol w:w="3539"/>
        <w:gridCol w:w="1219"/>
        <w:gridCol w:w="1427"/>
      </w:tblGrid>
      <w:tr w14:paraId="3A1C8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000" w:type="pct"/>
            <w:gridSpan w:val="11"/>
            <w:noWrap w:val="0"/>
            <w:vAlign w:val="center"/>
          </w:tcPr>
          <w:p w14:paraId="0370EE7D">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r>
      <w:tr w14:paraId="51E5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000" w:type="pct"/>
            <w:gridSpan w:val="11"/>
            <w:noWrap w:val="0"/>
            <w:vAlign w:val="center"/>
          </w:tcPr>
          <w:p w14:paraId="77FFC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和田地区洛浦县2024年村级运转经费项目绩效评价指标体系综合评分表</w:t>
            </w:r>
          </w:p>
        </w:tc>
      </w:tr>
      <w:tr w14:paraId="0641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51" w:type="pct"/>
            <w:noWrap w:val="0"/>
            <w:vAlign w:val="center"/>
          </w:tcPr>
          <w:p w14:paraId="56D4DE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00" w:type="pct"/>
            <w:noWrap w:val="0"/>
            <w:vAlign w:val="center"/>
          </w:tcPr>
          <w:p w14:paraId="6AF0B2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9" w:type="pct"/>
            <w:noWrap w:val="0"/>
            <w:vAlign w:val="center"/>
          </w:tcPr>
          <w:p w14:paraId="1AC4EA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05" w:type="pct"/>
            <w:noWrap w:val="0"/>
            <w:vAlign w:val="center"/>
          </w:tcPr>
          <w:p w14:paraId="13DF8D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352" w:type="pct"/>
            <w:noWrap w:val="0"/>
            <w:vAlign w:val="center"/>
          </w:tcPr>
          <w:p w14:paraId="0C4811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12" w:type="pct"/>
            <w:noWrap w:val="0"/>
            <w:vAlign w:val="center"/>
          </w:tcPr>
          <w:p w14:paraId="5967F0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53" w:type="pct"/>
            <w:noWrap w:val="0"/>
            <w:vAlign w:val="center"/>
          </w:tcPr>
          <w:p w14:paraId="7EEB22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464" w:type="pct"/>
            <w:noWrap w:val="0"/>
            <w:vAlign w:val="center"/>
          </w:tcPr>
          <w:p w14:paraId="76670F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324" w:type="pct"/>
            <w:noWrap w:val="0"/>
            <w:vAlign w:val="center"/>
          </w:tcPr>
          <w:p w14:paraId="35EDBC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456" w:type="pct"/>
            <w:noWrap w:val="0"/>
            <w:vAlign w:val="center"/>
          </w:tcPr>
          <w:p w14:paraId="5D2958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529" w:type="pct"/>
            <w:noWrap w:val="0"/>
            <w:vAlign w:val="center"/>
          </w:tcPr>
          <w:p w14:paraId="655A42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6BCE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trPr>
        <w:tc>
          <w:tcPr>
            <w:tcW w:w="251" w:type="pct"/>
            <w:vMerge w:val="restart"/>
            <w:noWrap w:val="0"/>
            <w:vAlign w:val="center"/>
          </w:tcPr>
          <w:p w14:paraId="540D5C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00" w:type="pct"/>
            <w:vMerge w:val="restart"/>
            <w:noWrap w:val="0"/>
            <w:vAlign w:val="center"/>
          </w:tcPr>
          <w:p w14:paraId="286C13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49" w:type="pct"/>
            <w:vMerge w:val="restart"/>
            <w:noWrap w:val="0"/>
            <w:vAlign w:val="center"/>
          </w:tcPr>
          <w:p w14:paraId="4D4655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05" w:type="pct"/>
            <w:vMerge w:val="restart"/>
            <w:noWrap w:val="0"/>
            <w:vAlign w:val="center"/>
          </w:tcPr>
          <w:p w14:paraId="21007C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352" w:type="pct"/>
            <w:noWrap w:val="0"/>
            <w:vAlign w:val="center"/>
          </w:tcPr>
          <w:p w14:paraId="1A81C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12" w:type="pct"/>
            <w:noWrap w:val="0"/>
            <w:vAlign w:val="center"/>
          </w:tcPr>
          <w:p w14:paraId="23D231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53" w:type="pct"/>
            <w:noWrap w:val="0"/>
            <w:vAlign w:val="center"/>
          </w:tcPr>
          <w:p w14:paraId="48BD7D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464" w:type="pct"/>
            <w:noWrap w:val="0"/>
            <w:vAlign w:val="center"/>
          </w:tcPr>
          <w:p w14:paraId="38530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324" w:type="pct"/>
            <w:noWrap w:val="0"/>
            <w:vAlign w:val="center"/>
          </w:tcPr>
          <w:p w14:paraId="3FEA43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5C4303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76C8F0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471ECB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1A2641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668D4F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456" w:type="pct"/>
            <w:noWrap w:val="0"/>
            <w:vAlign w:val="center"/>
          </w:tcPr>
          <w:p w14:paraId="2F64CF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29" w:type="pct"/>
            <w:noWrap w:val="0"/>
            <w:vAlign w:val="center"/>
          </w:tcPr>
          <w:p w14:paraId="2A684C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0127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251" w:type="pct"/>
            <w:vMerge w:val="continue"/>
            <w:noWrap w:val="0"/>
            <w:vAlign w:val="center"/>
          </w:tcPr>
          <w:p w14:paraId="414A91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69B003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7987A9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013618C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06873B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12" w:type="pct"/>
            <w:noWrap w:val="0"/>
            <w:vAlign w:val="center"/>
          </w:tcPr>
          <w:p w14:paraId="598B9D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53" w:type="pct"/>
            <w:noWrap w:val="0"/>
            <w:vAlign w:val="center"/>
          </w:tcPr>
          <w:p w14:paraId="3FEC69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464" w:type="pct"/>
            <w:noWrap w:val="0"/>
            <w:vAlign w:val="center"/>
          </w:tcPr>
          <w:p w14:paraId="07DEB8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324" w:type="pct"/>
            <w:noWrap w:val="0"/>
            <w:vAlign w:val="center"/>
          </w:tcPr>
          <w:p w14:paraId="45B098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578EE9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78CD98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47AF2E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456" w:type="pct"/>
            <w:noWrap w:val="0"/>
            <w:vAlign w:val="center"/>
          </w:tcPr>
          <w:p w14:paraId="6EE05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29" w:type="pct"/>
            <w:noWrap w:val="0"/>
            <w:vAlign w:val="center"/>
          </w:tcPr>
          <w:p w14:paraId="399247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6C2E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251" w:type="pct"/>
            <w:vMerge w:val="continue"/>
            <w:noWrap w:val="0"/>
            <w:vAlign w:val="center"/>
          </w:tcPr>
          <w:p w14:paraId="3825993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5A3F25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restart"/>
            <w:noWrap w:val="0"/>
            <w:vAlign w:val="center"/>
          </w:tcPr>
          <w:p w14:paraId="2E38EF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05" w:type="pct"/>
            <w:vMerge w:val="restart"/>
            <w:noWrap w:val="0"/>
            <w:vAlign w:val="center"/>
          </w:tcPr>
          <w:p w14:paraId="1FCC2A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3046BC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12" w:type="pct"/>
            <w:noWrap w:val="0"/>
            <w:vAlign w:val="center"/>
          </w:tcPr>
          <w:p w14:paraId="6A6D6A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0"/>
            <w:vAlign w:val="center"/>
          </w:tcPr>
          <w:p w14:paraId="65777B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464" w:type="pct"/>
            <w:noWrap w:val="0"/>
            <w:vAlign w:val="center"/>
          </w:tcPr>
          <w:p w14:paraId="10DB22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324" w:type="pct"/>
            <w:noWrap w:val="0"/>
            <w:vAlign w:val="center"/>
          </w:tcPr>
          <w:p w14:paraId="6C06C2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48C2A3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1B9C7D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17B8D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69C69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456" w:type="pct"/>
            <w:noWrap w:val="0"/>
            <w:vAlign w:val="center"/>
          </w:tcPr>
          <w:p w14:paraId="147EFA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9" w:type="pct"/>
            <w:noWrap w:val="0"/>
            <w:vAlign w:val="center"/>
          </w:tcPr>
          <w:p w14:paraId="7EF6E5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4F5C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0" w:hRule="atLeast"/>
        </w:trPr>
        <w:tc>
          <w:tcPr>
            <w:tcW w:w="251" w:type="pct"/>
            <w:vMerge w:val="continue"/>
            <w:noWrap w:val="0"/>
            <w:vAlign w:val="center"/>
          </w:tcPr>
          <w:p w14:paraId="427D4E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4B76AB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228088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2EA121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4960B2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12" w:type="pct"/>
            <w:noWrap w:val="0"/>
            <w:vAlign w:val="center"/>
          </w:tcPr>
          <w:p w14:paraId="21F452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0"/>
            <w:vAlign w:val="center"/>
          </w:tcPr>
          <w:p w14:paraId="39F8A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464" w:type="pct"/>
            <w:noWrap w:val="0"/>
            <w:vAlign w:val="center"/>
          </w:tcPr>
          <w:p w14:paraId="4B1C7E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324" w:type="pct"/>
            <w:noWrap w:val="0"/>
            <w:vAlign w:val="center"/>
          </w:tcPr>
          <w:p w14:paraId="0B2B5F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1C09E1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154AF8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027BBB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456" w:type="pct"/>
            <w:noWrap w:val="0"/>
            <w:vAlign w:val="center"/>
          </w:tcPr>
          <w:p w14:paraId="6AA972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29" w:type="pct"/>
            <w:noWrap w:val="0"/>
            <w:vAlign w:val="center"/>
          </w:tcPr>
          <w:p w14:paraId="6B266A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7A29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51" w:type="pct"/>
            <w:vMerge w:val="continue"/>
            <w:noWrap w:val="0"/>
            <w:vAlign w:val="center"/>
          </w:tcPr>
          <w:p w14:paraId="5EF393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5A113E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restart"/>
            <w:noWrap w:val="0"/>
            <w:vAlign w:val="center"/>
          </w:tcPr>
          <w:p w14:paraId="574116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05" w:type="pct"/>
            <w:vMerge w:val="restart"/>
            <w:noWrap w:val="0"/>
            <w:vAlign w:val="center"/>
          </w:tcPr>
          <w:p w14:paraId="353375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352" w:type="pct"/>
            <w:noWrap w:val="0"/>
            <w:vAlign w:val="center"/>
          </w:tcPr>
          <w:p w14:paraId="5DE133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12" w:type="pct"/>
            <w:noWrap w:val="0"/>
            <w:vAlign w:val="center"/>
          </w:tcPr>
          <w:p w14:paraId="1A4304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53" w:type="pct"/>
            <w:noWrap w:val="0"/>
            <w:vAlign w:val="center"/>
          </w:tcPr>
          <w:p w14:paraId="750404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464" w:type="pct"/>
            <w:noWrap w:val="0"/>
            <w:vAlign w:val="center"/>
          </w:tcPr>
          <w:p w14:paraId="382DAD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324" w:type="pct"/>
            <w:noWrap w:val="0"/>
            <w:vAlign w:val="center"/>
          </w:tcPr>
          <w:p w14:paraId="574576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3073E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756117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2D878D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3FED52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456" w:type="pct"/>
            <w:noWrap w:val="0"/>
            <w:vAlign w:val="center"/>
          </w:tcPr>
          <w:p w14:paraId="4940F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29" w:type="pct"/>
            <w:noWrap w:val="0"/>
            <w:vAlign w:val="center"/>
          </w:tcPr>
          <w:p w14:paraId="42A894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1807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251" w:type="pct"/>
            <w:vMerge w:val="continue"/>
            <w:noWrap w:val="0"/>
            <w:vAlign w:val="center"/>
          </w:tcPr>
          <w:p w14:paraId="2934BF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5D5318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6F1AFC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38A24F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70D291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12" w:type="pct"/>
            <w:noWrap w:val="0"/>
            <w:vAlign w:val="center"/>
          </w:tcPr>
          <w:p w14:paraId="797B5F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53" w:type="pct"/>
            <w:noWrap w:val="0"/>
            <w:vAlign w:val="center"/>
          </w:tcPr>
          <w:p w14:paraId="0B30B2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464" w:type="pct"/>
            <w:noWrap w:val="0"/>
            <w:vAlign w:val="center"/>
          </w:tcPr>
          <w:p w14:paraId="09EB65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324" w:type="pct"/>
            <w:noWrap w:val="0"/>
            <w:vAlign w:val="center"/>
          </w:tcPr>
          <w:p w14:paraId="2F86CF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54FEEA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1574B5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456" w:type="pct"/>
            <w:noWrap w:val="0"/>
            <w:vAlign w:val="center"/>
          </w:tcPr>
          <w:p w14:paraId="122758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9" w:type="pct"/>
            <w:noWrap w:val="0"/>
            <w:vAlign w:val="center"/>
          </w:tcPr>
          <w:p w14:paraId="116746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250%</w:t>
            </w:r>
          </w:p>
        </w:tc>
      </w:tr>
      <w:tr w14:paraId="72B6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trPr>
        <w:tc>
          <w:tcPr>
            <w:tcW w:w="251" w:type="pct"/>
            <w:vMerge w:val="restart"/>
            <w:noWrap w:val="0"/>
            <w:vAlign w:val="center"/>
          </w:tcPr>
          <w:p w14:paraId="51C99D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00" w:type="pct"/>
            <w:vMerge w:val="restart"/>
            <w:noWrap w:val="0"/>
            <w:vAlign w:val="center"/>
          </w:tcPr>
          <w:p w14:paraId="644FC3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49" w:type="pct"/>
            <w:vMerge w:val="restart"/>
            <w:noWrap w:val="0"/>
            <w:vAlign w:val="center"/>
          </w:tcPr>
          <w:p w14:paraId="01F179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05" w:type="pct"/>
            <w:vMerge w:val="restart"/>
            <w:noWrap w:val="0"/>
            <w:vAlign w:val="center"/>
          </w:tcPr>
          <w:p w14:paraId="52CB16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031A63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12" w:type="pct"/>
            <w:noWrap w:val="0"/>
            <w:vAlign w:val="center"/>
          </w:tcPr>
          <w:p w14:paraId="4DE3D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53" w:type="pct"/>
            <w:noWrap w:val="0"/>
            <w:vAlign w:val="center"/>
          </w:tcPr>
          <w:p w14:paraId="50BCCF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464" w:type="pct"/>
            <w:noWrap w:val="0"/>
            <w:vAlign w:val="center"/>
          </w:tcPr>
          <w:p w14:paraId="1E20F8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24" w:type="pct"/>
            <w:noWrap w:val="0"/>
            <w:vAlign w:val="center"/>
          </w:tcPr>
          <w:p w14:paraId="4D6789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45AED3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456" w:type="pct"/>
            <w:noWrap w:val="0"/>
            <w:vAlign w:val="center"/>
          </w:tcPr>
          <w:p w14:paraId="182FE1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 w:type="pct"/>
            <w:noWrap w:val="0"/>
            <w:vAlign w:val="center"/>
          </w:tcPr>
          <w:p w14:paraId="2E0E5C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201F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251" w:type="pct"/>
            <w:vMerge w:val="continue"/>
            <w:noWrap w:val="0"/>
            <w:vAlign w:val="center"/>
          </w:tcPr>
          <w:p w14:paraId="648AA4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4E9E59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61E69B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1BD017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05F337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12" w:type="pct"/>
            <w:noWrap w:val="0"/>
            <w:vAlign w:val="center"/>
          </w:tcPr>
          <w:p w14:paraId="1CD62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53" w:type="pct"/>
            <w:noWrap w:val="0"/>
            <w:vAlign w:val="center"/>
          </w:tcPr>
          <w:p w14:paraId="751319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464" w:type="pct"/>
            <w:noWrap w:val="0"/>
            <w:vAlign w:val="center"/>
          </w:tcPr>
          <w:p w14:paraId="671BA6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24" w:type="pct"/>
            <w:noWrap w:val="0"/>
            <w:vAlign w:val="center"/>
          </w:tcPr>
          <w:p w14:paraId="4E544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6C7292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456" w:type="pct"/>
            <w:noWrap w:val="0"/>
            <w:vAlign w:val="center"/>
          </w:tcPr>
          <w:p w14:paraId="020779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99.59%</w:t>
            </w:r>
          </w:p>
        </w:tc>
        <w:tc>
          <w:tcPr>
            <w:tcW w:w="529" w:type="pct"/>
            <w:noWrap w:val="0"/>
            <w:vAlign w:val="center"/>
          </w:tcPr>
          <w:p w14:paraId="14BA7C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3.98 </w:t>
            </w:r>
          </w:p>
        </w:tc>
      </w:tr>
      <w:tr w14:paraId="7712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51" w:type="pct"/>
            <w:vMerge w:val="continue"/>
            <w:noWrap w:val="0"/>
            <w:vAlign w:val="center"/>
          </w:tcPr>
          <w:p w14:paraId="6392B9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288BCA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625B6D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3B7EFD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5D5BC2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12" w:type="pct"/>
            <w:noWrap w:val="0"/>
            <w:vAlign w:val="center"/>
          </w:tcPr>
          <w:p w14:paraId="5036AB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53" w:type="pct"/>
            <w:noWrap w:val="0"/>
            <w:vAlign w:val="center"/>
          </w:tcPr>
          <w:p w14:paraId="7631B2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464" w:type="pct"/>
            <w:noWrap w:val="0"/>
            <w:vAlign w:val="center"/>
          </w:tcPr>
          <w:p w14:paraId="6F0324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324" w:type="pct"/>
            <w:noWrap w:val="0"/>
            <w:vAlign w:val="center"/>
          </w:tcPr>
          <w:p w14:paraId="793C24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4E1CFC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166ED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23EFE4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1B2C0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456" w:type="pct"/>
            <w:noWrap w:val="0"/>
            <w:vAlign w:val="center"/>
          </w:tcPr>
          <w:p w14:paraId="1C969B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29" w:type="pct"/>
            <w:noWrap w:val="0"/>
            <w:vAlign w:val="center"/>
          </w:tcPr>
          <w:p w14:paraId="560096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29AE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251" w:type="pct"/>
            <w:vMerge w:val="continue"/>
            <w:noWrap w:val="0"/>
            <w:vAlign w:val="center"/>
          </w:tcPr>
          <w:p w14:paraId="2211B2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5B50B3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restart"/>
            <w:noWrap w:val="0"/>
            <w:vAlign w:val="center"/>
          </w:tcPr>
          <w:p w14:paraId="0B0F30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05" w:type="pct"/>
            <w:vMerge w:val="restart"/>
            <w:noWrap w:val="0"/>
            <w:vAlign w:val="center"/>
          </w:tcPr>
          <w:p w14:paraId="62563B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4369F2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12" w:type="pct"/>
            <w:noWrap w:val="0"/>
            <w:vAlign w:val="center"/>
          </w:tcPr>
          <w:p w14:paraId="0DC386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0"/>
            <w:vAlign w:val="center"/>
          </w:tcPr>
          <w:p w14:paraId="202F1B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464" w:type="pct"/>
            <w:noWrap w:val="0"/>
            <w:vAlign w:val="center"/>
          </w:tcPr>
          <w:p w14:paraId="4A27E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324" w:type="pct"/>
            <w:noWrap w:val="0"/>
            <w:vAlign w:val="center"/>
          </w:tcPr>
          <w:p w14:paraId="740402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20894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249552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456" w:type="pct"/>
            <w:noWrap w:val="0"/>
            <w:vAlign w:val="center"/>
          </w:tcPr>
          <w:p w14:paraId="2103FA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29" w:type="pct"/>
            <w:noWrap w:val="0"/>
            <w:vAlign w:val="center"/>
          </w:tcPr>
          <w:p w14:paraId="7CE2A0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FFF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251" w:type="pct"/>
            <w:vMerge w:val="continue"/>
            <w:noWrap w:val="0"/>
            <w:vAlign w:val="center"/>
          </w:tcPr>
          <w:p w14:paraId="3EE58D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55D4FF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07A1BB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411272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29E748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12" w:type="pct"/>
            <w:noWrap w:val="0"/>
            <w:vAlign w:val="center"/>
          </w:tcPr>
          <w:p w14:paraId="1247C4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0"/>
            <w:vAlign w:val="center"/>
          </w:tcPr>
          <w:p w14:paraId="3B937A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464" w:type="pct"/>
            <w:noWrap w:val="0"/>
            <w:vAlign w:val="center"/>
          </w:tcPr>
          <w:p w14:paraId="2AC632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324" w:type="pct"/>
            <w:noWrap w:val="0"/>
            <w:vAlign w:val="center"/>
          </w:tcPr>
          <w:p w14:paraId="5CCC13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1E2BA9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769658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733D86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456" w:type="pct"/>
            <w:noWrap w:val="0"/>
            <w:vAlign w:val="center"/>
          </w:tcPr>
          <w:p w14:paraId="6E579D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529" w:type="pct"/>
            <w:noWrap w:val="0"/>
            <w:vAlign w:val="center"/>
          </w:tcPr>
          <w:p w14:paraId="1620F8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0569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251" w:type="pct"/>
            <w:vMerge w:val="restart"/>
            <w:noWrap w:val="0"/>
            <w:vAlign w:val="center"/>
          </w:tcPr>
          <w:p w14:paraId="001CA2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00" w:type="pct"/>
            <w:vMerge w:val="restart"/>
            <w:noWrap w:val="0"/>
            <w:vAlign w:val="center"/>
          </w:tcPr>
          <w:p w14:paraId="7BCBF5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49" w:type="pct"/>
            <w:noWrap w:val="0"/>
            <w:vAlign w:val="center"/>
          </w:tcPr>
          <w:p w14:paraId="47BA87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05" w:type="pct"/>
            <w:noWrap w:val="0"/>
            <w:vAlign w:val="center"/>
          </w:tcPr>
          <w:p w14:paraId="79B331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492452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12" w:type="pct"/>
            <w:noWrap w:val="0"/>
            <w:vAlign w:val="center"/>
          </w:tcPr>
          <w:p w14:paraId="5BCBDF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3" w:type="pct"/>
            <w:noWrap/>
            <w:vAlign w:val="center"/>
          </w:tcPr>
          <w:p w14:paraId="3BAC84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涉及行政村个数</w:t>
            </w:r>
          </w:p>
        </w:tc>
        <w:tc>
          <w:tcPr>
            <w:tcW w:w="464" w:type="pct"/>
            <w:noWrap w:val="0"/>
            <w:vAlign w:val="center"/>
          </w:tcPr>
          <w:p w14:paraId="75FE6B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=13个</w:t>
            </w:r>
          </w:p>
        </w:tc>
        <w:tc>
          <w:tcPr>
            <w:tcW w:w="1324" w:type="pct"/>
            <w:noWrap w:val="0"/>
            <w:vAlign w:val="center"/>
          </w:tcPr>
          <w:p w14:paraId="352A2E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实际完成率=（实际完成/预期完成）×100%。①实际完成率≥100%，且偏离程度＜20%，得满分；②实际完成率≥100%，偏离程度≥20%，得0分；③实际完成率×100%＜100%，得分=实际完成率×指标分值。</w:t>
            </w:r>
          </w:p>
        </w:tc>
        <w:tc>
          <w:tcPr>
            <w:tcW w:w="456" w:type="pct"/>
            <w:noWrap w:val="0"/>
            <w:vAlign w:val="center"/>
          </w:tcPr>
          <w:p w14:paraId="6CCE54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=13个</w:t>
            </w:r>
          </w:p>
        </w:tc>
        <w:tc>
          <w:tcPr>
            <w:tcW w:w="529" w:type="pct"/>
            <w:noWrap w:val="0"/>
            <w:vAlign w:val="center"/>
          </w:tcPr>
          <w:p w14:paraId="04BF3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69D10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51" w:type="pct"/>
            <w:vMerge w:val="continue"/>
            <w:noWrap w:val="0"/>
            <w:vAlign w:val="center"/>
          </w:tcPr>
          <w:p w14:paraId="09E69F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633B89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noWrap w:val="0"/>
            <w:vAlign w:val="center"/>
          </w:tcPr>
          <w:p w14:paraId="1DEC0E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05" w:type="pct"/>
            <w:noWrap w:val="0"/>
            <w:vAlign w:val="center"/>
          </w:tcPr>
          <w:p w14:paraId="76042E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5CD249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12" w:type="pct"/>
            <w:noWrap w:val="0"/>
            <w:vAlign w:val="center"/>
          </w:tcPr>
          <w:p w14:paraId="6E6783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3" w:type="pct"/>
            <w:noWrap/>
            <w:vAlign w:val="center"/>
          </w:tcPr>
          <w:p w14:paraId="0BE528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资金保障率</w:t>
            </w:r>
          </w:p>
        </w:tc>
        <w:tc>
          <w:tcPr>
            <w:tcW w:w="464" w:type="pct"/>
            <w:noWrap w:val="0"/>
            <w:vAlign w:val="center"/>
          </w:tcPr>
          <w:p w14:paraId="41D45A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24" w:type="pct"/>
            <w:noWrap w:val="0"/>
            <w:vAlign w:val="center"/>
          </w:tcPr>
          <w:p w14:paraId="6738A5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若指标达到标杆值，则得100%权重分；否则，得分=（实际完成/预期完成）×100%×指标分值。若指标完成值达到标杆值，则得100%权重分；否则，不得分。</w:t>
            </w:r>
          </w:p>
        </w:tc>
        <w:tc>
          <w:tcPr>
            <w:tcW w:w="456" w:type="pct"/>
            <w:noWrap w:val="0"/>
            <w:vAlign w:val="center"/>
          </w:tcPr>
          <w:p w14:paraId="321D39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 w:type="pct"/>
            <w:noWrap w:val="0"/>
            <w:vAlign w:val="center"/>
          </w:tcPr>
          <w:p w14:paraId="300919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4B68B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51" w:type="pct"/>
            <w:vMerge w:val="continue"/>
            <w:noWrap w:val="0"/>
            <w:vAlign w:val="center"/>
          </w:tcPr>
          <w:p w14:paraId="297457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37C42B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restart"/>
            <w:noWrap w:val="0"/>
            <w:vAlign w:val="center"/>
          </w:tcPr>
          <w:p w14:paraId="0986E4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05" w:type="pct"/>
            <w:vMerge w:val="restart"/>
            <w:noWrap w:val="0"/>
            <w:vAlign w:val="center"/>
          </w:tcPr>
          <w:p w14:paraId="4F76B9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vMerge w:val="restart"/>
            <w:noWrap w:val="0"/>
            <w:vAlign w:val="center"/>
          </w:tcPr>
          <w:p w14:paraId="431705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12" w:type="pct"/>
            <w:noWrap w:val="0"/>
            <w:vAlign w:val="center"/>
          </w:tcPr>
          <w:p w14:paraId="697106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ign w:val="center"/>
          </w:tcPr>
          <w:p w14:paraId="39F120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项目完成及时率</w:t>
            </w:r>
          </w:p>
        </w:tc>
        <w:tc>
          <w:tcPr>
            <w:tcW w:w="464" w:type="pct"/>
            <w:noWrap w:val="0"/>
            <w:vAlign w:val="center"/>
          </w:tcPr>
          <w:p w14:paraId="5DF031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324" w:type="pct"/>
            <w:vMerge w:val="restart"/>
            <w:noWrap w:val="0"/>
            <w:vAlign w:val="center"/>
          </w:tcPr>
          <w:p w14:paraId="7A25E7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若在规定时间内完成，得100%权重分；若未在规定的时间内完成，得分=（1-未在规定时间内完成工作数/实际完成工作总数）×分值。</w:t>
            </w:r>
          </w:p>
        </w:tc>
        <w:tc>
          <w:tcPr>
            <w:tcW w:w="456" w:type="pct"/>
            <w:noWrap w:val="0"/>
            <w:vAlign w:val="center"/>
          </w:tcPr>
          <w:p w14:paraId="4DA824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 w:type="pct"/>
            <w:noWrap w:val="0"/>
            <w:vAlign w:val="center"/>
          </w:tcPr>
          <w:p w14:paraId="1A899A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0075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51" w:type="pct"/>
            <w:vMerge w:val="continue"/>
            <w:noWrap w:val="0"/>
            <w:vAlign w:val="center"/>
          </w:tcPr>
          <w:p w14:paraId="49726D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0193D4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654C74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6E942C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vMerge w:val="continue"/>
            <w:noWrap w:val="0"/>
            <w:vAlign w:val="center"/>
          </w:tcPr>
          <w:p w14:paraId="5DD649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2" w:type="pct"/>
            <w:noWrap w:val="0"/>
            <w:vAlign w:val="center"/>
          </w:tcPr>
          <w:p w14:paraId="7A5637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53" w:type="pct"/>
            <w:noWrap/>
            <w:vAlign w:val="center"/>
          </w:tcPr>
          <w:p w14:paraId="3D063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464" w:type="pct"/>
            <w:noWrap w:val="0"/>
            <w:vAlign w:val="center"/>
          </w:tcPr>
          <w:p w14:paraId="1E5E77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2024年12月31日</w:t>
            </w:r>
          </w:p>
        </w:tc>
        <w:tc>
          <w:tcPr>
            <w:tcW w:w="1324" w:type="pct"/>
            <w:vMerge w:val="continue"/>
            <w:noWrap w:val="0"/>
            <w:vAlign w:val="center"/>
          </w:tcPr>
          <w:p w14:paraId="58942F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56" w:type="pct"/>
            <w:noWrap w:val="0"/>
            <w:vAlign w:val="center"/>
          </w:tcPr>
          <w:p w14:paraId="5D3EC4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2024年12月31日</w:t>
            </w:r>
          </w:p>
        </w:tc>
        <w:tc>
          <w:tcPr>
            <w:tcW w:w="529" w:type="pct"/>
            <w:noWrap w:val="0"/>
            <w:vAlign w:val="center"/>
          </w:tcPr>
          <w:p w14:paraId="099742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0B40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251" w:type="pct"/>
            <w:vMerge w:val="continue"/>
            <w:noWrap w:val="0"/>
            <w:vAlign w:val="center"/>
          </w:tcPr>
          <w:p w14:paraId="166111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7DD03E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noWrap w:val="0"/>
            <w:vAlign w:val="center"/>
          </w:tcPr>
          <w:p w14:paraId="796BD4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05" w:type="pct"/>
            <w:noWrap w:val="0"/>
            <w:vAlign w:val="center"/>
          </w:tcPr>
          <w:p w14:paraId="18FF7D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352" w:type="pct"/>
            <w:noWrap w:val="0"/>
            <w:vAlign w:val="center"/>
          </w:tcPr>
          <w:p w14:paraId="12E9DF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12" w:type="pct"/>
            <w:noWrap w:val="0"/>
            <w:vAlign w:val="center"/>
          </w:tcPr>
          <w:p w14:paraId="0F1EB2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3" w:type="pct"/>
            <w:noWrap/>
            <w:vAlign w:val="center"/>
          </w:tcPr>
          <w:p w14:paraId="4F3DD0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每个村运转成本</w:t>
            </w:r>
          </w:p>
        </w:tc>
        <w:tc>
          <w:tcPr>
            <w:tcW w:w="464" w:type="pct"/>
            <w:noWrap w:val="0"/>
            <w:vAlign w:val="center"/>
          </w:tcPr>
          <w:p w14:paraId="425357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&lt;=4.50万元</w:t>
            </w:r>
          </w:p>
        </w:tc>
        <w:tc>
          <w:tcPr>
            <w:tcW w:w="1324" w:type="pct"/>
            <w:noWrap w:val="0"/>
            <w:vAlign w:val="center"/>
          </w:tcPr>
          <w:p w14:paraId="3FF1FA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①实际完成率＞年度指标值，得0得分；②实际完成率≤年度指标值，且偏离程度＜20%，得满分；③实际完成率＜年度指标值，且偏离程度≥20%，得分=实际完成率×分值。</w:t>
            </w:r>
          </w:p>
        </w:tc>
        <w:tc>
          <w:tcPr>
            <w:tcW w:w="456" w:type="pct"/>
            <w:noWrap w:val="0"/>
            <w:vAlign w:val="center"/>
          </w:tcPr>
          <w:p w14:paraId="36CAB7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4.48万元/村</w:t>
            </w:r>
          </w:p>
        </w:tc>
        <w:tc>
          <w:tcPr>
            <w:tcW w:w="529" w:type="pct"/>
            <w:noWrap w:val="0"/>
            <w:vAlign w:val="center"/>
          </w:tcPr>
          <w:p w14:paraId="343407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9.96 </w:t>
            </w:r>
          </w:p>
        </w:tc>
      </w:tr>
      <w:tr w14:paraId="72A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51" w:type="pct"/>
            <w:vMerge w:val="restart"/>
            <w:noWrap w:val="0"/>
            <w:vAlign w:val="center"/>
          </w:tcPr>
          <w:p w14:paraId="1CA962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0" w:type="pct"/>
            <w:vMerge w:val="restart"/>
            <w:noWrap w:val="0"/>
            <w:vAlign w:val="center"/>
          </w:tcPr>
          <w:p w14:paraId="002E5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49" w:type="pct"/>
            <w:vMerge w:val="restart"/>
            <w:noWrap w:val="0"/>
            <w:vAlign w:val="center"/>
          </w:tcPr>
          <w:p w14:paraId="42A7BF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5" w:type="pct"/>
            <w:vMerge w:val="restart"/>
            <w:noWrap w:val="0"/>
            <w:vAlign w:val="center"/>
          </w:tcPr>
          <w:p w14:paraId="762E54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352" w:type="pct"/>
            <w:noWrap w:val="0"/>
            <w:vAlign w:val="center"/>
          </w:tcPr>
          <w:p w14:paraId="0CAC3C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社经济效益</w:t>
            </w:r>
          </w:p>
        </w:tc>
        <w:tc>
          <w:tcPr>
            <w:tcW w:w="212" w:type="pct"/>
            <w:noWrap w:val="0"/>
            <w:vAlign w:val="center"/>
          </w:tcPr>
          <w:p w14:paraId="1AF6BC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3" w:type="pct"/>
            <w:noWrap/>
            <w:vAlign w:val="center"/>
          </w:tcPr>
          <w:p w14:paraId="0C149C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保障各村村正常运行</w:t>
            </w:r>
          </w:p>
        </w:tc>
        <w:tc>
          <w:tcPr>
            <w:tcW w:w="464" w:type="pct"/>
            <w:noWrap w:val="0"/>
            <w:vAlign w:val="center"/>
          </w:tcPr>
          <w:p w14:paraId="33AB9E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有效保障</w:t>
            </w:r>
          </w:p>
        </w:tc>
        <w:tc>
          <w:tcPr>
            <w:tcW w:w="1324" w:type="pct"/>
            <w:noWrap w:val="0"/>
            <w:vAlign w:val="center"/>
          </w:tcPr>
          <w:p w14:paraId="436D5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456" w:type="pct"/>
            <w:noWrap w:val="0"/>
            <w:vAlign w:val="center"/>
          </w:tcPr>
          <w:p w14:paraId="6F6CE2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效果显著</w:t>
            </w:r>
          </w:p>
        </w:tc>
        <w:tc>
          <w:tcPr>
            <w:tcW w:w="529" w:type="pct"/>
            <w:noWrap w:val="0"/>
            <w:vAlign w:val="center"/>
          </w:tcPr>
          <w:p w14:paraId="5B0F01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1DC1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251" w:type="pct"/>
            <w:vMerge w:val="continue"/>
            <w:noWrap w:val="0"/>
            <w:vAlign w:val="center"/>
          </w:tcPr>
          <w:p w14:paraId="17C91D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0" w:type="pct"/>
            <w:vMerge w:val="continue"/>
            <w:noWrap w:val="0"/>
            <w:vAlign w:val="center"/>
          </w:tcPr>
          <w:p w14:paraId="271722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9" w:type="pct"/>
            <w:vMerge w:val="continue"/>
            <w:noWrap w:val="0"/>
            <w:vAlign w:val="center"/>
          </w:tcPr>
          <w:p w14:paraId="4DF51E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vMerge w:val="continue"/>
            <w:noWrap w:val="0"/>
            <w:vAlign w:val="center"/>
          </w:tcPr>
          <w:p w14:paraId="1582A2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52" w:type="pct"/>
            <w:noWrap w:val="0"/>
            <w:vAlign w:val="center"/>
          </w:tcPr>
          <w:p w14:paraId="6DCE8E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12" w:type="pct"/>
            <w:noWrap w:val="0"/>
            <w:vAlign w:val="center"/>
          </w:tcPr>
          <w:p w14:paraId="62A0A1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53" w:type="pct"/>
            <w:noWrap w:val="0"/>
            <w:vAlign w:val="center"/>
          </w:tcPr>
          <w:p w14:paraId="652F4A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村干部满意度</w:t>
            </w:r>
          </w:p>
        </w:tc>
        <w:tc>
          <w:tcPr>
            <w:tcW w:w="464" w:type="pct"/>
            <w:noWrap w:val="0"/>
            <w:vAlign w:val="center"/>
          </w:tcPr>
          <w:p w14:paraId="7CC773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&gt;=95%</w:t>
            </w:r>
          </w:p>
        </w:tc>
        <w:tc>
          <w:tcPr>
            <w:tcW w:w="1324" w:type="pct"/>
            <w:noWrap w:val="0"/>
            <w:vAlign w:val="center"/>
          </w:tcPr>
          <w:p w14:paraId="47ECEF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456" w:type="pct"/>
            <w:noWrap w:val="0"/>
            <w:vAlign w:val="center"/>
          </w:tcPr>
          <w:p w14:paraId="6BD66B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 w:type="pct"/>
            <w:noWrap w:val="0"/>
            <w:vAlign w:val="center"/>
          </w:tcPr>
          <w:p w14:paraId="1E377E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1E72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51" w:type="pct"/>
            <w:noWrap w:val="0"/>
            <w:vAlign w:val="center"/>
          </w:tcPr>
          <w:p w14:paraId="65BE8E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00" w:type="pct"/>
            <w:noWrap w:val="0"/>
            <w:vAlign w:val="center"/>
          </w:tcPr>
          <w:p w14:paraId="287248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49" w:type="pct"/>
            <w:noWrap w:val="0"/>
            <w:vAlign w:val="center"/>
          </w:tcPr>
          <w:p w14:paraId="0CFC2A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5" w:type="pct"/>
            <w:noWrap w:val="0"/>
            <w:vAlign w:val="center"/>
          </w:tcPr>
          <w:p w14:paraId="6273E0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52" w:type="pct"/>
            <w:noWrap w:val="0"/>
            <w:vAlign w:val="center"/>
          </w:tcPr>
          <w:p w14:paraId="53DD59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12" w:type="pct"/>
            <w:noWrap w:val="0"/>
            <w:vAlign w:val="center"/>
          </w:tcPr>
          <w:p w14:paraId="266417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53" w:type="pct"/>
            <w:noWrap w:val="0"/>
            <w:vAlign w:val="center"/>
          </w:tcPr>
          <w:p w14:paraId="52BCA8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464" w:type="pct"/>
            <w:noWrap w:val="0"/>
            <w:vAlign w:val="center"/>
          </w:tcPr>
          <w:p w14:paraId="45B0C5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324" w:type="pct"/>
            <w:noWrap w:val="0"/>
            <w:vAlign w:val="center"/>
          </w:tcPr>
          <w:p w14:paraId="460F705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456" w:type="pct"/>
            <w:noWrap w:val="0"/>
            <w:vAlign w:val="center"/>
          </w:tcPr>
          <w:p w14:paraId="229112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29" w:type="pct"/>
            <w:noWrap w:val="0"/>
            <w:vAlign w:val="center"/>
          </w:tcPr>
          <w:p w14:paraId="6A32D8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99.94</w:t>
            </w:r>
          </w:p>
        </w:tc>
      </w:tr>
    </w:tbl>
    <w:p w14:paraId="56222E85">
      <w:pPr>
        <w:pStyle w:val="10"/>
        <w:ind w:left="0" w:leftChars="0" w:firstLine="0" w:firstLineChars="0"/>
        <w:jc w:val="both"/>
        <w:rPr>
          <w:rFonts w:hint="eastAsia" w:ascii="宋体" w:hAnsi="宋体" w:eastAsia="宋体" w:cs="宋体"/>
          <w:color w:val="auto"/>
          <w:sz w:val="24"/>
          <w:szCs w:val="24"/>
          <w:lang w:eastAsia="zh-CN"/>
        </w:rPr>
      </w:pPr>
    </w:p>
    <w:p w14:paraId="2C954C6A">
      <w:pPr>
        <w:pStyle w:val="10"/>
        <w:ind w:left="0" w:leftChars="0" w:firstLine="0" w:firstLineChars="0"/>
        <w:jc w:val="both"/>
        <w:rPr>
          <w:rFonts w:hint="eastAsia" w:ascii="宋体" w:hAnsi="宋体" w:eastAsia="宋体" w:cs="宋体"/>
          <w:color w:val="auto"/>
          <w:sz w:val="24"/>
          <w:szCs w:val="24"/>
          <w:lang w:eastAsia="zh-CN"/>
        </w:rPr>
      </w:pPr>
    </w:p>
    <w:p w14:paraId="789897C4">
      <w:pPr>
        <w:pStyle w:val="10"/>
        <w:ind w:left="0" w:leftChars="0" w:firstLine="0" w:firstLineChars="0"/>
        <w:jc w:val="both"/>
        <w:rPr>
          <w:rFonts w:hint="eastAsia" w:ascii="宋体" w:hAnsi="宋体" w:eastAsia="宋体" w:cs="宋体"/>
          <w:color w:val="auto"/>
          <w:sz w:val="24"/>
          <w:szCs w:val="24"/>
          <w:lang w:eastAsia="zh-CN"/>
        </w:rPr>
      </w:pPr>
    </w:p>
    <w:p w14:paraId="668AE53A">
      <w:pPr>
        <w:pStyle w:val="10"/>
        <w:ind w:left="0" w:leftChars="0" w:firstLine="0" w:firstLineChars="0"/>
        <w:jc w:val="both"/>
        <w:rPr>
          <w:rFonts w:hint="eastAsia" w:ascii="宋体" w:hAnsi="宋体" w:eastAsia="宋体" w:cs="宋体"/>
          <w:color w:val="auto"/>
          <w:sz w:val="24"/>
          <w:szCs w:val="24"/>
          <w:lang w:eastAsia="zh-CN"/>
        </w:rPr>
      </w:pPr>
    </w:p>
    <w:p w14:paraId="6AA90AC3">
      <w:pPr>
        <w:pStyle w:val="10"/>
        <w:ind w:left="0" w:leftChars="0" w:firstLine="0" w:firstLineChars="0"/>
        <w:jc w:val="both"/>
        <w:rPr>
          <w:rFonts w:hint="eastAsia" w:ascii="宋体" w:hAnsi="宋体" w:eastAsia="宋体" w:cs="宋体"/>
          <w:color w:val="auto"/>
          <w:sz w:val="24"/>
          <w:szCs w:val="24"/>
          <w:lang w:eastAsia="zh-CN"/>
        </w:rPr>
      </w:pPr>
    </w:p>
    <w:p w14:paraId="526617D1">
      <w:pPr>
        <w:pStyle w:val="10"/>
        <w:ind w:left="0" w:leftChars="0" w:firstLine="0" w:firstLineChars="0"/>
        <w:jc w:val="both"/>
        <w:rPr>
          <w:rFonts w:hint="eastAsia" w:ascii="宋体" w:hAnsi="宋体" w:eastAsia="宋体" w:cs="宋体"/>
          <w:color w:val="auto"/>
          <w:sz w:val="24"/>
          <w:szCs w:val="24"/>
          <w:lang w:eastAsia="zh-CN"/>
        </w:rPr>
      </w:pPr>
    </w:p>
    <w:p w14:paraId="1D343E54">
      <w:pPr>
        <w:pStyle w:val="10"/>
        <w:ind w:left="0" w:leftChars="0" w:firstLine="0" w:firstLineChars="0"/>
        <w:jc w:val="both"/>
        <w:rPr>
          <w:rFonts w:hint="eastAsia" w:ascii="宋体" w:hAnsi="宋体" w:eastAsia="宋体" w:cs="宋体"/>
          <w:color w:val="auto"/>
          <w:sz w:val="24"/>
          <w:szCs w:val="24"/>
          <w:lang w:eastAsia="zh-CN"/>
        </w:rPr>
      </w:pPr>
    </w:p>
    <w:p w14:paraId="4F5A1668">
      <w:pPr>
        <w:pStyle w:val="10"/>
        <w:ind w:left="0" w:leftChars="0" w:firstLine="0" w:firstLineChars="0"/>
        <w:jc w:val="both"/>
        <w:rPr>
          <w:rFonts w:hint="eastAsia" w:ascii="宋体" w:hAnsi="宋体" w:eastAsia="宋体" w:cs="宋体"/>
          <w:color w:val="auto"/>
          <w:sz w:val="24"/>
          <w:szCs w:val="24"/>
          <w:lang w:eastAsia="zh-CN"/>
        </w:rPr>
      </w:pPr>
    </w:p>
    <w:p w14:paraId="46658F01">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01"/>
        <w:gridCol w:w="2454"/>
        <w:gridCol w:w="2283"/>
        <w:gridCol w:w="2283"/>
        <w:gridCol w:w="2455"/>
        <w:gridCol w:w="2292"/>
      </w:tblGrid>
      <w:tr w14:paraId="32845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5000" w:type="pct"/>
            <w:gridSpan w:val="6"/>
            <w:tcBorders>
              <w:top w:val="nil"/>
              <w:left w:val="nil"/>
              <w:bottom w:val="nil"/>
              <w:right w:val="nil"/>
            </w:tcBorders>
            <w:noWrap/>
            <w:vAlign w:val="center"/>
          </w:tcPr>
          <w:p w14:paraId="2284E71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和田地区洛浦县2024年村级运转经费项目综合得分表</w:t>
            </w:r>
          </w:p>
        </w:tc>
      </w:tr>
      <w:tr w14:paraId="3BEC3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599" w:type="pct"/>
            <w:tcBorders>
              <w:top w:val="single" w:color="auto" w:sz="8" w:space="0"/>
              <w:left w:val="single" w:color="auto" w:sz="8" w:space="0"/>
              <w:bottom w:val="single" w:color="auto" w:sz="8" w:space="0"/>
              <w:right w:val="single" w:color="auto" w:sz="8" w:space="0"/>
            </w:tcBorders>
            <w:shd w:val="clear" w:color="auto" w:fill="FFFFFF"/>
            <w:noWrap w:val="0"/>
            <w:vAlign w:val="center"/>
          </w:tcPr>
          <w:p w14:paraId="0F306234">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w:t>
            </w:r>
          </w:p>
        </w:tc>
        <w:tc>
          <w:tcPr>
            <w:tcW w:w="918" w:type="pct"/>
            <w:tcBorders>
              <w:top w:val="single" w:color="auto" w:sz="8" w:space="0"/>
              <w:left w:val="nil"/>
              <w:bottom w:val="single" w:color="auto" w:sz="8" w:space="0"/>
              <w:right w:val="single" w:color="auto" w:sz="8" w:space="0"/>
            </w:tcBorders>
            <w:shd w:val="clear" w:color="auto" w:fill="FFFFFF"/>
            <w:noWrap w:val="0"/>
            <w:vAlign w:val="center"/>
          </w:tcPr>
          <w:p w14:paraId="75BD549F">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项目决策</w:t>
            </w:r>
          </w:p>
        </w:tc>
        <w:tc>
          <w:tcPr>
            <w:tcW w:w="854" w:type="pct"/>
            <w:tcBorders>
              <w:top w:val="single" w:color="auto" w:sz="8" w:space="0"/>
              <w:left w:val="nil"/>
              <w:bottom w:val="single" w:color="auto" w:sz="8" w:space="0"/>
              <w:right w:val="single" w:color="auto" w:sz="8" w:space="0"/>
            </w:tcBorders>
            <w:shd w:val="clear" w:color="auto" w:fill="FFFFFF"/>
            <w:noWrap w:val="0"/>
            <w:vAlign w:val="center"/>
          </w:tcPr>
          <w:p w14:paraId="4E752580">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项目过程</w:t>
            </w:r>
          </w:p>
        </w:tc>
        <w:tc>
          <w:tcPr>
            <w:tcW w:w="854" w:type="pct"/>
            <w:tcBorders>
              <w:top w:val="single" w:color="auto" w:sz="8" w:space="0"/>
              <w:left w:val="nil"/>
              <w:bottom w:val="single" w:color="auto" w:sz="8" w:space="0"/>
              <w:right w:val="single" w:color="auto" w:sz="8" w:space="0"/>
            </w:tcBorders>
            <w:shd w:val="clear" w:color="auto" w:fill="FFFFFF"/>
            <w:noWrap w:val="0"/>
            <w:vAlign w:val="center"/>
          </w:tcPr>
          <w:p w14:paraId="321AD93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项目产出</w:t>
            </w:r>
          </w:p>
        </w:tc>
        <w:tc>
          <w:tcPr>
            <w:tcW w:w="918" w:type="pct"/>
            <w:tcBorders>
              <w:top w:val="single" w:color="auto" w:sz="8" w:space="0"/>
              <w:left w:val="nil"/>
              <w:bottom w:val="single" w:color="auto" w:sz="8" w:space="0"/>
              <w:right w:val="single" w:color="auto" w:sz="8" w:space="0"/>
            </w:tcBorders>
            <w:shd w:val="clear" w:color="auto" w:fill="FFFFFF"/>
            <w:noWrap w:val="0"/>
            <w:vAlign w:val="center"/>
          </w:tcPr>
          <w:p w14:paraId="44E473B7">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项目效益</w:t>
            </w:r>
          </w:p>
        </w:tc>
        <w:tc>
          <w:tcPr>
            <w:tcW w:w="855" w:type="pct"/>
            <w:tcBorders>
              <w:top w:val="single" w:color="auto" w:sz="8" w:space="0"/>
              <w:left w:val="nil"/>
              <w:bottom w:val="single" w:color="auto" w:sz="8" w:space="0"/>
              <w:right w:val="single" w:color="auto" w:sz="8" w:space="0"/>
            </w:tcBorders>
            <w:shd w:val="clear" w:color="auto" w:fill="FFFFFF"/>
            <w:noWrap w:val="0"/>
            <w:vAlign w:val="center"/>
          </w:tcPr>
          <w:p w14:paraId="0F214724">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合计</w:t>
            </w:r>
          </w:p>
        </w:tc>
      </w:tr>
      <w:tr w14:paraId="57223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599" w:type="pct"/>
            <w:tcBorders>
              <w:top w:val="nil"/>
              <w:left w:val="single" w:color="auto" w:sz="8" w:space="0"/>
              <w:bottom w:val="single" w:color="auto" w:sz="8" w:space="0"/>
              <w:right w:val="single" w:color="auto" w:sz="8" w:space="0"/>
            </w:tcBorders>
            <w:shd w:val="clear" w:color="auto" w:fill="FFFFFF"/>
            <w:noWrap w:val="0"/>
            <w:vAlign w:val="center"/>
          </w:tcPr>
          <w:p w14:paraId="4BDA8671">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权重</w:t>
            </w:r>
          </w:p>
        </w:tc>
        <w:tc>
          <w:tcPr>
            <w:tcW w:w="918" w:type="pct"/>
            <w:tcBorders>
              <w:top w:val="nil"/>
              <w:left w:val="nil"/>
              <w:bottom w:val="single" w:color="auto" w:sz="8" w:space="0"/>
              <w:right w:val="single" w:color="auto" w:sz="8" w:space="0"/>
            </w:tcBorders>
            <w:noWrap w:val="0"/>
            <w:vAlign w:val="center"/>
          </w:tcPr>
          <w:p w14:paraId="203758C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54" w:type="pct"/>
            <w:tcBorders>
              <w:top w:val="nil"/>
              <w:left w:val="nil"/>
              <w:bottom w:val="single" w:color="auto" w:sz="8" w:space="0"/>
              <w:right w:val="single" w:color="auto" w:sz="8" w:space="0"/>
            </w:tcBorders>
            <w:noWrap w:val="0"/>
            <w:vAlign w:val="center"/>
          </w:tcPr>
          <w:p w14:paraId="3E3D17E4">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54" w:type="pct"/>
            <w:tcBorders>
              <w:top w:val="nil"/>
              <w:left w:val="nil"/>
              <w:bottom w:val="single" w:color="auto" w:sz="8" w:space="0"/>
              <w:right w:val="single" w:color="auto" w:sz="8" w:space="0"/>
            </w:tcBorders>
            <w:noWrap w:val="0"/>
            <w:vAlign w:val="center"/>
          </w:tcPr>
          <w:p w14:paraId="42419D0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918" w:type="pct"/>
            <w:tcBorders>
              <w:top w:val="nil"/>
              <w:left w:val="nil"/>
              <w:bottom w:val="single" w:color="auto" w:sz="8" w:space="0"/>
              <w:right w:val="single" w:color="auto" w:sz="8" w:space="0"/>
            </w:tcBorders>
            <w:noWrap w:val="0"/>
            <w:vAlign w:val="center"/>
          </w:tcPr>
          <w:p w14:paraId="5A9A4BA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55" w:type="pct"/>
            <w:tcBorders>
              <w:top w:val="nil"/>
              <w:left w:val="nil"/>
              <w:bottom w:val="single" w:color="auto" w:sz="8" w:space="0"/>
              <w:right w:val="single" w:color="auto" w:sz="8" w:space="0"/>
            </w:tcBorders>
            <w:noWrap w:val="0"/>
            <w:vAlign w:val="center"/>
          </w:tcPr>
          <w:p w14:paraId="4636559C">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r w14:paraId="09276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599" w:type="pct"/>
            <w:tcBorders>
              <w:top w:val="nil"/>
              <w:left w:val="single" w:color="auto" w:sz="8" w:space="0"/>
              <w:bottom w:val="single" w:color="auto" w:sz="8" w:space="0"/>
              <w:right w:val="single" w:color="auto" w:sz="8" w:space="0"/>
            </w:tcBorders>
            <w:shd w:val="clear" w:color="auto" w:fill="FFFFFF"/>
            <w:noWrap w:val="0"/>
            <w:vAlign w:val="center"/>
          </w:tcPr>
          <w:p w14:paraId="74ED5019">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c>
          <w:tcPr>
            <w:tcW w:w="918" w:type="pct"/>
            <w:tcBorders>
              <w:top w:val="nil"/>
              <w:left w:val="nil"/>
              <w:bottom w:val="single" w:color="auto" w:sz="8" w:space="0"/>
              <w:right w:val="single" w:color="auto" w:sz="8" w:space="0"/>
            </w:tcBorders>
            <w:shd w:val="clear" w:color="auto" w:fill="auto"/>
            <w:noWrap w:val="0"/>
            <w:vAlign w:val="center"/>
          </w:tcPr>
          <w:p w14:paraId="7ECDF6EE">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54" w:type="pct"/>
            <w:tcBorders>
              <w:top w:val="nil"/>
              <w:left w:val="nil"/>
              <w:bottom w:val="single" w:color="auto" w:sz="8" w:space="0"/>
              <w:right w:val="single" w:color="auto" w:sz="8" w:space="0"/>
            </w:tcBorders>
            <w:shd w:val="clear" w:color="auto" w:fill="auto"/>
            <w:noWrap w:val="0"/>
            <w:vAlign w:val="center"/>
          </w:tcPr>
          <w:p w14:paraId="1AC2177B">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19.98 </w:t>
            </w:r>
          </w:p>
        </w:tc>
        <w:tc>
          <w:tcPr>
            <w:tcW w:w="854" w:type="pct"/>
            <w:tcBorders>
              <w:top w:val="nil"/>
              <w:left w:val="nil"/>
              <w:bottom w:val="single" w:color="auto" w:sz="8" w:space="0"/>
              <w:right w:val="single" w:color="auto" w:sz="8" w:space="0"/>
            </w:tcBorders>
            <w:shd w:val="clear" w:color="auto" w:fill="auto"/>
            <w:noWrap w:val="0"/>
            <w:vAlign w:val="center"/>
          </w:tcPr>
          <w:p w14:paraId="3BAE6D9D">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39.96 </w:t>
            </w:r>
          </w:p>
        </w:tc>
        <w:tc>
          <w:tcPr>
            <w:tcW w:w="918" w:type="pct"/>
            <w:tcBorders>
              <w:top w:val="nil"/>
              <w:left w:val="nil"/>
              <w:bottom w:val="single" w:color="auto" w:sz="8" w:space="0"/>
              <w:right w:val="single" w:color="auto" w:sz="8" w:space="0"/>
            </w:tcBorders>
            <w:shd w:val="clear" w:color="auto" w:fill="FFFFFF"/>
            <w:noWrap w:val="0"/>
            <w:vAlign w:val="center"/>
          </w:tcPr>
          <w:p w14:paraId="71A1DD2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855" w:type="pct"/>
            <w:tcBorders>
              <w:top w:val="nil"/>
              <w:left w:val="nil"/>
              <w:bottom w:val="single" w:color="auto" w:sz="8" w:space="0"/>
              <w:right w:val="single" w:color="auto" w:sz="8" w:space="0"/>
            </w:tcBorders>
            <w:noWrap w:val="0"/>
            <w:vAlign w:val="center"/>
          </w:tcPr>
          <w:p w14:paraId="3002B295">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99.94 </w:t>
            </w:r>
          </w:p>
        </w:tc>
      </w:tr>
      <w:tr w14:paraId="7163E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599" w:type="pct"/>
            <w:tcBorders>
              <w:top w:val="nil"/>
              <w:left w:val="single" w:color="auto" w:sz="8" w:space="0"/>
              <w:bottom w:val="single" w:color="auto" w:sz="8" w:space="0"/>
              <w:right w:val="single" w:color="auto" w:sz="8" w:space="0"/>
            </w:tcBorders>
            <w:shd w:val="clear" w:color="auto" w:fill="FFFFFF"/>
            <w:noWrap w:val="0"/>
            <w:vAlign w:val="center"/>
          </w:tcPr>
          <w:p w14:paraId="476CD2E7">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得分率</w:t>
            </w:r>
          </w:p>
        </w:tc>
        <w:tc>
          <w:tcPr>
            <w:tcW w:w="918" w:type="pct"/>
            <w:tcBorders>
              <w:top w:val="nil"/>
              <w:left w:val="nil"/>
              <w:bottom w:val="single" w:color="auto" w:sz="8" w:space="0"/>
              <w:right w:val="single" w:color="auto" w:sz="8" w:space="0"/>
            </w:tcBorders>
            <w:noWrap w:val="0"/>
            <w:vAlign w:val="center"/>
          </w:tcPr>
          <w:p w14:paraId="1AAF4452">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854" w:type="pct"/>
            <w:tcBorders>
              <w:top w:val="nil"/>
              <w:left w:val="nil"/>
              <w:bottom w:val="single" w:color="auto" w:sz="8" w:space="0"/>
              <w:right w:val="single" w:color="auto" w:sz="8" w:space="0"/>
            </w:tcBorders>
            <w:noWrap w:val="0"/>
            <w:vAlign w:val="center"/>
          </w:tcPr>
          <w:p w14:paraId="701CD233">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99.92%</w:t>
            </w:r>
          </w:p>
        </w:tc>
        <w:tc>
          <w:tcPr>
            <w:tcW w:w="854" w:type="pct"/>
            <w:tcBorders>
              <w:top w:val="nil"/>
              <w:left w:val="nil"/>
              <w:bottom w:val="single" w:color="auto" w:sz="8" w:space="0"/>
              <w:right w:val="single" w:color="auto" w:sz="8" w:space="0"/>
            </w:tcBorders>
            <w:noWrap w:val="0"/>
            <w:vAlign w:val="center"/>
          </w:tcPr>
          <w:p w14:paraId="6CAC1B06">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99.89%</w:t>
            </w:r>
          </w:p>
        </w:tc>
        <w:tc>
          <w:tcPr>
            <w:tcW w:w="918" w:type="pct"/>
            <w:tcBorders>
              <w:top w:val="nil"/>
              <w:left w:val="nil"/>
              <w:bottom w:val="single" w:color="auto" w:sz="8" w:space="0"/>
              <w:right w:val="single" w:color="auto" w:sz="8" w:space="0"/>
            </w:tcBorders>
            <w:noWrap w:val="0"/>
            <w:vAlign w:val="center"/>
          </w:tcPr>
          <w:p w14:paraId="3591BC35">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100.00%</w:t>
            </w:r>
          </w:p>
        </w:tc>
        <w:tc>
          <w:tcPr>
            <w:tcW w:w="855" w:type="pct"/>
            <w:tcBorders>
              <w:top w:val="nil"/>
              <w:left w:val="nil"/>
              <w:bottom w:val="single" w:color="auto" w:sz="8" w:space="0"/>
              <w:right w:val="single" w:color="auto" w:sz="8" w:space="0"/>
            </w:tcBorders>
            <w:noWrap w:val="0"/>
            <w:vAlign w:val="center"/>
          </w:tcPr>
          <w:p w14:paraId="62C8CFAA">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99.94%</w:t>
            </w:r>
          </w:p>
        </w:tc>
      </w:tr>
    </w:tbl>
    <w:p w14:paraId="7E1B7139">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fmt="decimal"/>
          <w:cols w:space="720" w:num="1"/>
          <w:docGrid w:type="linesAndChars" w:linePitch="386" w:charSpace="0"/>
        </w:sectPr>
      </w:pPr>
    </w:p>
    <w:p w14:paraId="01CCF62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3C5A653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村组织运转经费项目</w:t>
      </w:r>
      <w:r>
        <w:rPr>
          <w:rFonts w:hint="eastAsia" w:ascii="宋体" w:hAnsi="宋体" w:eastAsia="宋体" w:cs="宋体"/>
          <w:b/>
          <w:bCs/>
          <w:color w:val="auto"/>
          <w:sz w:val="21"/>
          <w:szCs w:val="21"/>
          <w:highlight w:val="none"/>
        </w:rPr>
        <w:t>调查问卷</w:t>
      </w:r>
      <w:r>
        <w:rPr>
          <w:rFonts w:hint="eastAsia" w:ascii="宋体" w:hAnsi="宋体" w:eastAsia="宋体" w:cs="宋体"/>
          <w:b/>
          <w:bCs/>
          <w:color w:val="auto"/>
          <w:sz w:val="21"/>
          <w:szCs w:val="21"/>
          <w:highlight w:val="none"/>
          <w:lang w:val="en-US" w:eastAsia="zh-CN"/>
        </w:rPr>
        <w:t>分析报告</w:t>
      </w:r>
    </w:p>
    <w:p w14:paraId="652CF95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为客观评价该项目的社会效果，了解</w:t>
      </w:r>
      <w:r>
        <w:rPr>
          <w:rFonts w:hint="eastAsia" w:ascii="宋体" w:hAnsi="宋体" w:eastAsia="宋体" w:cs="宋体"/>
          <w:color w:val="auto"/>
          <w:sz w:val="21"/>
          <w:szCs w:val="21"/>
          <w:highlight w:val="none"/>
          <w:lang w:val="en-US" w:eastAsia="zh-CN"/>
        </w:rPr>
        <w:t>项目受益群体</w:t>
      </w:r>
      <w:r>
        <w:rPr>
          <w:rFonts w:hint="eastAsia" w:ascii="宋体" w:hAnsi="宋体" w:eastAsia="宋体" w:cs="宋体"/>
          <w:color w:val="auto"/>
          <w:sz w:val="21"/>
          <w:szCs w:val="21"/>
          <w:highlight w:val="none"/>
        </w:rPr>
        <w:t>对项目</w:t>
      </w:r>
      <w:r>
        <w:rPr>
          <w:rFonts w:hint="eastAsia" w:ascii="宋体" w:hAnsi="宋体" w:eastAsia="宋体" w:cs="宋体"/>
          <w:color w:val="auto"/>
          <w:sz w:val="21"/>
          <w:szCs w:val="21"/>
          <w:highlight w:val="none"/>
          <w:lang w:val="en-US" w:eastAsia="zh-CN"/>
        </w:rPr>
        <w:t>实施后</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真实</w:t>
      </w:r>
      <w:r>
        <w:rPr>
          <w:rFonts w:hint="eastAsia" w:ascii="宋体" w:hAnsi="宋体" w:eastAsia="宋体" w:cs="宋体"/>
          <w:color w:val="auto"/>
          <w:sz w:val="21"/>
          <w:szCs w:val="21"/>
          <w:highlight w:val="none"/>
        </w:rPr>
        <w:t>评价情况，对本项目</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满意度问卷调查。问卷调查工作情况如下。问卷调查工作情况如下：</w:t>
      </w:r>
    </w:p>
    <w:p w14:paraId="32A7C9C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该问卷调查从202</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日开始至202</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lang w:val="en-US" w:eastAsia="zh-CN"/>
        </w:rPr>
        <w:t>21</w:t>
      </w:r>
      <w:r>
        <w:rPr>
          <w:rFonts w:hint="eastAsia" w:ascii="宋体" w:hAnsi="宋体" w:eastAsia="宋体" w:cs="宋体"/>
          <w:b/>
          <w:bCs/>
          <w:color w:val="auto"/>
          <w:sz w:val="21"/>
          <w:szCs w:val="21"/>
          <w:highlight w:val="none"/>
        </w:rPr>
        <w:t>日结束，调查问卷共设置</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道题目。</w:t>
      </w:r>
    </w:p>
    <w:p w14:paraId="252F2C5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调查</w:t>
      </w:r>
      <w:r>
        <w:rPr>
          <w:rFonts w:hint="eastAsia" w:ascii="宋体" w:hAnsi="宋体" w:eastAsia="宋体" w:cs="宋体"/>
          <w:b/>
          <w:bCs/>
          <w:color w:val="auto"/>
          <w:sz w:val="21"/>
          <w:szCs w:val="21"/>
          <w:highlight w:val="none"/>
        </w:rPr>
        <w:t>对象</w:t>
      </w:r>
    </w:p>
    <w:p w14:paraId="40C8D06F">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本次调查的受益对象为村民。</w:t>
      </w:r>
    </w:p>
    <w:p w14:paraId="4D0A282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i w:val="0"/>
          <w:iCs w:val="0"/>
          <w:color w:val="auto"/>
          <w:sz w:val="21"/>
          <w:szCs w:val="21"/>
          <w:highlight w:val="none"/>
        </w:rPr>
        <w:t>2.</w:t>
      </w:r>
      <w:r>
        <w:rPr>
          <w:rFonts w:hint="eastAsia" w:ascii="宋体" w:hAnsi="宋体" w:eastAsia="宋体" w:cs="宋体"/>
          <w:b/>
          <w:bCs/>
          <w:i w:val="0"/>
          <w:iCs w:val="0"/>
          <w:color w:val="auto"/>
          <w:sz w:val="21"/>
          <w:szCs w:val="21"/>
          <w:highlight w:val="none"/>
          <w:lang w:eastAsia="zh-CN"/>
        </w:rPr>
        <w:t>调查</w:t>
      </w:r>
      <w:r>
        <w:rPr>
          <w:rFonts w:hint="eastAsia" w:ascii="宋体" w:hAnsi="宋体" w:eastAsia="宋体" w:cs="宋体"/>
          <w:b/>
          <w:bCs/>
          <w:i w:val="0"/>
          <w:iCs w:val="0"/>
          <w:color w:val="auto"/>
          <w:sz w:val="21"/>
          <w:szCs w:val="21"/>
          <w:highlight w:val="none"/>
        </w:rPr>
        <w:t>内容</w:t>
      </w:r>
    </w:p>
    <w:p w14:paraId="1EEAA7A4">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1.您对村组织运转经费项目对本村使用于化解债务效果是否满意?</w:t>
      </w:r>
    </w:p>
    <w:p w14:paraId="75E00E00">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非常满意      比较满意    一般     不满意 </w:t>
      </w:r>
    </w:p>
    <w:p w14:paraId="22DDFCC8">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2.您对村组织运转经费项目资金对本村开展各项工作带来的效益是否满意？</w:t>
      </w:r>
    </w:p>
    <w:p w14:paraId="7884AE27">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非常满意      比较满意    一般     不满意 </w:t>
      </w:r>
    </w:p>
    <w:p w14:paraId="3A59BB48">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3.总的来说，你对村组织运转经费项目完成后对社会带来的效益是否满意？</w:t>
      </w:r>
    </w:p>
    <w:p w14:paraId="7E5323D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 xml:space="preserve">非常满意      比较满意    一般     不满意 </w:t>
      </w:r>
    </w:p>
    <w:p w14:paraId="4823D25D">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调查</w:t>
      </w:r>
      <w:r>
        <w:rPr>
          <w:rFonts w:hint="eastAsia" w:ascii="宋体" w:hAnsi="宋体" w:eastAsia="宋体" w:cs="宋体"/>
          <w:b/>
          <w:bCs/>
          <w:color w:val="auto"/>
          <w:sz w:val="21"/>
          <w:szCs w:val="21"/>
          <w:highlight w:val="none"/>
        </w:rPr>
        <w:t>方法</w:t>
      </w:r>
    </w:p>
    <w:p w14:paraId="04603F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问卷调查采取</w:t>
      </w:r>
      <w:r>
        <w:rPr>
          <w:rFonts w:hint="eastAsia" w:ascii="宋体" w:hAnsi="宋体" w:eastAsia="宋体" w:cs="宋体"/>
          <w:color w:val="auto"/>
          <w:sz w:val="21"/>
          <w:szCs w:val="21"/>
          <w:highlight w:val="none"/>
          <w:lang w:val="en-US" w:eastAsia="zh-CN"/>
        </w:rPr>
        <w:t>分层</w:t>
      </w:r>
      <w:r>
        <w:rPr>
          <w:rFonts w:hint="eastAsia" w:ascii="宋体" w:hAnsi="宋体" w:eastAsia="宋体" w:cs="宋体"/>
          <w:color w:val="auto"/>
          <w:sz w:val="21"/>
          <w:szCs w:val="21"/>
          <w:highlight w:val="none"/>
        </w:rPr>
        <w:t>抽样和</w:t>
      </w:r>
      <w:r>
        <w:rPr>
          <w:rFonts w:hint="eastAsia" w:ascii="宋体" w:hAnsi="宋体" w:eastAsia="宋体" w:cs="宋体"/>
          <w:color w:val="auto"/>
          <w:sz w:val="21"/>
          <w:szCs w:val="21"/>
          <w:highlight w:val="none"/>
          <w:lang w:val="en-US" w:eastAsia="zh-CN"/>
        </w:rPr>
        <w:t>随机抽样相结合</w:t>
      </w:r>
      <w:r>
        <w:rPr>
          <w:rFonts w:hint="eastAsia" w:ascii="宋体" w:hAnsi="宋体" w:eastAsia="宋体" w:cs="宋体"/>
          <w:color w:val="auto"/>
          <w:sz w:val="21"/>
          <w:szCs w:val="21"/>
          <w:highlight w:val="none"/>
        </w:rPr>
        <w:t>的方式进行。在全面</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开展之前会先进行论证，依据论证结果对问卷和抽样方案再进行一次修改和调整</w:t>
      </w:r>
      <w:r>
        <w:rPr>
          <w:rFonts w:hint="eastAsia" w:ascii="宋体" w:hAnsi="宋体" w:eastAsia="宋体" w:cs="宋体"/>
          <w:color w:val="auto"/>
          <w:sz w:val="21"/>
          <w:szCs w:val="21"/>
          <w:highlight w:val="none"/>
          <w:lang w:val="en-US" w:eastAsia="zh-CN"/>
        </w:rPr>
        <w:t>之后再付诸实施</w:t>
      </w:r>
      <w:r>
        <w:rPr>
          <w:rFonts w:hint="eastAsia" w:ascii="宋体" w:hAnsi="宋体" w:eastAsia="宋体" w:cs="宋体"/>
          <w:color w:val="auto"/>
          <w:sz w:val="21"/>
          <w:szCs w:val="21"/>
          <w:highlight w:val="none"/>
        </w:rPr>
        <w:t>。</w:t>
      </w:r>
    </w:p>
    <w:p w14:paraId="48040113">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抽样方式</w:t>
      </w:r>
    </w:p>
    <w:p w14:paraId="1D589D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为确保问卷</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的全面性和代表性，本次</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问卷调查采取</w:t>
      </w:r>
      <w:r>
        <w:rPr>
          <w:rFonts w:hint="eastAsia" w:ascii="宋体" w:hAnsi="宋体" w:eastAsia="宋体" w:cs="宋体"/>
          <w:color w:val="auto"/>
          <w:sz w:val="21"/>
          <w:szCs w:val="21"/>
          <w:highlight w:val="none"/>
          <w:lang w:val="en-US" w:eastAsia="zh-CN"/>
        </w:rPr>
        <w:t>随机</w:t>
      </w:r>
      <w:r>
        <w:rPr>
          <w:rFonts w:hint="eastAsia" w:ascii="宋体" w:hAnsi="宋体" w:eastAsia="宋体" w:cs="宋体"/>
          <w:color w:val="auto"/>
          <w:sz w:val="21"/>
          <w:szCs w:val="21"/>
          <w:highlight w:val="none"/>
        </w:rPr>
        <w:t>抽样和</w:t>
      </w:r>
      <w:r>
        <w:rPr>
          <w:rFonts w:hint="eastAsia" w:ascii="宋体" w:hAnsi="宋体" w:eastAsia="宋体" w:cs="宋体"/>
          <w:color w:val="auto"/>
          <w:sz w:val="21"/>
          <w:szCs w:val="21"/>
          <w:highlight w:val="none"/>
          <w:lang w:val="en-US" w:eastAsia="zh-CN"/>
        </w:rPr>
        <w:t>分层抽样相结合</w:t>
      </w:r>
      <w:r>
        <w:rPr>
          <w:rFonts w:hint="eastAsia" w:ascii="宋体" w:hAnsi="宋体" w:eastAsia="宋体" w:cs="宋体"/>
          <w:color w:val="auto"/>
          <w:sz w:val="21"/>
          <w:szCs w:val="21"/>
          <w:highlight w:val="none"/>
        </w:rPr>
        <w:t>方式进行。</w:t>
      </w:r>
    </w:p>
    <w:p w14:paraId="23BBCAA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5.问卷的发放和回收</w:t>
      </w:r>
    </w:p>
    <w:p w14:paraId="3DD8199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6F77EAF6">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6.问卷调查分析结果</w:t>
      </w:r>
    </w:p>
    <w:p w14:paraId="370B4B2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本次调查过程中，评价小组实际发放问卷30份，回收问卷30份，问卷回收率为100.00%，有效问卷30份，有效回收率100.00%，本次调查的整体情况如下：</w:t>
      </w:r>
    </w:p>
    <w:p w14:paraId="6D01248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第一个问题：该项统计有效问卷数量30份，选择非常满意的人数为29人。选择比较满意的人数为1人，选择一般的人数0人，选择不满意的人数0人，选择非常不满意的人数0人。</w:t>
      </w:r>
    </w:p>
    <w:p w14:paraId="063BB9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第二个问题：该项统计有效问卷数量30份，选择非常满意的人数为27人。选择比较满意的人数为3人，选择一般的人数0人，选择不满意的人数0人，选择非常不满意的人数0人。</w:t>
      </w:r>
    </w:p>
    <w:p w14:paraId="1A3D39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778207C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二、调查结果统计</w:t>
      </w:r>
    </w:p>
    <w:p w14:paraId="3E13436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村组织运转经费项目</w:t>
      </w:r>
      <w:r>
        <w:rPr>
          <w:rFonts w:hint="eastAsia" w:ascii="宋体" w:hAnsi="宋体" w:eastAsia="宋体" w:cs="宋体"/>
          <w:color w:val="auto"/>
          <w:sz w:val="21"/>
          <w:szCs w:val="21"/>
          <w:highlight w:val="none"/>
          <w:lang w:val="en-US" w:eastAsia="zh-CN"/>
        </w:rPr>
        <w:t>针对受益人员发放30份调查问卷，最终统计受益人群满意度为100%。</w:t>
      </w:r>
    </w:p>
    <w:p w14:paraId="025952C2">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p>
    <w:p w14:paraId="7592E1FE">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p>
    <w:p w14:paraId="5710F669">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p>
    <w:p w14:paraId="775DBF6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洛浦县纳瓦乡人民政府</w:t>
      </w:r>
    </w:p>
    <w:p w14:paraId="5778CE72">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center"/>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highlight w:val="none"/>
          <w:lang w:val="en-US" w:eastAsia="zh-CN"/>
        </w:rPr>
        <w:t xml:space="preserve">                                                          2025年3月18日</w:t>
      </w: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D9284">
    <w:pPr>
      <w:pStyle w:val="16"/>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3C555B28">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8510E">
    <w:pPr>
      <w:pStyle w:val="16"/>
      <w:ind w:firstLine="36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aspectratio="f"/>
          <v:textbox inset="0mm,0mm,0mm,0mm" style="mso-fit-shape-to-text:t;">
            <w:txbxContent>
              <w:p w14:paraId="61D556AA">
                <w:pPr>
                  <w:pStyle w:val="1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7A1BA">
    <w:pPr>
      <w:pStyle w:val="17"/>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286A23F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Plain Text"/>
    <w:basedOn w:val="1"/>
    <w:qFormat/>
    <w:uiPriority w:val="99"/>
    <w:rPr>
      <w:rFonts w:ascii="宋体" w:hAnsi="Courier New" w:cs="Courier New"/>
      <w:szCs w:val="21"/>
    </w:rPr>
  </w:style>
  <w:style w:type="paragraph" w:styleId="14">
    <w:name w:val="toc 8"/>
    <w:basedOn w:val="1"/>
    <w:next w:val="1"/>
    <w:unhideWhenUsed/>
    <w:uiPriority w:val="39"/>
    <w:pPr>
      <w:ind w:left="1960"/>
      <w:jc w:val="left"/>
    </w:pPr>
    <w:rPr>
      <w:rFonts w:ascii="Calibri" w:hAnsi="Calibri" w:cs="Calibri"/>
      <w:sz w:val="18"/>
      <w:szCs w:val="18"/>
    </w:rPr>
  </w:style>
  <w:style w:type="paragraph" w:styleId="15">
    <w:name w:val="Balloon Text"/>
    <w:basedOn w:val="1"/>
    <w:link w:val="39"/>
    <w:unhideWhenUsed/>
    <w:uiPriority w:val="99"/>
    <w:rPr>
      <w:rFonts w:cs="Times New Roman"/>
      <w:kern w:val="0"/>
      <w:sz w:val="18"/>
      <w:szCs w:val="18"/>
    </w:rPr>
  </w:style>
  <w:style w:type="paragraph" w:styleId="16">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7">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8">
    <w:name w:val="toc 1"/>
    <w:basedOn w:val="1"/>
    <w:next w:val="1"/>
    <w:unhideWhenUsed/>
    <w:uiPriority w:val="39"/>
    <w:pPr>
      <w:spacing w:before="120" w:after="120"/>
      <w:jc w:val="left"/>
    </w:pPr>
    <w:rPr>
      <w:rFonts w:ascii="Calibri" w:hAnsi="Calibri" w:cs="Calibri"/>
      <w:b/>
      <w:bCs/>
      <w:caps/>
      <w:sz w:val="20"/>
      <w:szCs w:val="20"/>
    </w:rPr>
  </w:style>
  <w:style w:type="paragraph" w:styleId="19">
    <w:name w:val="toc 4"/>
    <w:basedOn w:val="1"/>
    <w:next w:val="1"/>
    <w:unhideWhenUsed/>
    <w:uiPriority w:val="39"/>
    <w:pPr>
      <w:ind w:left="840"/>
      <w:jc w:val="left"/>
    </w:pPr>
    <w:rPr>
      <w:rFonts w:ascii="Calibri" w:hAnsi="Calibri" w:cs="Calibri"/>
      <w:sz w:val="18"/>
      <w:szCs w:val="18"/>
    </w:r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5"/>
    <w:semiHidden/>
    <w:uiPriority w:val="99"/>
    <w:rPr>
      <w:rFonts w:ascii="Calibri" w:hAnsi="Calibri" w:eastAsia="仿宋_GB2312" w:cs="黑体"/>
      <w:sz w:val="18"/>
      <w:szCs w:val="18"/>
    </w:rPr>
  </w:style>
  <w:style w:type="character" w:customStyle="1" w:styleId="40">
    <w:name w:val="页脚 Char"/>
    <w:link w:val="16"/>
    <w:uiPriority w:val="99"/>
    <w:rPr>
      <w:rFonts w:ascii="Calibri" w:hAnsi="Calibri" w:eastAsia="仿宋_GB2312" w:cs="黑体"/>
      <w:sz w:val="18"/>
      <w:szCs w:val="18"/>
    </w:rPr>
  </w:style>
  <w:style w:type="character" w:customStyle="1" w:styleId="41">
    <w:name w:val="页眉 Char"/>
    <w:link w:val="17"/>
    <w:uiPriority w:val="99"/>
    <w:rPr>
      <w:rFonts w:ascii="Calibri" w:hAnsi="Calibri" w:eastAsia="仿宋_GB2312" w:cs="黑体"/>
      <w:sz w:val="18"/>
      <w:szCs w:val="18"/>
    </w:rPr>
  </w:style>
  <w:style w:type="character" w:customStyle="1" w:styleId="42">
    <w:name w:val="标题 Char"/>
    <w:link w:val="23"/>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6"/>
    <w:uiPriority w:val="0"/>
    <w:rPr>
      <w:rFonts w:hint="eastAsia" w:ascii="微软雅黑" w:hAnsi="微软雅黑" w:eastAsia="微软雅黑" w:cs="微软雅黑"/>
      <w:b/>
      <w:bCs/>
      <w:color w:val="000000"/>
      <w:sz w:val="32"/>
      <w:szCs w:val="32"/>
      <w:u w:val="none"/>
    </w:rPr>
  </w:style>
  <w:style w:type="paragraph" w:customStyle="1" w:styleId="60">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D171E0A8FF7A496D82DEA1D9701CC90F_13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31cc9-3b2f-444f-83ea-657def437b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13632</Words>
  <Characters>14450</Characters>
  <Lines>44</Lines>
  <Paragraphs>12</Paragraphs>
  <TotalTime>203</TotalTime>
  <ScaleCrop>false</ScaleCrop>
  <LinksUpToDate>false</LinksUpToDate>
  <CharactersWithSpaces>14532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2025-10-10T07:41:37Z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D171E0A8FF7A496D82DEA1D9701CC90F_13</vt:lpwstr>
  </property>
  <property fmtid="{D5CDD505-2E9C-101B-9397-08002B2CF9AE}" pid="4" name="KSOTemplateDocerSaveRecord">
    <vt:lpwstr>eyJoZGlkIjoiZDE5MGZhMTJhZDM2OTQwYzkzYWVjM2FhZDUxN2Q0M2IiLCJ1c2VySWQiOiI2NTE5NDIwMjYifQ_x003D__x003D_</vt:lpwstr>
  </property>
</Properties>
</file>