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3CB46">
      <w:bookmarkStart w:id="20" w:name="_GoBack"/>
      <w:bookmarkEnd w:id="20"/>
    </w:p>
    <w:p w14:paraId="77709B80">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56D03436">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和田地区洛浦县2024年中央农村综合改革转移支付资金-农村公益事业财政奖补项目</w:t>
      </w:r>
    </w:p>
    <w:p w14:paraId="2521AD15">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pPr>
      <w:r>
        <w:rPr>
          <w:rFonts w:hint="eastAsia" w:ascii="黑体" w:hAnsi="黑体" w:eastAsia="黑体" w:cs="黑体"/>
          <w:b/>
          <w:sz w:val="36"/>
          <w:szCs w:val="36"/>
        </w:rPr>
        <w:t>支出绩效评价报告</w:t>
      </w:r>
    </w:p>
    <w:p w14:paraId="40EFAF76">
      <w:pPr>
        <w:pStyle w:val="6"/>
        <w:jc w:val="center"/>
        <w:rPr>
          <w:rFonts w:hint="eastAsia" w:ascii="宋体" w:hAnsi="宋体" w:eastAsia="宋体" w:cs="宋体"/>
          <w:b/>
          <w:bCs w:val="0"/>
          <w:sz w:val="28"/>
          <w:szCs w:val="28"/>
          <w:lang w:eastAsia="zh-CN"/>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2024年度</w:t>
      </w:r>
      <w:r>
        <w:rPr>
          <w:rFonts w:hint="eastAsia" w:ascii="宋体" w:hAnsi="宋体" w:eastAsia="宋体" w:cs="宋体"/>
          <w:b/>
          <w:bCs w:val="0"/>
          <w:sz w:val="28"/>
          <w:szCs w:val="28"/>
          <w:lang w:eastAsia="zh-CN"/>
        </w:rPr>
        <w:t>）</w:t>
      </w:r>
    </w:p>
    <w:p w14:paraId="3F2E8661">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5F8EA49A">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2C5BF294">
      <w:pPr>
        <w:pStyle w:val="6"/>
        <w:rPr>
          <w:rFonts w:hint="eastAsia" w:eastAsia="方正仿宋_GBK" w:cs="方正仿宋_GBK"/>
          <w:b/>
          <w:kern w:val="0"/>
          <w:sz w:val="32"/>
          <w:szCs w:val="32"/>
          <w:lang w:bidi="en-US"/>
        </w:rPr>
      </w:pPr>
    </w:p>
    <w:p w14:paraId="3D7752AD">
      <w:pPr>
        <w:rPr>
          <w:rFonts w:hint="eastAsia" w:eastAsia="方正仿宋_GBK" w:cs="方正仿宋_GBK"/>
          <w:b/>
          <w:kern w:val="0"/>
          <w:sz w:val="32"/>
          <w:szCs w:val="32"/>
          <w:lang w:bidi="en-US"/>
        </w:rPr>
      </w:pPr>
    </w:p>
    <w:p w14:paraId="1B23D4AD">
      <w:pPr>
        <w:pStyle w:val="6"/>
        <w:rPr>
          <w:rFonts w:hint="eastAsia"/>
        </w:rPr>
      </w:pPr>
    </w:p>
    <w:p w14:paraId="7E0D396E">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487EDF26">
      <w:pPr>
        <w:pageBreakBefore w:val="0"/>
        <w:widowControl w:val="0"/>
        <w:kinsoku/>
        <w:wordWrap/>
        <w:topLinePunct w:val="0"/>
        <w:autoSpaceDE/>
        <w:autoSpaceDN/>
        <w:bidi w:val="0"/>
        <w:spacing w:line="560" w:lineRule="exact"/>
        <w:ind w:left="0" w:leftChars="0" w:firstLine="560"/>
        <w:textAlignment w:val="auto"/>
        <w:rPr>
          <w:rFonts w:hint="eastAsia"/>
        </w:rPr>
      </w:pPr>
    </w:p>
    <w:p w14:paraId="416238A6">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1AECCA0C">
      <w:pPr>
        <w:pageBreakBefore w:val="0"/>
        <w:widowControl w:val="0"/>
        <w:kinsoku/>
        <w:wordWrap/>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eastAsia="宋体" w:cs="宋体"/>
          <w:color w:val="auto"/>
          <w:kern w:val="0"/>
          <w:sz w:val="24"/>
          <w:szCs w:val="24"/>
          <w:lang w:bidi="en-US"/>
        </w:rPr>
        <w:t>项目名称：</w:t>
      </w: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w:t>
      </w:r>
      <w:r>
        <w:rPr>
          <w:rFonts w:hint="eastAsia" w:ascii="宋体" w:hAnsi="宋体" w:eastAsia="宋体" w:cs="宋体"/>
          <w:i w:val="0"/>
          <w:iCs w:val="0"/>
          <w:caps w:val="0"/>
          <w:color w:val="auto"/>
          <w:spacing w:val="0"/>
          <w:sz w:val="24"/>
          <w:szCs w:val="24"/>
          <w:shd w:val="clear" w:color="auto" w:fill="FFFFFF"/>
          <w:lang w:val="en-US" w:eastAsia="zh-CN"/>
        </w:rPr>
        <w:t>项目</w:t>
      </w:r>
    </w:p>
    <w:p w14:paraId="4EAE0684">
      <w:pPr>
        <w:pageBreakBefore w:val="0"/>
        <w:widowControl w:val="0"/>
        <w:kinsoku/>
        <w:wordWrap/>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kern w:val="0"/>
          <w:sz w:val="24"/>
          <w:szCs w:val="24"/>
          <w:lang w:bidi="en-US"/>
        </w:rPr>
      </w:pPr>
      <w:r>
        <w:rPr>
          <w:rFonts w:hint="eastAsia" w:ascii="宋体" w:hAnsi="宋体" w:eastAsia="宋体" w:cs="宋体"/>
          <w:color w:val="auto"/>
          <w:kern w:val="0"/>
          <w:sz w:val="24"/>
          <w:szCs w:val="24"/>
          <w:lang w:bidi="en-US"/>
        </w:rPr>
        <w:t>项目单位：洛浦县恰尔巴格镇人民政府</w:t>
      </w:r>
    </w:p>
    <w:p w14:paraId="16034296">
      <w:pPr>
        <w:pageBreakBefore w:val="0"/>
        <w:widowControl w:val="0"/>
        <w:kinsoku/>
        <w:wordWrap/>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kern w:val="0"/>
          <w:sz w:val="24"/>
          <w:szCs w:val="24"/>
          <w:lang w:eastAsia="zh-CN" w:bidi="en-US"/>
        </w:rPr>
      </w:pPr>
      <w:r>
        <w:rPr>
          <w:rFonts w:hint="eastAsia" w:ascii="宋体" w:hAnsi="宋体" w:eastAsia="宋体" w:cs="宋体"/>
          <w:color w:val="auto"/>
          <w:kern w:val="0"/>
          <w:sz w:val="24"/>
          <w:szCs w:val="24"/>
          <w:lang w:bidi="en-US"/>
        </w:rPr>
        <w:t>主管部门：</w:t>
      </w:r>
      <w:r>
        <w:rPr>
          <w:rFonts w:hint="eastAsia" w:ascii="宋体" w:hAnsi="宋体" w:eastAsia="宋体" w:cs="宋体"/>
          <w:color w:val="auto"/>
          <w:kern w:val="0"/>
          <w:sz w:val="24"/>
          <w:szCs w:val="24"/>
          <w:lang w:eastAsia="zh-CN" w:bidi="en-US"/>
        </w:rPr>
        <w:t>洛浦县乡村振兴局</w:t>
      </w:r>
    </w:p>
    <w:p w14:paraId="5D29B4E5">
      <w:pPr>
        <w:pageBreakBefore w:val="0"/>
        <w:widowControl w:val="0"/>
        <w:kinsoku/>
        <w:wordWrap/>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kern w:val="0"/>
          <w:sz w:val="24"/>
          <w:szCs w:val="24"/>
          <w:lang w:eastAsia="zh-CN" w:bidi="en-US"/>
        </w:rPr>
      </w:pPr>
      <w:r>
        <w:rPr>
          <w:rFonts w:hint="eastAsia" w:ascii="宋体" w:hAnsi="宋体" w:eastAsia="宋体" w:cs="宋体"/>
          <w:color w:val="auto"/>
          <w:kern w:val="0"/>
          <w:sz w:val="24"/>
          <w:szCs w:val="24"/>
          <w:lang w:bidi="en-US"/>
        </w:rPr>
        <w:t>项目负责人：</w:t>
      </w:r>
      <w:r>
        <w:rPr>
          <w:rFonts w:hint="eastAsia" w:ascii="宋体" w:hAnsi="宋体" w:eastAsia="宋体" w:cs="宋体"/>
          <w:color w:val="auto"/>
          <w:kern w:val="0"/>
          <w:sz w:val="24"/>
          <w:szCs w:val="24"/>
          <w:lang w:eastAsia="zh-CN" w:bidi="en-US"/>
        </w:rPr>
        <w:t>李歆文</w:t>
      </w:r>
    </w:p>
    <w:p w14:paraId="171F8B5E">
      <w:pPr>
        <w:pageBreakBefore w:val="0"/>
        <w:widowControl w:val="0"/>
        <w:kinsoku/>
        <w:wordWrap/>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kern w:val="0"/>
          <w:sz w:val="24"/>
          <w:szCs w:val="24"/>
          <w:lang w:bidi="en-US"/>
        </w:rPr>
      </w:pPr>
      <w:r>
        <w:rPr>
          <w:rFonts w:hint="eastAsia" w:ascii="宋体" w:hAnsi="宋体" w:eastAsia="宋体" w:cs="宋体"/>
          <w:color w:val="auto"/>
          <w:kern w:val="0"/>
          <w:sz w:val="24"/>
          <w:szCs w:val="24"/>
          <w:lang w:bidi="en-US"/>
        </w:rPr>
        <w:t>填报时间</w:t>
      </w:r>
      <w:r>
        <w:rPr>
          <w:rFonts w:hint="eastAsia" w:ascii="宋体" w:hAnsi="宋体" w:eastAsia="宋体" w:cs="宋体"/>
          <w:color w:val="auto"/>
          <w:kern w:val="0"/>
          <w:sz w:val="24"/>
          <w:szCs w:val="24"/>
          <w:lang w:val="en-US" w:eastAsia="zh-CN" w:bidi="en-US"/>
        </w:rPr>
        <w:t>:2025</w:t>
      </w:r>
      <w:r>
        <w:rPr>
          <w:rFonts w:hint="eastAsia" w:ascii="宋体" w:hAnsi="宋体" w:eastAsia="宋体" w:cs="宋体"/>
          <w:color w:val="auto"/>
          <w:kern w:val="0"/>
          <w:sz w:val="24"/>
          <w:szCs w:val="24"/>
          <w:lang w:bidi="en-US"/>
        </w:rPr>
        <w:t>年</w:t>
      </w:r>
      <w:r>
        <w:rPr>
          <w:rFonts w:hint="eastAsia" w:ascii="宋体" w:hAnsi="宋体" w:eastAsia="宋体" w:cs="宋体"/>
          <w:color w:val="auto"/>
          <w:kern w:val="0"/>
          <w:sz w:val="24"/>
          <w:szCs w:val="24"/>
          <w:lang w:val="en-US" w:eastAsia="zh-CN" w:bidi="en-US"/>
        </w:rPr>
        <w:t>3</w:t>
      </w:r>
      <w:r>
        <w:rPr>
          <w:rFonts w:hint="eastAsia" w:ascii="宋体" w:hAnsi="宋体" w:eastAsia="宋体" w:cs="宋体"/>
          <w:color w:val="auto"/>
          <w:kern w:val="0"/>
          <w:sz w:val="24"/>
          <w:szCs w:val="24"/>
          <w:lang w:bidi="en-US"/>
        </w:rPr>
        <w:t>月</w:t>
      </w:r>
      <w:r>
        <w:rPr>
          <w:rFonts w:hint="eastAsia" w:ascii="宋体" w:hAnsi="宋体" w:eastAsia="宋体" w:cs="宋体"/>
          <w:color w:val="auto"/>
          <w:kern w:val="0"/>
          <w:sz w:val="24"/>
          <w:szCs w:val="24"/>
          <w:lang w:val="en-US" w:eastAsia="zh-CN" w:bidi="en-US"/>
        </w:rPr>
        <w:t>31</w:t>
      </w:r>
      <w:r>
        <w:rPr>
          <w:rFonts w:hint="eastAsia" w:ascii="宋体" w:hAnsi="宋体" w:eastAsia="宋体" w:cs="宋体"/>
          <w:color w:val="auto"/>
          <w:kern w:val="0"/>
          <w:sz w:val="24"/>
          <w:szCs w:val="24"/>
          <w:lang w:bidi="en-US"/>
        </w:rPr>
        <w:t>日</w:t>
      </w:r>
    </w:p>
    <w:p w14:paraId="14B5B8BA">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3A74EC00">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61478DA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FF0000"/>
          <w:sz w:val="24"/>
          <w:szCs w:val="24"/>
          <w:lang w:val="en-US" w:eastAsia="zh-CN"/>
        </w:rPr>
      </w:pPr>
      <w:r>
        <w:rPr>
          <w:rFonts w:hint="eastAsia" w:ascii="宋体" w:hAnsi="宋体" w:eastAsia="宋体" w:cs="宋体"/>
          <w:b/>
          <w:bCs/>
          <w:sz w:val="24"/>
          <w:szCs w:val="24"/>
        </w:rPr>
        <w:t>1. 项目背景</w:t>
      </w:r>
    </w:p>
    <w:p w14:paraId="392FAF1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为深入贯彻落实2024年中央和自治区农村综合改革转移支付预算，进一步做好和田地区农村公益事业财政奖补资金项目，根据财政厅《关于提前下达2024年中央农村综合改革转移支付预算的通知》（新财农〔2023〕89号）和《关于提前下达2024年自治区农村综合改革转移支付预算的通知》（新财农〔2023〕105号），按照2024年农村综合改革（农村公益事业财政奖补）项目资金衔接要求，结合我镇实际制定本方案。    </w:t>
      </w:r>
      <w:r>
        <w:rPr>
          <w:rFonts w:hint="eastAsia" w:ascii="宋体" w:hAnsi="宋体" w:eastAsia="宋体" w:cs="宋体"/>
          <w:sz w:val="24"/>
          <w:szCs w:val="24"/>
          <w:lang w:val="en-US" w:eastAsia="zh-CN"/>
        </w:rPr>
        <w:t xml:space="preserve"> </w:t>
      </w:r>
    </w:p>
    <w:p w14:paraId="406974C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主要内容及实施情况</w:t>
      </w:r>
    </w:p>
    <w:p w14:paraId="7442B49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7AAAEB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b/>
          <w:bCs/>
          <w:color w:val="auto"/>
          <w:kern w:val="0"/>
          <w:sz w:val="24"/>
          <w:szCs w:val="24"/>
          <w:lang w:val="en-US" w:eastAsia="zh-CN" w:bidi="ar-SA"/>
        </w:rPr>
        <w:t>（一）吾斯塘乌其村：</w:t>
      </w:r>
      <w:r>
        <w:rPr>
          <w:rFonts w:hint="eastAsia" w:ascii="宋体" w:hAnsi="宋体" w:eastAsia="宋体" w:cs="宋体"/>
          <w:color w:val="auto"/>
          <w:kern w:val="0"/>
          <w:sz w:val="24"/>
          <w:szCs w:val="24"/>
          <w:lang w:val="en-US" w:eastAsia="zh-CN" w:bidi="ar-SA"/>
        </w:rPr>
        <w:t>在村庄9.5公里主干道路新建安装太阳能路灯381盏（灯杆间距为30米），配套建设相关附属设施。项目总投资：50万元</w:t>
      </w:r>
    </w:p>
    <w:p w14:paraId="06C27BFE">
      <w:pPr>
        <w:pStyle w:val="60"/>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b/>
          <w:bCs/>
          <w:color w:val="auto"/>
          <w:kern w:val="0"/>
          <w:sz w:val="24"/>
          <w:szCs w:val="24"/>
          <w:lang w:val="en-US" w:eastAsia="zh-CN" w:bidi="ar-SA"/>
        </w:rPr>
        <w:t>丘拉克铁热克村：</w:t>
      </w:r>
      <w:r>
        <w:rPr>
          <w:rFonts w:hint="eastAsia" w:ascii="宋体" w:hAnsi="宋体" w:eastAsia="宋体" w:cs="宋体"/>
          <w:color w:val="auto"/>
          <w:kern w:val="0"/>
          <w:sz w:val="24"/>
          <w:szCs w:val="24"/>
          <w:lang w:val="en-US" w:eastAsia="zh-CN" w:bidi="ar-SA"/>
        </w:rPr>
        <w:t>1.主干道路130盏路灯位置前移及部分维修。2.修缮疏通灌溉渠420米（配套建设3座长6米、宽4米水泥盖板桥）。3.村庄主干道路修补400平方米。项目总投资：42万元</w:t>
      </w:r>
    </w:p>
    <w:p w14:paraId="2883F1E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b/>
          <w:bCs/>
          <w:color w:val="auto"/>
          <w:kern w:val="0"/>
          <w:sz w:val="24"/>
          <w:szCs w:val="24"/>
          <w:lang w:val="en-US" w:eastAsia="zh-CN" w:bidi="ar-SA"/>
        </w:rPr>
        <w:t>阔恰艾日克村：</w:t>
      </w:r>
      <w:r>
        <w:rPr>
          <w:rFonts w:hint="eastAsia" w:ascii="宋体" w:hAnsi="宋体" w:eastAsia="宋体" w:cs="宋体"/>
          <w:color w:val="auto"/>
          <w:kern w:val="0"/>
          <w:sz w:val="24"/>
          <w:szCs w:val="24"/>
          <w:lang w:val="en-US" w:eastAsia="zh-CN" w:bidi="ar-SA"/>
        </w:rPr>
        <w:t>对2公里村庄主干道进行美化、绿化，主要种植品种地接金叶榆320㎡11520株、胶东卫矛298㎡7450株、紫叶矮樱283㎡7075株、大花月季229㎡3664株、爬藤月季245株、水蜡750.3㎡18758株、紫丁香50㎡1250株、红瑞木220㎡7920株、龙柏100㎡2500株、草坪4815㎡、独杆金叶榆球31株、独杆榆叶梅9株、独杆红叶李球23株、独杆卫矛球14株、造型塔柏2株、紫叶稠李163株、平整场地7065㎡。项目总投资：42万元</w:t>
      </w:r>
    </w:p>
    <w:p w14:paraId="42202E68">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b/>
          <w:bCs/>
          <w:color w:val="auto"/>
          <w:kern w:val="0"/>
          <w:sz w:val="24"/>
          <w:szCs w:val="24"/>
          <w:lang w:val="en-US" w:eastAsia="zh-CN" w:bidi="ar-SA"/>
        </w:rPr>
        <w:t>（四）古勒巴格村：</w:t>
      </w:r>
      <w:r>
        <w:rPr>
          <w:rFonts w:hint="eastAsia" w:ascii="宋体" w:hAnsi="宋体" w:eastAsia="宋体" w:cs="宋体"/>
          <w:b w:val="0"/>
          <w:bCs w:val="0"/>
          <w:color w:val="auto"/>
          <w:kern w:val="0"/>
          <w:sz w:val="24"/>
          <w:szCs w:val="24"/>
          <w:lang w:val="en-US" w:eastAsia="zh-CN" w:bidi="ar-SA"/>
        </w:rPr>
        <w:t>1.在9公里村庄主干道</w:t>
      </w:r>
      <w:r>
        <w:rPr>
          <w:rFonts w:hint="eastAsia" w:ascii="宋体" w:hAnsi="宋体" w:eastAsia="宋体" w:cs="宋体"/>
          <w:color w:val="auto"/>
          <w:kern w:val="0"/>
          <w:sz w:val="24"/>
          <w:szCs w:val="24"/>
          <w:lang w:val="en-US" w:eastAsia="zh-CN" w:bidi="ar-SA"/>
        </w:rPr>
        <w:t>路新建安装太阳能路灯300盏（灯杆间距为30米），配套建设相关附属设施。2.建设党建文化长廊（长90米、宽3米、高2.7米），材质为防腐木，防腐木质花箱60个（长1米、宽0.5米、高0.8米），制作宣传展板18个（长3米、宽2米），配套建设周边绿化。3.新建18.88平方米桥面。项目总投资：50万元</w:t>
      </w:r>
    </w:p>
    <w:p w14:paraId="2023C21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2.实施情况</w:t>
      </w:r>
    </w:p>
    <w:p w14:paraId="53D9557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5E31419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本项目主管部门为洛浦县乡村振兴局，实施单位为洛浦县洛浦县恰尔巴格镇人民政府四个村。</w:t>
      </w:r>
    </w:p>
    <w:p w14:paraId="7A11B8F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（2）项目实施时间：</w:t>
      </w:r>
      <w:r>
        <w:rPr>
          <w:rFonts w:hint="eastAsia" w:ascii="宋体" w:hAnsi="宋体" w:eastAsia="宋体" w:cs="宋体"/>
          <w:b w:val="0"/>
          <w:bCs w:val="0"/>
          <w:color w:val="auto"/>
          <w:sz w:val="24"/>
          <w:szCs w:val="24"/>
          <w:lang w:val="en-US" w:eastAsia="zh-CN"/>
        </w:rPr>
        <w:t>2024年3月-2024年6月</w:t>
      </w:r>
    </w:p>
    <w:p w14:paraId="62D7045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（3）项目实施情况:</w:t>
      </w:r>
      <w:r>
        <w:rPr>
          <w:rFonts w:hint="eastAsia" w:ascii="宋体" w:hAnsi="宋体" w:eastAsia="宋体" w:cs="宋体"/>
          <w:b w:val="0"/>
          <w:bCs w:val="0"/>
          <w:color w:val="auto"/>
          <w:sz w:val="24"/>
          <w:szCs w:val="24"/>
          <w:lang w:val="en-US" w:eastAsia="zh-CN"/>
        </w:rPr>
        <w:t>本项目于2024年6月30日前全部完工。</w:t>
      </w:r>
    </w:p>
    <w:p w14:paraId="482B7D1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根据财政厅《关于提前下达2024年中央农村综合改革转移支付预算的通知》（新财农〔2023〕89号）和《关于提前下达2024年自治区农村综合改革转移支付预算的通知》（新财农〔2023〕105号），按照2024年农村综合改革（农村公益事业财政奖补）项目资金衔接要求，结合我镇实际制定本方案。   本项目的实施：一是村级层面改善人居环境整治，户级层面降低交通事故风险，起到举足轻重的作用；二是路灯亮化，为群众出行提供便利，解决群众夜间出行安全感问题，从而进一步改善村容村貌；三是使群众感受到党的温暖，让他们过上更加干净、整洁的生活，产生对美好生活的追求，激发他们内生动力。</w:t>
      </w:r>
    </w:p>
    <w:p w14:paraId="133D6B6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b w:val="0"/>
          <w:bCs w:val="0"/>
          <w:color w:val="auto"/>
          <w:sz w:val="24"/>
          <w:szCs w:val="24"/>
          <w:lang w:val="en-US" w:eastAsia="zh-CN"/>
        </w:rPr>
        <w:t>村人居环境整治是打响乡村振兴战略的第一枪，全力打造提升村容村貌，打造宜居农村，持续改善人居环境，关系到广大村民的自身利益。过去的农村，给人们留下的印象永远是照明有助、所以，改变农村“交通事故风险”的现象是时代的要求，随着人们生活水平的提高，经济收入的增加，广大村民对生活质量要求越来越高，衣食住行有了新的要求，农村人居环境整治是彻底改变村容村貌的必要之路。</w:t>
      </w:r>
      <w:r>
        <w:rPr>
          <w:rFonts w:hint="eastAsia" w:ascii="宋体" w:hAnsi="宋体" w:eastAsia="宋体" w:cs="宋体"/>
          <w:color w:val="auto"/>
          <w:sz w:val="24"/>
          <w:szCs w:val="24"/>
          <w:lang w:val="en-US" w:eastAsia="zh-CN"/>
        </w:rPr>
        <w:t xml:space="preserve">  </w:t>
      </w:r>
    </w:p>
    <w:p w14:paraId="6D87712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资金投入和使用情况</w:t>
      </w:r>
    </w:p>
    <w:p w14:paraId="2D42563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6239A27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184</w:t>
      </w:r>
      <w:r>
        <w:rPr>
          <w:rFonts w:hint="eastAsia" w:ascii="宋体" w:hAnsi="宋体" w:eastAsia="宋体" w:cs="宋体"/>
          <w:color w:val="auto"/>
          <w:sz w:val="24"/>
          <w:szCs w:val="24"/>
        </w:rPr>
        <w:t>万元，资金来源为部门预算（中央专项资金），其中：财政资金</w:t>
      </w:r>
      <w:r>
        <w:rPr>
          <w:rFonts w:hint="eastAsia" w:ascii="宋体" w:hAnsi="宋体" w:eastAsia="宋体" w:cs="宋体"/>
          <w:color w:val="auto"/>
          <w:sz w:val="24"/>
          <w:szCs w:val="24"/>
          <w:lang w:val="en-US" w:eastAsia="zh-CN"/>
        </w:rPr>
        <w:t>184</w:t>
      </w:r>
      <w:r>
        <w:rPr>
          <w:rFonts w:hint="eastAsia" w:ascii="宋体" w:hAnsi="宋体" w:eastAsia="宋体" w:cs="宋体"/>
          <w:color w:val="auto"/>
          <w:sz w:val="24"/>
          <w:szCs w:val="24"/>
        </w:rPr>
        <w:t>万元，其他资金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含自有资金、社会资金及以前年度结转结余资金）0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184</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77ECB66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15D983A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179.24</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97</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eastAsia="zh-CN"/>
        </w:rPr>
        <w:t>村庄绿化美化水渠疏通，道路修补，改善人居环境</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118</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工程服务，工程造价咨询费</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61.23</w:t>
      </w:r>
      <w:r>
        <w:rPr>
          <w:rFonts w:hint="eastAsia" w:ascii="宋体" w:hAnsi="宋体" w:eastAsia="宋体" w:cs="宋体"/>
          <w:color w:val="auto"/>
          <w:sz w:val="24"/>
          <w:szCs w:val="24"/>
        </w:rPr>
        <w:t>万元</w:t>
      </w:r>
      <w:r>
        <w:rPr>
          <w:rFonts w:hint="eastAsia" w:ascii="宋体" w:hAnsi="宋体" w:eastAsia="宋体" w:cs="宋体"/>
          <w:color w:val="auto"/>
          <w:sz w:val="24"/>
          <w:szCs w:val="24"/>
          <w:lang w:val="en-US" w:eastAsia="zh-CN"/>
        </w:rPr>
        <w:t>等。</w:t>
      </w:r>
    </w:p>
    <w:p w14:paraId="60FA35D8">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2" w:name="_Toc68364659"/>
      <w:r>
        <w:rPr>
          <w:rFonts w:hint="eastAsia" w:ascii="宋体" w:hAnsi="宋体" w:eastAsia="宋体" w:cs="宋体"/>
          <w:color w:val="auto"/>
          <w:sz w:val="24"/>
          <w:szCs w:val="24"/>
        </w:rPr>
        <w:t>（二）项目绩效目标</w:t>
      </w:r>
      <w:bookmarkEnd w:id="2"/>
    </w:p>
    <w:p w14:paraId="05F3A6E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09CAC4D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2DC43F2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根据财政厅《关于提前下达2O24年中央农村综合改革转移支付预算的通知》（新财农〔2023〕89号）和《关于提前下达2O24年自治区农村综合改革转移支付预算的通知》（新财农〔2023〕105号）实施此项目，项目主要内容为：在古勒巴格村、丘拉克铁热克村、阔恰艾日克村、吾斯塘吾其村实施村庄绿化、美化、亮化、水渠疏通、道路修补，改善人居环境。</w:t>
      </w:r>
    </w:p>
    <w:p w14:paraId="53FB3D86">
      <w:pPr>
        <w:pStyle w:val="46"/>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阶段性目标</w:t>
      </w:r>
    </w:p>
    <w:p w14:paraId="356E15A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28D4D682">
      <w:pPr>
        <w:pStyle w:val="46"/>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790D4898">
      <w:pPr>
        <w:pStyle w:val="46"/>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02590BF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w:t>
      </w:r>
      <w:r>
        <w:rPr>
          <w:rFonts w:hint="eastAsia" w:ascii="宋体" w:hAnsi="宋体" w:eastAsia="宋体" w:cs="宋体"/>
          <w:color w:val="auto"/>
          <w:sz w:val="24"/>
          <w:szCs w:val="24"/>
          <w:lang w:eastAsia="zh-CN"/>
        </w:rPr>
        <w:t>保障项目数量</w:t>
      </w:r>
      <w:r>
        <w:rPr>
          <w:rFonts w:hint="eastAsia" w:ascii="宋体" w:hAnsi="宋体" w:eastAsia="宋体" w:cs="宋体"/>
          <w:color w:val="auto"/>
          <w:sz w:val="24"/>
          <w:szCs w:val="24"/>
          <w:lang w:val="en-US" w:eastAsia="zh-CN"/>
        </w:rPr>
        <w:t>4个/村</w:t>
      </w:r>
      <w:r>
        <w:rPr>
          <w:rFonts w:hint="eastAsia" w:ascii="宋体" w:hAnsi="宋体" w:eastAsia="宋体" w:cs="宋体"/>
          <w:color w:val="auto"/>
          <w:sz w:val="24"/>
          <w:szCs w:val="24"/>
        </w:rPr>
        <w:t>；</w:t>
      </w:r>
    </w:p>
    <w:p w14:paraId="066C9E1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指标2：预期指标值为</w:t>
      </w:r>
      <w:r>
        <w:rPr>
          <w:rFonts w:hint="eastAsia" w:ascii="宋体" w:hAnsi="宋体" w:eastAsia="宋体" w:cs="宋体"/>
          <w:color w:val="auto"/>
          <w:sz w:val="24"/>
          <w:szCs w:val="24"/>
          <w:lang w:eastAsia="zh-CN"/>
        </w:rPr>
        <w:t>采购太阳能路灯数量</w:t>
      </w:r>
      <w:r>
        <w:rPr>
          <w:rFonts w:hint="eastAsia" w:ascii="宋体" w:hAnsi="宋体" w:eastAsia="宋体" w:cs="宋体"/>
          <w:color w:val="auto"/>
          <w:sz w:val="24"/>
          <w:szCs w:val="24"/>
          <w:lang w:val="en-US" w:eastAsia="zh-CN"/>
        </w:rPr>
        <w:t>687盏</w:t>
      </w:r>
      <w:r>
        <w:rPr>
          <w:rFonts w:hint="eastAsia" w:ascii="宋体" w:hAnsi="宋体" w:eastAsia="宋体" w:cs="宋体"/>
          <w:color w:val="auto"/>
          <w:sz w:val="24"/>
          <w:szCs w:val="24"/>
        </w:rPr>
        <w:t>；</w:t>
      </w:r>
    </w:p>
    <w:p w14:paraId="6D5A2A9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修缮疏通</w:t>
      </w:r>
      <w:r>
        <w:rPr>
          <w:rFonts w:hint="eastAsia" w:ascii="宋体" w:hAnsi="宋体" w:eastAsia="宋体" w:cs="宋体"/>
          <w:color w:val="auto"/>
          <w:sz w:val="24"/>
          <w:szCs w:val="24"/>
          <w:lang w:val="en-US" w:eastAsia="zh-CN"/>
        </w:rPr>
        <w:t>420米</w:t>
      </w:r>
      <w:r>
        <w:rPr>
          <w:rFonts w:hint="eastAsia" w:ascii="宋体" w:hAnsi="宋体" w:eastAsia="宋体" w:cs="宋体"/>
          <w:color w:val="auto"/>
          <w:sz w:val="24"/>
          <w:szCs w:val="24"/>
        </w:rPr>
        <w:t>；</w:t>
      </w:r>
    </w:p>
    <w:p w14:paraId="2DEAFE1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道路修补</w:t>
      </w:r>
      <w:r>
        <w:rPr>
          <w:rFonts w:hint="eastAsia" w:ascii="宋体" w:hAnsi="宋体" w:eastAsia="宋体" w:cs="宋体"/>
          <w:color w:val="auto"/>
          <w:sz w:val="24"/>
          <w:szCs w:val="24"/>
          <w:lang w:val="en-US" w:eastAsia="zh-CN"/>
        </w:rPr>
        <w:t>4平方米；</w:t>
      </w:r>
    </w:p>
    <w:p w14:paraId="7D0DBA8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苗木栽植</w:t>
      </w:r>
      <w:r>
        <w:rPr>
          <w:rFonts w:hint="eastAsia" w:ascii="宋体" w:hAnsi="宋体" w:eastAsia="宋体" w:cs="宋体"/>
          <w:color w:val="auto"/>
          <w:sz w:val="24"/>
          <w:szCs w:val="24"/>
          <w:lang w:val="en-US" w:eastAsia="zh-CN"/>
        </w:rPr>
        <w:t>2公里；</w:t>
      </w:r>
    </w:p>
    <w:p w14:paraId="2FC01CA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2898639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w:t>
      </w:r>
      <w:r>
        <w:rPr>
          <w:rFonts w:hint="eastAsia" w:ascii="宋体" w:hAnsi="宋体" w:eastAsia="宋体" w:cs="宋体"/>
          <w:color w:val="auto"/>
          <w:sz w:val="24"/>
          <w:szCs w:val="24"/>
          <w:lang w:eastAsia="zh-CN"/>
        </w:rPr>
        <w:t>验收合格率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DEF46D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5935C67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w:t>
      </w:r>
      <w:r>
        <w:rPr>
          <w:rFonts w:hint="eastAsia" w:ascii="宋体" w:hAnsi="宋体" w:eastAsia="宋体" w:cs="宋体"/>
          <w:color w:val="auto"/>
          <w:sz w:val="24"/>
          <w:szCs w:val="24"/>
          <w:lang w:eastAsia="zh-CN"/>
        </w:rPr>
        <w:t>项目完成时间</w:t>
      </w:r>
      <w:r>
        <w:rPr>
          <w:rFonts w:hint="eastAsia" w:ascii="宋体" w:hAnsi="宋体" w:eastAsia="宋体" w:cs="宋体"/>
          <w:color w:val="auto"/>
          <w:sz w:val="24"/>
          <w:szCs w:val="24"/>
          <w:lang w:val="en-US" w:eastAsia="zh-CN"/>
        </w:rPr>
        <w:t>2024年12月</w:t>
      </w:r>
      <w:r>
        <w:rPr>
          <w:rFonts w:hint="eastAsia" w:ascii="宋体" w:hAnsi="宋体" w:eastAsia="宋体" w:cs="宋体"/>
          <w:color w:val="auto"/>
          <w:sz w:val="24"/>
          <w:szCs w:val="24"/>
        </w:rPr>
        <w:t>；</w:t>
      </w:r>
    </w:p>
    <w:p w14:paraId="178596E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指标2：预期指标值为</w:t>
      </w:r>
      <w:r>
        <w:rPr>
          <w:rFonts w:hint="eastAsia" w:ascii="宋体" w:hAnsi="宋体" w:eastAsia="宋体" w:cs="宋体"/>
          <w:color w:val="auto"/>
          <w:sz w:val="24"/>
          <w:szCs w:val="24"/>
          <w:lang w:eastAsia="zh-CN"/>
        </w:rPr>
        <w:t>项目开始时间</w:t>
      </w:r>
      <w:r>
        <w:rPr>
          <w:rFonts w:hint="eastAsia" w:ascii="宋体" w:hAnsi="宋体" w:eastAsia="宋体" w:cs="宋体"/>
          <w:color w:val="auto"/>
          <w:sz w:val="24"/>
          <w:szCs w:val="24"/>
          <w:lang w:val="en-US" w:eastAsia="zh-CN"/>
        </w:rPr>
        <w:t>2024年3月</w:t>
      </w:r>
      <w:r>
        <w:rPr>
          <w:rFonts w:hint="eastAsia" w:ascii="宋体" w:hAnsi="宋体" w:eastAsia="宋体" w:cs="宋体"/>
          <w:color w:val="auto"/>
          <w:sz w:val="24"/>
          <w:szCs w:val="24"/>
        </w:rPr>
        <w:t>；</w:t>
      </w:r>
    </w:p>
    <w:p w14:paraId="7D6647E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资金支付及时率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59F3C4A">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0EF28F6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1D403A9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w:t>
      </w:r>
      <w:r>
        <w:rPr>
          <w:rFonts w:hint="eastAsia" w:ascii="宋体" w:hAnsi="宋体" w:eastAsia="宋体" w:cs="宋体"/>
          <w:color w:val="auto"/>
          <w:sz w:val="24"/>
          <w:szCs w:val="24"/>
          <w:lang w:eastAsia="zh-CN"/>
        </w:rPr>
        <w:t>项目总支出</w:t>
      </w:r>
      <w:r>
        <w:rPr>
          <w:rFonts w:hint="eastAsia" w:ascii="宋体" w:hAnsi="宋体" w:eastAsia="宋体" w:cs="宋体"/>
          <w:color w:val="auto"/>
          <w:sz w:val="24"/>
          <w:szCs w:val="24"/>
          <w:lang w:val="en-US" w:eastAsia="zh-CN"/>
        </w:rPr>
        <w:t>184万</w:t>
      </w:r>
      <w:r>
        <w:rPr>
          <w:rFonts w:hint="eastAsia" w:ascii="宋体" w:hAnsi="宋体" w:eastAsia="宋体" w:cs="宋体"/>
          <w:color w:val="auto"/>
          <w:sz w:val="24"/>
          <w:szCs w:val="24"/>
        </w:rPr>
        <w:t>；</w:t>
      </w:r>
    </w:p>
    <w:p w14:paraId="003BCFAA">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1AC7140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该项目无社会成本指标</w:t>
      </w:r>
    </w:p>
    <w:p w14:paraId="44484BF2">
      <w:pPr>
        <w:pStyle w:val="46"/>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生态成本指标</w:t>
      </w:r>
    </w:p>
    <w:p w14:paraId="79F1627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该项目无生态成本指标</w:t>
      </w:r>
    </w:p>
    <w:p w14:paraId="796E068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43191DE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00D90DA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该项目无经济效益指标；</w:t>
      </w:r>
    </w:p>
    <w:p w14:paraId="7271F11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72B19A5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指标1：预期指标值为</w:t>
      </w:r>
      <w:r>
        <w:rPr>
          <w:rFonts w:hint="eastAsia" w:ascii="宋体" w:hAnsi="宋体" w:eastAsia="宋体" w:cs="宋体"/>
          <w:color w:val="auto"/>
          <w:sz w:val="24"/>
          <w:szCs w:val="24"/>
          <w:lang w:eastAsia="zh-CN"/>
        </w:rPr>
        <w:t>村人居环境整治是打响乡村振兴</w:t>
      </w:r>
      <w:r>
        <w:rPr>
          <w:rFonts w:hint="eastAsia" w:ascii="宋体" w:hAnsi="宋体" w:eastAsia="宋体" w:cs="宋体"/>
          <w:color w:val="auto"/>
          <w:sz w:val="24"/>
          <w:szCs w:val="24"/>
          <w:lang w:val="en-US" w:eastAsia="zh-CN"/>
        </w:rPr>
        <w:t>战略的第一枪，权利打造提升村容村貌，效果显著</w:t>
      </w:r>
      <w:r>
        <w:rPr>
          <w:rFonts w:hint="eastAsia" w:ascii="宋体" w:hAnsi="宋体" w:eastAsia="宋体" w:cs="宋体"/>
          <w:color w:val="auto"/>
          <w:sz w:val="24"/>
          <w:szCs w:val="24"/>
        </w:rPr>
        <w:t>；</w:t>
      </w:r>
    </w:p>
    <w:p w14:paraId="0A8B256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3）生态效益指标：</w:t>
      </w:r>
    </w:p>
    <w:p w14:paraId="67457B4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该项目无生态效益指标</w:t>
      </w:r>
    </w:p>
    <w:p w14:paraId="3CDA05B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51B4CB4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w:t>
      </w:r>
      <w:r>
        <w:rPr>
          <w:rFonts w:hint="eastAsia" w:ascii="宋体" w:hAnsi="宋体" w:eastAsia="宋体" w:cs="宋体"/>
          <w:color w:val="auto"/>
          <w:sz w:val="24"/>
          <w:szCs w:val="24"/>
          <w:lang w:eastAsia="zh-CN"/>
        </w:rPr>
        <w:t>工作人员满意度</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w:t>
      </w:r>
    </w:p>
    <w:p w14:paraId="1D889158">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118AB4FC">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70E4994A">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23C486B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09ABB3F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w:t>
      </w:r>
      <w:r>
        <w:rPr>
          <w:rFonts w:hint="eastAsia" w:ascii="宋体" w:hAnsi="宋体" w:eastAsia="宋体" w:cs="宋体"/>
          <w:sz w:val="24"/>
          <w:szCs w:val="24"/>
          <w:highlight w:val="none"/>
        </w:rPr>
        <w:t>等相关政策文件与规</w:t>
      </w:r>
      <w:r>
        <w:rPr>
          <w:rFonts w:hint="eastAsia" w:ascii="宋体" w:hAnsi="宋体" w:eastAsia="宋体" w:cs="宋体"/>
          <w:sz w:val="24"/>
          <w:szCs w:val="24"/>
        </w:rPr>
        <w:t>定，对</w:t>
      </w:r>
      <w:r>
        <w:rPr>
          <w:rFonts w:hint="eastAsia" w:ascii="宋体" w:hAnsi="宋体" w:eastAsia="宋体" w:cs="宋体"/>
          <w:i w:val="0"/>
          <w:iCs w:val="0"/>
          <w:caps w:val="0"/>
          <w:color w:val="333333"/>
          <w:spacing w:val="0"/>
          <w:sz w:val="24"/>
          <w:szCs w:val="24"/>
          <w:shd w:val="clear" w:color="auto" w:fill="FFFFFF"/>
        </w:rPr>
        <w:t>2024年中央农村综合改革转移支付资金-农村公益事业财政奖补项目</w:t>
      </w:r>
      <w:r>
        <w:rPr>
          <w:rFonts w:hint="eastAsia" w:ascii="宋体" w:hAnsi="宋体" w:eastAsia="宋体" w:cs="宋体"/>
          <w:color w:val="auto"/>
          <w:sz w:val="24"/>
          <w:szCs w:val="24"/>
        </w:rPr>
        <w:t>项目</w:t>
      </w:r>
      <w:r>
        <w:rPr>
          <w:rFonts w:hint="eastAsia" w:ascii="宋体" w:hAnsi="宋体" w:eastAsia="宋体" w:cs="宋体"/>
          <w:sz w:val="24"/>
          <w:szCs w:val="24"/>
        </w:rPr>
        <w:t>开展本次部门项目支出绩效评价工作。全面了解</w:t>
      </w:r>
      <w:r>
        <w:rPr>
          <w:rFonts w:hint="eastAsia" w:ascii="宋体" w:hAnsi="宋体" w:eastAsia="宋体" w:cs="宋体"/>
          <w:i w:val="0"/>
          <w:iCs w:val="0"/>
          <w:caps w:val="0"/>
          <w:color w:val="333333"/>
          <w:spacing w:val="0"/>
          <w:sz w:val="24"/>
          <w:szCs w:val="24"/>
          <w:shd w:val="clear" w:color="auto" w:fill="FFFFFF"/>
        </w:rPr>
        <w:t>2024年中央农村综合改革转移支付资金-农村公益事业财政奖补项目</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35BB6AF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24038C7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w:t>
      </w:r>
      <w:r>
        <w:rPr>
          <w:rFonts w:hint="eastAsia" w:ascii="宋体" w:hAnsi="宋体" w:eastAsia="宋体" w:cs="宋体"/>
          <w:color w:val="auto"/>
          <w:sz w:val="24"/>
          <w:szCs w:val="24"/>
          <w:lang w:val="en-US" w:eastAsia="zh-CN"/>
        </w:rPr>
        <w:t>，保证项目绩效指标设置科学、规范、合理、可衡量。</w:t>
      </w:r>
    </w:p>
    <w:p w14:paraId="6B893F1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5BF71AC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5A923AD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2024年中央农村综合改革转移支付资金-农村公益事业财政奖补项目</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238FA276">
      <w:pPr>
        <w:pStyle w:val="46"/>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绩效评价范围</w:t>
      </w:r>
    </w:p>
    <w:p w14:paraId="421E6C30">
      <w:pPr>
        <w:pStyle w:val="46"/>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w:t>
      </w: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2024年中央农村综合改革转移支付资金-农村公益事业财政奖补项目</w:t>
      </w:r>
      <w:r>
        <w:rPr>
          <w:rFonts w:hint="eastAsia" w:ascii="宋体" w:hAnsi="宋体" w:eastAsia="宋体" w:cs="宋体"/>
          <w:color w:val="auto"/>
          <w:sz w:val="24"/>
          <w:szCs w:val="24"/>
        </w:rPr>
        <w:t>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10F9A4C0">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22C61497">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7E41830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7207BA09">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4C03F5C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6B04118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72C83EF5">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157EC826">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根据以上原则，绩效评价应遵循如下要求:</w:t>
      </w:r>
    </w:p>
    <w:p w14:paraId="6026183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4C2A936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3D78117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1E4A5FD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36816579">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47B6DC1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645E44C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6DF382D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447F8B8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3A6BB426">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3F6DA91E">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4628A51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208ABDA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4F660236">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566B3DC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26FF9F4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15DBBF43">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5688857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1FE1AA3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1EB6F4B5">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D91A615">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582B566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绩效评价标准</w:t>
      </w:r>
    </w:p>
    <w:p w14:paraId="707A754D">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w:t>
      </w:r>
      <w:r>
        <w:rPr>
          <w:rFonts w:hint="eastAsia" w:ascii="宋体" w:hAnsi="宋体" w:eastAsia="宋体" w:cs="宋体"/>
          <w:b w:val="0"/>
          <w:bCs w:val="0"/>
          <w:color w:val="auto"/>
          <w:sz w:val="24"/>
          <w:szCs w:val="24"/>
        </w:rPr>
        <w:t>评价主要采用了计划标准标准</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历史标准</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行业标准</w:t>
      </w:r>
      <w:r>
        <w:rPr>
          <w:rFonts w:hint="eastAsia" w:ascii="宋体" w:hAnsi="宋体" w:eastAsia="宋体" w:cs="宋体"/>
          <w:b w:val="0"/>
          <w:bCs w:val="0"/>
          <w:color w:val="auto"/>
          <w:sz w:val="24"/>
          <w:szCs w:val="24"/>
        </w:rPr>
        <w:t>。</w:t>
      </w:r>
    </w:p>
    <w:p w14:paraId="00617ED6">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7" w:name="_Toc17882"/>
      <w:bookmarkStart w:id="8" w:name="_Toc31464"/>
      <w:r>
        <w:rPr>
          <w:rFonts w:hint="eastAsia" w:ascii="宋体" w:hAnsi="宋体" w:eastAsia="宋体" w:cs="宋体"/>
          <w:b/>
          <w:bCs/>
          <w:color w:val="auto"/>
          <w:sz w:val="24"/>
          <w:szCs w:val="24"/>
        </w:rPr>
        <w:t>计划标准：</w:t>
      </w:r>
      <w:r>
        <w:rPr>
          <w:rFonts w:hint="eastAsia" w:ascii="宋体" w:hAnsi="宋体" w:eastAsia="宋体" w:cs="宋体"/>
          <w:color w:val="auto"/>
          <w:sz w:val="24"/>
          <w:szCs w:val="24"/>
        </w:rPr>
        <w:t>指以预先制定的目标、计划、预算、定额等作为评价标准。</w:t>
      </w:r>
      <w:bookmarkEnd w:id="7"/>
      <w:bookmarkEnd w:id="8"/>
    </w:p>
    <w:p w14:paraId="7C6A863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行业标准</w:t>
      </w:r>
      <w:r>
        <w:rPr>
          <w:rFonts w:hint="eastAsia" w:ascii="宋体" w:hAnsi="宋体" w:eastAsia="宋体" w:cs="宋体"/>
          <w:color w:val="auto"/>
          <w:sz w:val="24"/>
          <w:szCs w:val="24"/>
          <w:lang w:val="en-US" w:eastAsia="zh-CN"/>
        </w:rPr>
        <w:t>。指参照国家公布的行业指标数据制定的评价标准。</w:t>
      </w:r>
    </w:p>
    <w:p w14:paraId="00A02409">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9" w:name="_Toc16028"/>
      <w:bookmarkStart w:id="10" w:name="_Toc430"/>
      <w:r>
        <w:rPr>
          <w:rFonts w:hint="eastAsia" w:ascii="宋体" w:hAnsi="宋体" w:eastAsia="宋体" w:cs="宋体"/>
          <w:b/>
          <w:bCs/>
          <w:color w:val="auto"/>
          <w:sz w:val="24"/>
          <w:szCs w:val="24"/>
        </w:rPr>
        <w:t>历史标准：</w:t>
      </w:r>
      <w:r>
        <w:rPr>
          <w:rFonts w:hint="eastAsia" w:ascii="宋体" w:hAnsi="宋体" w:eastAsia="宋体" w:cs="宋体"/>
          <w:color w:val="auto"/>
          <w:sz w:val="24"/>
          <w:szCs w:val="24"/>
        </w:rPr>
        <w:t>指参照历史数据制定的评价标准，</w:t>
      </w:r>
      <w:r>
        <w:rPr>
          <w:rFonts w:hint="eastAsia" w:ascii="宋体" w:hAnsi="宋体" w:eastAsia="宋体" w:cs="宋体"/>
          <w:sz w:val="24"/>
          <w:szCs w:val="24"/>
        </w:rPr>
        <w:t>为体现绩效改进的原则，在可实现的条件下应当确定相对较高的评价标准。</w:t>
      </w:r>
      <w:bookmarkEnd w:id="9"/>
      <w:bookmarkEnd w:id="10"/>
    </w:p>
    <w:p w14:paraId="21A3B4F7">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20A4F5D5">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1" w:name="_Toc68364664"/>
      <w:r>
        <w:rPr>
          <w:rFonts w:hint="eastAsia" w:ascii="宋体" w:hAnsi="宋体" w:eastAsia="宋体" w:cs="宋体"/>
          <w:color w:val="auto"/>
          <w:sz w:val="24"/>
          <w:szCs w:val="24"/>
        </w:rPr>
        <w:t>1.前期准备</w:t>
      </w:r>
    </w:p>
    <w:p w14:paraId="4E813D3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1E11565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李歆文</w:t>
      </w:r>
      <w:r>
        <w:rPr>
          <w:rFonts w:hint="eastAsia" w:ascii="宋体" w:hAnsi="宋体" w:eastAsia="宋体" w:cs="宋体"/>
          <w:color w:val="auto"/>
          <w:sz w:val="24"/>
          <w:szCs w:val="24"/>
        </w:rPr>
        <w:t>（评价小组组长）：主要负责</w:t>
      </w:r>
      <w:r>
        <w:rPr>
          <w:rFonts w:hint="eastAsia" w:ascii="宋体" w:hAnsi="宋体" w:eastAsia="宋体" w:cs="宋体"/>
          <w:b w:val="0"/>
          <w:bCs w:val="0"/>
          <w:color w:val="auto"/>
          <w:sz w:val="24"/>
          <w:szCs w:val="24"/>
        </w:rPr>
        <w:t>组织安排绩效评价工作</w:t>
      </w:r>
      <w:r>
        <w:rPr>
          <w:rFonts w:hint="eastAsia" w:ascii="宋体" w:hAnsi="宋体" w:eastAsia="宋体" w:cs="宋体"/>
          <w:color w:val="auto"/>
          <w:sz w:val="24"/>
          <w:szCs w:val="24"/>
        </w:rPr>
        <w:t>;</w:t>
      </w:r>
    </w:p>
    <w:p w14:paraId="3B0F6DA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米吉提</w:t>
      </w:r>
      <w:r>
        <w:rPr>
          <w:rFonts w:hint="eastAsia" w:ascii="宋体" w:hAnsi="宋体" w:eastAsia="宋体" w:cs="宋体"/>
          <w:color w:val="auto"/>
          <w:sz w:val="24"/>
          <w:szCs w:val="24"/>
          <w:lang w:val="en-US" w:eastAsia="zh-CN"/>
        </w:rPr>
        <w:t>·阿西木</w:t>
      </w:r>
      <w:r>
        <w:rPr>
          <w:rFonts w:hint="eastAsia" w:ascii="宋体" w:hAnsi="宋体" w:eastAsia="宋体" w:cs="宋体"/>
          <w:color w:val="auto"/>
          <w:sz w:val="24"/>
          <w:szCs w:val="24"/>
        </w:rPr>
        <w:t>（评价小组组员）：主要负责</w:t>
      </w:r>
      <w:r>
        <w:rPr>
          <w:rFonts w:hint="eastAsia" w:ascii="宋体" w:hAnsi="宋体" w:eastAsia="宋体" w:cs="宋体"/>
          <w:b w:val="0"/>
          <w:bCs w:val="0"/>
          <w:color w:val="auto"/>
          <w:sz w:val="24"/>
          <w:szCs w:val="24"/>
        </w:rPr>
        <w:t>资料整理及信息汇总工作</w:t>
      </w:r>
      <w:r>
        <w:rPr>
          <w:rFonts w:hint="eastAsia" w:ascii="宋体" w:hAnsi="宋体" w:eastAsia="宋体" w:cs="宋体"/>
          <w:color w:val="auto"/>
          <w:sz w:val="24"/>
          <w:szCs w:val="24"/>
        </w:rPr>
        <w:t>;</w:t>
      </w:r>
    </w:p>
    <w:p w14:paraId="208DF9F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米那瓦尔</w:t>
      </w:r>
      <w:r>
        <w:rPr>
          <w:rFonts w:hint="eastAsia" w:ascii="宋体" w:hAnsi="宋体" w:eastAsia="宋体" w:cs="宋体"/>
          <w:color w:val="auto"/>
          <w:sz w:val="24"/>
          <w:szCs w:val="24"/>
          <w:lang w:val="en-US" w:eastAsia="zh-CN"/>
        </w:rPr>
        <w:t>·艾则孜</w:t>
      </w:r>
      <w:r>
        <w:rPr>
          <w:rFonts w:hint="eastAsia" w:ascii="宋体" w:hAnsi="宋体" w:eastAsia="宋体" w:cs="宋体"/>
          <w:color w:val="auto"/>
          <w:sz w:val="24"/>
          <w:szCs w:val="24"/>
        </w:rPr>
        <w:t>（评价小组组员）：主要负责</w:t>
      </w:r>
      <w:r>
        <w:rPr>
          <w:rFonts w:hint="eastAsia" w:ascii="宋体" w:hAnsi="宋体" w:eastAsia="宋体" w:cs="宋体"/>
          <w:b w:val="0"/>
          <w:bCs w:val="0"/>
          <w:color w:val="auto"/>
          <w:sz w:val="24"/>
          <w:szCs w:val="24"/>
        </w:rPr>
        <w:t>出具项目绩效评价报告</w:t>
      </w:r>
      <w:r>
        <w:rPr>
          <w:rFonts w:hint="eastAsia" w:ascii="宋体" w:hAnsi="宋体" w:eastAsia="宋体" w:cs="宋体"/>
          <w:color w:val="auto"/>
          <w:sz w:val="24"/>
          <w:szCs w:val="24"/>
        </w:rPr>
        <w:t>。</w:t>
      </w:r>
    </w:p>
    <w:p w14:paraId="7C4C396A">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45431A6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396A3499">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775FF24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46626B46">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3B87F5D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2FCFD8B2">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3F9D639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E75EA3E">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3962DE8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55732C07">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5C3377B8">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11"/>
    </w:p>
    <w:p w14:paraId="43521430">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2" w:name="_Toc68364665"/>
      <w:r>
        <w:rPr>
          <w:rFonts w:hint="eastAsia" w:ascii="宋体" w:hAnsi="宋体" w:eastAsia="宋体" w:cs="宋体"/>
          <w:color w:val="auto"/>
          <w:sz w:val="24"/>
          <w:szCs w:val="24"/>
        </w:rPr>
        <w:t>（一）综合评价情况</w:t>
      </w:r>
      <w:bookmarkEnd w:id="12"/>
    </w:p>
    <w:p w14:paraId="006CFC0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bookmarkStart w:id="13" w:name="_Toc68364666"/>
      <w:r>
        <w:rPr>
          <w:rFonts w:hint="eastAsia" w:ascii="宋体" w:hAnsi="宋体" w:eastAsia="宋体" w:cs="宋体"/>
          <w:color w:val="auto"/>
          <w:sz w:val="24"/>
          <w:szCs w:val="24"/>
        </w:rPr>
        <w:t>通过实施</w:t>
      </w: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w:t>
      </w:r>
      <w:r>
        <w:rPr>
          <w:rFonts w:hint="eastAsia" w:ascii="宋体" w:hAnsi="宋体" w:eastAsia="宋体" w:cs="宋体"/>
          <w:color w:val="auto"/>
          <w:sz w:val="24"/>
          <w:szCs w:val="24"/>
        </w:rPr>
        <w:t>项目产生</w:t>
      </w:r>
      <w:r>
        <w:rPr>
          <w:rFonts w:hint="eastAsia" w:ascii="宋体" w:hAnsi="宋体" w:eastAsia="宋体" w:cs="宋体"/>
          <w:i w:val="0"/>
          <w:iCs w:val="0"/>
          <w:caps w:val="0"/>
          <w:color w:val="auto"/>
          <w:spacing w:val="0"/>
          <w:sz w:val="24"/>
          <w:szCs w:val="24"/>
          <w:shd w:val="clear" w:color="auto" w:fill="FFFFFF"/>
          <w:lang w:val="en-US" w:eastAsia="zh-CN"/>
        </w:rPr>
        <w:t>本级绩效评价遵循科学规范、公开公正、绩效相关和问题导向的原则、重点评价项目的资金投入与财务管理</w:t>
      </w:r>
      <w:r>
        <w:rPr>
          <w:rFonts w:hint="eastAsia" w:ascii="宋体" w:hAnsi="宋体" w:eastAsia="宋体" w:cs="宋体"/>
          <w:i w:val="0"/>
          <w:iCs w:val="0"/>
          <w:caps w:val="0"/>
          <w:color w:val="auto"/>
          <w:spacing w:val="0"/>
          <w:sz w:val="24"/>
          <w:szCs w:val="24"/>
          <w:shd w:val="clear" w:color="auto" w:fill="FFFFFF"/>
        </w:rPr>
        <w:t>、</w:t>
      </w:r>
      <w:r>
        <w:rPr>
          <w:rFonts w:hint="eastAsia" w:ascii="宋体" w:hAnsi="宋体" w:eastAsia="宋体" w:cs="宋体"/>
          <w:i w:val="0"/>
          <w:iCs w:val="0"/>
          <w:caps w:val="0"/>
          <w:color w:val="auto"/>
          <w:spacing w:val="0"/>
          <w:sz w:val="24"/>
          <w:szCs w:val="24"/>
          <w:shd w:val="clear" w:color="auto" w:fill="FFFFFF"/>
          <w:lang w:val="en-US" w:eastAsia="zh-CN"/>
        </w:rPr>
        <w:t>组织管理、产出与效益效果。</w:t>
      </w:r>
      <w:r>
        <w:rPr>
          <w:rFonts w:hint="eastAsia" w:ascii="宋体" w:hAnsi="宋体" w:eastAsia="宋体" w:cs="宋体"/>
          <w:i w:val="0"/>
          <w:iCs w:val="0"/>
          <w:caps w:val="0"/>
          <w:color w:val="auto"/>
          <w:spacing w:val="0"/>
          <w:sz w:val="24"/>
          <w:szCs w:val="24"/>
          <w:shd w:val="clear" w:color="auto" w:fill="FFFFFF"/>
        </w:rPr>
        <w:t>项目实施主要通过项目决策、项目过程、项目产出以及项目效益</w:t>
      </w:r>
      <w:r>
        <w:rPr>
          <w:rFonts w:hint="eastAsia" w:ascii="宋体" w:hAnsi="宋体" w:eastAsia="宋体" w:cs="宋体"/>
          <w:color w:val="auto"/>
          <w:sz w:val="24"/>
          <w:szCs w:val="24"/>
        </w:rPr>
        <w:t>等方面进行评价，其中：</w:t>
      </w:r>
    </w:p>
    <w:p w14:paraId="34FA6CF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项目决策：该项目主要通过</w:t>
      </w:r>
      <w:r>
        <w:rPr>
          <w:rFonts w:hint="eastAsia" w:ascii="宋体" w:hAnsi="宋体" w:eastAsia="宋体" w:cs="宋体"/>
          <w:color w:val="auto"/>
          <w:kern w:val="2"/>
          <w:sz w:val="24"/>
          <w:szCs w:val="24"/>
          <w:lang w:val="en-US" w:eastAsia="zh-CN" w:bidi="ar-SA"/>
        </w:rPr>
        <w:t>财政厅《关于提前下达2024年中央农村综合改革转移支付预算的通知》（新财农〔2023〕89号）和《关于提前下达2024年自治区农村综合改革转移支付预算的通知》（新财农〔2023〕105号）</w:t>
      </w:r>
      <w:r>
        <w:rPr>
          <w:rFonts w:hint="eastAsia" w:ascii="宋体" w:hAnsi="宋体" w:eastAsia="宋体" w:cs="宋体"/>
          <w:color w:val="auto"/>
          <w:sz w:val="24"/>
          <w:szCs w:val="24"/>
        </w:rPr>
        <w:t>文件立项，项目实施符合</w:t>
      </w:r>
      <w:r>
        <w:rPr>
          <w:rFonts w:hint="eastAsia" w:ascii="宋体" w:hAnsi="宋体" w:eastAsia="宋体" w:cs="宋体"/>
          <w:color w:val="auto"/>
          <w:kern w:val="2"/>
          <w:sz w:val="24"/>
          <w:szCs w:val="24"/>
          <w:lang w:val="en-US" w:eastAsia="zh-CN" w:bidi="ar-SA"/>
        </w:rPr>
        <w:t>我镇实际制定本方案要求，</w:t>
      </w:r>
      <w:r>
        <w:rPr>
          <w:rFonts w:hint="eastAsia" w:ascii="宋体" w:hAnsi="宋体" w:eastAsia="宋体" w:cs="宋体"/>
          <w:color w:val="auto"/>
          <w:sz w:val="24"/>
          <w:szCs w:val="24"/>
        </w:rPr>
        <w:t xml:space="preserve">项目立项依据充分，立项程序规范。 </w:t>
      </w:r>
    </w:p>
    <w:p w14:paraId="772ECD2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w:t>
      </w: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w:t>
      </w:r>
      <w:r>
        <w:rPr>
          <w:rFonts w:hint="eastAsia" w:ascii="宋体" w:hAnsi="宋体" w:eastAsia="宋体" w:cs="宋体"/>
          <w:color w:val="auto"/>
          <w:sz w:val="24"/>
          <w:szCs w:val="24"/>
        </w:rPr>
        <w:t xml:space="preserve">项目预算安排 </w:t>
      </w:r>
      <w:r>
        <w:rPr>
          <w:rFonts w:hint="eastAsia" w:ascii="宋体" w:hAnsi="宋体" w:eastAsia="宋体" w:cs="宋体"/>
          <w:color w:val="auto"/>
          <w:sz w:val="24"/>
          <w:szCs w:val="24"/>
          <w:lang w:val="en-US" w:eastAsia="zh-CN"/>
        </w:rPr>
        <w:t>184</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179.34</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97</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3BC9A6C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项目产出：项目实施产生的数量、质量等</w:t>
      </w:r>
      <w:r>
        <w:rPr>
          <w:rFonts w:hint="eastAsia" w:ascii="宋体" w:hAnsi="宋体" w:eastAsia="宋体" w:cs="宋体"/>
          <w:color w:val="auto"/>
          <w:sz w:val="24"/>
          <w:szCs w:val="24"/>
          <w:lang w:val="en-US" w:eastAsia="zh-CN"/>
        </w:rPr>
        <w:t>完成情况本次2024年农村综合改革（农村公益事业财政奖补）资金要求，计划投资184 万元，用于扶持洛浦县恰尔巴格镇古勒巴格村、阔恰艾日克村、丘拉克铁热克村、吾斯塘乌其村人居环境整治，进一步提升村容村貌，改善人居环境，为广大群众出行提供更多便利。。</w:t>
      </w:r>
    </w:p>
    <w:p w14:paraId="379DC00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rPr>
        <w:t>项目效益：通过实施此项目产生</w:t>
      </w:r>
      <w:r>
        <w:rPr>
          <w:rFonts w:hint="eastAsia" w:ascii="宋体" w:hAnsi="宋体" w:eastAsia="宋体" w:cs="宋体"/>
          <w:color w:val="auto"/>
          <w:sz w:val="24"/>
          <w:szCs w:val="24"/>
          <w:lang w:val="en-US" w:eastAsia="zh-CN" w:bidi="ar-SA"/>
        </w:rPr>
        <w:t>本</w:t>
      </w:r>
      <w:r>
        <w:rPr>
          <w:rFonts w:hint="eastAsia" w:ascii="宋体" w:hAnsi="宋体" w:eastAsia="宋体" w:cs="宋体"/>
          <w:color w:val="auto"/>
          <w:sz w:val="24"/>
          <w:szCs w:val="24"/>
          <w:lang w:val="en-US" w:eastAsia="zh-CN"/>
        </w:rPr>
        <w:t>级绩效评价遵循科学规范、公开公正、绩效相关和问题导向的原则、重点评价项目的资金投入与</w:t>
      </w:r>
      <w:r>
        <w:rPr>
          <w:rFonts w:hint="eastAsia" w:ascii="宋体" w:hAnsi="宋体" w:eastAsia="宋体" w:cs="宋体"/>
          <w:color w:val="auto"/>
          <w:sz w:val="24"/>
          <w:szCs w:val="24"/>
          <w:highlight w:val="none"/>
          <w:lang w:val="en-US" w:eastAsia="zh-CN"/>
        </w:rPr>
        <w:t>财务管理、组织管理、产出与效益效果。</w:t>
      </w:r>
    </w:p>
    <w:p w14:paraId="51231E87">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2DD8053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i w:val="0"/>
          <w:iCs w:val="0"/>
          <w:caps w:val="0"/>
          <w:color w:val="auto"/>
          <w:spacing w:val="0"/>
          <w:sz w:val="24"/>
          <w:szCs w:val="24"/>
          <w:highlight w:val="none"/>
          <w:shd w:val="clear" w:color="auto" w:fill="FFFFFF"/>
        </w:rPr>
        <w:t>2024年中央农村综合改革转移支付资金-农村公益事业财政奖补</w:t>
      </w:r>
      <w:r>
        <w:rPr>
          <w:rFonts w:hint="eastAsia" w:ascii="宋体" w:hAnsi="宋体" w:eastAsia="宋体" w:cs="宋体"/>
          <w:color w:val="auto"/>
          <w:sz w:val="24"/>
          <w:szCs w:val="24"/>
          <w:highlight w:val="none"/>
        </w:rPr>
        <w:t>项目进行客观评价，最终评分结果：评价总分</w:t>
      </w:r>
      <w:r>
        <w:rPr>
          <w:rFonts w:hint="eastAsia" w:ascii="宋体" w:hAnsi="宋体" w:eastAsia="宋体" w:cs="宋体"/>
          <w:color w:val="auto"/>
          <w:sz w:val="24"/>
          <w:szCs w:val="24"/>
          <w:highlight w:val="none"/>
          <w:lang w:val="en-US" w:eastAsia="zh-CN"/>
        </w:rPr>
        <w:t>99.64</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eastAsia="zh-CN"/>
        </w:rPr>
        <w:t>优</w:t>
      </w:r>
      <w:r>
        <w:rPr>
          <w:rFonts w:hint="eastAsia" w:ascii="宋体" w:hAnsi="宋体" w:eastAsia="宋体" w:cs="宋体"/>
          <w:color w:val="auto"/>
          <w:sz w:val="24"/>
          <w:szCs w:val="24"/>
          <w:highlight w:val="none"/>
        </w:rPr>
        <w:t>”。</w:t>
      </w:r>
      <w:bookmarkEnd w:id="13"/>
    </w:p>
    <w:p w14:paraId="25A047B6">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4" w:name="_Toc68364667"/>
    </w:p>
    <w:p w14:paraId="369098FA">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四、绩效评价指标分析</w:t>
      </w:r>
      <w:bookmarkEnd w:id="14"/>
    </w:p>
    <w:p w14:paraId="60DF3639">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5" w:name="_Toc68364668"/>
      <w:r>
        <w:rPr>
          <w:rFonts w:hint="eastAsia" w:ascii="宋体" w:hAnsi="宋体" w:eastAsia="宋体" w:cs="宋体"/>
          <w:sz w:val="24"/>
          <w:szCs w:val="24"/>
        </w:rPr>
        <w:t>（一）项目决策</w:t>
      </w:r>
      <w:r>
        <w:rPr>
          <w:rFonts w:hint="eastAsia" w:ascii="宋体" w:hAnsi="宋体" w:eastAsia="宋体" w:cs="宋体"/>
          <w:color w:val="auto"/>
          <w:sz w:val="24"/>
          <w:szCs w:val="24"/>
        </w:rPr>
        <w:t>情况</w:t>
      </w:r>
    </w:p>
    <w:p w14:paraId="563350DB">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项目决策类指标包括项目立项、绩效目标和资金投入三方面的内容，由6个三级指标构成，权重分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59353C96">
      <w:pPr>
        <w:keepNext w:val="0"/>
        <w:keepLines w:val="0"/>
        <w:pageBreakBefore w:val="0"/>
        <w:widowControl w:val="0"/>
        <w:numPr>
          <w:ilvl w:val="0"/>
          <w:numId w:val="5"/>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立项依据充分性：</w:t>
      </w:r>
    </w:p>
    <w:p w14:paraId="2A438112">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本项目立项符合</w:t>
      </w:r>
      <w:r>
        <w:rPr>
          <w:rFonts w:hint="eastAsia" w:ascii="宋体" w:hAnsi="宋体" w:eastAsia="宋体" w:cs="宋体"/>
          <w:b w:val="0"/>
          <w:bCs w:val="0"/>
          <w:color w:val="auto"/>
          <w:kern w:val="2"/>
          <w:sz w:val="24"/>
          <w:szCs w:val="24"/>
          <w:lang w:val="en-US" w:eastAsia="zh-CN" w:bidi="ar-SA"/>
        </w:rPr>
        <w:t>财</w:t>
      </w:r>
      <w:r>
        <w:rPr>
          <w:rFonts w:hint="eastAsia" w:ascii="宋体" w:hAnsi="宋体" w:eastAsia="宋体" w:cs="宋体"/>
          <w:color w:val="auto"/>
          <w:sz w:val="24"/>
          <w:szCs w:val="24"/>
          <w:lang w:val="en-US" w:eastAsia="zh-CN"/>
        </w:rPr>
        <w:t>政厅《关于提前下达2024年中央农村综合改革转移支付预算的通知》（新财农〔2023〕89号）和《关于提前下达2024年自治区农村综合改革转移支付预算的通知》（新财农〔2023〕105号）</w:t>
      </w:r>
      <w:r>
        <w:rPr>
          <w:rFonts w:hint="eastAsia" w:ascii="宋体" w:hAnsi="宋体" w:eastAsia="宋体" w:cs="宋体"/>
          <w:color w:val="auto"/>
          <w:sz w:val="24"/>
          <w:szCs w:val="24"/>
        </w:rPr>
        <w:t>；本项目立项符</w:t>
      </w:r>
      <w:r>
        <w:rPr>
          <w:rFonts w:hint="eastAsia" w:ascii="宋体" w:hAnsi="宋体" w:eastAsia="宋体" w:cs="宋体"/>
          <w:color w:val="auto"/>
          <w:sz w:val="24"/>
          <w:szCs w:val="24"/>
          <w:lang w:val="en-US"/>
        </w:rPr>
        <w:t>合《</w:t>
      </w:r>
      <w:r>
        <w:rPr>
          <w:rFonts w:hint="eastAsia" w:ascii="宋体" w:hAnsi="宋体" w:eastAsia="宋体" w:cs="宋体"/>
          <w:color w:val="auto"/>
          <w:sz w:val="24"/>
          <w:szCs w:val="24"/>
          <w:lang w:val="en-US" w:eastAsia="zh-CN"/>
        </w:rPr>
        <w:t>财政厅《关于提前下达2024年中央农村综合改革转移支付预算的通知》（新财农〔2023〕89号）和《关于提前下达2024年自治区农村综合改革转移支付预算的通知》（新财农〔2023〕105号）</w:t>
      </w:r>
      <w:r>
        <w:rPr>
          <w:rFonts w:hint="eastAsia" w:ascii="宋体" w:hAnsi="宋体" w:eastAsia="宋体" w:cs="宋体"/>
          <w:color w:val="auto"/>
          <w:sz w:val="24"/>
          <w:szCs w:val="24"/>
          <w:lang w:val="en-US"/>
        </w:rPr>
        <w:t>内容，</w:t>
      </w:r>
      <w:r>
        <w:rPr>
          <w:rFonts w:hint="eastAsia" w:ascii="宋体" w:hAnsi="宋体" w:eastAsia="宋体" w:cs="宋体"/>
          <w:color w:val="auto"/>
          <w:sz w:val="24"/>
          <w:szCs w:val="24"/>
        </w:rPr>
        <w:t>符合行业发展规划和政策要求；本项目立项符合《</w:t>
      </w:r>
      <w:r>
        <w:rPr>
          <w:rFonts w:hint="eastAsia" w:ascii="宋体" w:hAnsi="宋体" w:eastAsia="宋体" w:cs="宋体"/>
          <w:color w:val="auto"/>
          <w:sz w:val="24"/>
          <w:szCs w:val="24"/>
          <w:lang w:eastAsia="zh-CN"/>
        </w:rPr>
        <w:t>洛浦县恰尔巴格镇人民政府</w:t>
      </w:r>
      <w:r>
        <w:rPr>
          <w:rFonts w:hint="eastAsia" w:ascii="宋体" w:hAnsi="宋体" w:eastAsia="宋体" w:cs="宋体"/>
          <w:color w:val="auto"/>
          <w:sz w:val="24"/>
          <w:szCs w:val="24"/>
        </w:rPr>
        <w:t>配置内设机构和人员编制规定》中职责范围中的</w:t>
      </w:r>
      <w:r>
        <w:rPr>
          <w:rFonts w:hint="eastAsia" w:ascii="宋体" w:hAnsi="宋体" w:eastAsia="宋体" w:cs="宋体"/>
          <w:color w:val="auto"/>
          <w:sz w:val="24"/>
          <w:szCs w:val="24"/>
          <w:lang w:eastAsia="zh-CN"/>
        </w:rPr>
        <w:t>相关规定</w:t>
      </w:r>
      <w:r>
        <w:rPr>
          <w:rFonts w:hint="eastAsia" w:ascii="宋体" w:hAnsi="宋体" w:eastAsia="宋体" w:cs="宋体"/>
          <w:color w:val="auto"/>
          <w:sz w:val="24"/>
          <w:szCs w:val="24"/>
        </w:rPr>
        <w:t>，属于我单位履职所需；根据《财政资金直接支付申请书》，本项目资金性质为“公共财政预算”功能分类为“</w:t>
      </w:r>
      <w:r>
        <w:rPr>
          <w:rFonts w:hint="eastAsia" w:ascii="宋体" w:hAnsi="宋体" w:eastAsia="宋体" w:cs="宋体"/>
          <w:color w:val="auto"/>
          <w:sz w:val="24"/>
          <w:szCs w:val="24"/>
          <w:lang w:val="en-US" w:eastAsia="zh-CN"/>
        </w:rPr>
        <w:t>2130701</w:t>
      </w:r>
      <w:r>
        <w:rPr>
          <w:rFonts w:hint="eastAsia" w:ascii="宋体" w:hAnsi="宋体" w:eastAsia="宋体" w:cs="宋体"/>
          <w:color w:val="auto"/>
          <w:sz w:val="24"/>
          <w:szCs w:val="24"/>
        </w:rPr>
        <w:t>”经济分类为“</w:t>
      </w:r>
      <w:r>
        <w:rPr>
          <w:rFonts w:hint="eastAsia" w:ascii="宋体" w:hAnsi="宋体" w:eastAsia="宋体" w:cs="宋体"/>
          <w:color w:val="auto"/>
          <w:sz w:val="24"/>
          <w:szCs w:val="24"/>
          <w:lang w:val="en-US" w:eastAsia="zh-CN"/>
        </w:rPr>
        <w:t>50402</w:t>
      </w:r>
      <w:r>
        <w:rPr>
          <w:rFonts w:hint="eastAsia" w:ascii="宋体" w:hAnsi="宋体" w:eastAsia="宋体" w:cs="宋体"/>
          <w:color w:val="auto"/>
          <w:sz w:val="24"/>
          <w:szCs w:val="24"/>
        </w:rPr>
        <w:t>”属</w:t>
      </w:r>
      <w:r>
        <w:rPr>
          <w:rFonts w:hint="eastAsia" w:ascii="宋体" w:hAnsi="宋体" w:eastAsia="宋体" w:cs="宋体"/>
          <w:color w:val="auto"/>
          <w:sz w:val="24"/>
          <w:szCs w:val="24"/>
          <w:highlight w:val="none"/>
        </w:rPr>
        <w:t>于公共财政支持范围，符合中央、地方事权支出责任划分原则；经检查我单位财政应用平台指标，本项目不存在重复。</w:t>
      </w:r>
    </w:p>
    <w:p w14:paraId="27B7A582">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4079559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279875B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本2024年中央农村综合改革转移支付资金-农村公益事业财政奖补项目立项过程中产生的文件均符合相关要求。本项目为</w:t>
      </w:r>
      <w:r>
        <w:rPr>
          <w:rFonts w:hint="eastAsia" w:ascii="宋体" w:hAnsi="宋体" w:eastAsia="宋体" w:cs="宋体"/>
          <w:color w:val="auto"/>
          <w:sz w:val="24"/>
          <w:szCs w:val="24"/>
          <w:highlight w:val="none"/>
          <w:lang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184</w:t>
      </w:r>
      <w:r>
        <w:rPr>
          <w:rFonts w:hint="eastAsia" w:ascii="宋体" w:hAnsi="宋体" w:eastAsia="宋体" w:cs="宋体"/>
          <w:color w:val="auto"/>
          <w:sz w:val="24"/>
          <w:szCs w:val="24"/>
          <w:highlight w:val="none"/>
        </w:rPr>
        <w:t>万元，不涉及事前绩效评估和风险评估，已委托单位完成本项目可行性研究报告的编制，并经过专家论证。</w:t>
      </w:r>
    </w:p>
    <w:p w14:paraId="625CE38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sz w:val="24"/>
          <w:szCs w:val="24"/>
        </w:rPr>
        <w:t>（3）绩效目标合理性</w:t>
      </w:r>
      <w:r>
        <w:rPr>
          <w:rFonts w:hint="eastAsia" w:ascii="宋体" w:hAnsi="宋体" w:eastAsia="宋体" w:cs="宋体"/>
          <w:sz w:val="24"/>
          <w:szCs w:val="24"/>
        </w:rPr>
        <w:t>：</w:t>
      </w:r>
    </w:p>
    <w:p w14:paraId="1E6FDE0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w:t>
      </w:r>
      <w:r>
        <w:rPr>
          <w:rFonts w:hint="eastAsia" w:ascii="宋体" w:hAnsi="宋体" w:eastAsia="宋体" w:cs="宋体"/>
          <w:color w:val="FF0000"/>
          <w:sz w:val="24"/>
          <w:szCs w:val="24"/>
        </w:rPr>
        <w:t>“</w:t>
      </w:r>
      <w:r>
        <w:rPr>
          <w:rFonts w:hint="eastAsia" w:ascii="宋体" w:hAnsi="宋体" w:eastAsia="宋体" w:cs="宋体"/>
          <w:color w:val="auto"/>
          <w:sz w:val="24"/>
          <w:szCs w:val="24"/>
        </w:rPr>
        <w:t>根据财政厅《关于提前下达2O24年中央农村综合改革转移支付预算的通知》（新财农〔2023〕89号）和《关于提前下达2O24年自治区农村综合改革转移支付预算的通知》（新财农〔2023〕105号）实施此项目，项目主要内容为：在古勒巴格村、丘拉克铁热克村、阔恰艾日克村、吾斯塘吾其村实施村庄绿化、美化、亮化、水渠疏通、道路修补，改善人居环境。”。</w:t>
      </w:r>
    </w:p>
    <w:p w14:paraId="10D6294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rPr>
        <w:t>②该项目实际工作内容为</w:t>
      </w:r>
      <w:r>
        <w:rPr>
          <w:rFonts w:hint="eastAsia" w:ascii="宋体" w:hAnsi="宋体" w:eastAsia="宋体" w:cs="宋体"/>
          <w:color w:val="FF0000"/>
          <w:sz w:val="24"/>
          <w:szCs w:val="24"/>
          <w:highlight w:val="none"/>
        </w:rPr>
        <w:t>：</w:t>
      </w:r>
      <w:r>
        <w:rPr>
          <w:rFonts w:hint="eastAsia" w:ascii="宋体" w:hAnsi="宋体" w:eastAsia="宋体" w:cs="宋体"/>
          <w:color w:val="auto"/>
          <w:sz w:val="24"/>
          <w:szCs w:val="24"/>
          <w:lang w:val="en-US" w:eastAsia="zh-CN"/>
        </w:rPr>
        <w:t>吾斯塘乌其村：在村庄9.5公里主干道路新建安装太阳能路灯381盏（灯杆间距为30米），配套建设相关附属设施。项目总投资：50万元。</w:t>
      </w:r>
    </w:p>
    <w:p w14:paraId="6920070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丘拉克铁热克村：1.主干道路130盏路灯位置前移及部分维修。2.修缮疏通灌溉渠420米（配套建设3座长6米、宽4米水泥盖板桥）。3.村庄主干道路修补400平方米。项目总投资：42万元</w:t>
      </w:r>
    </w:p>
    <w:p w14:paraId="5FA2EFD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阔恰艾日克村：对2公里村庄主干道进行美化、绿化，主要种植品种地接金叶榆320㎡11520株、胶东卫矛298㎡7450株、紫叶矮樱283㎡7075株、大花月季229㎡3664株、爬藤月季245株、水蜡750.3㎡18758株、紫丁香50㎡1250株、红瑞木220㎡7920株、龙柏100㎡2500株、草坪4815㎡、独杆金叶榆球31株、独杆榆叶梅9株、独杆红叶李球23株、独杆卫矛球14株、造型塔柏2株、紫叶稠李163株、平整场地7065㎡。项目总投资：42万元</w:t>
      </w:r>
    </w:p>
    <w:p w14:paraId="00E0ABC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lang w:val="en-US" w:eastAsia="zh-CN"/>
        </w:rPr>
        <w:t>古勒巴格村：1.在9公里村庄主干道路新建安装太阳能路灯300盏（灯杆间距为30米），配套建设相关附属设施。2.建设党建文化长廊（长90米、宽3米、高2.7米），材质为防腐木，防腐木质花箱60个（长1米、宽0.5米、高0.8米），制作宣传展板18个（长3米、宽2米），配套建设周边绿化。3.新建18.88平方米桥面。项目总投资：50万元，</w:t>
      </w:r>
      <w:r>
        <w:rPr>
          <w:rFonts w:hint="eastAsia" w:ascii="宋体" w:hAnsi="宋体" w:eastAsia="宋体" w:cs="宋体"/>
          <w:color w:val="auto"/>
          <w:sz w:val="24"/>
          <w:szCs w:val="24"/>
          <w:highlight w:val="none"/>
        </w:rPr>
        <w:t>绩效目标与实际工作内容一致，两者具有相关性。</w:t>
      </w:r>
    </w:p>
    <w:p w14:paraId="531417D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w:t>
      </w:r>
      <w:r>
        <w:rPr>
          <w:rFonts w:hint="eastAsia" w:ascii="宋体" w:hAnsi="宋体" w:eastAsia="宋体" w:cs="宋体"/>
          <w:color w:val="auto"/>
          <w:sz w:val="24"/>
          <w:szCs w:val="24"/>
          <w:highlight w:val="none"/>
          <w:lang w:val="en-US" w:eastAsia="zh-CN"/>
        </w:rPr>
        <w:t>量达到100%</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预期</w:t>
      </w:r>
      <w:r>
        <w:rPr>
          <w:rFonts w:hint="eastAsia" w:ascii="宋体" w:hAnsi="宋体" w:eastAsia="宋体" w:cs="宋体"/>
          <w:color w:val="auto"/>
          <w:sz w:val="24"/>
          <w:szCs w:val="24"/>
          <w:highlight w:val="none"/>
        </w:rPr>
        <w:t>效益，预期产出效益和效果符合正常的业绩水平。</w:t>
      </w:r>
    </w:p>
    <w:p w14:paraId="3C62D25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184</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184</w:t>
      </w:r>
      <w:r>
        <w:rPr>
          <w:rFonts w:hint="eastAsia" w:ascii="宋体" w:hAnsi="宋体" w:eastAsia="宋体" w:cs="宋体"/>
          <w:color w:val="auto"/>
          <w:sz w:val="24"/>
          <w:szCs w:val="24"/>
          <w:highlight w:val="none"/>
        </w:rPr>
        <w:t>万元，预算确定的项目资金与预算确定的项目投资额相匹配。</w:t>
      </w:r>
    </w:p>
    <w:p w14:paraId="098A835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5EE4D9C">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，共设置一级指标3个，二级指标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75</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4EF7F8F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eastAsia="zh-CN"/>
        </w:rPr>
        <w:t>保障项目数量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太阳能路灯，苗木栽植，道路修补，修缮疏通</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项目完成时间</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5710282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w:t>
      </w:r>
      <w:r>
        <w:rPr>
          <w:rFonts w:hint="eastAsia" w:ascii="宋体" w:hAnsi="宋体" w:eastAsia="宋体" w:cs="宋体"/>
          <w:color w:val="auto"/>
          <w:sz w:val="24"/>
          <w:szCs w:val="24"/>
          <w:highlight w:val="none"/>
        </w:rPr>
        <w:t>，即预算编制较科学且经过论证；</w:t>
      </w:r>
    </w:p>
    <w:p w14:paraId="2FD3AE5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w:t>
      </w: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w:t>
      </w:r>
      <w:r>
        <w:rPr>
          <w:rFonts w:hint="eastAsia" w:ascii="宋体" w:hAnsi="宋体" w:eastAsia="宋体" w:cs="宋体"/>
          <w:color w:val="auto"/>
          <w:sz w:val="24"/>
          <w:szCs w:val="24"/>
          <w:highlight w:val="none"/>
        </w:rPr>
        <w:t>为，项目实际内容为</w:t>
      </w: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w:t>
      </w:r>
      <w:r>
        <w:rPr>
          <w:rFonts w:hint="eastAsia" w:ascii="宋体" w:hAnsi="宋体" w:eastAsia="宋体" w:cs="宋体"/>
          <w:color w:val="auto"/>
          <w:sz w:val="24"/>
          <w:szCs w:val="24"/>
          <w:highlight w:val="none"/>
        </w:rPr>
        <w:t>，预算申请与《</w:t>
      </w: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w:t>
      </w:r>
      <w:r>
        <w:rPr>
          <w:rFonts w:hint="eastAsia" w:ascii="宋体" w:hAnsi="宋体" w:eastAsia="宋体" w:cs="宋体"/>
          <w:color w:val="auto"/>
          <w:sz w:val="24"/>
          <w:szCs w:val="24"/>
          <w:highlight w:val="none"/>
        </w:rPr>
        <w:t>项目实施方案》中涉及的项目内容匹配；</w:t>
      </w:r>
    </w:p>
    <w:p w14:paraId="0E7DCD4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184</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lang w:eastAsia="zh-CN"/>
        </w:rPr>
        <w:t>村庄绿化美化水渠疏通，道路修补，改善人居环境</w:t>
      </w:r>
    </w:p>
    <w:p w14:paraId="4F6737F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118</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lang w:eastAsia="zh-CN"/>
        </w:rPr>
        <w:t>工程服务，工程造价咨询</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61.23</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3F06419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本项目实际分配资金以《关于申请XXX项目资金的请示》和《XX项目实施方案》为依据进行资金分配，预算资金分配依据充分。根据《</w:t>
      </w:r>
      <w:r>
        <w:rPr>
          <w:rFonts w:hint="eastAsia" w:ascii="宋体" w:hAnsi="宋体" w:eastAsia="宋体" w:cs="宋体"/>
          <w:color w:val="auto"/>
          <w:sz w:val="24"/>
          <w:szCs w:val="24"/>
          <w:highlight w:val="none"/>
          <w:lang w:val="en-US" w:eastAsia="zh-CN"/>
        </w:rPr>
        <w:t>财政厅《关于提前下达2024年中央农村综合改革转移支付预算的通知》（新财农〔2023〕89号）和《关于提前下达2024年自治区农村综合改革转移支付预算的通知》（新财农〔2023〕105号）</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184</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万元，资金分配额度合理，与我单位实际需求相适应。资金分配与实际相适应，根据评分标准，该指标不扣分，得2分。</w:t>
      </w:r>
    </w:p>
    <w:p w14:paraId="78495CCC">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7B71D82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5个三级指标构成，权重分为20分，实际得分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3D42ED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184</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184</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184</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 xml:space="preserve">分。   </w:t>
      </w:r>
    </w:p>
    <w:p w14:paraId="191FBBF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179.24</w:t>
      </w:r>
      <w:r>
        <w:rPr>
          <w:rFonts w:hint="eastAsia" w:ascii="宋体" w:hAnsi="宋体" w:eastAsia="宋体" w:cs="宋体"/>
          <w:color w:val="auto"/>
          <w:sz w:val="24"/>
          <w:szCs w:val="24"/>
          <w:highlight w:val="none"/>
        </w:rPr>
        <w:t>万元，预算执行率=（实际支出资金/实际到位资金）×100</w:t>
      </w:r>
      <w:r>
        <w:rPr>
          <w:rFonts w:hint="eastAsia" w:ascii="宋体" w:hAnsi="宋体" w:eastAsia="宋体" w:cs="宋体"/>
          <w:b w:val="0"/>
          <w:bCs w:val="0"/>
          <w:color w:val="auto"/>
          <w:sz w:val="24"/>
          <w:szCs w:val="24"/>
          <w:highlight w:val="none"/>
        </w:rPr>
        <w:t>.0%=</w:t>
      </w:r>
      <w:r>
        <w:rPr>
          <w:rFonts w:hint="eastAsia" w:ascii="宋体" w:hAnsi="宋体" w:eastAsia="宋体" w:cs="宋体"/>
          <w:b w:val="0"/>
          <w:bCs w:val="0"/>
          <w:color w:val="auto"/>
          <w:sz w:val="24"/>
          <w:szCs w:val="24"/>
          <w:highlight w:val="none"/>
          <w:lang w:val="en-US" w:eastAsia="zh-CN"/>
        </w:rPr>
        <w:t>97</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通过分析可知，该项目</w:t>
      </w:r>
      <w:r>
        <w:rPr>
          <w:rFonts w:hint="eastAsia" w:ascii="宋体" w:hAnsi="宋体" w:eastAsia="宋体" w:cs="宋体"/>
          <w:b w:val="0"/>
          <w:bCs w:val="0"/>
          <w:color w:val="auto"/>
          <w:sz w:val="24"/>
          <w:szCs w:val="24"/>
          <w:highlight w:val="none"/>
        </w:rPr>
        <w:t>预算编制较为详细，项</w:t>
      </w:r>
      <w:r>
        <w:rPr>
          <w:rFonts w:hint="eastAsia" w:ascii="宋体" w:hAnsi="宋体" w:eastAsia="宋体" w:cs="宋体"/>
          <w:color w:val="auto"/>
          <w:sz w:val="24"/>
          <w:szCs w:val="24"/>
          <w:highlight w:val="none"/>
        </w:rPr>
        <w:t>目资金支出总体能够按照预算执行，根据评分标准，该指标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分，得3</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分。</w:t>
      </w:r>
    </w:p>
    <w:p w14:paraId="04D4DAE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洛浦县恰尔巴格镇人民政府</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洛浦县恰尔巴格镇人民政府</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制定了相关的制度和管理规定对经费使用进行规范管理，财务制度健全、执行严格，根据评分标准，该指标不扣分，得4分。</w:t>
      </w:r>
    </w:p>
    <w:p w14:paraId="73924C7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b w:val="0"/>
          <w:bCs w:val="0"/>
          <w:color w:val="auto"/>
          <w:sz w:val="24"/>
          <w:szCs w:val="24"/>
          <w:highlight w:val="none"/>
          <w:lang w:eastAsia="zh-CN"/>
        </w:rPr>
        <w:t>恰尔巴格镇人民政府</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eastAsia="zh-CN"/>
        </w:rPr>
        <w:t>恰尔巴格镇人民政府</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eastAsia="zh-CN"/>
        </w:rPr>
        <w:t>恰尔巴格镇</w:t>
      </w:r>
      <w:r>
        <w:rPr>
          <w:rFonts w:hint="eastAsia" w:ascii="宋体" w:hAnsi="宋体" w:eastAsia="宋体" w:cs="宋体"/>
          <w:b w:val="0"/>
          <w:bCs w:val="0"/>
          <w:color w:val="auto"/>
          <w:sz w:val="24"/>
          <w:szCs w:val="24"/>
          <w:highlight w:val="none"/>
          <w:lang w:val="en-US" w:eastAsia="zh-CN"/>
        </w:rPr>
        <w:t>人民政府</w:t>
      </w:r>
      <w:r>
        <w:rPr>
          <w:rFonts w:hint="eastAsia" w:ascii="宋体" w:hAnsi="宋体" w:eastAsia="宋体" w:cs="宋体"/>
          <w:b w:val="0"/>
          <w:bCs w:val="0"/>
          <w:color w:val="auto"/>
          <w:sz w:val="24"/>
          <w:szCs w:val="24"/>
          <w:highlight w:val="none"/>
        </w:rPr>
        <w:t>采购业务管理制度》《</w:t>
      </w:r>
      <w:r>
        <w:rPr>
          <w:rFonts w:hint="eastAsia" w:ascii="宋体" w:hAnsi="宋体" w:eastAsia="宋体" w:cs="宋体"/>
          <w:b w:val="0"/>
          <w:bCs w:val="0"/>
          <w:color w:val="auto"/>
          <w:sz w:val="24"/>
          <w:szCs w:val="24"/>
          <w:highlight w:val="none"/>
          <w:lang w:eastAsia="zh-CN"/>
        </w:rPr>
        <w:t>恰尔巴格镇人民政府</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制度均符合行政事业单位内控管理要求，财务和业务管理制度合法、合规、完整，本项目执行符合上述制度规定。根据评分标准，该指标不扣分，得5分。</w:t>
      </w:r>
    </w:p>
    <w:p w14:paraId="1142CAB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b w:val="0"/>
          <w:bCs w:val="0"/>
          <w:color w:val="auto"/>
          <w:sz w:val="24"/>
          <w:szCs w:val="24"/>
          <w:highlight w:val="none"/>
          <w:lang w:eastAsia="zh-CN"/>
        </w:rPr>
        <w:t>实施</w:t>
      </w:r>
      <w:r>
        <w:rPr>
          <w:rFonts w:hint="eastAsia" w:ascii="宋体" w:hAnsi="宋体" w:eastAsia="宋体" w:cs="宋体"/>
          <w:color w:val="auto"/>
          <w:sz w:val="24"/>
          <w:szCs w:val="24"/>
          <w:highlight w:val="none"/>
        </w:rPr>
        <w:t>办法》《</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61DA3E2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27A8472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5EFF49A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w:t>
      </w:r>
      <w:r>
        <w:rPr>
          <w:rFonts w:hint="eastAsia" w:ascii="宋体" w:hAnsi="宋体" w:eastAsia="宋体" w:cs="宋体"/>
          <w:color w:val="auto"/>
          <w:sz w:val="24"/>
          <w:szCs w:val="24"/>
          <w:highlight w:val="none"/>
        </w:rPr>
        <w:t>项目工作领导小组，由</w:t>
      </w:r>
      <w:r>
        <w:rPr>
          <w:rFonts w:hint="eastAsia" w:ascii="宋体" w:hAnsi="宋体" w:eastAsia="宋体" w:cs="宋体"/>
          <w:color w:val="auto"/>
          <w:sz w:val="24"/>
          <w:szCs w:val="24"/>
          <w:highlight w:val="none"/>
          <w:lang w:eastAsia="zh-CN"/>
        </w:rPr>
        <w:t>李歆文</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米吉提</w:t>
      </w:r>
      <w:r>
        <w:rPr>
          <w:rFonts w:hint="eastAsia" w:ascii="宋体" w:hAnsi="宋体" w:eastAsia="宋体" w:cs="宋体"/>
          <w:color w:val="auto"/>
          <w:sz w:val="24"/>
          <w:szCs w:val="24"/>
          <w:highlight w:val="none"/>
          <w:lang w:val="en-US" w:eastAsia="zh-CN"/>
        </w:rPr>
        <w:t>·阿西木</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米那瓦尔</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艾再提古丽</w:t>
      </w:r>
      <w:r>
        <w:rPr>
          <w:rFonts w:hint="eastAsia" w:ascii="宋体" w:hAnsi="宋体" w:eastAsia="宋体" w:cs="宋体"/>
          <w:color w:val="auto"/>
          <w:sz w:val="24"/>
          <w:szCs w:val="24"/>
          <w:highlight w:val="none"/>
        </w:rPr>
        <w:t>，主要负责项目监督管理、验收以及资金核拨等工作。根据评分标准，该指标不扣分，得5分。</w:t>
      </w:r>
    </w:p>
    <w:p w14:paraId="3F422B0F">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451D3FB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项目产出类指标包括产出数量、产出质量、产出时效、产出成本四方面的内容，由4个三级指标构成，权重分为4</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39.74</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99.35</w:t>
      </w:r>
      <w:r>
        <w:rPr>
          <w:rFonts w:hint="eastAsia" w:ascii="宋体" w:hAnsi="宋体" w:eastAsia="宋体" w:cs="宋体"/>
          <w:color w:val="auto"/>
          <w:sz w:val="24"/>
          <w:szCs w:val="24"/>
          <w:highlight w:val="none"/>
        </w:rPr>
        <w:t>%。</w:t>
      </w:r>
    </w:p>
    <w:p w14:paraId="6247E7A7">
      <w:pPr>
        <w:pageBreakBefore w:val="0"/>
        <w:widowControl w:val="0"/>
        <w:numPr>
          <w:ilvl w:val="0"/>
          <w:numId w:val="6"/>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0C72488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保障项目数量</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eastAsia="zh-CN"/>
        </w:rPr>
        <w:t>为等于</w:t>
      </w:r>
      <w:r>
        <w:rPr>
          <w:rFonts w:hint="eastAsia" w:ascii="宋体" w:hAnsi="宋体" w:eastAsia="宋体" w:cs="宋体"/>
          <w:color w:val="auto"/>
          <w:sz w:val="24"/>
          <w:szCs w:val="24"/>
          <w:highlight w:val="none"/>
          <w:lang w:val="en-US" w:eastAsia="zh-CN"/>
        </w:rPr>
        <w:t>4个/村，</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eastAsia="zh-CN"/>
        </w:rPr>
        <w:t>等于</w:t>
      </w:r>
      <w:r>
        <w:rPr>
          <w:rFonts w:hint="eastAsia" w:ascii="宋体" w:hAnsi="宋体" w:eastAsia="宋体" w:cs="宋体"/>
          <w:color w:val="auto"/>
          <w:sz w:val="24"/>
          <w:szCs w:val="24"/>
          <w:highlight w:val="none"/>
          <w:lang w:val="en-US" w:eastAsia="zh-CN"/>
        </w:rPr>
        <w:t>4个/村，</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567856D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采购太阳能路灯数量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eastAsia="zh-CN"/>
        </w:rPr>
        <w:t>为大于等于687盏，</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eastAsia="zh-CN"/>
        </w:rPr>
        <w:t>等于687盏</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4736E50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修缮疏通灌溉渠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eastAsia="zh-CN"/>
        </w:rPr>
        <w:t>为大于等于420米，</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eastAsia="zh-CN"/>
        </w:rPr>
        <w:t>等于420米</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71BE76A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道路修补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eastAsia="zh-CN"/>
        </w:rPr>
        <w:t>为大于等于4平方米，</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eastAsia="zh-CN"/>
        </w:rPr>
        <w:t>等于4平方米</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683500B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苗木栽植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eastAsia="zh-CN"/>
        </w:rPr>
        <w:t>为大于等于2公里，</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eastAsia="zh-CN"/>
        </w:rPr>
        <w:t>等于2公里</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7CF005F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1DC6F7AA">
      <w:pPr>
        <w:pageBreakBefore w:val="0"/>
        <w:widowControl w:val="0"/>
        <w:numPr>
          <w:ilvl w:val="0"/>
          <w:numId w:val="6"/>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564D8B0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验收合格率，预期指标值为</w:t>
      </w:r>
      <w:r>
        <w:rPr>
          <w:rFonts w:hint="eastAsia" w:ascii="宋体" w:hAnsi="宋体" w:eastAsia="宋体" w:cs="宋体"/>
          <w:color w:val="auto"/>
          <w:sz w:val="24"/>
          <w:szCs w:val="24"/>
          <w:highlight w:val="none"/>
          <w:lang w:eastAsia="zh-CN"/>
        </w:rPr>
        <w:t>等于</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6FCAFC4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29AA4F97">
      <w:pPr>
        <w:pStyle w:val="10"/>
        <w:pageBreakBefore w:val="0"/>
        <w:widowControl w:val="0"/>
        <w:numPr>
          <w:ilvl w:val="0"/>
          <w:numId w:val="6"/>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1112CC6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项目完成时间，预期指标值为</w:t>
      </w:r>
      <w:r>
        <w:rPr>
          <w:rFonts w:hint="eastAsia" w:ascii="宋体" w:hAnsi="宋体" w:eastAsia="宋体" w:cs="宋体"/>
          <w:b w:val="0"/>
          <w:color w:val="auto"/>
          <w:sz w:val="24"/>
          <w:szCs w:val="24"/>
          <w:highlight w:val="none"/>
          <w:lang w:eastAsia="zh-CN"/>
        </w:rPr>
        <w:t>等于</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6650F50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项目开始时间</w:t>
      </w: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rPr>
        <w:t>预期指标值为</w:t>
      </w:r>
      <w:r>
        <w:rPr>
          <w:rFonts w:hint="eastAsia" w:ascii="宋体" w:hAnsi="宋体" w:eastAsia="宋体" w:cs="宋体"/>
          <w:b w:val="0"/>
          <w:color w:val="auto"/>
          <w:sz w:val="24"/>
          <w:szCs w:val="24"/>
          <w:highlight w:val="none"/>
          <w:lang w:eastAsia="zh-CN"/>
        </w:rPr>
        <w:t>等于</w:t>
      </w:r>
      <w:r>
        <w:rPr>
          <w:rFonts w:hint="eastAsia" w:ascii="宋体" w:hAnsi="宋体" w:eastAsia="宋体" w:cs="宋体"/>
          <w:b w:val="0"/>
          <w:color w:val="auto"/>
          <w:sz w:val="24"/>
          <w:szCs w:val="24"/>
          <w:highlight w:val="none"/>
          <w:lang w:val="en-US" w:eastAsia="zh-CN"/>
        </w:rPr>
        <w:t>2024年3月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2024年3月</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1F1D780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lang w:eastAsia="zh-CN"/>
        </w:rPr>
        <w:t>资金支付及时率，</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等于</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0C6A3F5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6FA16C38">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6019D93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项目总支出，预期指标值为</w:t>
      </w:r>
      <w:r>
        <w:rPr>
          <w:rFonts w:hint="eastAsia" w:ascii="宋体" w:hAnsi="宋体" w:eastAsia="宋体" w:cs="宋体"/>
          <w:color w:val="auto"/>
          <w:sz w:val="24"/>
          <w:szCs w:val="24"/>
          <w:highlight w:val="none"/>
          <w:lang w:eastAsia="zh-CN"/>
        </w:rPr>
        <w:t>小于等于</w:t>
      </w:r>
      <w:r>
        <w:rPr>
          <w:rFonts w:hint="eastAsia" w:ascii="宋体" w:hAnsi="宋体" w:eastAsia="宋体" w:cs="宋体"/>
          <w:color w:val="auto"/>
          <w:sz w:val="24"/>
          <w:szCs w:val="24"/>
          <w:highlight w:val="none"/>
          <w:lang w:val="en-US" w:eastAsia="zh-CN"/>
        </w:rPr>
        <w:t>184万元</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179.24</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97%，</w:t>
      </w:r>
      <w:r>
        <w:rPr>
          <w:rFonts w:hint="eastAsia" w:ascii="宋体" w:hAnsi="宋体" w:eastAsia="宋体" w:cs="宋体"/>
          <w:color w:val="auto"/>
          <w:sz w:val="24"/>
          <w:szCs w:val="24"/>
          <w:highlight w:val="none"/>
        </w:rPr>
        <w:t>本年支付工程余款金额</w:t>
      </w:r>
      <w:r>
        <w:rPr>
          <w:rFonts w:hint="eastAsia" w:ascii="宋体" w:hAnsi="宋体" w:eastAsia="宋体" w:cs="宋体"/>
          <w:color w:val="auto"/>
          <w:sz w:val="24"/>
          <w:szCs w:val="24"/>
          <w:highlight w:val="none"/>
          <w:lang w:val="en-US" w:eastAsia="zh-CN"/>
        </w:rPr>
        <w:t>4.76</w:t>
      </w:r>
      <w:r>
        <w:rPr>
          <w:rFonts w:hint="eastAsia" w:ascii="宋体" w:hAnsi="宋体" w:eastAsia="宋体" w:cs="宋体"/>
          <w:color w:val="auto"/>
          <w:sz w:val="24"/>
          <w:szCs w:val="24"/>
          <w:highlight w:val="none"/>
        </w:rPr>
        <w:t>万元，项目经费都能控制绩效目标范围内，根据评分标准，该指标不扣分，得</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p>
    <w:p w14:paraId="6D74282C">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46B6C86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项目效益类指标包括项目效益1个方面的内容，由2个三级指标构成，权重分为</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分，实际得分</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分，得分</w:t>
      </w:r>
      <w:r>
        <w:rPr>
          <w:rFonts w:hint="eastAsia" w:ascii="宋体" w:hAnsi="宋体" w:eastAsia="宋体" w:cs="宋体"/>
          <w:color w:val="auto"/>
          <w:sz w:val="24"/>
          <w:szCs w:val="24"/>
          <w:highlight w:val="none"/>
        </w:rPr>
        <w:t>率为</w:t>
      </w:r>
      <w:r>
        <w:rPr>
          <w:rFonts w:hint="eastAsia" w:ascii="宋体" w:hAnsi="宋体" w:eastAsia="宋体" w:cs="宋体"/>
          <w:color w:val="auto"/>
          <w:sz w:val="24"/>
          <w:szCs w:val="24"/>
          <w:highlight w:val="none"/>
          <w:lang w:val="en-US" w:eastAsia="zh-CN"/>
        </w:rPr>
        <w:t>9.74</w:t>
      </w:r>
      <w:r>
        <w:rPr>
          <w:rFonts w:hint="eastAsia" w:ascii="宋体" w:hAnsi="宋体" w:eastAsia="宋体" w:cs="宋体"/>
          <w:color w:val="auto"/>
          <w:sz w:val="24"/>
          <w:szCs w:val="24"/>
          <w:highlight w:val="none"/>
        </w:rPr>
        <w:t>%。</w:t>
      </w:r>
    </w:p>
    <w:p w14:paraId="47F61A9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3E050D5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村人居环境整治是打响乡村振兴战略的第一枪，全力打造提升村容村貌</w:t>
      </w:r>
      <w:r>
        <w:rPr>
          <w:rFonts w:hint="eastAsia" w:ascii="宋体" w:hAnsi="宋体" w:eastAsia="宋体" w:cs="宋体"/>
          <w:color w:val="auto"/>
          <w:sz w:val="24"/>
          <w:szCs w:val="24"/>
        </w:rPr>
        <w:t>指标，该指标预期指标值为</w:t>
      </w:r>
      <w:r>
        <w:rPr>
          <w:rFonts w:hint="eastAsia" w:ascii="宋体" w:hAnsi="宋体" w:eastAsia="宋体" w:cs="宋体"/>
          <w:color w:val="auto"/>
          <w:sz w:val="24"/>
          <w:szCs w:val="24"/>
          <w:lang w:val="en-US" w:eastAsia="zh-CN"/>
        </w:rPr>
        <w:t>效果显著</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分。</w:t>
      </w:r>
    </w:p>
    <w:p w14:paraId="0968E93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（2）对于“经济效益指标”：</w:t>
      </w:r>
    </w:p>
    <w:p w14:paraId="219458C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该项目无经济效益指标</w:t>
      </w:r>
    </w:p>
    <w:p w14:paraId="65AC072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（3）对于“生态效益指标”：</w:t>
      </w:r>
    </w:p>
    <w:p w14:paraId="25CB1E1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该项目无生态效益指标</w:t>
      </w:r>
    </w:p>
    <w:p w14:paraId="51C2B06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（4）满意度指标分析</w:t>
      </w:r>
    </w:p>
    <w:p w14:paraId="591D2F36">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对于“满意度指标：</w:t>
      </w:r>
      <w:r>
        <w:rPr>
          <w:rFonts w:hint="eastAsia" w:ascii="宋体" w:hAnsi="宋体" w:eastAsia="宋体" w:cs="宋体"/>
          <w:color w:val="auto"/>
          <w:sz w:val="24"/>
          <w:szCs w:val="24"/>
          <w:lang w:val="en-US" w:eastAsia="zh-CN"/>
        </w:rPr>
        <w:t>群众</w:t>
      </w:r>
      <w:r>
        <w:rPr>
          <w:rFonts w:hint="eastAsia" w:ascii="宋体" w:hAnsi="宋体" w:eastAsia="宋体" w:cs="宋体"/>
          <w:color w:val="auto"/>
          <w:sz w:val="24"/>
          <w:szCs w:val="24"/>
        </w:rPr>
        <w:t>满意度，该指标预期指标值为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，与预期目标一致，根据评分标准，该指标不扣分,得10分</w:t>
      </w:r>
      <w:r>
        <w:rPr>
          <w:rFonts w:hint="eastAsia" w:ascii="宋体" w:hAnsi="宋体" w:eastAsia="宋体" w:cs="宋体"/>
          <w:sz w:val="24"/>
          <w:szCs w:val="24"/>
        </w:rPr>
        <w:t>。</w:t>
      </w:r>
      <w:bookmarkEnd w:id="15"/>
    </w:p>
    <w:p w14:paraId="440AF62F">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0CECC55C">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4BD93A49">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本项目年初预算资金总额为</w:t>
      </w:r>
      <w:r>
        <w:rPr>
          <w:rFonts w:hint="eastAsia" w:ascii="宋体" w:hAnsi="宋体" w:eastAsia="宋体" w:cs="宋体"/>
          <w:b w:val="0"/>
          <w:bCs w:val="0"/>
          <w:color w:val="auto"/>
          <w:sz w:val="24"/>
          <w:szCs w:val="24"/>
          <w:lang w:val="en-US" w:eastAsia="zh-CN"/>
        </w:rPr>
        <w:t>184</w:t>
      </w:r>
      <w:r>
        <w:rPr>
          <w:rFonts w:hint="eastAsia" w:ascii="宋体" w:hAnsi="宋体" w:eastAsia="宋体" w:cs="宋体"/>
          <w:b w:val="0"/>
          <w:bCs w:val="0"/>
          <w:color w:val="auto"/>
          <w:sz w:val="24"/>
          <w:szCs w:val="24"/>
        </w:rPr>
        <w:t>万元，全年预算数为</w:t>
      </w:r>
      <w:r>
        <w:rPr>
          <w:rFonts w:hint="eastAsia" w:ascii="宋体" w:hAnsi="宋体" w:eastAsia="宋体" w:cs="宋体"/>
          <w:b w:val="0"/>
          <w:bCs w:val="0"/>
          <w:color w:val="auto"/>
          <w:sz w:val="24"/>
          <w:szCs w:val="24"/>
          <w:lang w:val="en-US" w:eastAsia="zh-CN"/>
        </w:rPr>
        <w:t>184</w:t>
      </w:r>
      <w:r>
        <w:rPr>
          <w:rFonts w:hint="eastAsia" w:ascii="宋体" w:hAnsi="宋体" w:eastAsia="宋体" w:cs="宋体"/>
          <w:b w:val="0"/>
          <w:bCs w:val="0"/>
          <w:color w:val="auto"/>
          <w:sz w:val="24"/>
          <w:szCs w:val="24"/>
        </w:rPr>
        <w:t>万元，全年执行数为</w:t>
      </w:r>
      <w:r>
        <w:rPr>
          <w:rFonts w:hint="eastAsia" w:ascii="宋体" w:hAnsi="宋体" w:eastAsia="宋体" w:cs="宋体"/>
          <w:b w:val="0"/>
          <w:bCs w:val="0"/>
          <w:color w:val="auto"/>
          <w:sz w:val="24"/>
          <w:szCs w:val="24"/>
          <w:lang w:val="en-US" w:eastAsia="zh-CN"/>
        </w:rPr>
        <w:t>179.24万元</w:t>
      </w:r>
      <w:r>
        <w:rPr>
          <w:rFonts w:hint="eastAsia" w:ascii="宋体" w:hAnsi="宋体" w:eastAsia="宋体" w:cs="宋体"/>
          <w:b w:val="0"/>
          <w:bCs w:val="0"/>
          <w:color w:val="auto"/>
          <w:sz w:val="24"/>
          <w:szCs w:val="24"/>
        </w:rPr>
        <w:t>万元，预算执行率为</w:t>
      </w:r>
      <w:r>
        <w:rPr>
          <w:rFonts w:hint="eastAsia" w:ascii="宋体" w:hAnsi="宋体" w:eastAsia="宋体" w:cs="宋体"/>
          <w:b w:val="0"/>
          <w:bCs w:val="0"/>
          <w:color w:val="auto"/>
          <w:sz w:val="24"/>
          <w:szCs w:val="24"/>
          <w:lang w:val="en-US" w:eastAsia="zh-CN"/>
        </w:rPr>
        <w:t>97.41</w:t>
      </w:r>
      <w:r>
        <w:rPr>
          <w:rFonts w:hint="eastAsia" w:ascii="宋体" w:hAnsi="宋体" w:eastAsia="宋体" w:cs="宋体"/>
          <w:b w:val="0"/>
          <w:bCs w:val="0"/>
          <w:color w:val="auto"/>
          <w:sz w:val="24"/>
          <w:szCs w:val="24"/>
        </w:rPr>
        <w:t>%。</w:t>
      </w:r>
    </w:p>
    <w:p w14:paraId="27FDCABF">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本项目共设置三级指标数量</w:t>
      </w:r>
      <w:r>
        <w:rPr>
          <w:rFonts w:hint="eastAsia" w:ascii="宋体" w:hAnsi="宋体" w:eastAsia="宋体" w:cs="宋体"/>
          <w:b w:val="0"/>
          <w:bCs w:val="0"/>
          <w:color w:val="auto"/>
          <w:sz w:val="24"/>
          <w:szCs w:val="24"/>
          <w:lang w:val="en-US" w:eastAsia="zh-CN"/>
        </w:rPr>
        <w:t>17</w:t>
      </w:r>
      <w:r>
        <w:rPr>
          <w:rFonts w:hint="eastAsia" w:ascii="宋体" w:hAnsi="宋体" w:eastAsia="宋体" w:cs="宋体"/>
          <w:b w:val="0"/>
          <w:bCs w:val="0"/>
          <w:color w:val="auto"/>
          <w:sz w:val="24"/>
          <w:szCs w:val="24"/>
        </w:rPr>
        <w:t>个，满分指标数量</w:t>
      </w:r>
      <w:r>
        <w:rPr>
          <w:rFonts w:hint="eastAsia" w:ascii="宋体" w:hAnsi="宋体" w:eastAsia="宋体" w:cs="宋体"/>
          <w:b w:val="0"/>
          <w:bCs w:val="0"/>
          <w:color w:val="auto"/>
          <w:sz w:val="24"/>
          <w:szCs w:val="24"/>
          <w:lang w:val="en-US" w:eastAsia="zh-CN"/>
        </w:rPr>
        <w:t>15</w:t>
      </w:r>
      <w:r>
        <w:rPr>
          <w:rFonts w:hint="eastAsia" w:ascii="宋体" w:hAnsi="宋体" w:eastAsia="宋体" w:cs="宋体"/>
          <w:b w:val="0"/>
          <w:bCs w:val="0"/>
          <w:color w:val="auto"/>
          <w:sz w:val="24"/>
          <w:szCs w:val="24"/>
        </w:rPr>
        <w:t>个，扣分指标数量</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个，经分析计算所有三级指标完成率得出，本项目总体完成率为</w:t>
      </w:r>
      <w:r>
        <w:rPr>
          <w:rFonts w:hint="eastAsia" w:ascii="宋体" w:hAnsi="宋体" w:eastAsia="宋体" w:cs="宋体"/>
          <w:b w:val="0"/>
          <w:bCs w:val="0"/>
          <w:color w:val="auto"/>
          <w:sz w:val="24"/>
          <w:szCs w:val="24"/>
          <w:lang w:val="en-US" w:eastAsia="zh-CN"/>
        </w:rPr>
        <w:t>99.64</w:t>
      </w:r>
      <w:r>
        <w:rPr>
          <w:rFonts w:hint="eastAsia" w:ascii="宋体" w:hAnsi="宋体" w:eastAsia="宋体" w:cs="宋体"/>
          <w:b w:val="0"/>
          <w:bCs w:val="0"/>
          <w:color w:val="auto"/>
          <w:sz w:val="24"/>
          <w:szCs w:val="24"/>
        </w:rPr>
        <w:t>%。</w:t>
      </w:r>
    </w:p>
    <w:p w14:paraId="09F09A32">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综上所述本项目预算执行率与总体完成率之间的偏差为</w:t>
      </w:r>
      <w:r>
        <w:rPr>
          <w:rFonts w:hint="eastAsia" w:ascii="宋体" w:hAnsi="宋体" w:eastAsia="宋体" w:cs="宋体"/>
          <w:b w:val="0"/>
          <w:bCs w:val="0"/>
          <w:color w:val="auto"/>
          <w:sz w:val="24"/>
          <w:szCs w:val="24"/>
          <w:lang w:val="en-US" w:eastAsia="zh-CN"/>
        </w:rPr>
        <w:t>0.36</w:t>
      </w:r>
      <w:r>
        <w:rPr>
          <w:rFonts w:hint="eastAsia" w:ascii="宋体" w:hAnsi="宋体" w:eastAsia="宋体" w:cs="宋体"/>
          <w:b w:val="0"/>
          <w:bCs w:val="0"/>
          <w:color w:val="auto"/>
          <w:sz w:val="24"/>
          <w:szCs w:val="24"/>
        </w:rPr>
        <w:t>%。</w:t>
      </w:r>
    </w:p>
    <w:p w14:paraId="1D9DB512">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6" w:name="_Toc68364673"/>
    </w:p>
    <w:p w14:paraId="5739C3BF">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六、主要经验及做法、存在的问题及原因分析</w:t>
      </w:r>
    </w:p>
    <w:p w14:paraId="5EF50D9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（一）主要经验及做法</w:t>
      </w:r>
      <w:bookmarkEnd w:id="16"/>
    </w:p>
    <w:p w14:paraId="6E1E490B">
      <w:pPr>
        <w:pStyle w:val="60"/>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一是本项目能够严格按照《项目实施方案》执行，项目执行情况较好。</w:t>
      </w:r>
      <w:r>
        <w:rPr>
          <w:rFonts w:hint="eastAsia" w:ascii="宋体" w:hAnsi="宋体" w:eastAsia="宋体" w:cs="宋体"/>
          <w:color w:val="auto"/>
          <w:sz w:val="24"/>
          <w:szCs w:val="24"/>
          <w:lang w:val="en-US" w:eastAsia="zh-CN"/>
        </w:rPr>
        <w:t>本项目的实施：一是村级层面改善人居环境整治，户级层面降低交通事故风险，起到举足轻重的作用；二是路灯亮化，为群众出行提供便利，解决群众夜间出行安全感问题，从而进一步改善村容村貌；三是使群众感受到党的温暖，让他们过上更加干净、整洁的生活，产生对美好生活的追求，激发他们内生动力。</w:t>
      </w:r>
    </w:p>
    <w:p w14:paraId="7F750E1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二是加强组织领导，本项目绩效评价工作，有主要领导亲自挂帅，分管领导具体负责，从项目到资金，均能够很好的执行。</w:t>
      </w:r>
    </w:p>
    <w:p w14:paraId="39B3350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三是加强沟通协调，我单位及时向领导汇报项目建设进度，加强与施工单位的沟通，确保项目按期完工。</w:t>
      </w:r>
      <w:r>
        <w:rPr>
          <w:rFonts w:hint="eastAsia" w:ascii="宋体" w:hAnsi="宋体" w:eastAsia="宋体" w:cs="宋体"/>
          <w:color w:val="auto"/>
          <w:sz w:val="24"/>
          <w:szCs w:val="24"/>
          <w:lang w:val="en-US" w:eastAsia="zh-CN"/>
        </w:rPr>
        <w:t>村人居环境整治是打响乡村振兴战略的第一枪，全力打造提升村容村貌，打造宜居农村，持续改善人居环境，关系到广大村民的自身利益。过去的农村，给人们留下的印象永远是</w:t>
      </w:r>
      <w:r>
        <w:rPr>
          <w:rFonts w:hint="eastAsia" w:ascii="宋体" w:hAnsi="宋体" w:eastAsia="宋体" w:cs="宋体"/>
          <w:color w:val="auto"/>
          <w:sz w:val="24"/>
          <w:szCs w:val="24"/>
          <w:lang w:eastAsia="zh-CN"/>
        </w:rPr>
        <w:t>照明有助</w:t>
      </w:r>
      <w:r>
        <w:rPr>
          <w:rFonts w:hint="eastAsia" w:ascii="宋体" w:hAnsi="宋体" w:eastAsia="宋体" w:cs="宋体"/>
          <w:color w:val="auto"/>
          <w:sz w:val="24"/>
          <w:szCs w:val="24"/>
          <w:lang w:val="en-US" w:eastAsia="zh-CN"/>
        </w:rPr>
        <w:t>、所以，改变农村“</w:t>
      </w:r>
      <w:r>
        <w:rPr>
          <w:rFonts w:hint="eastAsia" w:ascii="宋体" w:hAnsi="宋体" w:eastAsia="宋体" w:cs="宋体"/>
          <w:color w:val="auto"/>
          <w:sz w:val="24"/>
          <w:szCs w:val="24"/>
          <w:lang w:eastAsia="zh-CN"/>
        </w:rPr>
        <w:t>交通事故风险</w:t>
      </w:r>
      <w:r>
        <w:rPr>
          <w:rFonts w:hint="eastAsia" w:ascii="宋体" w:hAnsi="宋体" w:eastAsia="宋体" w:cs="宋体"/>
          <w:color w:val="auto"/>
          <w:sz w:val="24"/>
          <w:szCs w:val="24"/>
          <w:lang w:val="en-US" w:eastAsia="zh-CN"/>
        </w:rPr>
        <w:t>”的现象是时代的要求，随着人们生活水平的提高，经济收入的增加，广大村民对生活质量要求越来越高，衣食住行有了新的要求，农村人居环境整治是彻底改变村容村貌的必要之路。</w:t>
      </w:r>
    </w:p>
    <w:p w14:paraId="1FD58AAD">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bookmarkStart w:id="17" w:name="_Toc68364674"/>
      <w:r>
        <w:rPr>
          <w:rFonts w:hint="eastAsia" w:ascii="宋体" w:hAnsi="宋体" w:eastAsia="宋体" w:cs="宋体"/>
          <w:sz w:val="24"/>
          <w:szCs w:val="24"/>
        </w:rPr>
        <w:t>（二）存在问题及原因分析</w:t>
      </w:r>
      <w:bookmarkEnd w:id="17"/>
    </w:p>
    <w:p w14:paraId="0BC3452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一是对各项指标和指标值要进一步优化、完善，主要在细化、量化上改进；</w:t>
      </w:r>
    </w:p>
    <w:p w14:paraId="58555BE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二是部门评价工作还存在自我审定的局限性，会影响评价质量，容易造成问题的疏漏，在客观性和公正性上说服力不强；</w:t>
      </w:r>
    </w:p>
    <w:p w14:paraId="21F882B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是缺少带着问题去评价的意识；本项目资金来源为2024年农村综合改革（农村公益事业财政奖补）项目专项资金，在项目实施过程中严格落实项目单位法人制度，村第一书记为第一责任人，在项目实施过程中严格管理，在资金使用方面严格按照农村公益事业财政奖补的专项资金使用管理办法执行，实行报账制，杜绝占用、挪用资金情况发生。</w:t>
      </w:r>
    </w:p>
    <w:p w14:paraId="2CF51E7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四是现场评价的工作量少，后续效益评价具体措施和方法较少。</w:t>
      </w:r>
    </w:p>
    <w:p w14:paraId="5B9C4518">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val="0"/>
          <w:bCs w:val="0"/>
          <w:color w:val="FF0000"/>
          <w:sz w:val="24"/>
          <w:szCs w:val="24"/>
        </w:rPr>
      </w:pPr>
      <w:bookmarkStart w:id="18" w:name="_Toc68364675"/>
      <w:r>
        <w:rPr>
          <w:rFonts w:hint="eastAsia" w:ascii="黑体" w:hAnsi="黑体" w:eastAsia="黑体" w:cs="黑体"/>
          <w:sz w:val="24"/>
          <w:szCs w:val="24"/>
        </w:rPr>
        <w:t>七、有关建议</w:t>
      </w:r>
      <w:bookmarkEnd w:id="18"/>
    </w:p>
    <w:p w14:paraId="1378ABF7">
      <w:pPr>
        <w:pStyle w:val="13"/>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kern w:val="0"/>
          <w:sz w:val="24"/>
          <w:szCs w:val="24"/>
          <w:lang w:val="en-US" w:eastAsia="zh-CN" w:bidi="ar-SA"/>
        </w:rPr>
      </w:pPr>
      <w:bookmarkStart w:id="19" w:name="_Toc68364676"/>
      <w:r>
        <w:rPr>
          <w:rFonts w:hint="eastAsia" w:ascii="宋体" w:hAnsi="宋体" w:eastAsia="宋体" w:cs="宋体"/>
          <w:kern w:val="0"/>
          <w:sz w:val="24"/>
          <w:szCs w:val="24"/>
          <w:lang w:val="en-US" w:eastAsia="zh-CN" w:bidi="ar-SA"/>
        </w:rPr>
        <w:t>（一）提高认识，加强宣传引导。项目实施初期村级召开专题会议研究，确定亮化道路路段，对项目进行公示，扩大宣传范围，营造良好的氛围。</w:t>
      </w:r>
    </w:p>
    <w:p w14:paraId="00574455">
      <w:pPr>
        <w:pStyle w:val="13"/>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kern w:val="0"/>
          <w:sz w:val="24"/>
          <w:szCs w:val="24"/>
          <w:lang w:val="en-US" w:eastAsia="zh-CN" w:bidi="ar-SA"/>
        </w:rPr>
        <w:t>（二）严格项</w:t>
      </w:r>
      <w:r>
        <w:rPr>
          <w:rFonts w:hint="eastAsia" w:ascii="宋体" w:hAnsi="宋体" w:eastAsia="宋体" w:cs="宋体"/>
          <w:b w:val="0"/>
          <w:bCs w:val="0"/>
          <w:kern w:val="0"/>
          <w:sz w:val="24"/>
          <w:szCs w:val="24"/>
          <w:lang w:val="en-US" w:eastAsia="zh-CN" w:bidi="ar-SA"/>
        </w:rPr>
        <w:t>目审批，将工作落到实处。以上项目实施村两委积极听取各有关部门及农户需求，制定采购计划，明确采购标准，供货时限等要求，项目经审批后通过招投标方式进行招标，确保采购程序符合标准，在项目实施过程中严格把关，按照项目程序进行审批。</w:t>
      </w:r>
    </w:p>
    <w:p w14:paraId="29CE3938">
      <w:pPr>
        <w:pStyle w:val="13"/>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b w:val="0"/>
          <w:bCs w:val="0"/>
          <w:kern w:val="0"/>
          <w:sz w:val="24"/>
          <w:szCs w:val="24"/>
          <w:lang w:val="en-US" w:eastAsia="zh-CN" w:bidi="ar-SA"/>
        </w:rPr>
        <w:t>（三）加强管理，严格资金使用。本项目资金来源为2024年农村综合改革（农村公益事业财政奖补）项目专项资金，在项目实施过程中严格落实项目单位法人制度，村第一书记为第一责任人，在项目实施过程中严格管理，在资金使用方面严格按照农村公益事业财政</w:t>
      </w:r>
      <w:r>
        <w:rPr>
          <w:rFonts w:hint="eastAsia" w:ascii="宋体" w:hAnsi="宋体" w:eastAsia="宋体" w:cs="宋体"/>
          <w:kern w:val="0"/>
          <w:sz w:val="24"/>
          <w:szCs w:val="24"/>
          <w:lang w:val="en-US" w:eastAsia="zh-CN" w:bidi="ar-SA"/>
        </w:rPr>
        <w:t>奖补的专项资金使用管理办法执行，实行报账制，杜绝占用、挪用资金情况发生。</w:t>
      </w:r>
    </w:p>
    <w:p w14:paraId="5F51B657">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00C45581">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八、其他需要说明的问题</w:t>
      </w:r>
      <w:bookmarkEnd w:id="19"/>
    </w:p>
    <w:p w14:paraId="4BA328F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13991172">
      <w:pPr>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附件1：</w:t>
      </w:r>
      <w:r>
        <w:rPr>
          <w:rFonts w:hint="eastAsia" w:ascii="宋体" w:hAnsi="宋体" w:eastAsia="宋体" w:cs="宋体"/>
          <w:i w:val="0"/>
          <w:iCs w:val="0"/>
          <w:caps w:val="0"/>
          <w:color w:val="333333"/>
          <w:spacing w:val="0"/>
          <w:sz w:val="24"/>
          <w:szCs w:val="24"/>
          <w:shd w:val="clear" w:color="auto" w:fill="FFFFFF"/>
        </w:rPr>
        <w:t>2024年中央农村综合改革转移支付资金-农村公益事业财政奖补</w:t>
      </w:r>
      <w:r>
        <w:rPr>
          <w:rFonts w:hint="eastAsia" w:ascii="宋体" w:hAnsi="宋体" w:eastAsia="宋体" w:cs="宋体"/>
          <w:kern w:val="0"/>
          <w:sz w:val="24"/>
          <w:szCs w:val="24"/>
          <w:lang w:val="en-US" w:eastAsia="zh-CN" w:bidi="ar-SA"/>
        </w:rPr>
        <w:t>项目绩效评价指标体系</w:t>
      </w:r>
    </w:p>
    <w:p w14:paraId="46224332">
      <w:pPr>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附件2：</w:t>
      </w:r>
      <w:r>
        <w:rPr>
          <w:rFonts w:hint="eastAsia" w:ascii="宋体" w:hAnsi="宋体" w:eastAsia="宋体" w:cs="宋体"/>
          <w:i w:val="0"/>
          <w:iCs w:val="0"/>
          <w:caps w:val="0"/>
          <w:color w:val="333333"/>
          <w:spacing w:val="0"/>
          <w:sz w:val="24"/>
          <w:szCs w:val="24"/>
          <w:shd w:val="clear" w:color="auto" w:fill="FFFFFF"/>
        </w:rPr>
        <w:t>2024年中央农村综合改革转移支付资金-农村公益事业财政奖补</w:t>
      </w:r>
      <w:r>
        <w:rPr>
          <w:rFonts w:hint="eastAsia" w:ascii="宋体" w:hAnsi="宋体" w:eastAsia="宋体" w:cs="宋体"/>
          <w:kern w:val="0"/>
          <w:sz w:val="24"/>
          <w:szCs w:val="24"/>
          <w:lang w:val="en-US" w:eastAsia="zh-CN" w:bidi="ar-SA"/>
        </w:rPr>
        <w:t>项目综合得分表</w:t>
      </w:r>
    </w:p>
    <w:p w14:paraId="1F03A3DF">
      <w:pPr>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附件3：满意度调查问分析情况</w:t>
      </w:r>
    </w:p>
    <w:p w14:paraId="0DA0270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p>
    <w:p w14:paraId="153DDC6A">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fmt="decimal" w:start="1"/>
          <w:cols w:space="720" w:num="1"/>
          <w:docGrid w:type="linesAndChars" w:linePitch="386" w:charSpace="0"/>
        </w:sectPr>
      </w:pPr>
    </w:p>
    <w:tbl>
      <w:tblPr>
        <w:tblStyle w:val="2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2"/>
        <w:gridCol w:w="527"/>
        <w:gridCol w:w="425"/>
        <w:gridCol w:w="527"/>
        <w:gridCol w:w="975"/>
        <w:gridCol w:w="460"/>
        <w:gridCol w:w="1919"/>
        <w:gridCol w:w="673"/>
        <w:gridCol w:w="5163"/>
        <w:gridCol w:w="1392"/>
        <w:gridCol w:w="770"/>
      </w:tblGrid>
      <w:tr w14:paraId="2B83F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600E8E3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附件1：</w:t>
            </w:r>
          </w:p>
        </w:tc>
      </w:tr>
      <w:tr w14:paraId="5FE66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56CF40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2024年中央农村综合改革转移支付资金-农村公益事业财政奖补项目绩效评价指标体系综合评分表</w:t>
            </w:r>
          </w:p>
        </w:tc>
      </w:tr>
      <w:tr w14:paraId="14332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tcBorders>
              <w:top w:val="single" w:color="auto" w:sz="8" w:space="0"/>
              <w:left w:val="single" w:color="auto" w:sz="8" w:space="0"/>
              <w:bottom w:val="single" w:color="auto" w:sz="8" w:space="0"/>
              <w:right w:val="single" w:color="auto" w:sz="8" w:space="0"/>
            </w:tcBorders>
            <w:noWrap w:val="0"/>
            <w:vAlign w:val="center"/>
          </w:tcPr>
          <w:p w14:paraId="104EBC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197" w:type="pct"/>
            <w:tcBorders>
              <w:top w:val="single" w:color="auto" w:sz="8" w:space="0"/>
              <w:left w:val="nil"/>
              <w:bottom w:val="single" w:color="auto" w:sz="8" w:space="0"/>
              <w:right w:val="single" w:color="auto" w:sz="8" w:space="0"/>
            </w:tcBorders>
            <w:noWrap w:val="0"/>
            <w:vAlign w:val="center"/>
          </w:tcPr>
          <w:p w14:paraId="71F9E1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159" w:type="pct"/>
            <w:tcBorders>
              <w:top w:val="single" w:color="auto" w:sz="8" w:space="0"/>
              <w:left w:val="nil"/>
              <w:bottom w:val="single" w:color="auto" w:sz="8" w:space="0"/>
              <w:right w:val="single" w:color="auto" w:sz="8" w:space="0"/>
            </w:tcBorders>
            <w:noWrap w:val="0"/>
            <w:vAlign w:val="center"/>
          </w:tcPr>
          <w:p w14:paraId="12B030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197" w:type="pct"/>
            <w:tcBorders>
              <w:top w:val="single" w:color="auto" w:sz="8" w:space="0"/>
              <w:left w:val="nil"/>
              <w:bottom w:val="single" w:color="auto" w:sz="8" w:space="0"/>
              <w:right w:val="single" w:color="auto" w:sz="8" w:space="0"/>
            </w:tcBorders>
            <w:noWrap w:val="0"/>
            <w:vAlign w:val="center"/>
          </w:tcPr>
          <w:p w14:paraId="13F8A5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365" w:type="pct"/>
            <w:tcBorders>
              <w:top w:val="single" w:color="auto" w:sz="8" w:space="0"/>
              <w:left w:val="nil"/>
              <w:bottom w:val="single" w:color="auto" w:sz="8" w:space="0"/>
              <w:right w:val="single" w:color="auto" w:sz="8" w:space="0"/>
            </w:tcBorders>
            <w:noWrap w:val="0"/>
            <w:vAlign w:val="center"/>
          </w:tcPr>
          <w:p w14:paraId="3984F0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172" w:type="pct"/>
            <w:tcBorders>
              <w:top w:val="single" w:color="auto" w:sz="8" w:space="0"/>
              <w:left w:val="nil"/>
              <w:bottom w:val="single" w:color="auto" w:sz="8" w:space="0"/>
              <w:right w:val="single" w:color="auto" w:sz="8" w:space="0"/>
            </w:tcBorders>
            <w:noWrap w:val="0"/>
            <w:vAlign w:val="center"/>
          </w:tcPr>
          <w:p w14:paraId="529394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18" w:type="pct"/>
            <w:tcBorders>
              <w:top w:val="single" w:color="auto" w:sz="8" w:space="0"/>
              <w:left w:val="nil"/>
              <w:bottom w:val="single" w:color="auto" w:sz="8" w:space="0"/>
              <w:right w:val="single" w:color="auto" w:sz="8" w:space="0"/>
            </w:tcBorders>
            <w:noWrap w:val="0"/>
            <w:vAlign w:val="center"/>
          </w:tcPr>
          <w:p w14:paraId="7D0B62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252" w:type="pct"/>
            <w:tcBorders>
              <w:top w:val="single" w:color="auto" w:sz="8" w:space="0"/>
              <w:left w:val="nil"/>
              <w:bottom w:val="single" w:color="auto" w:sz="8" w:space="0"/>
              <w:right w:val="single" w:color="auto" w:sz="8" w:space="0"/>
            </w:tcBorders>
            <w:noWrap w:val="0"/>
            <w:vAlign w:val="center"/>
          </w:tcPr>
          <w:p w14:paraId="612792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1932" w:type="pct"/>
            <w:tcBorders>
              <w:top w:val="single" w:color="auto" w:sz="8" w:space="0"/>
              <w:left w:val="nil"/>
              <w:bottom w:val="single" w:color="auto" w:sz="8" w:space="0"/>
              <w:right w:val="single" w:color="auto" w:sz="8" w:space="0"/>
            </w:tcBorders>
            <w:noWrap w:val="0"/>
            <w:vAlign w:val="center"/>
          </w:tcPr>
          <w:p w14:paraId="2019C8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521" w:type="pct"/>
            <w:tcBorders>
              <w:top w:val="single" w:color="auto" w:sz="8" w:space="0"/>
              <w:left w:val="nil"/>
              <w:bottom w:val="single" w:color="auto" w:sz="8" w:space="0"/>
              <w:right w:val="single" w:color="auto" w:sz="8" w:space="0"/>
            </w:tcBorders>
            <w:noWrap w:val="0"/>
            <w:vAlign w:val="center"/>
          </w:tcPr>
          <w:p w14:paraId="387EA8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282" w:type="pct"/>
            <w:tcBorders>
              <w:top w:val="single" w:color="auto" w:sz="8" w:space="0"/>
              <w:left w:val="nil"/>
              <w:bottom w:val="single" w:color="auto" w:sz="8" w:space="0"/>
              <w:right w:val="single" w:color="auto" w:sz="8" w:space="0"/>
            </w:tcBorders>
            <w:noWrap w:val="0"/>
            <w:vAlign w:val="center"/>
          </w:tcPr>
          <w:p w14:paraId="63FE19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063CA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199" w:type="pct"/>
            <w:vMerge w:val="restart"/>
            <w:tcBorders>
              <w:top w:val="nil"/>
              <w:left w:val="single" w:color="auto" w:sz="8" w:space="0"/>
              <w:bottom w:val="single" w:color="auto" w:sz="8" w:space="0"/>
              <w:right w:val="single" w:color="auto" w:sz="8" w:space="0"/>
            </w:tcBorders>
            <w:noWrap w:val="0"/>
            <w:vAlign w:val="center"/>
          </w:tcPr>
          <w:p w14:paraId="20493D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197" w:type="pct"/>
            <w:vMerge w:val="restart"/>
            <w:tcBorders>
              <w:top w:val="nil"/>
              <w:left w:val="nil"/>
              <w:bottom w:val="single" w:color="auto" w:sz="8" w:space="0"/>
              <w:right w:val="single" w:color="auto" w:sz="8" w:space="0"/>
            </w:tcBorders>
            <w:noWrap w:val="0"/>
            <w:vAlign w:val="center"/>
          </w:tcPr>
          <w:p w14:paraId="6668CB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159" w:type="pct"/>
            <w:vMerge w:val="restart"/>
            <w:tcBorders>
              <w:top w:val="nil"/>
              <w:left w:val="nil"/>
              <w:bottom w:val="single" w:color="auto" w:sz="8" w:space="0"/>
              <w:right w:val="single" w:color="auto" w:sz="8" w:space="0"/>
            </w:tcBorders>
            <w:noWrap w:val="0"/>
            <w:vAlign w:val="center"/>
          </w:tcPr>
          <w:p w14:paraId="38BB63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197" w:type="pct"/>
            <w:vMerge w:val="restart"/>
            <w:tcBorders>
              <w:top w:val="nil"/>
              <w:left w:val="nil"/>
              <w:bottom w:val="single" w:color="auto" w:sz="8" w:space="0"/>
              <w:right w:val="single" w:color="auto" w:sz="8" w:space="0"/>
            </w:tcBorders>
            <w:noWrap w:val="0"/>
            <w:vAlign w:val="center"/>
          </w:tcPr>
          <w:p w14:paraId="7BA09B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365" w:type="pct"/>
            <w:tcBorders>
              <w:top w:val="nil"/>
              <w:left w:val="nil"/>
              <w:bottom w:val="single" w:color="auto" w:sz="8" w:space="0"/>
              <w:right w:val="single" w:color="auto" w:sz="8" w:space="0"/>
            </w:tcBorders>
            <w:noWrap w:val="0"/>
            <w:vAlign w:val="center"/>
          </w:tcPr>
          <w:p w14:paraId="453227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172" w:type="pct"/>
            <w:tcBorders>
              <w:top w:val="nil"/>
              <w:left w:val="nil"/>
              <w:bottom w:val="single" w:color="auto" w:sz="8" w:space="0"/>
              <w:right w:val="single" w:color="auto" w:sz="8" w:space="0"/>
            </w:tcBorders>
            <w:noWrap w:val="0"/>
            <w:vAlign w:val="center"/>
          </w:tcPr>
          <w:p w14:paraId="775D13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718" w:type="pct"/>
            <w:tcBorders>
              <w:top w:val="nil"/>
              <w:left w:val="nil"/>
              <w:bottom w:val="single" w:color="auto" w:sz="8" w:space="0"/>
              <w:right w:val="single" w:color="auto" w:sz="8" w:space="0"/>
            </w:tcBorders>
            <w:noWrap w:val="0"/>
            <w:vAlign w:val="center"/>
          </w:tcPr>
          <w:p w14:paraId="0C1808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252" w:type="pct"/>
            <w:tcBorders>
              <w:top w:val="nil"/>
              <w:left w:val="nil"/>
              <w:bottom w:val="single" w:color="auto" w:sz="8" w:space="0"/>
              <w:right w:val="single" w:color="auto" w:sz="8" w:space="0"/>
            </w:tcBorders>
            <w:noWrap w:val="0"/>
            <w:vAlign w:val="center"/>
          </w:tcPr>
          <w:p w14:paraId="37832C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1932" w:type="pct"/>
            <w:tcBorders>
              <w:top w:val="nil"/>
              <w:left w:val="nil"/>
              <w:bottom w:val="single" w:color="auto" w:sz="8" w:space="0"/>
              <w:right w:val="single" w:color="auto" w:sz="8" w:space="0"/>
            </w:tcBorders>
            <w:noWrap w:val="0"/>
            <w:vAlign w:val="center"/>
          </w:tcPr>
          <w:p w14:paraId="28BD1E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3A7F9D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70C508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4DAA5F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3FF44C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1BF972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521" w:type="pct"/>
            <w:tcBorders>
              <w:top w:val="nil"/>
              <w:left w:val="nil"/>
              <w:bottom w:val="single" w:color="auto" w:sz="8" w:space="0"/>
              <w:right w:val="single" w:color="auto" w:sz="8" w:space="0"/>
            </w:tcBorders>
            <w:noWrap w:val="0"/>
            <w:vAlign w:val="center"/>
          </w:tcPr>
          <w:p w14:paraId="1415EB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282" w:type="pct"/>
            <w:tcBorders>
              <w:top w:val="nil"/>
              <w:left w:val="nil"/>
              <w:bottom w:val="single" w:color="auto" w:sz="8" w:space="0"/>
              <w:right w:val="single" w:color="auto" w:sz="8" w:space="0"/>
            </w:tcBorders>
            <w:noWrap w:val="0"/>
            <w:vAlign w:val="center"/>
          </w:tcPr>
          <w:p w14:paraId="6AE73F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0F597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5AFFA5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44AD64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75F9EF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7708D3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tcBorders>
              <w:top w:val="nil"/>
              <w:left w:val="nil"/>
              <w:bottom w:val="single" w:color="auto" w:sz="8" w:space="0"/>
              <w:right w:val="single" w:color="auto" w:sz="8" w:space="0"/>
            </w:tcBorders>
            <w:noWrap w:val="0"/>
            <w:vAlign w:val="center"/>
          </w:tcPr>
          <w:p w14:paraId="6449BC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172" w:type="pct"/>
            <w:tcBorders>
              <w:top w:val="nil"/>
              <w:left w:val="nil"/>
              <w:bottom w:val="single" w:color="auto" w:sz="8" w:space="0"/>
              <w:right w:val="single" w:color="auto" w:sz="8" w:space="0"/>
            </w:tcBorders>
            <w:noWrap w:val="0"/>
            <w:vAlign w:val="center"/>
          </w:tcPr>
          <w:p w14:paraId="11849B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718" w:type="pct"/>
            <w:tcBorders>
              <w:top w:val="nil"/>
              <w:left w:val="nil"/>
              <w:bottom w:val="single" w:color="auto" w:sz="8" w:space="0"/>
              <w:right w:val="single" w:color="auto" w:sz="8" w:space="0"/>
            </w:tcBorders>
            <w:noWrap w:val="0"/>
            <w:vAlign w:val="center"/>
          </w:tcPr>
          <w:p w14:paraId="6F5766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252" w:type="pct"/>
            <w:tcBorders>
              <w:top w:val="nil"/>
              <w:left w:val="nil"/>
              <w:bottom w:val="single" w:color="auto" w:sz="8" w:space="0"/>
              <w:right w:val="single" w:color="auto" w:sz="8" w:space="0"/>
            </w:tcBorders>
            <w:noWrap w:val="0"/>
            <w:vAlign w:val="center"/>
          </w:tcPr>
          <w:p w14:paraId="47EF76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1932" w:type="pct"/>
            <w:tcBorders>
              <w:top w:val="nil"/>
              <w:left w:val="nil"/>
              <w:bottom w:val="single" w:color="auto" w:sz="8" w:space="0"/>
              <w:right w:val="single" w:color="auto" w:sz="8" w:space="0"/>
            </w:tcBorders>
            <w:noWrap w:val="0"/>
            <w:vAlign w:val="center"/>
          </w:tcPr>
          <w:p w14:paraId="1236FF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31D16D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121A0B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6F6431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521" w:type="pct"/>
            <w:tcBorders>
              <w:top w:val="nil"/>
              <w:left w:val="nil"/>
              <w:bottom w:val="single" w:color="auto" w:sz="8" w:space="0"/>
              <w:right w:val="single" w:color="auto" w:sz="8" w:space="0"/>
            </w:tcBorders>
            <w:noWrap w:val="0"/>
            <w:vAlign w:val="center"/>
          </w:tcPr>
          <w:p w14:paraId="3672B7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282" w:type="pct"/>
            <w:tcBorders>
              <w:top w:val="nil"/>
              <w:left w:val="nil"/>
              <w:bottom w:val="single" w:color="auto" w:sz="8" w:space="0"/>
              <w:right w:val="single" w:color="auto" w:sz="8" w:space="0"/>
            </w:tcBorders>
            <w:noWrap w:val="0"/>
            <w:vAlign w:val="center"/>
          </w:tcPr>
          <w:p w14:paraId="34511A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42BAF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5AECDD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659829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restart"/>
            <w:tcBorders>
              <w:top w:val="nil"/>
              <w:left w:val="nil"/>
              <w:bottom w:val="single" w:color="auto" w:sz="8" w:space="0"/>
              <w:right w:val="single" w:color="auto" w:sz="8" w:space="0"/>
            </w:tcBorders>
            <w:noWrap w:val="0"/>
            <w:vAlign w:val="center"/>
          </w:tcPr>
          <w:p w14:paraId="69977C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197" w:type="pct"/>
            <w:vMerge w:val="restart"/>
            <w:tcBorders>
              <w:top w:val="nil"/>
              <w:left w:val="nil"/>
              <w:bottom w:val="single" w:color="auto" w:sz="8" w:space="0"/>
              <w:right w:val="single" w:color="auto" w:sz="8" w:space="0"/>
            </w:tcBorders>
            <w:noWrap w:val="0"/>
            <w:vAlign w:val="center"/>
          </w:tcPr>
          <w:p w14:paraId="10BA10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65" w:type="pct"/>
            <w:tcBorders>
              <w:top w:val="nil"/>
              <w:left w:val="nil"/>
              <w:bottom w:val="single" w:color="auto" w:sz="8" w:space="0"/>
              <w:right w:val="single" w:color="auto" w:sz="8" w:space="0"/>
            </w:tcBorders>
            <w:noWrap w:val="0"/>
            <w:vAlign w:val="center"/>
          </w:tcPr>
          <w:p w14:paraId="78AA8C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172" w:type="pct"/>
            <w:tcBorders>
              <w:top w:val="nil"/>
              <w:left w:val="nil"/>
              <w:bottom w:val="single" w:color="auto" w:sz="8" w:space="0"/>
              <w:right w:val="single" w:color="auto" w:sz="8" w:space="0"/>
            </w:tcBorders>
            <w:noWrap w:val="0"/>
            <w:vAlign w:val="center"/>
          </w:tcPr>
          <w:p w14:paraId="61CB36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18" w:type="pct"/>
            <w:tcBorders>
              <w:top w:val="nil"/>
              <w:left w:val="nil"/>
              <w:bottom w:val="single" w:color="auto" w:sz="8" w:space="0"/>
              <w:right w:val="single" w:color="auto" w:sz="8" w:space="0"/>
            </w:tcBorders>
            <w:noWrap w:val="0"/>
            <w:vAlign w:val="center"/>
          </w:tcPr>
          <w:p w14:paraId="3E026F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252" w:type="pct"/>
            <w:tcBorders>
              <w:top w:val="nil"/>
              <w:left w:val="nil"/>
              <w:bottom w:val="single" w:color="auto" w:sz="8" w:space="0"/>
              <w:right w:val="single" w:color="auto" w:sz="8" w:space="0"/>
            </w:tcBorders>
            <w:noWrap w:val="0"/>
            <w:vAlign w:val="center"/>
          </w:tcPr>
          <w:p w14:paraId="3B3A05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932" w:type="pct"/>
            <w:tcBorders>
              <w:top w:val="nil"/>
              <w:left w:val="nil"/>
              <w:bottom w:val="single" w:color="auto" w:sz="8" w:space="0"/>
              <w:right w:val="single" w:color="auto" w:sz="8" w:space="0"/>
            </w:tcBorders>
            <w:noWrap w:val="0"/>
            <w:vAlign w:val="center"/>
          </w:tcPr>
          <w:p w14:paraId="5521E0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6C46DA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6FB71E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4EA3A3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4E1801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521" w:type="pct"/>
            <w:tcBorders>
              <w:top w:val="nil"/>
              <w:left w:val="nil"/>
              <w:bottom w:val="single" w:color="auto" w:sz="8" w:space="0"/>
              <w:right w:val="single" w:color="auto" w:sz="8" w:space="0"/>
            </w:tcBorders>
            <w:noWrap w:val="0"/>
            <w:vAlign w:val="center"/>
          </w:tcPr>
          <w:p w14:paraId="3F0E0A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82" w:type="pct"/>
            <w:tcBorders>
              <w:top w:val="nil"/>
              <w:left w:val="nil"/>
              <w:bottom w:val="single" w:color="auto" w:sz="8" w:space="0"/>
              <w:right w:val="single" w:color="auto" w:sz="8" w:space="0"/>
            </w:tcBorders>
            <w:noWrap w:val="0"/>
            <w:vAlign w:val="center"/>
          </w:tcPr>
          <w:p w14:paraId="3A1F0B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39DD3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755828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0C70EA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48656D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6E7B62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restart"/>
            <w:tcBorders>
              <w:top w:val="nil"/>
              <w:left w:val="nil"/>
              <w:bottom w:val="single" w:color="auto" w:sz="8" w:space="0"/>
              <w:right w:val="single" w:color="auto" w:sz="8" w:space="0"/>
            </w:tcBorders>
            <w:noWrap w:val="0"/>
            <w:vAlign w:val="center"/>
          </w:tcPr>
          <w:p w14:paraId="1595C9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172" w:type="pct"/>
            <w:vMerge w:val="restart"/>
            <w:tcBorders>
              <w:top w:val="nil"/>
              <w:left w:val="nil"/>
              <w:bottom w:val="single" w:color="auto" w:sz="8" w:space="0"/>
              <w:right w:val="single" w:color="auto" w:sz="8" w:space="0"/>
            </w:tcBorders>
            <w:noWrap w:val="0"/>
            <w:vAlign w:val="center"/>
          </w:tcPr>
          <w:p w14:paraId="6770A7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18" w:type="pct"/>
            <w:vMerge w:val="restart"/>
            <w:tcBorders>
              <w:top w:val="nil"/>
              <w:left w:val="nil"/>
              <w:bottom w:val="single" w:color="auto" w:sz="8" w:space="0"/>
              <w:right w:val="single" w:color="auto" w:sz="8" w:space="0"/>
            </w:tcBorders>
            <w:noWrap w:val="0"/>
            <w:vAlign w:val="center"/>
          </w:tcPr>
          <w:p w14:paraId="34CAAB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252" w:type="pct"/>
            <w:vMerge w:val="restart"/>
            <w:tcBorders>
              <w:top w:val="nil"/>
              <w:left w:val="nil"/>
              <w:bottom w:val="single" w:color="auto" w:sz="8" w:space="0"/>
              <w:right w:val="single" w:color="auto" w:sz="8" w:space="0"/>
            </w:tcBorders>
            <w:noWrap w:val="0"/>
            <w:vAlign w:val="center"/>
          </w:tcPr>
          <w:p w14:paraId="08E3C5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1932" w:type="pct"/>
            <w:tcBorders>
              <w:top w:val="nil"/>
              <w:left w:val="nil"/>
              <w:bottom w:val="nil"/>
              <w:right w:val="single" w:color="auto" w:sz="8" w:space="0"/>
            </w:tcBorders>
            <w:noWrap w:val="0"/>
            <w:vAlign w:val="center"/>
          </w:tcPr>
          <w:p w14:paraId="611C75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tc>
        <w:tc>
          <w:tcPr>
            <w:tcW w:w="521" w:type="pct"/>
            <w:vMerge w:val="restart"/>
            <w:tcBorders>
              <w:top w:val="nil"/>
              <w:left w:val="nil"/>
              <w:bottom w:val="single" w:color="auto" w:sz="8" w:space="0"/>
              <w:right w:val="single" w:color="auto" w:sz="8" w:space="0"/>
            </w:tcBorders>
            <w:noWrap w:val="0"/>
            <w:vAlign w:val="center"/>
          </w:tcPr>
          <w:p w14:paraId="2CEF38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282" w:type="pct"/>
            <w:vMerge w:val="restart"/>
            <w:tcBorders>
              <w:top w:val="nil"/>
              <w:left w:val="nil"/>
              <w:bottom w:val="single" w:color="auto" w:sz="8" w:space="0"/>
              <w:right w:val="single" w:color="auto" w:sz="8" w:space="0"/>
            </w:tcBorders>
            <w:noWrap w:val="0"/>
            <w:vAlign w:val="center"/>
          </w:tcPr>
          <w:p w14:paraId="25D870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2196D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2125AE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1218CE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790BF0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7900A5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0479DE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341FD5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4FC8C1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0C161B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nil"/>
              <w:right w:val="single" w:color="auto" w:sz="8" w:space="0"/>
            </w:tcBorders>
            <w:noWrap w:val="0"/>
            <w:vAlign w:val="center"/>
          </w:tcPr>
          <w:p w14:paraId="411325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tc>
        <w:tc>
          <w:tcPr>
            <w:tcW w:w="521" w:type="pct"/>
            <w:vMerge w:val="continue"/>
            <w:tcBorders>
              <w:top w:val="nil"/>
              <w:left w:val="nil"/>
              <w:bottom w:val="single" w:color="auto" w:sz="8" w:space="0"/>
              <w:right w:val="single" w:color="auto" w:sz="8" w:space="0"/>
            </w:tcBorders>
            <w:noWrap w:val="0"/>
            <w:vAlign w:val="center"/>
          </w:tcPr>
          <w:p w14:paraId="104473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0CA88E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6A446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30AC02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1CEDF8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7450CA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070464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2D0C15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32BCF2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64FC41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0C8539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nil"/>
              <w:right w:val="single" w:color="auto" w:sz="8" w:space="0"/>
            </w:tcBorders>
            <w:noWrap w:val="0"/>
            <w:vAlign w:val="center"/>
          </w:tcPr>
          <w:p w14:paraId="4A9154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tc>
        <w:tc>
          <w:tcPr>
            <w:tcW w:w="521" w:type="pct"/>
            <w:vMerge w:val="continue"/>
            <w:tcBorders>
              <w:top w:val="nil"/>
              <w:left w:val="nil"/>
              <w:bottom w:val="single" w:color="auto" w:sz="8" w:space="0"/>
              <w:right w:val="single" w:color="auto" w:sz="8" w:space="0"/>
            </w:tcBorders>
            <w:noWrap w:val="0"/>
            <w:vAlign w:val="center"/>
          </w:tcPr>
          <w:p w14:paraId="0DB54E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40D87A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2A35A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36E44F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61A577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547553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6EDF2D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15D494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542D02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36C160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5AEEA1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single" w:color="auto" w:sz="8" w:space="0"/>
              <w:right w:val="single" w:color="auto" w:sz="8" w:space="0"/>
            </w:tcBorders>
            <w:noWrap w:val="0"/>
            <w:vAlign w:val="center"/>
          </w:tcPr>
          <w:p w14:paraId="46663B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521" w:type="pct"/>
            <w:vMerge w:val="continue"/>
            <w:tcBorders>
              <w:top w:val="nil"/>
              <w:left w:val="nil"/>
              <w:bottom w:val="single" w:color="auto" w:sz="8" w:space="0"/>
              <w:right w:val="single" w:color="auto" w:sz="8" w:space="0"/>
            </w:tcBorders>
            <w:noWrap w:val="0"/>
            <w:vAlign w:val="center"/>
          </w:tcPr>
          <w:p w14:paraId="6E140A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40A17D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6F8C5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3A2708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60FDB2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restart"/>
            <w:tcBorders>
              <w:top w:val="nil"/>
              <w:left w:val="nil"/>
              <w:bottom w:val="single" w:color="auto" w:sz="8" w:space="0"/>
              <w:right w:val="single" w:color="auto" w:sz="8" w:space="0"/>
            </w:tcBorders>
            <w:noWrap w:val="0"/>
            <w:vAlign w:val="center"/>
          </w:tcPr>
          <w:p w14:paraId="7BD1EC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197" w:type="pct"/>
            <w:vMerge w:val="restart"/>
            <w:tcBorders>
              <w:top w:val="nil"/>
              <w:left w:val="nil"/>
              <w:bottom w:val="single" w:color="auto" w:sz="8" w:space="0"/>
              <w:right w:val="single" w:color="auto" w:sz="8" w:space="0"/>
            </w:tcBorders>
            <w:noWrap w:val="0"/>
            <w:vAlign w:val="center"/>
          </w:tcPr>
          <w:p w14:paraId="24F36F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365" w:type="pct"/>
            <w:vMerge w:val="restart"/>
            <w:tcBorders>
              <w:top w:val="nil"/>
              <w:left w:val="nil"/>
              <w:bottom w:val="single" w:color="auto" w:sz="8" w:space="0"/>
              <w:right w:val="single" w:color="auto" w:sz="8" w:space="0"/>
            </w:tcBorders>
            <w:noWrap w:val="0"/>
            <w:vAlign w:val="center"/>
          </w:tcPr>
          <w:p w14:paraId="673075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172" w:type="pct"/>
            <w:vMerge w:val="restart"/>
            <w:tcBorders>
              <w:top w:val="nil"/>
              <w:left w:val="nil"/>
              <w:bottom w:val="single" w:color="auto" w:sz="8" w:space="0"/>
              <w:right w:val="single" w:color="auto" w:sz="8" w:space="0"/>
            </w:tcBorders>
            <w:noWrap w:val="0"/>
            <w:vAlign w:val="center"/>
          </w:tcPr>
          <w:p w14:paraId="287CBA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718" w:type="pct"/>
            <w:vMerge w:val="restart"/>
            <w:tcBorders>
              <w:top w:val="nil"/>
              <w:left w:val="nil"/>
              <w:bottom w:val="single" w:color="auto" w:sz="8" w:space="0"/>
              <w:right w:val="single" w:color="auto" w:sz="8" w:space="0"/>
            </w:tcBorders>
            <w:noWrap w:val="0"/>
            <w:vAlign w:val="center"/>
          </w:tcPr>
          <w:p w14:paraId="52F6F5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252" w:type="pct"/>
            <w:vMerge w:val="restart"/>
            <w:tcBorders>
              <w:top w:val="nil"/>
              <w:left w:val="nil"/>
              <w:bottom w:val="single" w:color="auto" w:sz="8" w:space="0"/>
              <w:right w:val="single" w:color="auto" w:sz="8" w:space="0"/>
            </w:tcBorders>
            <w:noWrap w:val="0"/>
            <w:vAlign w:val="center"/>
          </w:tcPr>
          <w:p w14:paraId="380D0B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1932" w:type="pct"/>
            <w:tcBorders>
              <w:top w:val="nil"/>
              <w:left w:val="nil"/>
              <w:bottom w:val="nil"/>
              <w:right w:val="single" w:color="auto" w:sz="8" w:space="0"/>
            </w:tcBorders>
            <w:noWrap w:val="0"/>
            <w:vAlign w:val="center"/>
          </w:tcPr>
          <w:p w14:paraId="41C839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①预算编制是否经过科学论证；</w:t>
            </w:r>
          </w:p>
        </w:tc>
        <w:tc>
          <w:tcPr>
            <w:tcW w:w="521" w:type="pct"/>
            <w:vMerge w:val="restart"/>
            <w:tcBorders>
              <w:top w:val="nil"/>
              <w:left w:val="nil"/>
              <w:bottom w:val="single" w:color="auto" w:sz="8" w:space="0"/>
              <w:right w:val="single" w:color="auto" w:sz="8" w:space="0"/>
            </w:tcBorders>
            <w:noWrap w:val="0"/>
            <w:vAlign w:val="center"/>
          </w:tcPr>
          <w:p w14:paraId="162874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282" w:type="pct"/>
            <w:vMerge w:val="restart"/>
            <w:tcBorders>
              <w:top w:val="nil"/>
              <w:left w:val="nil"/>
              <w:bottom w:val="single" w:color="auto" w:sz="8" w:space="0"/>
              <w:right w:val="single" w:color="auto" w:sz="8" w:space="0"/>
            </w:tcBorders>
            <w:noWrap w:val="0"/>
            <w:vAlign w:val="center"/>
          </w:tcPr>
          <w:p w14:paraId="77719F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r>
      <w:tr w14:paraId="6A595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46D9B7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2B2A7A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0E44F8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00BB6A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2E2AF9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264721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0D54A2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35C3E3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nil"/>
              <w:right w:val="single" w:color="auto" w:sz="8" w:space="0"/>
            </w:tcBorders>
            <w:noWrap w:val="0"/>
            <w:vAlign w:val="center"/>
          </w:tcPr>
          <w:p w14:paraId="7C4601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tc>
        <w:tc>
          <w:tcPr>
            <w:tcW w:w="521" w:type="pct"/>
            <w:vMerge w:val="continue"/>
            <w:tcBorders>
              <w:top w:val="nil"/>
              <w:left w:val="nil"/>
              <w:bottom w:val="single" w:color="auto" w:sz="8" w:space="0"/>
              <w:right w:val="single" w:color="auto" w:sz="8" w:space="0"/>
            </w:tcBorders>
            <w:noWrap w:val="0"/>
            <w:vAlign w:val="center"/>
          </w:tcPr>
          <w:p w14:paraId="6FF043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4F6177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407B4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50BF38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04B0C8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4BB03E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235AA6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276833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63AD05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655B5F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4C6514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nil"/>
              <w:right w:val="single" w:color="auto" w:sz="8" w:space="0"/>
            </w:tcBorders>
            <w:noWrap w:val="0"/>
            <w:vAlign w:val="center"/>
          </w:tcPr>
          <w:p w14:paraId="74E735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tc>
        <w:tc>
          <w:tcPr>
            <w:tcW w:w="521" w:type="pct"/>
            <w:vMerge w:val="continue"/>
            <w:tcBorders>
              <w:top w:val="nil"/>
              <w:left w:val="nil"/>
              <w:bottom w:val="single" w:color="auto" w:sz="8" w:space="0"/>
              <w:right w:val="single" w:color="auto" w:sz="8" w:space="0"/>
            </w:tcBorders>
            <w:noWrap w:val="0"/>
            <w:vAlign w:val="center"/>
          </w:tcPr>
          <w:p w14:paraId="49D794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03AE52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39BC6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1E528A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7AE96B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4C1156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52B74F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6EAF2D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539C7B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30A9C6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6B82BF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nil"/>
              <w:right w:val="single" w:color="auto" w:sz="8" w:space="0"/>
            </w:tcBorders>
            <w:noWrap w:val="0"/>
            <w:vAlign w:val="center"/>
          </w:tcPr>
          <w:p w14:paraId="4A10DD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tc>
        <w:tc>
          <w:tcPr>
            <w:tcW w:w="521" w:type="pct"/>
            <w:vMerge w:val="continue"/>
            <w:tcBorders>
              <w:top w:val="nil"/>
              <w:left w:val="nil"/>
              <w:bottom w:val="single" w:color="auto" w:sz="8" w:space="0"/>
              <w:right w:val="single" w:color="auto" w:sz="8" w:space="0"/>
            </w:tcBorders>
            <w:noWrap w:val="0"/>
            <w:vAlign w:val="center"/>
          </w:tcPr>
          <w:p w14:paraId="1B4226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6222CC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4F55C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65CD4E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749D99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4DA7A1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77AC91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00CAA9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6FDBBE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798F68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5042DD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single" w:color="auto" w:sz="8" w:space="0"/>
              <w:right w:val="single" w:color="auto" w:sz="8" w:space="0"/>
            </w:tcBorders>
            <w:noWrap w:val="0"/>
            <w:vAlign w:val="center"/>
          </w:tcPr>
          <w:p w14:paraId="53ED7C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521" w:type="pct"/>
            <w:vMerge w:val="continue"/>
            <w:tcBorders>
              <w:top w:val="nil"/>
              <w:left w:val="nil"/>
              <w:bottom w:val="single" w:color="auto" w:sz="8" w:space="0"/>
              <w:right w:val="single" w:color="auto" w:sz="8" w:space="0"/>
            </w:tcBorders>
            <w:noWrap w:val="0"/>
            <w:vAlign w:val="center"/>
          </w:tcPr>
          <w:p w14:paraId="7CA021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1545DB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386AB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285B1D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2C9C1C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312A92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009D92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restart"/>
            <w:tcBorders>
              <w:top w:val="nil"/>
              <w:left w:val="nil"/>
              <w:bottom w:val="single" w:color="auto" w:sz="8" w:space="0"/>
              <w:right w:val="single" w:color="auto" w:sz="8" w:space="0"/>
            </w:tcBorders>
            <w:noWrap w:val="0"/>
            <w:vAlign w:val="center"/>
          </w:tcPr>
          <w:p w14:paraId="1B570A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172" w:type="pct"/>
            <w:vMerge w:val="restart"/>
            <w:tcBorders>
              <w:top w:val="nil"/>
              <w:left w:val="nil"/>
              <w:bottom w:val="single" w:color="auto" w:sz="8" w:space="0"/>
              <w:right w:val="single" w:color="auto" w:sz="8" w:space="0"/>
            </w:tcBorders>
            <w:noWrap w:val="0"/>
            <w:vAlign w:val="center"/>
          </w:tcPr>
          <w:p w14:paraId="7F412E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718" w:type="pct"/>
            <w:vMerge w:val="restart"/>
            <w:tcBorders>
              <w:top w:val="nil"/>
              <w:left w:val="nil"/>
              <w:bottom w:val="single" w:color="auto" w:sz="8" w:space="0"/>
              <w:right w:val="single" w:color="auto" w:sz="8" w:space="0"/>
            </w:tcBorders>
            <w:noWrap w:val="0"/>
            <w:vAlign w:val="center"/>
          </w:tcPr>
          <w:p w14:paraId="14D33E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252" w:type="pct"/>
            <w:vMerge w:val="restart"/>
            <w:tcBorders>
              <w:top w:val="nil"/>
              <w:left w:val="nil"/>
              <w:bottom w:val="single" w:color="auto" w:sz="8" w:space="0"/>
              <w:right w:val="single" w:color="auto" w:sz="8" w:space="0"/>
            </w:tcBorders>
            <w:noWrap w:val="0"/>
            <w:vAlign w:val="center"/>
          </w:tcPr>
          <w:p w14:paraId="459976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932" w:type="pct"/>
            <w:tcBorders>
              <w:top w:val="nil"/>
              <w:left w:val="nil"/>
              <w:bottom w:val="nil"/>
              <w:right w:val="single" w:color="auto" w:sz="8" w:space="0"/>
            </w:tcBorders>
            <w:noWrap w:val="0"/>
            <w:vAlign w:val="center"/>
          </w:tcPr>
          <w:p w14:paraId="5BC3A3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①预算资金分配依据是否充分；</w:t>
            </w:r>
          </w:p>
        </w:tc>
        <w:tc>
          <w:tcPr>
            <w:tcW w:w="521" w:type="pct"/>
            <w:vMerge w:val="restart"/>
            <w:tcBorders>
              <w:top w:val="nil"/>
              <w:left w:val="nil"/>
              <w:bottom w:val="single" w:color="auto" w:sz="8" w:space="0"/>
              <w:right w:val="single" w:color="auto" w:sz="8" w:space="0"/>
            </w:tcBorders>
            <w:noWrap w:val="0"/>
            <w:vAlign w:val="center"/>
          </w:tcPr>
          <w:p w14:paraId="54CA51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82" w:type="pct"/>
            <w:vMerge w:val="restart"/>
            <w:tcBorders>
              <w:top w:val="nil"/>
              <w:left w:val="nil"/>
              <w:bottom w:val="single" w:color="auto" w:sz="8" w:space="0"/>
              <w:right w:val="single" w:color="auto" w:sz="8" w:space="0"/>
            </w:tcBorders>
            <w:noWrap w:val="0"/>
            <w:vAlign w:val="center"/>
          </w:tcPr>
          <w:p w14:paraId="35E1BA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250%</w:t>
            </w:r>
          </w:p>
        </w:tc>
      </w:tr>
      <w:tr w14:paraId="37974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52B478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4856FC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65104B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26768C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3D0F4C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5CCCC3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6A4F79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7D07C1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nil"/>
              <w:right w:val="single" w:color="auto" w:sz="8" w:space="0"/>
            </w:tcBorders>
            <w:noWrap w:val="0"/>
            <w:vAlign w:val="center"/>
          </w:tcPr>
          <w:p w14:paraId="5BDC65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tc>
        <w:tc>
          <w:tcPr>
            <w:tcW w:w="521" w:type="pct"/>
            <w:vMerge w:val="continue"/>
            <w:tcBorders>
              <w:top w:val="nil"/>
              <w:left w:val="nil"/>
              <w:bottom w:val="single" w:color="auto" w:sz="8" w:space="0"/>
              <w:right w:val="single" w:color="auto" w:sz="8" w:space="0"/>
            </w:tcBorders>
            <w:noWrap w:val="0"/>
            <w:vAlign w:val="center"/>
          </w:tcPr>
          <w:p w14:paraId="097F77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414047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57549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569A26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1F47D5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396FA5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7AE4A8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7080E0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2B9451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72E95D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1691B7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single" w:color="auto" w:sz="8" w:space="0"/>
              <w:right w:val="single" w:color="auto" w:sz="8" w:space="0"/>
            </w:tcBorders>
            <w:noWrap w:val="0"/>
            <w:vAlign w:val="center"/>
          </w:tcPr>
          <w:p w14:paraId="78AED8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521" w:type="pct"/>
            <w:vMerge w:val="continue"/>
            <w:tcBorders>
              <w:top w:val="nil"/>
              <w:left w:val="nil"/>
              <w:bottom w:val="single" w:color="auto" w:sz="8" w:space="0"/>
              <w:right w:val="single" w:color="auto" w:sz="8" w:space="0"/>
            </w:tcBorders>
            <w:noWrap w:val="0"/>
            <w:vAlign w:val="center"/>
          </w:tcPr>
          <w:p w14:paraId="452036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2546A3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2FDF5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restart"/>
            <w:tcBorders>
              <w:top w:val="nil"/>
              <w:left w:val="single" w:color="auto" w:sz="8" w:space="0"/>
              <w:bottom w:val="single" w:color="auto" w:sz="8" w:space="0"/>
              <w:right w:val="single" w:color="auto" w:sz="8" w:space="0"/>
            </w:tcBorders>
            <w:noWrap w:val="0"/>
            <w:vAlign w:val="center"/>
          </w:tcPr>
          <w:p w14:paraId="35445D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197" w:type="pct"/>
            <w:vMerge w:val="restart"/>
            <w:tcBorders>
              <w:top w:val="nil"/>
              <w:left w:val="nil"/>
              <w:bottom w:val="single" w:color="auto" w:sz="8" w:space="0"/>
              <w:right w:val="single" w:color="auto" w:sz="8" w:space="0"/>
            </w:tcBorders>
            <w:noWrap w:val="0"/>
            <w:vAlign w:val="center"/>
          </w:tcPr>
          <w:p w14:paraId="332935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159" w:type="pct"/>
            <w:vMerge w:val="restart"/>
            <w:tcBorders>
              <w:top w:val="nil"/>
              <w:left w:val="nil"/>
              <w:bottom w:val="single" w:color="auto" w:sz="8" w:space="0"/>
              <w:right w:val="single" w:color="auto" w:sz="8" w:space="0"/>
            </w:tcBorders>
            <w:noWrap w:val="0"/>
            <w:vAlign w:val="center"/>
          </w:tcPr>
          <w:p w14:paraId="48E773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197" w:type="pct"/>
            <w:vMerge w:val="restart"/>
            <w:tcBorders>
              <w:top w:val="nil"/>
              <w:left w:val="nil"/>
              <w:bottom w:val="single" w:color="auto" w:sz="8" w:space="0"/>
              <w:right w:val="single" w:color="auto" w:sz="8" w:space="0"/>
            </w:tcBorders>
            <w:noWrap w:val="0"/>
            <w:vAlign w:val="center"/>
          </w:tcPr>
          <w:p w14:paraId="1D5F3F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65" w:type="pct"/>
            <w:vMerge w:val="restart"/>
            <w:tcBorders>
              <w:top w:val="nil"/>
              <w:left w:val="nil"/>
              <w:bottom w:val="single" w:color="auto" w:sz="8" w:space="0"/>
              <w:right w:val="single" w:color="auto" w:sz="8" w:space="0"/>
            </w:tcBorders>
            <w:noWrap w:val="0"/>
            <w:vAlign w:val="center"/>
          </w:tcPr>
          <w:p w14:paraId="232A2A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172" w:type="pct"/>
            <w:vMerge w:val="restart"/>
            <w:tcBorders>
              <w:top w:val="nil"/>
              <w:left w:val="nil"/>
              <w:bottom w:val="single" w:color="auto" w:sz="8" w:space="0"/>
              <w:right w:val="single" w:color="auto" w:sz="8" w:space="0"/>
            </w:tcBorders>
            <w:noWrap w:val="0"/>
            <w:vAlign w:val="center"/>
          </w:tcPr>
          <w:p w14:paraId="7CB399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718" w:type="pct"/>
            <w:vMerge w:val="restart"/>
            <w:tcBorders>
              <w:top w:val="nil"/>
              <w:left w:val="nil"/>
              <w:bottom w:val="single" w:color="auto" w:sz="8" w:space="0"/>
              <w:right w:val="single" w:color="auto" w:sz="8" w:space="0"/>
            </w:tcBorders>
            <w:noWrap w:val="0"/>
            <w:vAlign w:val="center"/>
          </w:tcPr>
          <w:p w14:paraId="3BA41B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252" w:type="pct"/>
            <w:vMerge w:val="restart"/>
            <w:tcBorders>
              <w:top w:val="nil"/>
              <w:left w:val="nil"/>
              <w:bottom w:val="single" w:color="auto" w:sz="8" w:space="0"/>
              <w:right w:val="single" w:color="auto" w:sz="8" w:space="0"/>
            </w:tcBorders>
            <w:noWrap w:val="0"/>
            <w:vAlign w:val="center"/>
          </w:tcPr>
          <w:p w14:paraId="26E984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932" w:type="pct"/>
            <w:tcBorders>
              <w:top w:val="nil"/>
              <w:left w:val="nil"/>
              <w:bottom w:val="nil"/>
              <w:right w:val="single" w:color="auto" w:sz="8" w:space="0"/>
            </w:tcBorders>
            <w:noWrap w:val="0"/>
            <w:vAlign w:val="center"/>
          </w:tcPr>
          <w:p w14:paraId="4992F5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资金到位率=（实际到位资金/预算资金）×100%。</w:t>
            </w:r>
          </w:p>
        </w:tc>
        <w:tc>
          <w:tcPr>
            <w:tcW w:w="521" w:type="pct"/>
            <w:vMerge w:val="restart"/>
            <w:tcBorders>
              <w:top w:val="nil"/>
              <w:left w:val="nil"/>
              <w:bottom w:val="single" w:color="auto" w:sz="8" w:space="0"/>
              <w:right w:val="single" w:color="auto" w:sz="8" w:space="0"/>
            </w:tcBorders>
            <w:noWrap w:val="0"/>
            <w:vAlign w:val="center"/>
          </w:tcPr>
          <w:p w14:paraId="29B692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82" w:type="pct"/>
            <w:vMerge w:val="restart"/>
            <w:tcBorders>
              <w:top w:val="nil"/>
              <w:left w:val="nil"/>
              <w:bottom w:val="single" w:color="auto" w:sz="8" w:space="0"/>
              <w:right w:val="single" w:color="auto" w:sz="8" w:space="0"/>
            </w:tcBorders>
            <w:noWrap w:val="0"/>
            <w:vAlign w:val="center"/>
          </w:tcPr>
          <w:p w14:paraId="40EB43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2D9C3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26966D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0ED23A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2457F7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0C93AA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5FB2E6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18BEEE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6852D1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2A17F8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single" w:color="auto" w:sz="8" w:space="0"/>
              <w:right w:val="single" w:color="auto" w:sz="8" w:space="0"/>
            </w:tcBorders>
            <w:noWrap w:val="0"/>
            <w:vAlign w:val="center"/>
          </w:tcPr>
          <w:p w14:paraId="23F2A4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521" w:type="pct"/>
            <w:vMerge w:val="continue"/>
            <w:tcBorders>
              <w:top w:val="nil"/>
              <w:left w:val="nil"/>
              <w:bottom w:val="single" w:color="auto" w:sz="8" w:space="0"/>
              <w:right w:val="single" w:color="auto" w:sz="8" w:space="0"/>
            </w:tcBorders>
            <w:noWrap w:val="0"/>
            <w:vAlign w:val="center"/>
          </w:tcPr>
          <w:p w14:paraId="1CE01A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227D08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0FB78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5ACF75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37F839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25BEA8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40AFA3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restart"/>
            <w:tcBorders>
              <w:top w:val="nil"/>
              <w:left w:val="nil"/>
              <w:bottom w:val="single" w:color="auto" w:sz="8" w:space="0"/>
              <w:right w:val="single" w:color="auto" w:sz="8" w:space="0"/>
            </w:tcBorders>
            <w:noWrap w:val="0"/>
            <w:vAlign w:val="center"/>
          </w:tcPr>
          <w:p w14:paraId="5F32EF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172" w:type="pct"/>
            <w:vMerge w:val="restart"/>
            <w:tcBorders>
              <w:top w:val="nil"/>
              <w:left w:val="nil"/>
              <w:bottom w:val="single" w:color="auto" w:sz="8" w:space="0"/>
              <w:right w:val="single" w:color="auto" w:sz="8" w:space="0"/>
            </w:tcBorders>
            <w:noWrap w:val="0"/>
            <w:vAlign w:val="center"/>
          </w:tcPr>
          <w:p w14:paraId="5D2821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18" w:type="pct"/>
            <w:vMerge w:val="restart"/>
            <w:tcBorders>
              <w:top w:val="nil"/>
              <w:left w:val="nil"/>
              <w:bottom w:val="single" w:color="auto" w:sz="8" w:space="0"/>
              <w:right w:val="single" w:color="auto" w:sz="8" w:space="0"/>
            </w:tcBorders>
            <w:noWrap w:val="0"/>
            <w:vAlign w:val="center"/>
          </w:tcPr>
          <w:p w14:paraId="2338B9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252" w:type="pct"/>
            <w:vMerge w:val="restart"/>
            <w:tcBorders>
              <w:top w:val="nil"/>
              <w:left w:val="nil"/>
              <w:bottom w:val="single" w:color="auto" w:sz="8" w:space="0"/>
              <w:right w:val="single" w:color="auto" w:sz="8" w:space="0"/>
            </w:tcBorders>
            <w:noWrap w:val="0"/>
            <w:vAlign w:val="center"/>
          </w:tcPr>
          <w:p w14:paraId="0DC93D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932" w:type="pct"/>
            <w:tcBorders>
              <w:top w:val="nil"/>
              <w:left w:val="nil"/>
              <w:bottom w:val="nil"/>
              <w:right w:val="single" w:color="auto" w:sz="8" w:space="0"/>
            </w:tcBorders>
            <w:noWrap w:val="0"/>
            <w:vAlign w:val="center"/>
          </w:tcPr>
          <w:p w14:paraId="2705D0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预算执行率=（实际支出资金/实际到位资金）×100%。</w:t>
            </w:r>
          </w:p>
        </w:tc>
        <w:tc>
          <w:tcPr>
            <w:tcW w:w="521" w:type="pct"/>
            <w:vMerge w:val="restart"/>
            <w:tcBorders>
              <w:top w:val="nil"/>
              <w:left w:val="nil"/>
              <w:bottom w:val="single" w:color="auto" w:sz="8" w:space="0"/>
              <w:right w:val="single" w:color="auto" w:sz="8" w:space="0"/>
            </w:tcBorders>
            <w:noWrap w:val="0"/>
            <w:vAlign w:val="center"/>
          </w:tcPr>
          <w:p w14:paraId="29BD2B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97.41%</w:t>
            </w:r>
          </w:p>
        </w:tc>
        <w:tc>
          <w:tcPr>
            <w:tcW w:w="282" w:type="pct"/>
            <w:vMerge w:val="restart"/>
            <w:tcBorders>
              <w:top w:val="nil"/>
              <w:left w:val="nil"/>
              <w:bottom w:val="single" w:color="auto" w:sz="8" w:space="0"/>
              <w:right w:val="single" w:color="auto" w:sz="8" w:space="0"/>
            </w:tcBorders>
            <w:noWrap w:val="0"/>
            <w:vAlign w:val="center"/>
          </w:tcPr>
          <w:p w14:paraId="6C47F3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3.90 </w:t>
            </w:r>
          </w:p>
        </w:tc>
      </w:tr>
      <w:tr w14:paraId="25272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72FFF1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5A8289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382AA0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1B1782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2CF4E0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199645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43BAF3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7AD824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single" w:color="auto" w:sz="8" w:space="0"/>
              <w:right w:val="single" w:color="auto" w:sz="8" w:space="0"/>
            </w:tcBorders>
            <w:noWrap w:val="0"/>
            <w:vAlign w:val="center"/>
          </w:tcPr>
          <w:p w14:paraId="46A26A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521" w:type="pct"/>
            <w:vMerge w:val="continue"/>
            <w:tcBorders>
              <w:top w:val="nil"/>
              <w:left w:val="nil"/>
              <w:bottom w:val="single" w:color="auto" w:sz="8" w:space="0"/>
              <w:right w:val="single" w:color="auto" w:sz="8" w:space="0"/>
            </w:tcBorders>
            <w:noWrap w:val="0"/>
            <w:vAlign w:val="center"/>
          </w:tcPr>
          <w:p w14:paraId="5D912B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42C6A3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2FA9E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6453E9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4DC134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7F19ED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7D47E5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restart"/>
            <w:tcBorders>
              <w:top w:val="nil"/>
              <w:left w:val="nil"/>
              <w:bottom w:val="single" w:color="auto" w:sz="8" w:space="0"/>
              <w:right w:val="single" w:color="auto" w:sz="8" w:space="0"/>
            </w:tcBorders>
            <w:noWrap w:val="0"/>
            <w:vAlign w:val="center"/>
          </w:tcPr>
          <w:p w14:paraId="053F30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172" w:type="pct"/>
            <w:vMerge w:val="restart"/>
            <w:tcBorders>
              <w:top w:val="nil"/>
              <w:left w:val="nil"/>
              <w:bottom w:val="single" w:color="auto" w:sz="8" w:space="0"/>
              <w:right w:val="single" w:color="auto" w:sz="8" w:space="0"/>
            </w:tcBorders>
            <w:noWrap w:val="0"/>
            <w:vAlign w:val="center"/>
          </w:tcPr>
          <w:p w14:paraId="17328A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18" w:type="pct"/>
            <w:vMerge w:val="restart"/>
            <w:tcBorders>
              <w:top w:val="nil"/>
              <w:left w:val="nil"/>
              <w:bottom w:val="single" w:color="auto" w:sz="8" w:space="0"/>
              <w:right w:val="single" w:color="auto" w:sz="8" w:space="0"/>
            </w:tcBorders>
            <w:noWrap w:val="0"/>
            <w:vAlign w:val="center"/>
          </w:tcPr>
          <w:p w14:paraId="620995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252" w:type="pct"/>
            <w:vMerge w:val="restart"/>
            <w:tcBorders>
              <w:top w:val="nil"/>
              <w:left w:val="nil"/>
              <w:bottom w:val="single" w:color="auto" w:sz="8" w:space="0"/>
              <w:right w:val="single" w:color="auto" w:sz="8" w:space="0"/>
            </w:tcBorders>
            <w:noWrap w:val="0"/>
            <w:vAlign w:val="center"/>
          </w:tcPr>
          <w:p w14:paraId="75FCE1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1932" w:type="pct"/>
            <w:tcBorders>
              <w:top w:val="nil"/>
              <w:left w:val="nil"/>
              <w:bottom w:val="nil"/>
              <w:right w:val="single" w:color="auto" w:sz="8" w:space="0"/>
            </w:tcBorders>
            <w:noWrap w:val="0"/>
            <w:vAlign w:val="center"/>
          </w:tcPr>
          <w:p w14:paraId="5ADF08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tc>
        <w:tc>
          <w:tcPr>
            <w:tcW w:w="521" w:type="pct"/>
            <w:vMerge w:val="restart"/>
            <w:tcBorders>
              <w:top w:val="nil"/>
              <w:left w:val="nil"/>
              <w:bottom w:val="single" w:color="auto" w:sz="8" w:space="0"/>
              <w:right w:val="single" w:color="auto" w:sz="8" w:space="0"/>
            </w:tcBorders>
            <w:noWrap w:val="0"/>
            <w:vAlign w:val="center"/>
          </w:tcPr>
          <w:p w14:paraId="4E71D4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282" w:type="pct"/>
            <w:vMerge w:val="restart"/>
            <w:tcBorders>
              <w:top w:val="nil"/>
              <w:left w:val="nil"/>
              <w:bottom w:val="single" w:color="auto" w:sz="8" w:space="0"/>
              <w:right w:val="single" w:color="auto" w:sz="8" w:space="0"/>
            </w:tcBorders>
            <w:noWrap w:val="0"/>
            <w:vAlign w:val="center"/>
          </w:tcPr>
          <w:p w14:paraId="658A2E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15142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77D3EA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29E074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374776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2EB49C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578D23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4FE484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31CF99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74E89F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nil"/>
              <w:right w:val="single" w:color="auto" w:sz="8" w:space="0"/>
            </w:tcBorders>
            <w:noWrap w:val="0"/>
            <w:vAlign w:val="center"/>
          </w:tcPr>
          <w:p w14:paraId="618DAC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tc>
        <w:tc>
          <w:tcPr>
            <w:tcW w:w="521" w:type="pct"/>
            <w:vMerge w:val="continue"/>
            <w:tcBorders>
              <w:top w:val="nil"/>
              <w:left w:val="nil"/>
              <w:bottom w:val="single" w:color="auto" w:sz="8" w:space="0"/>
              <w:right w:val="single" w:color="auto" w:sz="8" w:space="0"/>
            </w:tcBorders>
            <w:noWrap w:val="0"/>
            <w:vAlign w:val="center"/>
          </w:tcPr>
          <w:p w14:paraId="47E16E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709BC1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45005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348353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56157A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536C33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172A71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48DD68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1F53AD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12FDBB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7D3013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nil"/>
              <w:right w:val="single" w:color="auto" w:sz="8" w:space="0"/>
            </w:tcBorders>
            <w:noWrap w:val="0"/>
            <w:vAlign w:val="center"/>
          </w:tcPr>
          <w:p w14:paraId="5AF343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tc>
        <w:tc>
          <w:tcPr>
            <w:tcW w:w="521" w:type="pct"/>
            <w:vMerge w:val="continue"/>
            <w:tcBorders>
              <w:top w:val="nil"/>
              <w:left w:val="nil"/>
              <w:bottom w:val="single" w:color="auto" w:sz="8" w:space="0"/>
              <w:right w:val="single" w:color="auto" w:sz="8" w:space="0"/>
            </w:tcBorders>
            <w:noWrap w:val="0"/>
            <w:vAlign w:val="center"/>
          </w:tcPr>
          <w:p w14:paraId="226535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49D4B0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05DBA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35B9ED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2477E5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7D08BA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12F1EA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2AE205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5BE456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66695E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0FC6C9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nil"/>
              <w:right w:val="single" w:color="auto" w:sz="8" w:space="0"/>
            </w:tcBorders>
            <w:noWrap w:val="0"/>
            <w:vAlign w:val="center"/>
          </w:tcPr>
          <w:p w14:paraId="18AA3F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tc>
        <w:tc>
          <w:tcPr>
            <w:tcW w:w="521" w:type="pct"/>
            <w:vMerge w:val="continue"/>
            <w:tcBorders>
              <w:top w:val="nil"/>
              <w:left w:val="nil"/>
              <w:bottom w:val="single" w:color="auto" w:sz="8" w:space="0"/>
              <w:right w:val="single" w:color="auto" w:sz="8" w:space="0"/>
            </w:tcBorders>
            <w:noWrap w:val="0"/>
            <w:vAlign w:val="center"/>
          </w:tcPr>
          <w:p w14:paraId="563A7E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502271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3C36C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657E51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3BEEA7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3F12DA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5BB39A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2956B6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3AF140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32B3A4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386A9C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single" w:color="auto" w:sz="8" w:space="0"/>
              <w:right w:val="single" w:color="auto" w:sz="8" w:space="0"/>
            </w:tcBorders>
            <w:noWrap w:val="0"/>
            <w:vAlign w:val="center"/>
          </w:tcPr>
          <w:p w14:paraId="68AE23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521" w:type="pct"/>
            <w:vMerge w:val="continue"/>
            <w:tcBorders>
              <w:top w:val="nil"/>
              <w:left w:val="nil"/>
              <w:bottom w:val="single" w:color="auto" w:sz="8" w:space="0"/>
              <w:right w:val="single" w:color="auto" w:sz="8" w:space="0"/>
            </w:tcBorders>
            <w:noWrap w:val="0"/>
            <w:vAlign w:val="center"/>
          </w:tcPr>
          <w:p w14:paraId="74D140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42A996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04F1C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40AEE1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7F6AB1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restart"/>
            <w:tcBorders>
              <w:top w:val="nil"/>
              <w:left w:val="nil"/>
              <w:bottom w:val="single" w:color="auto" w:sz="8" w:space="0"/>
              <w:right w:val="single" w:color="auto" w:sz="8" w:space="0"/>
            </w:tcBorders>
            <w:noWrap w:val="0"/>
            <w:vAlign w:val="center"/>
          </w:tcPr>
          <w:p w14:paraId="09ABC5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197" w:type="pct"/>
            <w:vMerge w:val="restart"/>
            <w:tcBorders>
              <w:top w:val="nil"/>
              <w:left w:val="nil"/>
              <w:bottom w:val="single" w:color="auto" w:sz="8" w:space="0"/>
              <w:right w:val="single" w:color="auto" w:sz="8" w:space="0"/>
            </w:tcBorders>
            <w:noWrap w:val="0"/>
            <w:vAlign w:val="center"/>
          </w:tcPr>
          <w:p w14:paraId="342E81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65" w:type="pct"/>
            <w:vMerge w:val="restart"/>
            <w:tcBorders>
              <w:top w:val="nil"/>
              <w:left w:val="nil"/>
              <w:bottom w:val="single" w:color="auto" w:sz="8" w:space="0"/>
              <w:right w:val="single" w:color="auto" w:sz="8" w:space="0"/>
            </w:tcBorders>
            <w:noWrap w:val="0"/>
            <w:vAlign w:val="center"/>
          </w:tcPr>
          <w:p w14:paraId="5A8829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172" w:type="pct"/>
            <w:vMerge w:val="restart"/>
            <w:tcBorders>
              <w:top w:val="nil"/>
              <w:left w:val="nil"/>
              <w:bottom w:val="single" w:color="auto" w:sz="8" w:space="0"/>
              <w:right w:val="single" w:color="auto" w:sz="8" w:space="0"/>
            </w:tcBorders>
            <w:noWrap w:val="0"/>
            <w:vAlign w:val="center"/>
          </w:tcPr>
          <w:p w14:paraId="253789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18" w:type="pct"/>
            <w:vMerge w:val="restart"/>
            <w:tcBorders>
              <w:top w:val="nil"/>
              <w:left w:val="nil"/>
              <w:bottom w:val="single" w:color="auto" w:sz="8" w:space="0"/>
              <w:right w:val="single" w:color="auto" w:sz="8" w:space="0"/>
            </w:tcBorders>
            <w:noWrap w:val="0"/>
            <w:vAlign w:val="center"/>
          </w:tcPr>
          <w:p w14:paraId="73D07B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252" w:type="pct"/>
            <w:vMerge w:val="restart"/>
            <w:tcBorders>
              <w:top w:val="nil"/>
              <w:left w:val="nil"/>
              <w:bottom w:val="single" w:color="auto" w:sz="8" w:space="0"/>
              <w:right w:val="single" w:color="auto" w:sz="8" w:space="0"/>
            </w:tcBorders>
            <w:noWrap w:val="0"/>
            <w:vAlign w:val="center"/>
          </w:tcPr>
          <w:p w14:paraId="53E44F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1932" w:type="pct"/>
            <w:tcBorders>
              <w:top w:val="nil"/>
              <w:left w:val="nil"/>
              <w:bottom w:val="nil"/>
              <w:right w:val="single" w:color="auto" w:sz="8" w:space="0"/>
            </w:tcBorders>
            <w:noWrap w:val="0"/>
            <w:vAlign w:val="center"/>
          </w:tcPr>
          <w:p w14:paraId="3155EB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tc>
        <w:tc>
          <w:tcPr>
            <w:tcW w:w="521" w:type="pct"/>
            <w:vMerge w:val="restart"/>
            <w:tcBorders>
              <w:top w:val="nil"/>
              <w:left w:val="nil"/>
              <w:bottom w:val="single" w:color="auto" w:sz="8" w:space="0"/>
              <w:right w:val="single" w:color="auto" w:sz="8" w:space="0"/>
            </w:tcBorders>
            <w:noWrap w:val="0"/>
            <w:vAlign w:val="center"/>
          </w:tcPr>
          <w:p w14:paraId="16D6DE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282" w:type="pct"/>
            <w:vMerge w:val="restart"/>
            <w:tcBorders>
              <w:top w:val="nil"/>
              <w:left w:val="nil"/>
              <w:bottom w:val="single" w:color="auto" w:sz="8" w:space="0"/>
              <w:right w:val="single" w:color="auto" w:sz="8" w:space="0"/>
            </w:tcBorders>
            <w:noWrap w:val="0"/>
            <w:vAlign w:val="center"/>
          </w:tcPr>
          <w:p w14:paraId="3D61C5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555AF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63082C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58E95F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4C35EF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6204A4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49A633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7C5193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58E6DD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7EDE1F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nil"/>
              <w:right w:val="single" w:color="auto" w:sz="8" w:space="0"/>
            </w:tcBorders>
            <w:noWrap w:val="0"/>
            <w:vAlign w:val="center"/>
          </w:tcPr>
          <w:p w14:paraId="252306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tc>
        <w:tc>
          <w:tcPr>
            <w:tcW w:w="521" w:type="pct"/>
            <w:vMerge w:val="continue"/>
            <w:tcBorders>
              <w:top w:val="nil"/>
              <w:left w:val="nil"/>
              <w:bottom w:val="single" w:color="auto" w:sz="8" w:space="0"/>
              <w:right w:val="single" w:color="auto" w:sz="8" w:space="0"/>
            </w:tcBorders>
            <w:noWrap w:val="0"/>
            <w:vAlign w:val="center"/>
          </w:tcPr>
          <w:p w14:paraId="2246B3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0F6EF6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626F5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073EF3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137B03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540CDE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2E8CD4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nil"/>
              <w:left w:val="nil"/>
              <w:bottom w:val="single" w:color="auto" w:sz="8" w:space="0"/>
              <w:right w:val="single" w:color="auto" w:sz="8" w:space="0"/>
            </w:tcBorders>
            <w:noWrap w:val="0"/>
            <w:vAlign w:val="center"/>
          </w:tcPr>
          <w:p w14:paraId="6553CE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nil"/>
              <w:left w:val="nil"/>
              <w:bottom w:val="single" w:color="auto" w:sz="8" w:space="0"/>
              <w:right w:val="single" w:color="auto" w:sz="8" w:space="0"/>
            </w:tcBorders>
            <w:noWrap w:val="0"/>
            <w:vAlign w:val="center"/>
          </w:tcPr>
          <w:p w14:paraId="66DBAE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vMerge w:val="continue"/>
            <w:tcBorders>
              <w:top w:val="nil"/>
              <w:left w:val="nil"/>
              <w:bottom w:val="single" w:color="auto" w:sz="8" w:space="0"/>
              <w:right w:val="single" w:color="auto" w:sz="8" w:space="0"/>
            </w:tcBorders>
            <w:noWrap w:val="0"/>
            <w:vAlign w:val="center"/>
          </w:tcPr>
          <w:p w14:paraId="608D1C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vMerge w:val="continue"/>
            <w:tcBorders>
              <w:top w:val="nil"/>
              <w:left w:val="nil"/>
              <w:bottom w:val="single" w:color="auto" w:sz="8" w:space="0"/>
              <w:right w:val="single" w:color="auto" w:sz="8" w:space="0"/>
            </w:tcBorders>
            <w:noWrap w:val="0"/>
            <w:vAlign w:val="center"/>
          </w:tcPr>
          <w:p w14:paraId="702D7E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single" w:color="auto" w:sz="8" w:space="0"/>
              <w:right w:val="single" w:color="auto" w:sz="8" w:space="0"/>
            </w:tcBorders>
            <w:noWrap w:val="0"/>
            <w:vAlign w:val="center"/>
          </w:tcPr>
          <w:p w14:paraId="53F755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521" w:type="pct"/>
            <w:vMerge w:val="continue"/>
            <w:tcBorders>
              <w:top w:val="nil"/>
              <w:left w:val="nil"/>
              <w:bottom w:val="single" w:color="auto" w:sz="8" w:space="0"/>
              <w:right w:val="single" w:color="auto" w:sz="8" w:space="0"/>
            </w:tcBorders>
            <w:noWrap w:val="0"/>
            <w:vAlign w:val="center"/>
          </w:tcPr>
          <w:p w14:paraId="669576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vMerge w:val="continue"/>
            <w:tcBorders>
              <w:top w:val="nil"/>
              <w:left w:val="nil"/>
              <w:bottom w:val="single" w:color="auto" w:sz="8" w:space="0"/>
              <w:right w:val="single" w:color="auto" w:sz="8" w:space="0"/>
            </w:tcBorders>
            <w:noWrap w:val="0"/>
            <w:vAlign w:val="center"/>
          </w:tcPr>
          <w:p w14:paraId="14B8A5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42FEB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4D9CD9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14BEA7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single" w:color="auto" w:sz="8" w:space="0"/>
            </w:tcBorders>
            <w:noWrap w:val="0"/>
            <w:vAlign w:val="center"/>
          </w:tcPr>
          <w:p w14:paraId="51E485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1CC38B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tcBorders>
              <w:top w:val="nil"/>
              <w:left w:val="nil"/>
              <w:bottom w:val="single" w:color="auto" w:sz="8" w:space="0"/>
              <w:right w:val="single" w:color="auto" w:sz="8" w:space="0"/>
            </w:tcBorders>
            <w:noWrap w:val="0"/>
            <w:vAlign w:val="center"/>
          </w:tcPr>
          <w:p w14:paraId="31B0F6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172" w:type="pct"/>
            <w:tcBorders>
              <w:top w:val="nil"/>
              <w:left w:val="nil"/>
              <w:bottom w:val="single" w:color="auto" w:sz="8" w:space="0"/>
              <w:right w:val="single" w:color="auto" w:sz="8" w:space="0"/>
            </w:tcBorders>
            <w:noWrap w:val="0"/>
            <w:vAlign w:val="center"/>
          </w:tcPr>
          <w:p w14:paraId="275828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18" w:type="pct"/>
            <w:tcBorders>
              <w:top w:val="nil"/>
              <w:left w:val="nil"/>
              <w:bottom w:val="single" w:color="auto" w:sz="8" w:space="0"/>
              <w:right w:val="single" w:color="auto" w:sz="8" w:space="0"/>
            </w:tcBorders>
            <w:noWrap w:val="0"/>
            <w:vAlign w:val="center"/>
          </w:tcPr>
          <w:p w14:paraId="5C8241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252" w:type="pct"/>
            <w:tcBorders>
              <w:top w:val="nil"/>
              <w:left w:val="nil"/>
              <w:bottom w:val="single" w:color="auto" w:sz="8" w:space="0"/>
              <w:right w:val="single" w:color="auto" w:sz="8" w:space="0"/>
            </w:tcBorders>
            <w:noWrap w:val="0"/>
            <w:vAlign w:val="center"/>
          </w:tcPr>
          <w:p w14:paraId="6FD65F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1932" w:type="pct"/>
            <w:tcBorders>
              <w:top w:val="nil"/>
              <w:left w:val="nil"/>
              <w:bottom w:val="nil"/>
              <w:right w:val="single" w:color="auto" w:sz="8" w:space="0"/>
            </w:tcBorders>
            <w:noWrap w:val="0"/>
            <w:vAlign w:val="center"/>
          </w:tcPr>
          <w:p w14:paraId="66BF21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7A9BBB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4B47FE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766BB1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521" w:type="pct"/>
            <w:tcBorders>
              <w:top w:val="nil"/>
              <w:left w:val="nil"/>
              <w:bottom w:val="single" w:color="auto" w:sz="8" w:space="0"/>
              <w:right w:val="single" w:color="auto" w:sz="8" w:space="0"/>
            </w:tcBorders>
            <w:noWrap w:val="0"/>
            <w:vAlign w:val="center"/>
          </w:tcPr>
          <w:p w14:paraId="396E37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282" w:type="pct"/>
            <w:tcBorders>
              <w:top w:val="nil"/>
              <w:left w:val="nil"/>
              <w:bottom w:val="single" w:color="auto" w:sz="8" w:space="0"/>
              <w:right w:val="single" w:color="auto" w:sz="8" w:space="0"/>
            </w:tcBorders>
            <w:noWrap w:val="0"/>
            <w:vAlign w:val="center"/>
          </w:tcPr>
          <w:p w14:paraId="41393F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10788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9" w:type="pct"/>
            <w:vMerge w:val="restart"/>
            <w:tcBorders>
              <w:top w:val="nil"/>
              <w:left w:val="single" w:color="auto" w:sz="8" w:space="0"/>
              <w:bottom w:val="single" w:color="auto" w:sz="8" w:space="0"/>
              <w:right w:val="single" w:color="auto" w:sz="8" w:space="0"/>
            </w:tcBorders>
            <w:noWrap w:val="0"/>
            <w:vAlign w:val="center"/>
          </w:tcPr>
          <w:p w14:paraId="620FEC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197" w:type="pct"/>
            <w:vMerge w:val="restart"/>
            <w:tcBorders>
              <w:top w:val="nil"/>
              <w:left w:val="nil"/>
              <w:bottom w:val="single" w:color="auto" w:sz="8" w:space="0"/>
              <w:right w:val="single" w:color="auto" w:sz="8" w:space="0"/>
            </w:tcBorders>
            <w:noWrap w:val="0"/>
            <w:vAlign w:val="center"/>
          </w:tcPr>
          <w:p w14:paraId="2EA735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159" w:type="pct"/>
            <w:vMerge w:val="restart"/>
            <w:tcBorders>
              <w:top w:val="nil"/>
              <w:left w:val="nil"/>
              <w:bottom w:val="single" w:color="auto" w:sz="8" w:space="0"/>
              <w:right w:val="nil"/>
            </w:tcBorders>
            <w:noWrap w:val="0"/>
            <w:vAlign w:val="center"/>
          </w:tcPr>
          <w:p w14:paraId="2D32C8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567A29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65" w:type="pct"/>
            <w:vMerge w:val="restart"/>
            <w:tcBorders>
              <w:top w:val="single" w:color="auto" w:sz="4" w:space="0"/>
              <w:left w:val="single" w:color="auto" w:sz="4" w:space="0"/>
              <w:bottom w:val="single" w:color="auto" w:sz="4" w:space="0"/>
              <w:right w:val="single" w:color="auto" w:sz="4" w:space="0"/>
            </w:tcBorders>
            <w:noWrap w:val="0"/>
            <w:vAlign w:val="center"/>
          </w:tcPr>
          <w:p w14:paraId="0C8386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172" w:type="pct"/>
            <w:vMerge w:val="restart"/>
            <w:tcBorders>
              <w:top w:val="single" w:color="auto" w:sz="4" w:space="0"/>
              <w:left w:val="single" w:color="auto" w:sz="4" w:space="0"/>
              <w:bottom w:val="single" w:color="auto" w:sz="4" w:space="0"/>
              <w:right w:val="single" w:color="auto" w:sz="4" w:space="0"/>
            </w:tcBorders>
            <w:noWrap w:val="0"/>
            <w:vAlign w:val="center"/>
          </w:tcPr>
          <w:p w14:paraId="4C1E1E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18" w:type="pct"/>
            <w:tcBorders>
              <w:top w:val="single" w:color="auto" w:sz="4" w:space="0"/>
              <w:left w:val="single" w:color="auto" w:sz="4" w:space="0"/>
              <w:bottom w:val="single" w:color="auto" w:sz="4" w:space="0"/>
              <w:right w:val="single" w:color="auto" w:sz="4" w:space="0"/>
            </w:tcBorders>
            <w:noWrap/>
            <w:vAlign w:val="center"/>
          </w:tcPr>
          <w:p w14:paraId="1B4EF9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保障项目数量</w:t>
            </w:r>
          </w:p>
        </w:tc>
        <w:tc>
          <w:tcPr>
            <w:tcW w:w="252" w:type="pct"/>
            <w:tcBorders>
              <w:top w:val="single" w:color="auto" w:sz="4" w:space="0"/>
              <w:left w:val="single" w:color="auto" w:sz="4" w:space="0"/>
              <w:bottom w:val="single" w:color="auto" w:sz="4" w:space="0"/>
              <w:right w:val="nil"/>
            </w:tcBorders>
            <w:noWrap w:val="0"/>
            <w:vAlign w:val="center"/>
          </w:tcPr>
          <w:p w14:paraId="230EA4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=4个村</w:t>
            </w:r>
          </w:p>
        </w:tc>
        <w:tc>
          <w:tcPr>
            <w:tcW w:w="1932" w:type="pct"/>
            <w:vMerge w:val="restart"/>
            <w:tcBorders>
              <w:top w:val="single" w:color="auto" w:sz="4" w:space="0"/>
              <w:left w:val="nil"/>
              <w:bottom w:val="nil"/>
              <w:right w:val="nil"/>
            </w:tcBorders>
            <w:noWrap w:val="0"/>
            <w:vAlign w:val="center"/>
          </w:tcPr>
          <w:p w14:paraId="1AD954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实际完成率=（实际完成/预期完成）×100%。①实际完成率≥100%，且偏离程度＜20%，得满分；②实际完成率≥100%，偏离程度≥20%，得0分；③实际完成率×100%＜100%，得分=实际完成率×指标分值。</w:t>
            </w:r>
          </w:p>
        </w:tc>
        <w:tc>
          <w:tcPr>
            <w:tcW w:w="521" w:type="pct"/>
            <w:tcBorders>
              <w:top w:val="single" w:color="auto" w:sz="4" w:space="0"/>
              <w:left w:val="single" w:color="auto" w:sz="4" w:space="0"/>
              <w:bottom w:val="single" w:color="auto" w:sz="4" w:space="0"/>
              <w:right w:val="nil"/>
            </w:tcBorders>
            <w:noWrap w:val="0"/>
            <w:vAlign w:val="center"/>
          </w:tcPr>
          <w:p w14:paraId="21EB72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4个村</w:t>
            </w:r>
          </w:p>
        </w:tc>
        <w:tc>
          <w:tcPr>
            <w:tcW w:w="282" w:type="pct"/>
            <w:tcBorders>
              <w:top w:val="nil"/>
              <w:left w:val="nil"/>
              <w:bottom w:val="single" w:color="auto" w:sz="8" w:space="0"/>
              <w:right w:val="single" w:color="auto" w:sz="8" w:space="0"/>
            </w:tcBorders>
            <w:noWrap w:val="0"/>
            <w:vAlign w:val="center"/>
          </w:tcPr>
          <w:p w14:paraId="12B267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601D6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0780C6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3C3B95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nil"/>
            </w:tcBorders>
            <w:noWrap w:val="0"/>
            <w:vAlign w:val="center"/>
          </w:tcPr>
          <w:p w14:paraId="349B6B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3BECFA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single" w:color="auto" w:sz="4" w:space="0"/>
              <w:left w:val="single" w:color="auto" w:sz="4" w:space="0"/>
              <w:bottom w:val="single" w:color="auto" w:sz="4" w:space="0"/>
              <w:right w:val="single" w:color="auto" w:sz="4" w:space="0"/>
            </w:tcBorders>
            <w:noWrap w:val="0"/>
            <w:vAlign w:val="center"/>
          </w:tcPr>
          <w:p w14:paraId="32B9F2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single" w:color="auto" w:sz="4" w:space="0"/>
              <w:left w:val="single" w:color="auto" w:sz="4" w:space="0"/>
              <w:bottom w:val="single" w:color="auto" w:sz="4" w:space="0"/>
              <w:right w:val="single" w:color="auto" w:sz="4" w:space="0"/>
            </w:tcBorders>
            <w:noWrap w:val="0"/>
            <w:vAlign w:val="center"/>
          </w:tcPr>
          <w:p w14:paraId="7EE0B5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tcBorders>
              <w:top w:val="single" w:color="auto" w:sz="4" w:space="0"/>
              <w:left w:val="single" w:color="auto" w:sz="4" w:space="0"/>
              <w:bottom w:val="single" w:color="auto" w:sz="4" w:space="0"/>
              <w:right w:val="single" w:color="auto" w:sz="4" w:space="0"/>
            </w:tcBorders>
            <w:noWrap/>
            <w:vAlign w:val="center"/>
          </w:tcPr>
          <w:p w14:paraId="02A544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采购太阳能路灯数量</w:t>
            </w:r>
          </w:p>
        </w:tc>
        <w:tc>
          <w:tcPr>
            <w:tcW w:w="252" w:type="pct"/>
            <w:tcBorders>
              <w:top w:val="single" w:color="auto" w:sz="4" w:space="0"/>
              <w:left w:val="single" w:color="auto" w:sz="4" w:space="0"/>
              <w:bottom w:val="single" w:color="auto" w:sz="4" w:space="0"/>
              <w:right w:val="nil"/>
            </w:tcBorders>
            <w:noWrap w:val="0"/>
            <w:vAlign w:val="center"/>
          </w:tcPr>
          <w:p w14:paraId="2E4178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≥687盏</w:t>
            </w:r>
          </w:p>
        </w:tc>
        <w:tc>
          <w:tcPr>
            <w:tcW w:w="1932" w:type="pct"/>
            <w:vMerge w:val="continue"/>
            <w:tcBorders>
              <w:top w:val="single" w:color="auto" w:sz="4" w:space="0"/>
              <w:left w:val="nil"/>
              <w:bottom w:val="nil"/>
              <w:right w:val="nil"/>
            </w:tcBorders>
            <w:noWrap w:val="0"/>
            <w:vAlign w:val="center"/>
          </w:tcPr>
          <w:p w14:paraId="473004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21" w:type="pct"/>
            <w:tcBorders>
              <w:top w:val="single" w:color="auto" w:sz="4" w:space="0"/>
              <w:left w:val="single" w:color="auto" w:sz="4" w:space="0"/>
              <w:bottom w:val="single" w:color="auto" w:sz="4" w:space="0"/>
              <w:right w:val="nil"/>
            </w:tcBorders>
            <w:noWrap w:val="0"/>
            <w:vAlign w:val="center"/>
          </w:tcPr>
          <w:p w14:paraId="6E17A0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687盏</w:t>
            </w:r>
          </w:p>
        </w:tc>
        <w:tc>
          <w:tcPr>
            <w:tcW w:w="282" w:type="pct"/>
            <w:tcBorders>
              <w:top w:val="nil"/>
              <w:left w:val="nil"/>
              <w:bottom w:val="single" w:color="auto" w:sz="8" w:space="0"/>
              <w:right w:val="single" w:color="auto" w:sz="8" w:space="0"/>
            </w:tcBorders>
            <w:noWrap w:val="0"/>
            <w:vAlign w:val="center"/>
          </w:tcPr>
          <w:p w14:paraId="5F4099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33D1B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102E63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7545CA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nil"/>
            </w:tcBorders>
            <w:noWrap w:val="0"/>
            <w:vAlign w:val="center"/>
          </w:tcPr>
          <w:p w14:paraId="09B5B2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23806B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single" w:color="auto" w:sz="4" w:space="0"/>
              <w:left w:val="single" w:color="auto" w:sz="4" w:space="0"/>
              <w:bottom w:val="single" w:color="auto" w:sz="4" w:space="0"/>
              <w:right w:val="single" w:color="auto" w:sz="4" w:space="0"/>
            </w:tcBorders>
            <w:noWrap w:val="0"/>
            <w:vAlign w:val="center"/>
          </w:tcPr>
          <w:p w14:paraId="24C583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single" w:color="auto" w:sz="4" w:space="0"/>
              <w:left w:val="single" w:color="auto" w:sz="4" w:space="0"/>
              <w:bottom w:val="single" w:color="auto" w:sz="4" w:space="0"/>
              <w:right w:val="single" w:color="auto" w:sz="4" w:space="0"/>
            </w:tcBorders>
            <w:noWrap w:val="0"/>
            <w:vAlign w:val="center"/>
          </w:tcPr>
          <w:p w14:paraId="6D74F2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tcBorders>
              <w:top w:val="single" w:color="auto" w:sz="4" w:space="0"/>
              <w:left w:val="single" w:color="auto" w:sz="4" w:space="0"/>
              <w:bottom w:val="single" w:color="auto" w:sz="4" w:space="0"/>
              <w:right w:val="single" w:color="auto" w:sz="4" w:space="0"/>
            </w:tcBorders>
            <w:noWrap/>
            <w:vAlign w:val="center"/>
          </w:tcPr>
          <w:p w14:paraId="1AC40D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修缮疏通灌溉渠</w:t>
            </w:r>
          </w:p>
        </w:tc>
        <w:tc>
          <w:tcPr>
            <w:tcW w:w="252" w:type="pct"/>
            <w:tcBorders>
              <w:top w:val="single" w:color="auto" w:sz="4" w:space="0"/>
              <w:left w:val="single" w:color="auto" w:sz="4" w:space="0"/>
              <w:bottom w:val="single" w:color="auto" w:sz="4" w:space="0"/>
              <w:right w:val="nil"/>
            </w:tcBorders>
            <w:noWrap w:val="0"/>
            <w:vAlign w:val="center"/>
          </w:tcPr>
          <w:p w14:paraId="3E4F22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≥420米</w:t>
            </w:r>
          </w:p>
        </w:tc>
        <w:tc>
          <w:tcPr>
            <w:tcW w:w="1932" w:type="pct"/>
            <w:vMerge w:val="continue"/>
            <w:tcBorders>
              <w:top w:val="single" w:color="auto" w:sz="4" w:space="0"/>
              <w:left w:val="nil"/>
              <w:bottom w:val="nil"/>
              <w:right w:val="nil"/>
            </w:tcBorders>
            <w:noWrap w:val="0"/>
            <w:vAlign w:val="center"/>
          </w:tcPr>
          <w:p w14:paraId="5659B5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21" w:type="pct"/>
            <w:tcBorders>
              <w:top w:val="single" w:color="auto" w:sz="4" w:space="0"/>
              <w:left w:val="single" w:color="auto" w:sz="4" w:space="0"/>
              <w:bottom w:val="single" w:color="auto" w:sz="4" w:space="0"/>
              <w:right w:val="nil"/>
            </w:tcBorders>
            <w:noWrap w:val="0"/>
            <w:vAlign w:val="center"/>
          </w:tcPr>
          <w:p w14:paraId="4955F0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420米</w:t>
            </w:r>
          </w:p>
        </w:tc>
        <w:tc>
          <w:tcPr>
            <w:tcW w:w="282" w:type="pct"/>
            <w:tcBorders>
              <w:top w:val="nil"/>
              <w:left w:val="nil"/>
              <w:bottom w:val="single" w:color="auto" w:sz="8" w:space="0"/>
              <w:right w:val="single" w:color="auto" w:sz="8" w:space="0"/>
            </w:tcBorders>
            <w:noWrap w:val="0"/>
            <w:vAlign w:val="center"/>
          </w:tcPr>
          <w:p w14:paraId="164F44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3988F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5706AB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211378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nil"/>
            </w:tcBorders>
            <w:noWrap w:val="0"/>
            <w:vAlign w:val="center"/>
          </w:tcPr>
          <w:p w14:paraId="58D83D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0AB11E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single" w:color="auto" w:sz="4" w:space="0"/>
              <w:left w:val="single" w:color="auto" w:sz="4" w:space="0"/>
              <w:bottom w:val="single" w:color="auto" w:sz="4" w:space="0"/>
              <w:right w:val="single" w:color="auto" w:sz="4" w:space="0"/>
            </w:tcBorders>
            <w:noWrap w:val="0"/>
            <w:vAlign w:val="center"/>
          </w:tcPr>
          <w:p w14:paraId="00710D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single" w:color="auto" w:sz="4" w:space="0"/>
              <w:left w:val="single" w:color="auto" w:sz="4" w:space="0"/>
              <w:bottom w:val="single" w:color="auto" w:sz="4" w:space="0"/>
              <w:right w:val="single" w:color="auto" w:sz="4" w:space="0"/>
            </w:tcBorders>
            <w:noWrap w:val="0"/>
            <w:vAlign w:val="center"/>
          </w:tcPr>
          <w:p w14:paraId="64C225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tcBorders>
              <w:top w:val="single" w:color="auto" w:sz="4" w:space="0"/>
              <w:left w:val="single" w:color="auto" w:sz="4" w:space="0"/>
              <w:bottom w:val="single" w:color="auto" w:sz="4" w:space="0"/>
              <w:right w:val="single" w:color="auto" w:sz="4" w:space="0"/>
            </w:tcBorders>
            <w:noWrap/>
            <w:vAlign w:val="center"/>
          </w:tcPr>
          <w:p w14:paraId="71EA6C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道路修补</w:t>
            </w:r>
          </w:p>
        </w:tc>
        <w:tc>
          <w:tcPr>
            <w:tcW w:w="252" w:type="pct"/>
            <w:tcBorders>
              <w:top w:val="single" w:color="auto" w:sz="4" w:space="0"/>
              <w:left w:val="single" w:color="auto" w:sz="4" w:space="0"/>
              <w:bottom w:val="single" w:color="auto" w:sz="4" w:space="0"/>
              <w:right w:val="nil"/>
            </w:tcBorders>
            <w:noWrap w:val="0"/>
            <w:vAlign w:val="center"/>
          </w:tcPr>
          <w:p w14:paraId="75A604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≥4平方米</w:t>
            </w:r>
          </w:p>
        </w:tc>
        <w:tc>
          <w:tcPr>
            <w:tcW w:w="1932" w:type="pct"/>
            <w:vMerge w:val="continue"/>
            <w:tcBorders>
              <w:top w:val="single" w:color="auto" w:sz="4" w:space="0"/>
              <w:left w:val="nil"/>
              <w:bottom w:val="nil"/>
              <w:right w:val="nil"/>
            </w:tcBorders>
            <w:noWrap w:val="0"/>
            <w:vAlign w:val="center"/>
          </w:tcPr>
          <w:p w14:paraId="1C2D5D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21" w:type="pct"/>
            <w:tcBorders>
              <w:top w:val="single" w:color="auto" w:sz="4" w:space="0"/>
              <w:left w:val="single" w:color="auto" w:sz="4" w:space="0"/>
              <w:bottom w:val="single" w:color="auto" w:sz="4" w:space="0"/>
              <w:right w:val="nil"/>
            </w:tcBorders>
            <w:noWrap w:val="0"/>
            <w:vAlign w:val="center"/>
          </w:tcPr>
          <w:p w14:paraId="3A1EAF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4平方米</w:t>
            </w:r>
          </w:p>
        </w:tc>
        <w:tc>
          <w:tcPr>
            <w:tcW w:w="282" w:type="pct"/>
            <w:tcBorders>
              <w:top w:val="nil"/>
              <w:left w:val="nil"/>
              <w:bottom w:val="single" w:color="auto" w:sz="8" w:space="0"/>
              <w:right w:val="single" w:color="auto" w:sz="8" w:space="0"/>
            </w:tcBorders>
            <w:noWrap w:val="0"/>
            <w:vAlign w:val="center"/>
          </w:tcPr>
          <w:p w14:paraId="7E55A3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1EDFC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109C0B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4BA4C3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nil"/>
            </w:tcBorders>
            <w:noWrap w:val="0"/>
            <w:vAlign w:val="center"/>
          </w:tcPr>
          <w:p w14:paraId="4F82EF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6E671C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single" w:color="auto" w:sz="4" w:space="0"/>
              <w:left w:val="single" w:color="auto" w:sz="4" w:space="0"/>
              <w:bottom w:val="single" w:color="auto" w:sz="4" w:space="0"/>
              <w:right w:val="single" w:color="auto" w:sz="4" w:space="0"/>
            </w:tcBorders>
            <w:noWrap w:val="0"/>
            <w:vAlign w:val="center"/>
          </w:tcPr>
          <w:p w14:paraId="116B4A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vMerge w:val="continue"/>
            <w:tcBorders>
              <w:top w:val="single" w:color="auto" w:sz="4" w:space="0"/>
              <w:left w:val="single" w:color="auto" w:sz="4" w:space="0"/>
              <w:bottom w:val="single" w:color="auto" w:sz="4" w:space="0"/>
              <w:right w:val="single" w:color="auto" w:sz="4" w:space="0"/>
            </w:tcBorders>
            <w:noWrap w:val="0"/>
            <w:vAlign w:val="center"/>
          </w:tcPr>
          <w:p w14:paraId="469EB4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8" w:type="pct"/>
            <w:tcBorders>
              <w:top w:val="single" w:color="auto" w:sz="4" w:space="0"/>
              <w:left w:val="single" w:color="auto" w:sz="4" w:space="0"/>
              <w:bottom w:val="single" w:color="auto" w:sz="4" w:space="0"/>
              <w:right w:val="single" w:color="auto" w:sz="4" w:space="0"/>
            </w:tcBorders>
            <w:noWrap/>
            <w:vAlign w:val="center"/>
          </w:tcPr>
          <w:p w14:paraId="12C40C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苗木裁植</w:t>
            </w:r>
          </w:p>
        </w:tc>
        <w:tc>
          <w:tcPr>
            <w:tcW w:w="252" w:type="pct"/>
            <w:tcBorders>
              <w:top w:val="single" w:color="auto" w:sz="4" w:space="0"/>
              <w:left w:val="single" w:color="auto" w:sz="4" w:space="0"/>
              <w:bottom w:val="single" w:color="auto" w:sz="4" w:space="0"/>
              <w:right w:val="nil"/>
            </w:tcBorders>
            <w:noWrap w:val="0"/>
            <w:vAlign w:val="center"/>
          </w:tcPr>
          <w:p w14:paraId="3D0DBE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≥2公里</w:t>
            </w:r>
          </w:p>
        </w:tc>
        <w:tc>
          <w:tcPr>
            <w:tcW w:w="1932" w:type="pct"/>
            <w:vMerge w:val="continue"/>
            <w:tcBorders>
              <w:top w:val="single" w:color="auto" w:sz="4" w:space="0"/>
              <w:left w:val="nil"/>
              <w:bottom w:val="nil"/>
              <w:right w:val="nil"/>
            </w:tcBorders>
            <w:noWrap w:val="0"/>
            <w:vAlign w:val="center"/>
          </w:tcPr>
          <w:p w14:paraId="327C85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21" w:type="pct"/>
            <w:tcBorders>
              <w:top w:val="single" w:color="auto" w:sz="4" w:space="0"/>
              <w:left w:val="single" w:color="auto" w:sz="4" w:space="0"/>
              <w:bottom w:val="single" w:color="auto" w:sz="4" w:space="0"/>
              <w:right w:val="nil"/>
            </w:tcBorders>
            <w:noWrap w:val="0"/>
            <w:vAlign w:val="center"/>
          </w:tcPr>
          <w:p w14:paraId="76EBAA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2公里</w:t>
            </w:r>
          </w:p>
        </w:tc>
        <w:tc>
          <w:tcPr>
            <w:tcW w:w="282" w:type="pct"/>
            <w:tcBorders>
              <w:top w:val="nil"/>
              <w:left w:val="nil"/>
              <w:bottom w:val="single" w:color="auto" w:sz="8" w:space="0"/>
              <w:right w:val="single" w:color="auto" w:sz="8" w:space="0"/>
            </w:tcBorders>
            <w:noWrap w:val="0"/>
            <w:vAlign w:val="center"/>
          </w:tcPr>
          <w:p w14:paraId="78DFB4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59B29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0300E0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344A3F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tcBorders>
              <w:top w:val="nil"/>
              <w:left w:val="nil"/>
              <w:bottom w:val="single" w:color="auto" w:sz="8" w:space="0"/>
              <w:right w:val="nil"/>
            </w:tcBorders>
            <w:noWrap w:val="0"/>
            <w:vAlign w:val="center"/>
          </w:tcPr>
          <w:p w14:paraId="7E64E0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2D8EC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1E81E9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172" w:type="pct"/>
            <w:tcBorders>
              <w:top w:val="single" w:color="auto" w:sz="4" w:space="0"/>
              <w:left w:val="single" w:color="auto" w:sz="4" w:space="0"/>
              <w:bottom w:val="single" w:color="auto" w:sz="4" w:space="0"/>
              <w:right w:val="single" w:color="auto" w:sz="4" w:space="0"/>
            </w:tcBorders>
            <w:noWrap w:val="0"/>
            <w:vAlign w:val="center"/>
          </w:tcPr>
          <w:p w14:paraId="410EE7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18" w:type="pct"/>
            <w:tcBorders>
              <w:top w:val="single" w:color="auto" w:sz="4" w:space="0"/>
              <w:left w:val="single" w:color="auto" w:sz="4" w:space="0"/>
              <w:bottom w:val="single" w:color="auto" w:sz="4" w:space="0"/>
              <w:right w:val="nil"/>
            </w:tcBorders>
            <w:noWrap/>
            <w:vAlign w:val="center"/>
          </w:tcPr>
          <w:p w14:paraId="6F2085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验收合格率</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4D32D4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932" w:type="pct"/>
            <w:tcBorders>
              <w:top w:val="single" w:color="auto" w:sz="4" w:space="0"/>
              <w:left w:val="single" w:color="auto" w:sz="4" w:space="0"/>
              <w:bottom w:val="single" w:color="auto" w:sz="4" w:space="0"/>
              <w:right w:val="single" w:color="auto" w:sz="4" w:space="0"/>
            </w:tcBorders>
            <w:noWrap w:val="0"/>
            <w:vAlign w:val="center"/>
          </w:tcPr>
          <w:p w14:paraId="2D1542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若指标达到标杆值，则得100%权重分；否则，得分=（实际完成/预期完成）×100%×指标分值。若指标完成值达到标杆值，则得100%权重分；否则，不得分。</w:t>
            </w:r>
          </w:p>
        </w:tc>
        <w:tc>
          <w:tcPr>
            <w:tcW w:w="521" w:type="pct"/>
            <w:tcBorders>
              <w:top w:val="single" w:color="auto" w:sz="4" w:space="0"/>
              <w:left w:val="single" w:color="auto" w:sz="4" w:space="0"/>
              <w:bottom w:val="single" w:color="auto" w:sz="4" w:space="0"/>
              <w:right w:val="single" w:color="auto" w:sz="4" w:space="0"/>
            </w:tcBorders>
            <w:noWrap w:val="0"/>
            <w:vAlign w:val="center"/>
          </w:tcPr>
          <w:p w14:paraId="4481C3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82" w:type="pct"/>
            <w:tcBorders>
              <w:top w:val="nil"/>
              <w:left w:val="nil"/>
              <w:bottom w:val="single" w:color="auto" w:sz="8" w:space="0"/>
              <w:right w:val="single" w:color="auto" w:sz="8" w:space="0"/>
            </w:tcBorders>
            <w:noWrap w:val="0"/>
            <w:vAlign w:val="center"/>
          </w:tcPr>
          <w:p w14:paraId="67DA89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3838E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43853B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471943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restart"/>
            <w:tcBorders>
              <w:top w:val="nil"/>
              <w:left w:val="nil"/>
              <w:bottom w:val="single" w:color="auto" w:sz="8" w:space="0"/>
              <w:right w:val="nil"/>
            </w:tcBorders>
            <w:noWrap w:val="0"/>
            <w:vAlign w:val="center"/>
          </w:tcPr>
          <w:p w14:paraId="11D549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0CA2E2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65" w:type="pct"/>
            <w:vMerge w:val="restart"/>
            <w:tcBorders>
              <w:top w:val="single" w:color="auto" w:sz="4" w:space="0"/>
              <w:left w:val="single" w:color="auto" w:sz="4" w:space="0"/>
              <w:bottom w:val="single" w:color="auto" w:sz="4" w:space="0"/>
              <w:right w:val="single" w:color="auto" w:sz="4" w:space="0"/>
            </w:tcBorders>
            <w:noWrap w:val="0"/>
            <w:vAlign w:val="center"/>
          </w:tcPr>
          <w:p w14:paraId="65DE63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172" w:type="pct"/>
            <w:tcBorders>
              <w:top w:val="single" w:color="auto" w:sz="4" w:space="0"/>
              <w:left w:val="single" w:color="auto" w:sz="4" w:space="0"/>
              <w:bottom w:val="single" w:color="auto" w:sz="4" w:space="0"/>
              <w:right w:val="single" w:color="auto" w:sz="4" w:space="0"/>
            </w:tcBorders>
            <w:noWrap w:val="0"/>
            <w:vAlign w:val="center"/>
          </w:tcPr>
          <w:p w14:paraId="75A8EC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18" w:type="pct"/>
            <w:tcBorders>
              <w:top w:val="single" w:color="auto" w:sz="4" w:space="0"/>
              <w:left w:val="single" w:color="auto" w:sz="4" w:space="0"/>
              <w:bottom w:val="single" w:color="auto" w:sz="4" w:space="0"/>
              <w:right w:val="nil"/>
            </w:tcBorders>
            <w:noWrap/>
            <w:vAlign w:val="center"/>
          </w:tcPr>
          <w:p w14:paraId="235E7A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项目完成时间</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0C9A89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w:t>
            </w:r>
          </w:p>
        </w:tc>
        <w:tc>
          <w:tcPr>
            <w:tcW w:w="1932" w:type="pct"/>
            <w:vMerge w:val="restart"/>
            <w:tcBorders>
              <w:top w:val="single" w:color="auto" w:sz="4" w:space="0"/>
              <w:left w:val="single" w:color="auto" w:sz="4" w:space="0"/>
              <w:bottom w:val="single" w:color="auto" w:sz="4" w:space="0"/>
              <w:right w:val="single" w:color="auto" w:sz="4" w:space="0"/>
            </w:tcBorders>
            <w:noWrap w:val="0"/>
            <w:vAlign w:val="center"/>
          </w:tcPr>
          <w:p w14:paraId="0CFACF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若在规定时间内完成，得100%权重分；若未在规定的时间内完成，得分=（1-未在规定时间内完成工作数/实际完成工作总数）×分值。</w:t>
            </w:r>
          </w:p>
        </w:tc>
        <w:tc>
          <w:tcPr>
            <w:tcW w:w="521" w:type="pct"/>
            <w:tcBorders>
              <w:top w:val="single" w:color="auto" w:sz="4" w:space="0"/>
              <w:left w:val="single" w:color="auto" w:sz="4" w:space="0"/>
              <w:bottom w:val="single" w:color="auto" w:sz="4" w:space="0"/>
              <w:right w:val="single" w:color="auto" w:sz="4" w:space="0"/>
            </w:tcBorders>
            <w:noWrap w:val="0"/>
            <w:vAlign w:val="center"/>
          </w:tcPr>
          <w:p w14:paraId="427C66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w:t>
            </w:r>
          </w:p>
        </w:tc>
        <w:tc>
          <w:tcPr>
            <w:tcW w:w="282" w:type="pct"/>
            <w:tcBorders>
              <w:top w:val="single" w:color="auto" w:sz="4" w:space="0"/>
              <w:left w:val="single" w:color="auto" w:sz="4" w:space="0"/>
              <w:bottom w:val="single" w:color="auto" w:sz="4" w:space="0"/>
              <w:right w:val="single" w:color="auto" w:sz="4" w:space="0"/>
            </w:tcBorders>
            <w:noWrap w:val="0"/>
            <w:vAlign w:val="center"/>
          </w:tcPr>
          <w:p w14:paraId="6ACA46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78E04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52F154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75BCB4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nil"/>
            </w:tcBorders>
            <w:noWrap w:val="0"/>
            <w:vAlign w:val="center"/>
          </w:tcPr>
          <w:p w14:paraId="7CE715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3AED1E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single" w:color="auto" w:sz="4" w:space="0"/>
              <w:left w:val="single" w:color="auto" w:sz="4" w:space="0"/>
              <w:bottom w:val="single" w:color="auto" w:sz="4" w:space="0"/>
              <w:right w:val="single" w:color="auto" w:sz="4" w:space="0"/>
            </w:tcBorders>
            <w:noWrap w:val="0"/>
            <w:vAlign w:val="center"/>
          </w:tcPr>
          <w:p w14:paraId="190D9F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tcBorders>
              <w:top w:val="single" w:color="auto" w:sz="4" w:space="0"/>
              <w:left w:val="single" w:color="auto" w:sz="4" w:space="0"/>
              <w:bottom w:val="single" w:color="auto" w:sz="4" w:space="0"/>
              <w:right w:val="single" w:color="auto" w:sz="4" w:space="0"/>
            </w:tcBorders>
            <w:noWrap w:val="0"/>
            <w:vAlign w:val="center"/>
          </w:tcPr>
          <w:p w14:paraId="708A4A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18" w:type="pct"/>
            <w:tcBorders>
              <w:top w:val="single" w:color="auto" w:sz="4" w:space="0"/>
              <w:left w:val="single" w:color="auto" w:sz="4" w:space="0"/>
              <w:bottom w:val="single" w:color="auto" w:sz="4" w:space="0"/>
              <w:right w:val="nil"/>
            </w:tcBorders>
            <w:noWrap/>
            <w:vAlign w:val="center"/>
          </w:tcPr>
          <w:p w14:paraId="138D83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项目开始时间</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5219C8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2024年3月</w:t>
            </w:r>
          </w:p>
        </w:tc>
        <w:tc>
          <w:tcPr>
            <w:tcW w:w="1932" w:type="pct"/>
            <w:vMerge w:val="continue"/>
            <w:tcBorders>
              <w:top w:val="single" w:color="auto" w:sz="4" w:space="0"/>
              <w:left w:val="single" w:color="auto" w:sz="4" w:space="0"/>
              <w:bottom w:val="single" w:color="auto" w:sz="4" w:space="0"/>
              <w:right w:val="single" w:color="auto" w:sz="4" w:space="0"/>
            </w:tcBorders>
            <w:noWrap w:val="0"/>
            <w:vAlign w:val="center"/>
          </w:tcPr>
          <w:p w14:paraId="4421D2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21" w:type="pct"/>
            <w:tcBorders>
              <w:top w:val="single" w:color="auto" w:sz="4" w:space="0"/>
              <w:left w:val="single" w:color="auto" w:sz="4" w:space="0"/>
              <w:bottom w:val="single" w:color="auto" w:sz="4" w:space="0"/>
              <w:right w:val="single" w:color="auto" w:sz="4" w:space="0"/>
            </w:tcBorders>
            <w:noWrap w:val="0"/>
            <w:vAlign w:val="center"/>
          </w:tcPr>
          <w:p w14:paraId="232A72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2024年3月</w:t>
            </w:r>
          </w:p>
        </w:tc>
        <w:tc>
          <w:tcPr>
            <w:tcW w:w="282" w:type="pct"/>
            <w:tcBorders>
              <w:top w:val="single" w:color="auto" w:sz="4" w:space="0"/>
              <w:left w:val="single" w:color="auto" w:sz="4" w:space="0"/>
              <w:bottom w:val="single" w:color="auto" w:sz="4" w:space="0"/>
              <w:right w:val="single" w:color="auto" w:sz="4" w:space="0"/>
            </w:tcBorders>
            <w:noWrap w:val="0"/>
            <w:vAlign w:val="center"/>
          </w:tcPr>
          <w:p w14:paraId="3C8447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78AB2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211CC3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1738A3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nil"/>
            </w:tcBorders>
            <w:noWrap w:val="0"/>
            <w:vAlign w:val="center"/>
          </w:tcPr>
          <w:p w14:paraId="14A019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0941B8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vMerge w:val="continue"/>
            <w:tcBorders>
              <w:top w:val="single" w:color="auto" w:sz="4" w:space="0"/>
              <w:left w:val="single" w:color="auto" w:sz="4" w:space="0"/>
              <w:bottom w:val="single" w:color="auto" w:sz="4" w:space="0"/>
              <w:right w:val="single" w:color="auto" w:sz="4" w:space="0"/>
            </w:tcBorders>
            <w:noWrap w:val="0"/>
            <w:vAlign w:val="center"/>
          </w:tcPr>
          <w:p w14:paraId="080FFE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tcBorders>
              <w:top w:val="single" w:color="auto" w:sz="4" w:space="0"/>
              <w:left w:val="single" w:color="auto" w:sz="4" w:space="0"/>
              <w:bottom w:val="single" w:color="auto" w:sz="4" w:space="0"/>
              <w:right w:val="single" w:color="auto" w:sz="4" w:space="0"/>
            </w:tcBorders>
            <w:noWrap w:val="0"/>
            <w:vAlign w:val="center"/>
          </w:tcPr>
          <w:p w14:paraId="45D697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718" w:type="pct"/>
            <w:tcBorders>
              <w:top w:val="nil"/>
              <w:left w:val="nil"/>
              <w:bottom w:val="nil"/>
              <w:right w:val="nil"/>
            </w:tcBorders>
            <w:noWrap/>
            <w:vAlign w:val="center"/>
          </w:tcPr>
          <w:p w14:paraId="27ADFE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资金支付及时率</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69B316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932" w:type="pct"/>
            <w:vMerge w:val="continue"/>
            <w:tcBorders>
              <w:top w:val="single" w:color="auto" w:sz="4" w:space="0"/>
              <w:left w:val="single" w:color="auto" w:sz="4" w:space="0"/>
              <w:bottom w:val="single" w:color="auto" w:sz="4" w:space="0"/>
              <w:right w:val="single" w:color="auto" w:sz="4" w:space="0"/>
            </w:tcBorders>
            <w:noWrap w:val="0"/>
            <w:vAlign w:val="center"/>
          </w:tcPr>
          <w:p w14:paraId="44BD9C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21" w:type="pct"/>
            <w:tcBorders>
              <w:top w:val="single" w:color="auto" w:sz="4" w:space="0"/>
              <w:left w:val="single" w:color="auto" w:sz="4" w:space="0"/>
              <w:bottom w:val="single" w:color="auto" w:sz="4" w:space="0"/>
              <w:right w:val="single" w:color="auto" w:sz="4" w:space="0"/>
            </w:tcBorders>
            <w:noWrap w:val="0"/>
            <w:vAlign w:val="center"/>
          </w:tcPr>
          <w:p w14:paraId="3C5599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2024年12月31日</w:t>
            </w:r>
          </w:p>
        </w:tc>
        <w:tc>
          <w:tcPr>
            <w:tcW w:w="282" w:type="pct"/>
            <w:tcBorders>
              <w:top w:val="single" w:color="auto" w:sz="4" w:space="0"/>
              <w:left w:val="single" w:color="auto" w:sz="4" w:space="0"/>
              <w:bottom w:val="single" w:color="auto" w:sz="4" w:space="0"/>
              <w:right w:val="single" w:color="auto" w:sz="4" w:space="0"/>
            </w:tcBorders>
            <w:noWrap w:val="0"/>
            <w:vAlign w:val="center"/>
          </w:tcPr>
          <w:p w14:paraId="427E43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0E2AD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319B31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749CEC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tcBorders>
              <w:top w:val="nil"/>
              <w:left w:val="nil"/>
              <w:bottom w:val="single" w:color="auto" w:sz="8" w:space="0"/>
              <w:right w:val="nil"/>
            </w:tcBorders>
            <w:noWrap w:val="0"/>
            <w:vAlign w:val="center"/>
          </w:tcPr>
          <w:p w14:paraId="74304A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2922E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262AB0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172" w:type="pct"/>
            <w:tcBorders>
              <w:top w:val="single" w:color="auto" w:sz="4" w:space="0"/>
              <w:left w:val="single" w:color="auto" w:sz="4" w:space="0"/>
              <w:bottom w:val="single" w:color="auto" w:sz="4" w:space="0"/>
              <w:right w:val="single" w:color="auto" w:sz="4" w:space="0"/>
            </w:tcBorders>
            <w:noWrap w:val="0"/>
            <w:vAlign w:val="center"/>
          </w:tcPr>
          <w:p w14:paraId="071E3D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18" w:type="pct"/>
            <w:tcBorders>
              <w:top w:val="single" w:color="auto" w:sz="4" w:space="0"/>
              <w:left w:val="single" w:color="auto" w:sz="4" w:space="0"/>
              <w:bottom w:val="single" w:color="auto" w:sz="4" w:space="0"/>
              <w:right w:val="nil"/>
            </w:tcBorders>
            <w:noWrap/>
            <w:vAlign w:val="center"/>
          </w:tcPr>
          <w:p w14:paraId="459C72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项目总支出</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5F11C2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≤184万元</w:t>
            </w:r>
          </w:p>
        </w:tc>
        <w:tc>
          <w:tcPr>
            <w:tcW w:w="1932" w:type="pct"/>
            <w:tcBorders>
              <w:top w:val="single" w:color="auto" w:sz="4" w:space="0"/>
              <w:left w:val="single" w:color="auto" w:sz="4" w:space="0"/>
              <w:bottom w:val="single" w:color="auto" w:sz="4" w:space="0"/>
              <w:right w:val="single" w:color="auto" w:sz="4" w:space="0"/>
            </w:tcBorders>
            <w:noWrap w:val="0"/>
            <w:vAlign w:val="center"/>
          </w:tcPr>
          <w:p w14:paraId="3FDD86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①实际完成率＞年度指标值，得0得分；②实际完成率≤年度指标值，且偏离程度＜20%，得满分；③实际完成率＜年度指标值，且偏离程度≥20%，得分=实际完成率×分值。</w:t>
            </w:r>
          </w:p>
        </w:tc>
        <w:tc>
          <w:tcPr>
            <w:tcW w:w="521" w:type="pct"/>
            <w:tcBorders>
              <w:top w:val="single" w:color="auto" w:sz="4" w:space="0"/>
              <w:left w:val="single" w:color="auto" w:sz="4" w:space="0"/>
              <w:bottom w:val="single" w:color="auto" w:sz="4" w:space="0"/>
              <w:right w:val="single" w:color="auto" w:sz="4" w:space="0"/>
            </w:tcBorders>
            <w:noWrap w:val="0"/>
            <w:vAlign w:val="center"/>
          </w:tcPr>
          <w:p w14:paraId="3F681B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179.24万元</w:t>
            </w:r>
          </w:p>
        </w:tc>
        <w:tc>
          <w:tcPr>
            <w:tcW w:w="282" w:type="pct"/>
            <w:tcBorders>
              <w:top w:val="nil"/>
              <w:left w:val="nil"/>
              <w:bottom w:val="single" w:color="auto" w:sz="8" w:space="0"/>
              <w:right w:val="single" w:color="auto" w:sz="8" w:space="0"/>
            </w:tcBorders>
            <w:noWrap w:val="0"/>
            <w:vAlign w:val="center"/>
          </w:tcPr>
          <w:p w14:paraId="28ACA4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9.74 </w:t>
            </w:r>
          </w:p>
        </w:tc>
      </w:tr>
      <w:tr w14:paraId="5DC9F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199" w:type="pct"/>
            <w:vMerge w:val="restart"/>
            <w:tcBorders>
              <w:top w:val="nil"/>
              <w:left w:val="single" w:color="auto" w:sz="8" w:space="0"/>
              <w:bottom w:val="single" w:color="auto" w:sz="8" w:space="0"/>
              <w:right w:val="single" w:color="auto" w:sz="8" w:space="0"/>
            </w:tcBorders>
            <w:noWrap w:val="0"/>
            <w:vAlign w:val="center"/>
          </w:tcPr>
          <w:p w14:paraId="35FF2C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197" w:type="pct"/>
            <w:vMerge w:val="restart"/>
            <w:tcBorders>
              <w:top w:val="nil"/>
              <w:left w:val="nil"/>
              <w:bottom w:val="single" w:color="auto" w:sz="8" w:space="0"/>
              <w:right w:val="single" w:color="auto" w:sz="8" w:space="0"/>
            </w:tcBorders>
            <w:noWrap w:val="0"/>
            <w:vAlign w:val="center"/>
          </w:tcPr>
          <w:p w14:paraId="26CB49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159" w:type="pct"/>
            <w:vMerge w:val="restart"/>
            <w:tcBorders>
              <w:top w:val="nil"/>
              <w:left w:val="nil"/>
              <w:bottom w:val="single" w:color="auto" w:sz="8" w:space="0"/>
              <w:right w:val="nil"/>
            </w:tcBorders>
            <w:noWrap w:val="0"/>
            <w:vAlign w:val="center"/>
          </w:tcPr>
          <w:p w14:paraId="0B7D2E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24CE30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18EC12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社经济效益</w:t>
            </w:r>
          </w:p>
        </w:tc>
        <w:tc>
          <w:tcPr>
            <w:tcW w:w="172" w:type="pct"/>
            <w:tcBorders>
              <w:top w:val="single" w:color="auto" w:sz="4" w:space="0"/>
              <w:left w:val="single" w:color="auto" w:sz="4" w:space="0"/>
              <w:bottom w:val="single" w:color="auto" w:sz="4" w:space="0"/>
              <w:right w:val="single" w:color="auto" w:sz="4" w:space="0"/>
            </w:tcBorders>
            <w:noWrap w:val="0"/>
            <w:vAlign w:val="center"/>
          </w:tcPr>
          <w:p w14:paraId="6839FF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18" w:type="pct"/>
            <w:tcBorders>
              <w:top w:val="single" w:color="auto" w:sz="4" w:space="0"/>
              <w:left w:val="single" w:color="auto" w:sz="4" w:space="0"/>
              <w:bottom w:val="single" w:color="auto" w:sz="4" w:space="0"/>
              <w:right w:val="nil"/>
            </w:tcBorders>
            <w:noWrap/>
            <w:vAlign w:val="center"/>
          </w:tcPr>
          <w:p w14:paraId="6D4C02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村人居环境整治是打响乡村振兴战略的第一枪，权利打造提升村容村貌</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08DFB6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效果显著</w:t>
            </w:r>
          </w:p>
        </w:tc>
        <w:tc>
          <w:tcPr>
            <w:tcW w:w="1932" w:type="pct"/>
            <w:tcBorders>
              <w:top w:val="single" w:color="auto" w:sz="4" w:space="0"/>
              <w:left w:val="single" w:color="auto" w:sz="4" w:space="0"/>
              <w:bottom w:val="single" w:color="auto" w:sz="4" w:space="0"/>
              <w:right w:val="single" w:color="auto" w:sz="4" w:space="0"/>
            </w:tcBorders>
            <w:noWrap w:val="0"/>
            <w:vAlign w:val="center"/>
          </w:tcPr>
          <w:p w14:paraId="7143EE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521" w:type="pct"/>
            <w:tcBorders>
              <w:top w:val="single" w:color="auto" w:sz="4" w:space="0"/>
              <w:left w:val="single" w:color="auto" w:sz="4" w:space="0"/>
              <w:bottom w:val="single" w:color="auto" w:sz="4" w:space="0"/>
              <w:right w:val="single" w:color="auto" w:sz="4" w:space="0"/>
            </w:tcBorders>
            <w:noWrap w:val="0"/>
            <w:vAlign w:val="center"/>
          </w:tcPr>
          <w:p w14:paraId="0792DD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效果显著</w:t>
            </w:r>
          </w:p>
        </w:tc>
        <w:tc>
          <w:tcPr>
            <w:tcW w:w="282" w:type="pct"/>
            <w:tcBorders>
              <w:top w:val="nil"/>
              <w:left w:val="nil"/>
              <w:bottom w:val="single" w:color="auto" w:sz="8" w:space="0"/>
              <w:right w:val="single" w:color="auto" w:sz="8" w:space="0"/>
            </w:tcBorders>
            <w:noWrap w:val="0"/>
            <w:vAlign w:val="center"/>
          </w:tcPr>
          <w:p w14:paraId="0F092E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7CBB5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99" w:type="pct"/>
            <w:vMerge w:val="continue"/>
            <w:tcBorders>
              <w:top w:val="nil"/>
              <w:left w:val="single" w:color="auto" w:sz="8" w:space="0"/>
              <w:bottom w:val="single" w:color="auto" w:sz="8" w:space="0"/>
              <w:right w:val="single" w:color="auto" w:sz="8" w:space="0"/>
            </w:tcBorders>
            <w:noWrap w:val="0"/>
            <w:vAlign w:val="center"/>
          </w:tcPr>
          <w:p w14:paraId="4DBAC5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nil"/>
              <w:left w:val="nil"/>
              <w:bottom w:val="single" w:color="auto" w:sz="8" w:space="0"/>
              <w:right w:val="single" w:color="auto" w:sz="8" w:space="0"/>
            </w:tcBorders>
            <w:noWrap w:val="0"/>
            <w:vAlign w:val="center"/>
          </w:tcPr>
          <w:p w14:paraId="45C575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59" w:type="pct"/>
            <w:vMerge w:val="continue"/>
            <w:tcBorders>
              <w:top w:val="nil"/>
              <w:left w:val="nil"/>
              <w:bottom w:val="single" w:color="auto" w:sz="8" w:space="0"/>
              <w:right w:val="nil"/>
            </w:tcBorders>
            <w:noWrap w:val="0"/>
            <w:vAlign w:val="center"/>
          </w:tcPr>
          <w:p w14:paraId="389398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512A5F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5" w:type="pct"/>
            <w:tcBorders>
              <w:top w:val="single" w:color="auto" w:sz="4" w:space="0"/>
              <w:left w:val="single" w:color="auto" w:sz="4" w:space="0"/>
              <w:bottom w:val="single" w:color="auto" w:sz="4" w:space="0"/>
              <w:right w:val="single" w:color="auto" w:sz="4" w:space="0"/>
            </w:tcBorders>
            <w:noWrap w:val="0"/>
            <w:vAlign w:val="center"/>
          </w:tcPr>
          <w:p w14:paraId="0C799D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172" w:type="pct"/>
            <w:tcBorders>
              <w:top w:val="single" w:color="auto" w:sz="4" w:space="0"/>
              <w:left w:val="single" w:color="auto" w:sz="4" w:space="0"/>
              <w:bottom w:val="single" w:color="auto" w:sz="4" w:space="0"/>
              <w:right w:val="single" w:color="auto" w:sz="4" w:space="0"/>
            </w:tcBorders>
            <w:noWrap w:val="0"/>
            <w:vAlign w:val="center"/>
          </w:tcPr>
          <w:p w14:paraId="61EAC4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18" w:type="pct"/>
            <w:tcBorders>
              <w:top w:val="single" w:color="auto" w:sz="4" w:space="0"/>
              <w:left w:val="single" w:color="auto" w:sz="4" w:space="0"/>
              <w:bottom w:val="single" w:color="auto" w:sz="4" w:space="0"/>
              <w:right w:val="single" w:color="auto" w:sz="4" w:space="0"/>
            </w:tcBorders>
            <w:noWrap w:val="0"/>
            <w:vAlign w:val="center"/>
          </w:tcPr>
          <w:p w14:paraId="1A7D75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村干部满意度</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31F7C6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≥95%</w:t>
            </w:r>
          </w:p>
        </w:tc>
        <w:tc>
          <w:tcPr>
            <w:tcW w:w="1932" w:type="pct"/>
            <w:tcBorders>
              <w:top w:val="single" w:color="auto" w:sz="4" w:space="0"/>
              <w:left w:val="single" w:color="auto" w:sz="4" w:space="0"/>
              <w:bottom w:val="single" w:color="auto" w:sz="4" w:space="0"/>
              <w:right w:val="single" w:color="auto" w:sz="4" w:space="0"/>
            </w:tcBorders>
            <w:noWrap w:val="0"/>
            <w:vAlign w:val="center"/>
          </w:tcPr>
          <w:p w14:paraId="47B8E9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521" w:type="pct"/>
            <w:tcBorders>
              <w:top w:val="single" w:color="auto" w:sz="4" w:space="0"/>
              <w:left w:val="single" w:color="auto" w:sz="4" w:space="0"/>
              <w:bottom w:val="single" w:color="auto" w:sz="4" w:space="0"/>
              <w:right w:val="single" w:color="auto" w:sz="4" w:space="0"/>
            </w:tcBorders>
            <w:noWrap w:val="0"/>
            <w:vAlign w:val="center"/>
          </w:tcPr>
          <w:p w14:paraId="576EE2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82" w:type="pct"/>
            <w:tcBorders>
              <w:top w:val="nil"/>
              <w:left w:val="nil"/>
              <w:bottom w:val="single" w:color="auto" w:sz="8" w:space="0"/>
              <w:right w:val="single" w:color="auto" w:sz="8" w:space="0"/>
            </w:tcBorders>
            <w:noWrap w:val="0"/>
            <w:vAlign w:val="center"/>
          </w:tcPr>
          <w:p w14:paraId="616742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57266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 w:type="pct"/>
            <w:tcBorders>
              <w:top w:val="nil"/>
              <w:left w:val="single" w:color="auto" w:sz="8" w:space="0"/>
              <w:bottom w:val="single" w:color="auto" w:sz="8" w:space="0"/>
              <w:right w:val="single" w:color="auto" w:sz="8" w:space="0"/>
            </w:tcBorders>
            <w:noWrap w:val="0"/>
            <w:vAlign w:val="center"/>
          </w:tcPr>
          <w:p w14:paraId="0BF084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197" w:type="pct"/>
            <w:tcBorders>
              <w:top w:val="nil"/>
              <w:left w:val="nil"/>
              <w:bottom w:val="single" w:color="auto" w:sz="8" w:space="0"/>
              <w:right w:val="single" w:color="auto" w:sz="8" w:space="0"/>
            </w:tcBorders>
            <w:noWrap w:val="0"/>
            <w:vAlign w:val="center"/>
          </w:tcPr>
          <w:p w14:paraId="128D4F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59" w:type="pct"/>
            <w:tcBorders>
              <w:top w:val="nil"/>
              <w:left w:val="nil"/>
              <w:bottom w:val="single" w:color="auto" w:sz="8" w:space="0"/>
              <w:right w:val="single" w:color="auto" w:sz="8" w:space="0"/>
            </w:tcBorders>
            <w:noWrap w:val="0"/>
            <w:vAlign w:val="center"/>
          </w:tcPr>
          <w:p w14:paraId="31EB0F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7" w:type="pct"/>
            <w:tcBorders>
              <w:top w:val="nil"/>
              <w:left w:val="nil"/>
              <w:bottom w:val="single" w:color="auto" w:sz="8" w:space="0"/>
              <w:right w:val="single" w:color="auto" w:sz="8" w:space="0"/>
            </w:tcBorders>
            <w:noWrap w:val="0"/>
            <w:vAlign w:val="center"/>
          </w:tcPr>
          <w:p w14:paraId="464AEE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365" w:type="pct"/>
            <w:tcBorders>
              <w:top w:val="nil"/>
              <w:left w:val="nil"/>
              <w:bottom w:val="single" w:color="auto" w:sz="8" w:space="0"/>
              <w:right w:val="single" w:color="auto" w:sz="8" w:space="0"/>
            </w:tcBorders>
            <w:noWrap w:val="0"/>
            <w:vAlign w:val="center"/>
          </w:tcPr>
          <w:p w14:paraId="1581C0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72" w:type="pct"/>
            <w:tcBorders>
              <w:top w:val="nil"/>
              <w:left w:val="nil"/>
              <w:bottom w:val="single" w:color="auto" w:sz="8" w:space="0"/>
              <w:right w:val="single" w:color="auto" w:sz="8" w:space="0"/>
            </w:tcBorders>
            <w:noWrap w:val="0"/>
            <w:vAlign w:val="center"/>
          </w:tcPr>
          <w:p w14:paraId="358780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18" w:type="pct"/>
            <w:tcBorders>
              <w:top w:val="nil"/>
              <w:left w:val="nil"/>
              <w:bottom w:val="single" w:color="auto" w:sz="8" w:space="0"/>
              <w:right w:val="single" w:color="auto" w:sz="8" w:space="0"/>
            </w:tcBorders>
            <w:noWrap w:val="0"/>
            <w:vAlign w:val="center"/>
          </w:tcPr>
          <w:p w14:paraId="00EA62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2" w:type="pct"/>
            <w:tcBorders>
              <w:top w:val="nil"/>
              <w:left w:val="nil"/>
              <w:bottom w:val="single" w:color="auto" w:sz="8" w:space="0"/>
              <w:right w:val="single" w:color="auto" w:sz="8" w:space="0"/>
            </w:tcBorders>
            <w:noWrap w:val="0"/>
            <w:vAlign w:val="center"/>
          </w:tcPr>
          <w:p w14:paraId="5DD9D0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932" w:type="pct"/>
            <w:tcBorders>
              <w:top w:val="nil"/>
              <w:left w:val="nil"/>
              <w:bottom w:val="single" w:color="auto" w:sz="8" w:space="0"/>
              <w:right w:val="single" w:color="auto" w:sz="8" w:space="0"/>
            </w:tcBorders>
            <w:noWrap w:val="0"/>
            <w:vAlign w:val="center"/>
          </w:tcPr>
          <w:p w14:paraId="5FC17374">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521" w:type="pct"/>
            <w:tcBorders>
              <w:top w:val="nil"/>
              <w:left w:val="nil"/>
              <w:bottom w:val="single" w:color="auto" w:sz="8" w:space="0"/>
              <w:right w:val="single" w:color="auto" w:sz="8" w:space="0"/>
            </w:tcBorders>
            <w:noWrap w:val="0"/>
            <w:vAlign w:val="center"/>
          </w:tcPr>
          <w:p w14:paraId="3D7CA6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2" w:type="pct"/>
            <w:tcBorders>
              <w:top w:val="nil"/>
              <w:left w:val="nil"/>
              <w:bottom w:val="single" w:color="auto" w:sz="8" w:space="0"/>
              <w:right w:val="single" w:color="auto" w:sz="8" w:space="0"/>
            </w:tcBorders>
            <w:noWrap w:val="0"/>
            <w:vAlign w:val="center"/>
          </w:tcPr>
          <w:p w14:paraId="49DCA5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99.64 </w:t>
            </w:r>
          </w:p>
        </w:tc>
      </w:tr>
    </w:tbl>
    <w:p w14:paraId="3FD030C1">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23"/>
        <w:gridCol w:w="2329"/>
        <w:gridCol w:w="2329"/>
        <w:gridCol w:w="2329"/>
        <w:gridCol w:w="2329"/>
        <w:gridCol w:w="2029"/>
      </w:tblGrid>
      <w:tr w14:paraId="38D46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000" w:type="pct"/>
            <w:gridSpan w:val="6"/>
            <w:tcBorders>
              <w:top w:val="nil"/>
              <w:left w:val="nil"/>
              <w:bottom w:val="nil"/>
              <w:right w:val="nil"/>
            </w:tcBorders>
            <w:noWrap/>
            <w:vAlign w:val="center"/>
          </w:tcPr>
          <w:p w14:paraId="7F923929">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2024年中央农村综合改革转移支付资金-农村公益事业财政奖补项目综合得分表</w:t>
            </w:r>
          </w:p>
        </w:tc>
      </w:tr>
      <w:tr w14:paraId="19B34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757" w:type="pct"/>
            <w:tcBorders>
              <w:top w:val="single" w:color="auto" w:sz="8" w:space="0"/>
              <w:left w:val="single" w:color="auto" w:sz="8" w:space="0"/>
              <w:bottom w:val="single" w:color="auto" w:sz="8" w:space="0"/>
              <w:right w:val="single" w:color="auto" w:sz="8" w:space="0"/>
            </w:tcBorders>
            <w:shd w:val="clear" w:color="auto" w:fill="FFFFFF"/>
            <w:noWrap w:val="0"/>
            <w:vAlign w:val="center"/>
          </w:tcPr>
          <w:p w14:paraId="39C59D82">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w:t>
            </w:r>
          </w:p>
        </w:tc>
        <w:tc>
          <w:tcPr>
            <w:tcW w:w="871" w:type="pct"/>
            <w:tcBorders>
              <w:top w:val="single" w:color="auto" w:sz="8" w:space="0"/>
              <w:left w:val="nil"/>
              <w:bottom w:val="single" w:color="auto" w:sz="8" w:space="0"/>
              <w:right w:val="single" w:color="auto" w:sz="8" w:space="0"/>
            </w:tcBorders>
            <w:shd w:val="clear" w:color="auto" w:fill="FFFFFF"/>
            <w:noWrap w:val="0"/>
            <w:vAlign w:val="center"/>
          </w:tcPr>
          <w:p w14:paraId="4BC111F8">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项目决策</w:t>
            </w:r>
          </w:p>
        </w:tc>
        <w:tc>
          <w:tcPr>
            <w:tcW w:w="871" w:type="pct"/>
            <w:tcBorders>
              <w:top w:val="single" w:color="auto" w:sz="8" w:space="0"/>
              <w:left w:val="nil"/>
              <w:bottom w:val="single" w:color="auto" w:sz="8" w:space="0"/>
              <w:right w:val="single" w:color="auto" w:sz="8" w:space="0"/>
            </w:tcBorders>
            <w:shd w:val="clear" w:color="auto" w:fill="FFFFFF"/>
            <w:noWrap w:val="0"/>
            <w:vAlign w:val="center"/>
          </w:tcPr>
          <w:p w14:paraId="0E408A4D">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项目过程</w:t>
            </w:r>
          </w:p>
        </w:tc>
        <w:tc>
          <w:tcPr>
            <w:tcW w:w="871" w:type="pct"/>
            <w:tcBorders>
              <w:top w:val="single" w:color="auto" w:sz="8" w:space="0"/>
              <w:left w:val="nil"/>
              <w:bottom w:val="single" w:color="auto" w:sz="8" w:space="0"/>
              <w:right w:val="single" w:color="auto" w:sz="8" w:space="0"/>
            </w:tcBorders>
            <w:shd w:val="clear" w:color="auto" w:fill="FFFFFF"/>
            <w:noWrap w:val="0"/>
            <w:vAlign w:val="center"/>
          </w:tcPr>
          <w:p w14:paraId="34696A93">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项目产出</w:t>
            </w:r>
          </w:p>
        </w:tc>
        <w:tc>
          <w:tcPr>
            <w:tcW w:w="871" w:type="pct"/>
            <w:tcBorders>
              <w:top w:val="single" w:color="auto" w:sz="8" w:space="0"/>
              <w:left w:val="nil"/>
              <w:bottom w:val="single" w:color="auto" w:sz="8" w:space="0"/>
              <w:right w:val="single" w:color="auto" w:sz="8" w:space="0"/>
            </w:tcBorders>
            <w:shd w:val="clear" w:color="auto" w:fill="FFFFFF"/>
            <w:noWrap w:val="0"/>
            <w:vAlign w:val="center"/>
          </w:tcPr>
          <w:p w14:paraId="437BAADF">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项目效益</w:t>
            </w:r>
          </w:p>
        </w:tc>
        <w:tc>
          <w:tcPr>
            <w:tcW w:w="757" w:type="pct"/>
            <w:tcBorders>
              <w:top w:val="single" w:color="auto" w:sz="8" w:space="0"/>
              <w:left w:val="nil"/>
              <w:bottom w:val="single" w:color="auto" w:sz="8" w:space="0"/>
              <w:right w:val="single" w:color="auto" w:sz="8" w:space="0"/>
            </w:tcBorders>
            <w:shd w:val="clear" w:color="auto" w:fill="FFFFFF"/>
            <w:noWrap w:val="0"/>
            <w:vAlign w:val="center"/>
          </w:tcPr>
          <w:p w14:paraId="023C9F62">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合计</w:t>
            </w:r>
          </w:p>
        </w:tc>
      </w:tr>
      <w:tr w14:paraId="72A86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757" w:type="pct"/>
            <w:tcBorders>
              <w:top w:val="nil"/>
              <w:left w:val="single" w:color="auto" w:sz="8" w:space="0"/>
              <w:bottom w:val="single" w:color="auto" w:sz="8" w:space="0"/>
              <w:right w:val="single" w:color="auto" w:sz="8" w:space="0"/>
            </w:tcBorders>
            <w:shd w:val="clear" w:color="auto" w:fill="FFFFFF"/>
            <w:noWrap w:val="0"/>
            <w:vAlign w:val="center"/>
          </w:tcPr>
          <w:p w14:paraId="1240C090">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权重</w:t>
            </w:r>
          </w:p>
        </w:tc>
        <w:tc>
          <w:tcPr>
            <w:tcW w:w="871" w:type="pct"/>
            <w:tcBorders>
              <w:top w:val="nil"/>
              <w:left w:val="nil"/>
              <w:bottom w:val="single" w:color="auto" w:sz="8" w:space="0"/>
              <w:right w:val="single" w:color="auto" w:sz="8" w:space="0"/>
            </w:tcBorders>
            <w:noWrap w:val="0"/>
            <w:vAlign w:val="center"/>
          </w:tcPr>
          <w:p w14:paraId="3B6D4341">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871" w:type="pct"/>
            <w:tcBorders>
              <w:top w:val="nil"/>
              <w:left w:val="nil"/>
              <w:bottom w:val="single" w:color="auto" w:sz="8" w:space="0"/>
              <w:right w:val="single" w:color="auto" w:sz="8" w:space="0"/>
            </w:tcBorders>
            <w:noWrap w:val="0"/>
            <w:vAlign w:val="center"/>
          </w:tcPr>
          <w:p w14:paraId="47893DA6">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871" w:type="pct"/>
            <w:tcBorders>
              <w:top w:val="nil"/>
              <w:left w:val="nil"/>
              <w:bottom w:val="single" w:color="auto" w:sz="8" w:space="0"/>
              <w:right w:val="single" w:color="auto" w:sz="8" w:space="0"/>
            </w:tcBorders>
            <w:noWrap w:val="0"/>
            <w:vAlign w:val="center"/>
          </w:tcPr>
          <w:p w14:paraId="0B18BB7B">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871" w:type="pct"/>
            <w:tcBorders>
              <w:top w:val="nil"/>
              <w:left w:val="nil"/>
              <w:bottom w:val="single" w:color="auto" w:sz="8" w:space="0"/>
              <w:right w:val="single" w:color="auto" w:sz="8" w:space="0"/>
            </w:tcBorders>
            <w:noWrap w:val="0"/>
            <w:vAlign w:val="center"/>
          </w:tcPr>
          <w:p w14:paraId="14922066">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757" w:type="pct"/>
            <w:tcBorders>
              <w:top w:val="nil"/>
              <w:left w:val="nil"/>
              <w:bottom w:val="single" w:color="auto" w:sz="8" w:space="0"/>
              <w:right w:val="single" w:color="auto" w:sz="8" w:space="0"/>
            </w:tcBorders>
            <w:noWrap w:val="0"/>
            <w:vAlign w:val="center"/>
          </w:tcPr>
          <w:p w14:paraId="5962D9DF">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r>
      <w:tr w14:paraId="5BC4A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757" w:type="pct"/>
            <w:tcBorders>
              <w:top w:val="nil"/>
              <w:left w:val="single" w:color="auto" w:sz="8" w:space="0"/>
              <w:bottom w:val="single" w:color="auto" w:sz="8" w:space="0"/>
              <w:right w:val="single" w:color="auto" w:sz="8" w:space="0"/>
            </w:tcBorders>
            <w:shd w:val="clear" w:color="auto" w:fill="FFFFFF"/>
            <w:noWrap w:val="0"/>
            <w:vAlign w:val="center"/>
          </w:tcPr>
          <w:p w14:paraId="1BB337AF">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c>
          <w:tcPr>
            <w:tcW w:w="871" w:type="pct"/>
            <w:tcBorders>
              <w:top w:val="nil"/>
              <w:left w:val="nil"/>
              <w:bottom w:val="single" w:color="auto" w:sz="8" w:space="0"/>
              <w:right w:val="single" w:color="auto" w:sz="8" w:space="0"/>
            </w:tcBorders>
            <w:shd w:val="clear" w:color="auto" w:fill="auto"/>
            <w:noWrap w:val="0"/>
            <w:vAlign w:val="center"/>
          </w:tcPr>
          <w:p w14:paraId="75BC5573">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871" w:type="pct"/>
            <w:tcBorders>
              <w:top w:val="nil"/>
              <w:left w:val="nil"/>
              <w:bottom w:val="single" w:color="auto" w:sz="8" w:space="0"/>
              <w:right w:val="single" w:color="auto" w:sz="8" w:space="0"/>
            </w:tcBorders>
            <w:shd w:val="clear" w:color="auto" w:fill="auto"/>
            <w:noWrap w:val="0"/>
            <w:vAlign w:val="center"/>
          </w:tcPr>
          <w:p w14:paraId="33AD71E1">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19.90 </w:t>
            </w:r>
          </w:p>
        </w:tc>
        <w:tc>
          <w:tcPr>
            <w:tcW w:w="871" w:type="pct"/>
            <w:tcBorders>
              <w:top w:val="nil"/>
              <w:left w:val="nil"/>
              <w:bottom w:val="single" w:color="auto" w:sz="8" w:space="0"/>
              <w:right w:val="single" w:color="auto" w:sz="8" w:space="0"/>
            </w:tcBorders>
            <w:shd w:val="clear" w:color="auto" w:fill="auto"/>
            <w:noWrap w:val="0"/>
            <w:vAlign w:val="center"/>
          </w:tcPr>
          <w:p w14:paraId="71E55A53">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39.74 </w:t>
            </w:r>
          </w:p>
        </w:tc>
        <w:tc>
          <w:tcPr>
            <w:tcW w:w="871" w:type="pct"/>
            <w:tcBorders>
              <w:top w:val="nil"/>
              <w:left w:val="nil"/>
              <w:bottom w:val="single" w:color="auto" w:sz="8" w:space="0"/>
              <w:right w:val="single" w:color="auto" w:sz="8" w:space="0"/>
            </w:tcBorders>
            <w:shd w:val="clear" w:color="auto" w:fill="FFFFFF"/>
            <w:noWrap w:val="0"/>
            <w:vAlign w:val="center"/>
          </w:tcPr>
          <w:p w14:paraId="0BD84DED">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757" w:type="pct"/>
            <w:tcBorders>
              <w:top w:val="nil"/>
              <w:left w:val="nil"/>
              <w:bottom w:val="single" w:color="auto" w:sz="8" w:space="0"/>
              <w:right w:val="single" w:color="auto" w:sz="8" w:space="0"/>
            </w:tcBorders>
            <w:noWrap w:val="0"/>
            <w:vAlign w:val="center"/>
          </w:tcPr>
          <w:p w14:paraId="6404EE6E">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99.64 </w:t>
            </w:r>
          </w:p>
        </w:tc>
      </w:tr>
      <w:tr w14:paraId="39472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757" w:type="pct"/>
            <w:tcBorders>
              <w:top w:val="nil"/>
              <w:left w:val="single" w:color="auto" w:sz="8" w:space="0"/>
              <w:bottom w:val="single" w:color="auto" w:sz="8" w:space="0"/>
              <w:right w:val="single" w:color="auto" w:sz="8" w:space="0"/>
            </w:tcBorders>
            <w:shd w:val="clear" w:color="auto" w:fill="FFFFFF"/>
            <w:noWrap w:val="0"/>
            <w:vAlign w:val="center"/>
          </w:tcPr>
          <w:p w14:paraId="6836CCDE">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得分率</w:t>
            </w:r>
          </w:p>
        </w:tc>
        <w:tc>
          <w:tcPr>
            <w:tcW w:w="871" w:type="pct"/>
            <w:tcBorders>
              <w:top w:val="nil"/>
              <w:left w:val="nil"/>
              <w:bottom w:val="single" w:color="auto" w:sz="8" w:space="0"/>
              <w:right w:val="single" w:color="auto" w:sz="8" w:space="0"/>
            </w:tcBorders>
            <w:noWrap w:val="0"/>
            <w:vAlign w:val="center"/>
          </w:tcPr>
          <w:p w14:paraId="230EEAAC">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100.00%</w:t>
            </w:r>
          </w:p>
        </w:tc>
        <w:tc>
          <w:tcPr>
            <w:tcW w:w="871" w:type="pct"/>
            <w:tcBorders>
              <w:top w:val="nil"/>
              <w:left w:val="nil"/>
              <w:bottom w:val="single" w:color="auto" w:sz="8" w:space="0"/>
              <w:right w:val="single" w:color="auto" w:sz="8" w:space="0"/>
            </w:tcBorders>
            <w:noWrap w:val="0"/>
            <w:vAlign w:val="center"/>
          </w:tcPr>
          <w:p w14:paraId="0B1EFD08">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99.48%</w:t>
            </w:r>
          </w:p>
        </w:tc>
        <w:tc>
          <w:tcPr>
            <w:tcW w:w="871" w:type="pct"/>
            <w:tcBorders>
              <w:top w:val="nil"/>
              <w:left w:val="nil"/>
              <w:bottom w:val="single" w:color="auto" w:sz="8" w:space="0"/>
              <w:right w:val="single" w:color="auto" w:sz="8" w:space="0"/>
            </w:tcBorders>
            <w:noWrap w:val="0"/>
            <w:vAlign w:val="center"/>
          </w:tcPr>
          <w:p w14:paraId="2C067ABD">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99.35%</w:t>
            </w:r>
          </w:p>
        </w:tc>
        <w:tc>
          <w:tcPr>
            <w:tcW w:w="871" w:type="pct"/>
            <w:tcBorders>
              <w:top w:val="nil"/>
              <w:left w:val="nil"/>
              <w:bottom w:val="single" w:color="auto" w:sz="8" w:space="0"/>
              <w:right w:val="single" w:color="auto" w:sz="8" w:space="0"/>
            </w:tcBorders>
            <w:noWrap w:val="0"/>
            <w:vAlign w:val="center"/>
          </w:tcPr>
          <w:p w14:paraId="60427E3F">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100.00%</w:t>
            </w:r>
          </w:p>
        </w:tc>
        <w:tc>
          <w:tcPr>
            <w:tcW w:w="757" w:type="pct"/>
            <w:tcBorders>
              <w:top w:val="nil"/>
              <w:left w:val="nil"/>
              <w:bottom w:val="single" w:color="auto" w:sz="8" w:space="0"/>
              <w:right w:val="single" w:color="auto" w:sz="8" w:space="0"/>
            </w:tcBorders>
            <w:noWrap w:val="0"/>
            <w:vAlign w:val="center"/>
          </w:tcPr>
          <w:p w14:paraId="0EACF6A3">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99.64%</w:t>
            </w:r>
          </w:p>
        </w:tc>
      </w:tr>
    </w:tbl>
    <w:p w14:paraId="268834E1">
      <w:pPr>
        <w:pStyle w:val="10"/>
        <w:ind w:left="0" w:leftChars="0" w:firstLine="0" w:firstLineChars="0"/>
        <w:jc w:val="both"/>
        <w:rPr>
          <w:rFonts w:hint="default" w:ascii="宋体" w:hAnsi="宋体" w:eastAsia="宋体" w:cs="宋体"/>
          <w:sz w:val="24"/>
          <w:szCs w:val="24"/>
          <w:lang w:val="en-US" w:eastAsia="zh-CN"/>
        </w:rPr>
      </w:pPr>
    </w:p>
    <w:p w14:paraId="65EB3E3B">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51CFF706">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6BCB3BC8">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2024年中央农村综合改革转移支付资金-农村公益事业财政奖补项目</w:t>
      </w:r>
    </w:p>
    <w:p w14:paraId="081ABDEC">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满意度</w:t>
      </w:r>
      <w:r>
        <w:rPr>
          <w:rFonts w:hint="eastAsia" w:ascii="宋体" w:hAnsi="宋体" w:eastAsia="宋体" w:cs="宋体"/>
          <w:b/>
          <w:bCs/>
          <w:color w:val="auto"/>
          <w:sz w:val="24"/>
          <w:szCs w:val="24"/>
          <w:highlight w:val="none"/>
        </w:rPr>
        <w:t>调查问卷</w:t>
      </w:r>
      <w:r>
        <w:rPr>
          <w:rFonts w:hint="eastAsia" w:ascii="宋体" w:hAnsi="宋体" w:eastAsia="宋体" w:cs="宋体"/>
          <w:b/>
          <w:bCs/>
          <w:color w:val="auto"/>
          <w:sz w:val="24"/>
          <w:szCs w:val="24"/>
          <w:highlight w:val="none"/>
          <w:lang w:val="en-US" w:eastAsia="zh-CN"/>
        </w:rPr>
        <w:t>分析报告</w:t>
      </w:r>
    </w:p>
    <w:p w14:paraId="485800CE">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02FB4478">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54D19D1F">
      <w:pPr>
        <w:pStyle w:val="10"/>
        <w:keepNext w:val="0"/>
        <w:keepLines w:val="0"/>
        <w:pageBreakBefore w:val="0"/>
        <w:widowControl w:val="0"/>
        <w:kinsoku/>
        <w:wordWrap/>
        <w:overflowPunct/>
        <w:topLinePunct w:val="0"/>
        <w:autoSpaceDE/>
        <w:autoSpaceDN/>
        <w:bidi w:val="0"/>
        <w:adjustRightInd/>
        <w:snapToGrid/>
        <w:spacing w:before="0" w:after="0" w:line="348" w:lineRule="auto"/>
        <w:ind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289F21C8">
      <w:pPr>
        <w:pStyle w:val="10"/>
        <w:keepNext w:val="0"/>
        <w:keepLines w:val="0"/>
        <w:pageBreakBefore w:val="0"/>
        <w:widowControl w:val="0"/>
        <w:kinsoku/>
        <w:wordWrap/>
        <w:overflowPunct/>
        <w:topLinePunct w:val="0"/>
        <w:autoSpaceDE/>
        <w:autoSpaceDN/>
        <w:bidi w:val="0"/>
        <w:adjustRightInd/>
        <w:snapToGrid/>
        <w:spacing w:before="0" w:after="0" w:line="348" w:lineRule="auto"/>
        <w:ind w:firstLine="480" w:firstLineChars="200"/>
        <w:jc w:val="both"/>
        <w:textAlignment w:val="auto"/>
        <w:rPr>
          <w:rFonts w:hint="eastAsia" w:ascii="宋体" w:hAnsi="宋体" w:eastAsia="宋体" w:cs="宋体"/>
          <w:b w:val="0"/>
          <w:bCs/>
          <w:i w:val="0"/>
          <w:iCs w:val="0"/>
          <w:color w:val="auto"/>
          <w:sz w:val="24"/>
          <w:szCs w:val="24"/>
          <w:highlight w:val="none"/>
        </w:rPr>
      </w:pPr>
      <w:r>
        <w:rPr>
          <w:rFonts w:hint="eastAsia" w:ascii="宋体" w:hAnsi="宋体" w:eastAsia="宋体" w:cs="宋体"/>
          <w:b w:val="0"/>
          <w:bCs/>
          <w:color w:val="auto"/>
          <w:sz w:val="24"/>
          <w:szCs w:val="24"/>
          <w:highlight w:val="none"/>
        </w:rPr>
        <w:t>本次</w:t>
      </w:r>
      <w:r>
        <w:rPr>
          <w:rFonts w:hint="eastAsia" w:ascii="宋体" w:hAnsi="宋体" w:eastAsia="宋体" w:cs="宋体"/>
          <w:b w:val="0"/>
          <w:bCs/>
          <w:color w:val="auto"/>
          <w:sz w:val="24"/>
          <w:szCs w:val="24"/>
          <w:highlight w:val="none"/>
          <w:lang w:eastAsia="zh-CN"/>
        </w:rPr>
        <w:t>调查</w:t>
      </w:r>
      <w:r>
        <w:rPr>
          <w:rFonts w:hint="eastAsia" w:ascii="宋体" w:hAnsi="宋体" w:eastAsia="宋体" w:cs="宋体"/>
          <w:b w:val="0"/>
          <w:bCs/>
          <w:color w:val="auto"/>
          <w:sz w:val="24"/>
          <w:szCs w:val="24"/>
          <w:highlight w:val="none"/>
        </w:rPr>
        <w:t>的受益对象为</w:t>
      </w:r>
      <w:r>
        <w:rPr>
          <w:rFonts w:hint="eastAsia" w:ascii="宋体" w:hAnsi="宋体" w:eastAsia="宋体" w:cs="宋体"/>
          <w:b w:val="0"/>
          <w:bCs/>
          <w:color w:val="auto"/>
          <w:sz w:val="24"/>
          <w:szCs w:val="24"/>
          <w:highlight w:val="none"/>
          <w:lang w:val="en-US" w:eastAsia="zh-CN"/>
        </w:rPr>
        <w:t>恰尔巴格镇四个村村民</w:t>
      </w:r>
      <w:r>
        <w:rPr>
          <w:rFonts w:hint="eastAsia" w:ascii="宋体" w:hAnsi="宋体" w:eastAsia="宋体" w:cs="宋体"/>
          <w:b w:val="0"/>
          <w:bCs/>
          <w:color w:val="auto"/>
          <w:sz w:val="24"/>
          <w:szCs w:val="24"/>
          <w:highlight w:val="none"/>
        </w:rPr>
        <w:t>。</w:t>
      </w:r>
    </w:p>
    <w:p w14:paraId="1C9BC264">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4DBA748C">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①您对</w:t>
      </w: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w:t>
      </w:r>
      <w:r>
        <w:rPr>
          <w:rFonts w:hint="eastAsia" w:ascii="宋体" w:hAnsi="宋体" w:eastAsia="宋体" w:cs="宋体"/>
          <w:color w:val="auto"/>
          <w:sz w:val="24"/>
          <w:szCs w:val="24"/>
          <w:highlight w:val="none"/>
          <w:lang w:val="en-US" w:eastAsia="zh-CN"/>
        </w:rPr>
        <w:t>项目的太阳能路灯是否满意?</w:t>
      </w:r>
    </w:p>
    <w:p w14:paraId="68588D09">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②您对</w:t>
      </w: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w:t>
      </w:r>
      <w:r>
        <w:rPr>
          <w:rFonts w:hint="eastAsia" w:ascii="宋体" w:hAnsi="宋体" w:eastAsia="宋体" w:cs="宋体"/>
          <w:color w:val="auto"/>
          <w:sz w:val="24"/>
          <w:szCs w:val="24"/>
          <w:highlight w:val="none"/>
          <w:lang w:val="en-US" w:eastAsia="zh-CN"/>
        </w:rPr>
        <w:t>项目的苗木栽植是否满意？</w:t>
      </w:r>
    </w:p>
    <w:p w14:paraId="228951B4">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③总的来说，您对目前</w:t>
      </w: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w:t>
      </w:r>
      <w:r>
        <w:rPr>
          <w:rFonts w:hint="eastAsia" w:ascii="宋体" w:hAnsi="宋体" w:eastAsia="宋体" w:cs="宋体"/>
          <w:color w:val="auto"/>
          <w:sz w:val="24"/>
          <w:szCs w:val="24"/>
          <w:highlight w:val="none"/>
          <w:lang w:val="en-US" w:eastAsia="zh-CN"/>
        </w:rPr>
        <w:t>项目实施后的整体满意程度如何？</w:t>
      </w:r>
    </w:p>
    <w:p w14:paraId="6720B2C0">
      <w:pPr>
        <w:pStyle w:val="10"/>
        <w:keepNext w:val="0"/>
        <w:keepLines w:val="0"/>
        <w:pageBreakBefore w:val="0"/>
        <w:widowControl w:val="0"/>
        <w:kinsoku/>
        <w:wordWrap/>
        <w:overflowPunct/>
        <w:topLinePunct w:val="0"/>
        <w:autoSpaceDE/>
        <w:autoSpaceDN/>
        <w:bidi w:val="0"/>
        <w:adjustRightInd/>
        <w:snapToGrid/>
        <w:spacing w:before="0" w:after="0" w:line="348" w:lineRule="auto"/>
        <w:ind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62AF9BE5">
      <w:pPr>
        <w:keepNext w:val="0"/>
        <w:keepLines w:val="0"/>
        <w:pageBreakBefore w:val="0"/>
        <w:widowControl w:val="0"/>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48A51AEF">
      <w:pPr>
        <w:pStyle w:val="10"/>
        <w:keepNext w:val="0"/>
        <w:keepLines w:val="0"/>
        <w:pageBreakBefore w:val="0"/>
        <w:widowControl w:val="0"/>
        <w:kinsoku/>
        <w:wordWrap/>
        <w:overflowPunct/>
        <w:topLinePunct w:val="0"/>
        <w:autoSpaceDE/>
        <w:autoSpaceDN/>
        <w:bidi w:val="0"/>
        <w:adjustRightInd/>
        <w:snapToGrid/>
        <w:spacing w:before="0" w:after="0" w:line="348" w:lineRule="auto"/>
        <w:ind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2424525B">
      <w:pPr>
        <w:keepNext w:val="0"/>
        <w:keepLines w:val="0"/>
        <w:pageBreakBefore w:val="0"/>
        <w:widowControl w:val="0"/>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7925EF91">
      <w:pPr>
        <w:keepNext w:val="0"/>
        <w:keepLines w:val="0"/>
        <w:pageBreakBefore w:val="0"/>
        <w:widowControl w:val="0"/>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6C161F61">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2DF46E2C">
      <w:pPr>
        <w:pStyle w:val="10"/>
        <w:keepNext w:val="0"/>
        <w:keepLines w:val="0"/>
        <w:pageBreakBefore w:val="0"/>
        <w:widowControl w:val="0"/>
        <w:kinsoku/>
        <w:wordWrap/>
        <w:overflowPunct/>
        <w:topLinePunct w:val="0"/>
        <w:autoSpaceDE/>
        <w:autoSpaceDN/>
        <w:bidi w:val="0"/>
        <w:adjustRightInd/>
        <w:snapToGrid/>
        <w:spacing w:before="0" w:after="0" w:line="348"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42F9E4D8">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本次调查过程中，评价小组实际发放问卷30份，回收问卷30份，问卷回收率为100.00%，有效问卷30份，有效回收率100.00%，本次调查的整体情况如下：</w:t>
      </w:r>
    </w:p>
    <w:p w14:paraId="2C3C9977">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1B3AE9C2">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1FCF889F">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3CD9412E">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34F5A7D7">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aps w:val="0"/>
          <w:color w:val="auto"/>
          <w:spacing w:val="0"/>
          <w:sz w:val="24"/>
          <w:szCs w:val="24"/>
          <w:shd w:val="clear" w:color="auto" w:fill="FFFFFF"/>
        </w:rPr>
        <w:t>2024年中央农村综合改革转移支付资金-农村公益事业财政奖补</w:t>
      </w:r>
      <w:r>
        <w:rPr>
          <w:rFonts w:hint="eastAsia" w:ascii="宋体" w:hAnsi="宋体" w:eastAsia="宋体" w:cs="宋体"/>
          <w:color w:val="auto"/>
          <w:sz w:val="24"/>
          <w:szCs w:val="24"/>
          <w:highlight w:val="none"/>
          <w:lang w:val="en-US" w:eastAsia="zh-CN"/>
        </w:rPr>
        <w:t>项目针对受益人员发放30份调查问卷，最终统计受益人群满意度为100%。</w:t>
      </w:r>
    </w:p>
    <w:p w14:paraId="3FE9AC32">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洛浦县恰尔巴格镇人民政府</w:t>
      </w:r>
    </w:p>
    <w:p w14:paraId="20243C49">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2025年3月15日</w:t>
      </w:r>
    </w:p>
    <w:p w14:paraId="747755BF">
      <w:pPr>
        <w:pStyle w:val="10"/>
        <w:keepNext w:val="0"/>
        <w:keepLines w:val="0"/>
        <w:pageBreakBefore w:val="0"/>
        <w:widowControl w:val="0"/>
        <w:kinsoku/>
        <w:wordWrap/>
        <w:overflowPunct/>
        <w:topLinePunct w:val="0"/>
        <w:autoSpaceDE/>
        <w:autoSpaceDN/>
        <w:bidi w:val="0"/>
        <w:adjustRightInd/>
        <w:snapToGrid/>
        <w:spacing w:before="0" w:after="0"/>
        <w:ind w:firstLine="480" w:firstLineChars="200"/>
        <w:jc w:val="both"/>
        <w:textAlignment w:val="auto"/>
        <w:rPr>
          <w:rFonts w:hint="eastAsia" w:ascii="宋体" w:hAnsi="宋体" w:eastAsia="宋体" w:cs="宋体"/>
          <w:sz w:val="24"/>
          <w:szCs w:val="24"/>
          <w:lang w:eastAsia="zh-CN"/>
        </w:rPr>
      </w:pP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5FC7D">
    <w:pPr>
      <w:pStyle w:val="16"/>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263B979D">
                <w:pPr>
                  <w:pStyle w:val="16"/>
                  <w:rPr>
                    <w:rFonts w:hint="eastAsia" w:ascii="宋体" w:hAnsi="宋体" w:eastAsia="宋体" w:cs="宋体"/>
                    <w:b/>
                    <w:bCs/>
                  </w:rPr>
                </w:pPr>
                <w:r>
                  <w:rPr>
                    <w:rFonts w:hint="eastAsia" w:ascii="宋体" w:hAnsi="宋体" w:eastAsia="宋体" w:cs="宋体"/>
                    <w:b/>
                    <w:bCs/>
                  </w:rPr>
                  <w:t xml:space="preserve">第 </w:t>
                </w:r>
                <w:r>
                  <w:rPr>
                    <w:rFonts w:hint="eastAsia" w:ascii="宋体" w:hAnsi="宋体" w:eastAsia="宋体" w:cs="宋体"/>
                    <w:b/>
                    <w:bCs/>
                  </w:rPr>
                  <w:fldChar w:fldCharType="begin"/>
                </w:r>
                <w:r>
                  <w:rPr>
                    <w:rFonts w:hint="eastAsia" w:ascii="宋体" w:hAnsi="宋体" w:eastAsia="宋体" w:cs="宋体"/>
                    <w:b/>
                    <w:bCs/>
                  </w:rPr>
                  <w:instrText xml:space="preserve"> PAGE  \* MERGEFORMAT </w:instrText>
                </w:r>
                <w:r>
                  <w:rPr>
                    <w:rFonts w:hint="eastAsia" w:ascii="宋体" w:hAnsi="宋体" w:eastAsia="宋体" w:cs="宋体"/>
                    <w:b/>
                    <w:bCs/>
                  </w:rPr>
                  <w:fldChar w:fldCharType="separate"/>
                </w:r>
                <w:r>
                  <w:rPr>
                    <w:rFonts w:hint="eastAsia" w:ascii="宋体" w:hAnsi="宋体" w:eastAsia="宋体" w:cs="宋体"/>
                    <w:b/>
                    <w:bCs/>
                  </w:rPr>
                  <w:t>1</w:t>
                </w:r>
                <w:r>
                  <w:rPr>
                    <w:rFonts w:hint="eastAsia" w:ascii="宋体" w:hAnsi="宋体" w:eastAsia="宋体" w:cs="宋体"/>
                    <w:b/>
                    <w:bCs/>
                  </w:rPr>
                  <w:fldChar w:fldCharType="end"/>
                </w:r>
                <w:r>
                  <w:rPr>
                    <w:rFonts w:hint="eastAsia" w:ascii="宋体" w:hAnsi="宋体" w:eastAsia="宋体" w:cs="宋体"/>
                    <w:b/>
                    <w:bCs/>
                  </w:rPr>
                  <w:t xml:space="preserve"> 页 共 </w:t>
                </w:r>
                <w:r>
                  <w:rPr>
                    <w:rFonts w:hint="eastAsia" w:ascii="宋体" w:hAnsi="宋体" w:eastAsia="宋体" w:cs="宋体"/>
                    <w:b/>
                    <w:bCs/>
                  </w:rPr>
                  <w:fldChar w:fldCharType="begin"/>
                </w:r>
                <w:r>
                  <w:rPr>
                    <w:rFonts w:hint="eastAsia" w:ascii="宋体" w:hAnsi="宋体" w:eastAsia="宋体" w:cs="宋体"/>
                    <w:b/>
                    <w:bCs/>
                  </w:rPr>
                  <w:instrText xml:space="preserve"> NUMPAGES  \* MERGEFORMAT </w:instrText>
                </w:r>
                <w:r>
                  <w:rPr>
                    <w:rFonts w:hint="eastAsia" w:ascii="宋体" w:hAnsi="宋体" w:eastAsia="宋体" w:cs="宋体"/>
                    <w:b/>
                    <w:bCs/>
                  </w:rPr>
                  <w:fldChar w:fldCharType="separate"/>
                </w:r>
                <w:r>
                  <w:rPr>
                    <w:rFonts w:hint="eastAsia" w:ascii="宋体" w:hAnsi="宋体" w:eastAsia="宋体" w:cs="宋体"/>
                    <w:b/>
                    <w:bCs/>
                  </w:rPr>
                  <w:t>30</w:t>
                </w:r>
                <w:r>
                  <w:rPr>
                    <w:rFonts w:hint="eastAsia" w:ascii="宋体" w:hAnsi="宋体" w:eastAsia="宋体" w:cs="宋体"/>
                    <w:b/>
                    <w:bCs/>
                  </w:rPr>
                  <w:fldChar w:fldCharType="end"/>
                </w:r>
                <w:r>
                  <w:rPr>
                    <w:rFonts w:hint="eastAsia" w:ascii="宋体" w:hAnsi="宋体" w:eastAsia="宋体" w:cs="宋体"/>
                    <w:b/>
                    <w:bCs/>
                  </w:rP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9431F">
    <w:pPr>
      <w:pStyle w:val="17"/>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2"/>
      <w:numFmt w:val="decimal"/>
      <w:lvlText w:val="%1."/>
      <w:lvlJc w:val="left"/>
      <w:pPr>
        <w:tabs>
          <w:tab w:val="left" w:pos="312"/>
        </w:tabs>
      </w:pPr>
    </w:lvl>
  </w:abstractNum>
  <w:abstractNum w:abstractNumId="3">
    <w:nsid w:val="0053208E"/>
    <w:multiLevelType w:val="singleLevel"/>
    <w:tmpl w:val="0053208E"/>
    <w:lvl w:ilvl="0" w:tentative="0">
      <w:start w:val="2"/>
      <w:numFmt w:val="chineseCounting"/>
      <w:suff w:val="nothing"/>
      <w:lvlText w:val="（%1）"/>
      <w:lvlJc w:val="left"/>
      <w:rPr>
        <w:rFonts w:hint="eastAsia"/>
        <w:b/>
        <w:bCs/>
      </w:rPr>
    </w:lvl>
  </w:abstractNum>
  <w:abstractNum w:abstractNumId="4">
    <w:nsid w:val="03D62ECE"/>
    <w:multiLevelType w:val="singleLevel"/>
    <w:tmpl w:val="03D62ECE"/>
    <w:lvl w:ilvl="0" w:tentative="0">
      <w:start w:val="1"/>
      <w:numFmt w:val="decimal"/>
      <w:suff w:val="nothing"/>
      <w:lvlText w:val="（%1）"/>
      <w:lvlJc w:val="left"/>
    </w:lvl>
  </w:abstractNum>
  <w:abstractNum w:abstractNumId="5">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1C13703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3"/>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3">
    <w:name w:val="Body Text First Indent 2"/>
    <w:basedOn w:val="4"/>
    <w:link w:val="33"/>
    <w:unhideWhenUsed/>
    <w:uiPriority w:val="0"/>
    <w:pPr>
      <w:ind w:firstLine="420"/>
    </w:pPr>
  </w:style>
  <w:style w:type="paragraph" w:styleId="4">
    <w:name w:val="Body Text Indent"/>
    <w:basedOn w:val="1"/>
    <w:link w:val="32"/>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7"/>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Plain Text"/>
    <w:basedOn w:val="1"/>
    <w:qFormat/>
    <w:uiPriority w:val="99"/>
    <w:rPr>
      <w:rFonts w:ascii="宋体" w:hAnsi="Courier New" w:cs="Courier New"/>
      <w:szCs w:val="21"/>
    </w:rPr>
  </w:style>
  <w:style w:type="paragraph" w:styleId="14">
    <w:name w:val="toc 8"/>
    <w:basedOn w:val="1"/>
    <w:next w:val="1"/>
    <w:unhideWhenUsed/>
    <w:uiPriority w:val="39"/>
    <w:pPr>
      <w:ind w:left="1960"/>
      <w:jc w:val="left"/>
    </w:pPr>
    <w:rPr>
      <w:rFonts w:ascii="Calibri" w:hAnsi="Calibri" w:cs="Calibri"/>
      <w:sz w:val="18"/>
      <w:szCs w:val="18"/>
    </w:rPr>
  </w:style>
  <w:style w:type="paragraph" w:styleId="15">
    <w:name w:val="Balloon Text"/>
    <w:basedOn w:val="1"/>
    <w:link w:val="39"/>
    <w:unhideWhenUsed/>
    <w:uiPriority w:val="99"/>
    <w:rPr>
      <w:rFonts w:cs="Times New Roman"/>
      <w:kern w:val="0"/>
      <w:sz w:val="18"/>
      <w:szCs w:val="18"/>
    </w:rPr>
  </w:style>
  <w:style w:type="paragraph" w:styleId="16">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7">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8">
    <w:name w:val="toc 1"/>
    <w:basedOn w:val="1"/>
    <w:next w:val="1"/>
    <w:unhideWhenUsed/>
    <w:uiPriority w:val="39"/>
    <w:pPr>
      <w:spacing w:before="120" w:after="120"/>
      <w:jc w:val="left"/>
    </w:pPr>
    <w:rPr>
      <w:rFonts w:ascii="Calibri" w:hAnsi="Calibri" w:cs="Calibri"/>
      <w:b/>
      <w:bCs/>
      <w:caps/>
      <w:sz w:val="20"/>
      <w:szCs w:val="20"/>
    </w:rPr>
  </w:style>
  <w:style w:type="paragraph" w:styleId="19">
    <w:name w:val="toc 4"/>
    <w:basedOn w:val="1"/>
    <w:next w:val="1"/>
    <w:unhideWhenUsed/>
    <w:uiPriority w:val="39"/>
    <w:pPr>
      <w:ind w:left="840"/>
      <w:jc w:val="left"/>
    </w:pPr>
    <w:rPr>
      <w:rFonts w:ascii="Calibri" w:hAnsi="Calibri" w:cs="Calibri"/>
      <w:sz w:val="18"/>
      <w:szCs w:val="18"/>
    </w:rPr>
  </w:style>
  <w:style w:type="paragraph" w:styleId="20">
    <w:name w:val="toc 6"/>
    <w:basedOn w:val="1"/>
    <w:next w:val="1"/>
    <w:unhideWhenUsed/>
    <w:uiPriority w:val="39"/>
    <w:pPr>
      <w:ind w:left="1400"/>
      <w:jc w:val="left"/>
    </w:pPr>
    <w:rPr>
      <w:rFonts w:ascii="Calibri" w:hAnsi="Calibri" w:cs="Calibri"/>
      <w:sz w:val="18"/>
      <w:szCs w:val="18"/>
    </w:rPr>
  </w:style>
  <w:style w:type="paragraph" w:styleId="21">
    <w:name w:val="toc 2"/>
    <w:basedOn w:val="1"/>
    <w:next w:val="1"/>
    <w:unhideWhenUsed/>
    <w:uiPriority w:val="39"/>
    <w:pPr>
      <w:ind w:left="280"/>
      <w:jc w:val="left"/>
    </w:pPr>
    <w:rPr>
      <w:rFonts w:ascii="Calibri" w:hAnsi="Calibri" w:cs="Calibri"/>
      <w:smallCaps/>
      <w:sz w:val="20"/>
      <w:szCs w:val="20"/>
    </w:rPr>
  </w:style>
  <w:style w:type="paragraph" w:styleId="22">
    <w:name w:val="toc 9"/>
    <w:basedOn w:val="1"/>
    <w:next w:val="1"/>
    <w:unhideWhenUsed/>
    <w:uiPriority w:val="39"/>
    <w:pPr>
      <w:ind w:left="2240"/>
      <w:jc w:val="left"/>
    </w:pPr>
    <w:rPr>
      <w:rFonts w:ascii="Calibri" w:hAnsi="Calibri" w:cs="Calibri"/>
      <w:sz w:val="18"/>
      <w:szCs w:val="18"/>
    </w:rPr>
  </w:style>
  <w:style w:type="paragraph" w:styleId="23">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uiPriority w:val="99"/>
    <w:rPr>
      <w:b/>
      <w:bCs/>
    </w:rPr>
  </w:style>
  <w:style w:type="character" w:customStyle="1" w:styleId="30">
    <w:name w:val="Comment Reference"/>
    <w:unhideWhenUsed/>
    <w:uiPriority w:val="99"/>
    <w:rPr>
      <w:sz w:val="16"/>
      <w:szCs w:val="16"/>
    </w:rPr>
  </w:style>
  <w:style w:type="character" w:customStyle="1" w:styleId="31">
    <w:name w:val="标题 1 Char"/>
    <w:link w:val="2"/>
    <w:uiPriority w:val="9"/>
    <w:rPr>
      <w:rFonts w:ascii="Times New Roman" w:hAnsi="Times New Roman" w:eastAsia="仿宋_GB2312" w:cs="Times New Roman"/>
      <w:b/>
      <w:bCs/>
      <w:kern w:val="44"/>
      <w:sz w:val="32"/>
      <w:szCs w:val="44"/>
    </w:rPr>
  </w:style>
  <w:style w:type="character" w:customStyle="1" w:styleId="32">
    <w:name w:val="正文文本缩进 Char"/>
    <w:link w:val="4"/>
    <w:semiHidden/>
    <w:uiPriority w:val="99"/>
    <w:rPr>
      <w:rFonts w:ascii="Calibri" w:hAnsi="Calibri" w:eastAsia="仿宋_GB2312" w:cs="黑体"/>
      <w:sz w:val="28"/>
    </w:rPr>
  </w:style>
  <w:style w:type="character" w:customStyle="1" w:styleId="33">
    <w:name w:val="正文首行缩进 2 Char"/>
    <w:link w:val="3"/>
    <w:uiPriority w:val="0"/>
    <w:rPr>
      <w:rFonts w:ascii="Calibri" w:hAnsi="Calibri" w:eastAsia="仿宋_GB2312" w:cs="黑体"/>
      <w:sz w:val="28"/>
    </w:rPr>
  </w:style>
  <w:style w:type="character" w:customStyle="1" w:styleId="34">
    <w:name w:val="标题 2 Char"/>
    <w:link w:val="5"/>
    <w:uiPriority w:val="0"/>
    <w:rPr>
      <w:rFonts w:ascii="Cambria" w:hAnsi="Cambria" w:eastAsia="仿宋_GB2312" w:cs="Times New Roman"/>
      <w:b/>
      <w:bCs/>
      <w:kern w:val="0"/>
      <w:sz w:val="30"/>
      <w:szCs w:val="32"/>
    </w:rPr>
  </w:style>
  <w:style w:type="character" w:customStyle="1" w:styleId="35">
    <w:name w:val="标题 3 Char"/>
    <w:link w:val="6"/>
    <w:uiPriority w:val="9"/>
    <w:rPr>
      <w:rFonts w:ascii="Calibri" w:hAnsi="Calibri" w:eastAsia="仿宋_GB2312" w:cs="黑体"/>
      <w:bCs/>
      <w:sz w:val="28"/>
      <w:szCs w:val="32"/>
    </w:rPr>
  </w:style>
  <w:style w:type="character" w:customStyle="1" w:styleId="36">
    <w:name w:val="标题 4 Char"/>
    <w:link w:val="7"/>
    <w:semiHidden/>
    <w:uiPriority w:val="9"/>
    <w:rPr>
      <w:rFonts w:ascii="Cambria" w:hAnsi="Cambria" w:eastAsia="宋体" w:cs="Times New Roman"/>
      <w:b/>
      <w:bCs/>
      <w:sz w:val="28"/>
      <w:szCs w:val="28"/>
    </w:rPr>
  </w:style>
  <w:style w:type="character" w:customStyle="1" w:styleId="37">
    <w:name w:val="文档结构图 Char"/>
    <w:link w:val="9"/>
    <w:semiHidden/>
    <w:uiPriority w:val="99"/>
    <w:rPr>
      <w:rFonts w:ascii="宋体" w:hAnsi="Calibri" w:eastAsia="宋体" w:cs="黑体"/>
      <w:sz w:val="18"/>
      <w:szCs w:val="18"/>
    </w:rPr>
  </w:style>
  <w:style w:type="character" w:customStyle="1" w:styleId="38">
    <w:name w:val="批注文字 Char"/>
    <w:link w:val="28"/>
    <w:semiHidden/>
    <w:uiPriority w:val="99"/>
    <w:rPr>
      <w:rFonts w:ascii="Calibri" w:hAnsi="Calibri" w:eastAsia="仿宋_GB2312" w:cs="黑体"/>
      <w:sz w:val="20"/>
      <w:szCs w:val="20"/>
    </w:rPr>
  </w:style>
  <w:style w:type="character" w:customStyle="1" w:styleId="39">
    <w:name w:val="批注框文本 Char"/>
    <w:link w:val="15"/>
    <w:semiHidden/>
    <w:uiPriority w:val="99"/>
    <w:rPr>
      <w:rFonts w:ascii="Calibri" w:hAnsi="Calibri" w:eastAsia="仿宋_GB2312" w:cs="黑体"/>
      <w:sz w:val="18"/>
      <w:szCs w:val="18"/>
    </w:rPr>
  </w:style>
  <w:style w:type="character" w:customStyle="1" w:styleId="40">
    <w:name w:val="页脚 Char"/>
    <w:link w:val="16"/>
    <w:uiPriority w:val="99"/>
    <w:rPr>
      <w:rFonts w:ascii="Calibri" w:hAnsi="Calibri" w:eastAsia="仿宋_GB2312" w:cs="黑体"/>
      <w:sz w:val="18"/>
      <w:szCs w:val="18"/>
    </w:rPr>
  </w:style>
  <w:style w:type="character" w:customStyle="1" w:styleId="41">
    <w:name w:val="页眉 Char"/>
    <w:link w:val="17"/>
    <w:uiPriority w:val="99"/>
    <w:rPr>
      <w:rFonts w:ascii="Calibri" w:hAnsi="Calibri" w:eastAsia="仿宋_GB2312" w:cs="黑体"/>
      <w:sz w:val="18"/>
      <w:szCs w:val="18"/>
    </w:rPr>
  </w:style>
  <w:style w:type="character" w:customStyle="1" w:styleId="42">
    <w:name w:val="标题 Char"/>
    <w:link w:val="23"/>
    <w:uiPriority w:val="10"/>
    <w:rPr>
      <w:rFonts w:ascii="Cambria" w:hAnsi="Cambria"/>
      <w:b/>
      <w:bCs/>
      <w:kern w:val="2"/>
      <w:sz w:val="32"/>
      <w:szCs w:val="32"/>
    </w:rPr>
  </w:style>
  <w:style w:type="character" w:customStyle="1" w:styleId="43">
    <w:name w:val="批注主题 Char"/>
    <w:link w:val="29"/>
    <w:semiHidden/>
    <w:uiPriority w:val="99"/>
    <w:rPr>
      <w:rFonts w:ascii="Calibri" w:hAnsi="Calibri" w:eastAsia="仿宋_GB2312" w:cs="黑体"/>
      <w:b/>
      <w:bCs/>
      <w:sz w:val="20"/>
      <w:szCs w:val="20"/>
    </w:rPr>
  </w:style>
  <w:style w:type="character" w:customStyle="1" w:styleId="44">
    <w:name w:val="闻政-正文一级标题 Char"/>
    <w:link w:val="45"/>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无间隔 Char"/>
    <w:link w:val="56"/>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6"/>
    <w:uiPriority w:val="0"/>
    <w:rPr>
      <w:rFonts w:hint="eastAsia" w:ascii="微软雅黑" w:hAnsi="微软雅黑" w:eastAsia="微软雅黑" w:cs="微软雅黑"/>
      <w:b/>
      <w:bCs/>
      <w:color w:val="000000"/>
      <w:sz w:val="32"/>
      <w:szCs w:val="32"/>
      <w:u w:val="none"/>
    </w:rPr>
  </w:style>
  <w:style w:type="paragraph" w:customStyle="1" w:styleId="60">
    <w:name w:val="样式1"/>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E2453477F4654038AAB28E9672A556F3_13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294ea9-1687-4cba-adf4-9e8b4353f53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13218</Words>
  <Characters>14017</Characters>
  <Lines>44</Lines>
  <Paragraphs>12</Paragraphs>
  <TotalTime>53</TotalTime>
  <ScaleCrop>false</ScaleCrop>
  <LinksUpToDate>false</LinksUpToDate>
  <CharactersWithSpaces>14054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2025-10-10T10:51:26Z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E2453477F4654038AAB28E9672A556F3_13</vt:lpwstr>
  </property>
  <property fmtid="{D5CDD505-2E9C-101B-9397-08002B2CF9AE}" pid="4" name="KSOTemplateDocerSaveRecord">
    <vt:lpwstr>eyJoZGlkIjoiZDE5MGZhMTJhZDM2OTQwYzkzYWVjM2FhZDUxN2Q0M2IiLCJ1c2VySWQiOiI2NTE5NDIwMjYifQ_x003D__x003D_</vt:lpwstr>
  </property>
</Properties>
</file>