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2D660">
      <w:bookmarkStart w:id="22" w:name="_GoBack"/>
      <w:bookmarkEnd w:id="22"/>
    </w:p>
    <w:p w14:paraId="0054AA11">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212508A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pPr>
      <w:r>
        <w:rPr>
          <w:rFonts w:hint="eastAsia" w:ascii="黑体" w:hAnsi="黑体" w:eastAsia="黑体" w:cs="黑体"/>
          <w:b/>
          <w:sz w:val="36"/>
          <w:szCs w:val="36"/>
          <w:lang w:val="en-US" w:eastAsia="zh-CN"/>
        </w:rPr>
        <w:t>和田地区洛浦县2021年中央农村综合改革转移支付资金</w:t>
      </w:r>
      <w:r>
        <w:rPr>
          <w:rFonts w:hint="eastAsia" w:ascii="黑体" w:hAnsi="黑体" w:eastAsia="黑体" w:cs="黑体"/>
          <w:b/>
          <w:sz w:val="36"/>
          <w:szCs w:val="36"/>
        </w:rPr>
        <w:t>项目支出绩效评价报告</w:t>
      </w:r>
    </w:p>
    <w:p w14:paraId="1200DEDD">
      <w:pPr>
        <w:pStyle w:val="6"/>
        <w:jc w:val="center"/>
        <w:rPr>
          <w:rFonts w:hint="eastAsia" w:ascii="黑体" w:hAnsi="黑体" w:eastAsia="黑体" w:cs="黑体"/>
          <w:b/>
          <w:bCs w:val="0"/>
          <w:sz w:val="28"/>
          <w:szCs w:val="28"/>
          <w:lang w:eastAsia="zh-CN"/>
        </w:rPr>
      </w:pPr>
      <w:r>
        <w:rPr>
          <w:rFonts w:hint="eastAsia" w:ascii="黑体" w:hAnsi="黑体" w:eastAsia="黑体" w:cs="黑体"/>
          <w:b/>
          <w:bCs w:val="0"/>
          <w:sz w:val="28"/>
          <w:szCs w:val="28"/>
          <w:lang w:eastAsia="zh-CN"/>
        </w:rPr>
        <w:t>（</w:t>
      </w:r>
      <w:r>
        <w:rPr>
          <w:rFonts w:hint="eastAsia" w:ascii="黑体" w:hAnsi="黑体" w:eastAsia="黑体" w:cs="黑体"/>
          <w:b/>
          <w:bCs w:val="0"/>
          <w:sz w:val="28"/>
          <w:szCs w:val="28"/>
          <w:lang w:val="en-US" w:eastAsia="zh-CN"/>
        </w:rPr>
        <w:t>2024年度</w:t>
      </w:r>
      <w:r>
        <w:rPr>
          <w:rFonts w:hint="eastAsia" w:ascii="黑体" w:hAnsi="黑体" w:eastAsia="黑体" w:cs="黑体"/>
          <w:b/>
          <w:bCs w:val="0"/>
          <w:sz w:val="28"/>
          <w:szCs w:val="28"/>
          <w:lang w:eastAsia="zh-CN"/>
        </w:rPr>
        <w:t>）</w:t>
      </w:r>
    </w:p>
    <w:p w14:paraId="707A8AE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12F97594">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6D5EFB3">
      <w:pPr>
        <w:pStyle w:val="6"/>
        <w:rPr>
          <w:rFonts w:hint="eastAsia" w:eastAsia="方正仿宋_GBK" w:cs="方正仿宋_GBK"/>
          <w:b/>
          <w:kern w:val="0"/>
          <w:sz w:val="32"/>
          <w:szCs w:val="32"/>
          <w:lang w:bidi="en-US"/>
        </w:rPr>
      </w:pPr>
    </w:p>
    <w:p w14:paraId="004EAF63">
      <w:pPr>
        <w:rPr>
          <w:rFonts w:hint="eastAsia" w:eastAsia="方正仿宋_GBK" w:cs="方正仿宋_GBK"/>
          <w:b/>
          <w:kern w:val="0"/>
          <w:sz w:val="32"/>
          <w:szCs w:val="32"/>
          <w:lang w:bidi="en-US"/>
        </w:rPr>
      </w:pPr>
    </w:p>
    <w:p w14:paraId="5F282A4F">
      <w:pPr>
        <w:pStyle w:val="6"/>
        <w:rPr>
          <w:rFonts w:hint="eastAsia"/>
        </w:rPr>
      </w:pPr>
    </w:p>
    <w:p w14:paraId="1BED95E3">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3AB5A982">
      <w:pPr>
        <w:pageBreakBefore w:val="0"/>
        <w:widowControl w:val="0"/>
        <w:kinsoku/>
        <w:wordWrap/>
        <w:topLinePunct w:val="0"/>
        <w:autoSpaceDE/>
        <w:autoSpaceDN/>
        <w:bidi w:val="0"/>
        <w:spacing w:line="560" w:lineRule="exact"/>
        <w:ind w:left="0" w:leftChars="0" w:firstLine="560"/>
        <w:textAlignment w:val="auto"/>
        <w:rPr>
          <w:rFonts w:hint="eastAsia"/>
        </w:rPr>
      </w:pPr>
    </w:p>
    <w:p w14:paraId="39D227E8">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74212E0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lang w:bidi="en-US"/>
        </w:rPr>
      </w:pPr>
      <w:r>
        <w:rPr>
          <w:rFonts w:hint="eastAsia" w:ascii="宋体" w:hAnsi="宋体" w:eastAsia="宋体" w:cs="宋体"/>
          <w:b/>
          <w:bCs/>
          <w:color w:val="auto"/>
          <w:kern w:val="0"/>
          <w:sz w:val="28"/>
          <w:szCs w:val="28"/>
          <w:lang w:bidi="en-US"/>
        </w:rPr>
        <w:t>项目名称：2021年中央农村综合改革转移支付资金项目</w:t>
      </w:r>
    </w:p>
    <w:p w14:paraId="41E3868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lang w:bidi="en-US"/>
        </w:rPr>
      </w:pPr>
      <w:r>
        <w:rPr>
          <w:rFonts w:hint="eastAsia" w:ascii="宋体" w:hAnsi="宋体" w:eastAsia="宋体" w:cs="宋体"/>
          <w:b/>
          <w:bCs/>
          <w:color w:val="auto"/>
          <w:kern w:val="0"/>
          <w:sz w:val="28"/>
          <w:szCs w:val="28"/>
          <w:lang w:bidi="en-US"/>
        </w:rPr>
        <w:t>项目单位：</w:t>
      </w:r>
      <w:r>
        <w:rPr>
          <w:rFonts w:hint="eastAsia" w:ascii="宋体" w:hAnsi="宋体" w:eastAsia="宋体" w:cs="宋体"/>
          <w:b/>
          <w:bCs/>
          <w:color w:val="auto"/>
          <w:kern w:val="0"/>
          <w:sz w:val="28"/>
          <w:szCs w:val="28"/>
          <w:lang w:eastAsia="zh-CN" w:bidi="en-US"/>
        </w:rPr>
        <w:t>洛浦县市场监督管理</w:t>
      </w:r>
      <w:r>
        <w:rPr>
          <w:rFonts w:hint="eastAsia" w:ascii="宋体" w:hAnsi="宋体" w:eastAsia="宋体" w:cs="宋体"/>
          <w:b/>
          <w:bCs/>
          <w:color w:val="auto"/>
          <w:kern w:val="0"/>
          <w:sz w:val="28"/>
          <w:szCs w:val="28"/>
          <w:lang w:bidi="en-US"/>
        </w:rPr>
        <w:t>局</w:t>
      </w:r>
    </w:p>
    <w:p w14:paraId="2893D59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rPr>
      </w:pPr>
      <w:r>
        <w:rPr>
          <w:rFonts w:hint="eastAsia" w:ascii="宋体" w:hAnsi="宋体" w:eastAsia="宋体" w:cs="宋体"/>
          <w:b/>
          <w:bCs/>
          <w:color w:val="auto"/>
          <w:kern w:val="0"/>
          <w:sz w:val="28"/>
          <w:szCs w:val="28"/>
          <w:lang w:bidi="en-US"/>
        </w:rPr>
        <w:t>主管部门：</w:t>
      </w:r>
      <w:r>
        <w:rPr>
          <w:rFonts w:hint="eastAsia" w:ascii="宋体" w:hAnsi="宋体" w:eastAsia="宋体" w:cs="宋体"/>
          <w:b/>
          <w:bCs/>
          <w:color w:val="auto"/>
          <w:kern w:val="0"/>
          <w:sz w:val="28"/>
          <w:szCs w:val="28"/>
          <w:lang w:eastAsia="zh-CN" w:bidi="en-US"/>
        </w:rPr>
        <w:t>洛浦县市场监督管理</w:t>
      </w:r>
      <w:r>
        <w:rPr>
          <w:rFonts w:hint="eastAsia" w:ascii="宋体" w:hAnsi="宋体" w:eastAsia="宋体" w:cs="宋体"/>
          <w:b/>
          <w:bCs/>
          <w:color w:val="auto"/>
          <w:kern w:val="0"/>
          <w:sz w:val="28"/>
          <w:szCs w:val="28"/>
          <w:lang w:bidi="en-US"/>
        </w:rPr>
        <w:t>局</w:t>
      </w:r>
    </w:p>
    <w:p w14:paraId="38DADE0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lang w:bidi="en-US"/>
        </w:rPr>
      </w:pPr>
      <w:r>
        <w:rPr>
          <w:rFonts w:hint="eastAsia" w:ascii="宋体" w:hAnsi="宋体" w:eastAsia="宋体" w:cs="宋体"/>
          <w:b/>
          <w:bCs/>
          <w:color w:val="auto"/>
          <w:kern w:val="0"/>
          <w:sz w:val="28"/>
          <w:szCs w:val="28"/>
          <w:lang w:bidi="en-US"/>
        </w:rPr>
        <w:t>项目负责人：热孜亚</w:t>
      </w:r>
    </w:p>
    <w:p w14:paraId="71754D8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lang w:bidi="en-US"/>
        </w:rPr>
      </w:pPr>
      <w:r>
        <w:rPr>
          <w:rFonts w:hint="eastAsia" w:ascii="宋体" w:hAnsi="宋体" w:eastAsia="宋体" w:cs="宋体"/>
          <w:b/>
          <w:bCs/>
          <w:color w:val="auto"/>
          <w:kern w:val="0"/>
          <w:sz w:val="28"/>
          <w:szCs w:val="28"/>
          <w:lang w:bidi="en-US"/>
        </w:rPr>
        <w:t>填报时间：</w:t>
      </w:r>
      <w:r>
        <w:rPr>
          <w:rFonts w:hint="eastAsia" w:ascii="宋体" w:hAnsi="宋体" w:eastAsia="宋体" w:cs="宋体"/>
          <w:b/>
          <w:bCs/>
          <w:color w:val="auto"/>
          <w:kern w:val="0"/>
          <w:sz w:val="28"/>
          <w:szCs w:val="28"/>
          <w:lang w:val="en-US" w:eastAsia="zh-CN" w:bidi="en-US"/>
        </w:rPr>
        <w:t>2025</w:t>
      </w:r>
      <w:r>
        <w:rPr>
          <w:rFonts w:hint="eastAsia" w:ascii="宋体" w:hAnsi="宋体" w:eastAsia="宋体" w:cs="宋体"/>
          <w:b/>
          <w:bCs/>
          <w:color w:val="auto"/>
          <w:kern w:val="0"/>
          <w:sz w:val="28"/>
          <w:szCs w:val="28"/>
          <w:lang w:bidi="en-US"/>
        </w:rPr>
        <w:t>年</w:t>
      </w:r>
      <w:r>
        <w:rPr>
          <w:rFonts w:hint="eastAsia" w:ascii="宋体" w:hAnsi="宋体" w:eastAsia="宋体" w:cs="宋体"/>
          <w:b/>
          <w:bCs/>
          <w:color w:val="auto"/>
          <w:kern w:val="0"/>
          <w:sz w:val="28"/>
          <w:szCs w:val="28"/>
          <w:lang w:val="en-US" w:eastAsia="zh-CN" w:bidi="en-US"/>
        </w:rPr>
        <w:t>3</w:t>
      </w:r>
      <w:r>
        <w:rPr>
          <w:rFonts w:hint="eastAsia" w:ascii="宋体" w:hAnsi="宋体" w:eastAsia="宋体" w:cs="宋体"/>
          <w:b/>
          <w:bCs/>
          <w:color w:val="auto"/>
          <w:kern w:val="0"/>
          <w:sz w:val="28"/>
          <w:szCs w:val="28"/>
          <w:lang w:bidi="en-US"/>
        </w:rPr>
        <w:t>月</w:t>
      </w:r>
      <w:r>
        <w:rPr>
          <w:rFonts w:hint="eastAsia" w:ascii="宋体" w:hAnsi="宋体" w:eastAsia="宋体" w:cs="宋体"/>
          <w:b/>
          <w:bCs/>
          <w:color w:val="auto"/>
          <w:kern w:val="0"/>
          <w:sz w:val="28"/>
          <w:szCs w:val="28"/>
          <w:lang w:val="en-US" w:eastAsia="zh-CN" w:bidi="en-US"/>
        </w:rPr>
        <w:t>18</w:t>
      </w:r>
      <w:r>
        <w:rPr>
          <w:rFonts w:hint="eastAsia" w:ascii="宋体" w:hAnsi="宋体" w:eastAsia="宋体" w:cs="宋体"/>
          <w:b/>
          <w:bCs/>
          <w:color w:val="auto"/>
          <w:kern w:val="0"/>
          <w:sz w:val="28"/>
          <w:szCs w:val="28"/>
          <w:lang w:bidi="en-US"/>
        </w:rPr>
        <w:t>日</w:t>
      </w:r>
    </w:p>
    <w:p w14:paraId="48009081">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E4B8562">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79BEF89C">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09D1401C">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1.项目背景</w:t>
      </w:r>
    </w:p>
    <w:p w14:paraId="792BE4D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lang w:val="en-US" w:eastAsia="zh-CN"/>
        </w:rPr>
        <w:t>洛浦县农贸市场建设项目是我县的惠民生项目，为更加完善齐全农贸市场各项功能区域和最大化利用发展壮大村集体经济资金，有效解决农牧民农业生产所需物资交易提供场所顺畅，同时壮大村集体经济收入，农贸市场建设项目与壮大村集体经济资金项目合建实施。</w:t>
      </w:r>
    </w:p>
    <w:p w14:paraId="49F4542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5845ED1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74DE1769">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关于提前下达2021年中央农村综合改革转移支付预算（项目部分)的通知》（和地财农【2020】69号）实施此项目，项目主要内容为：保障农贸市场建设项目工程款，通过项目实施，有利于加快农产品流通，促进农村经济发展，完善农贸市场服务，保障政府公信力。</w:t>
      </w:r>
    </w:p>
    <w:p w14:paraId="06F52F8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2D59B8E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745399FA">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本项目主管部门为洛浦县市场监督管理局，实施单位为洛浦县市场监督管理局。</w:t>
      </w:r>
    </w:p>
    <w:p w14:paraId="1D6FB9F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68766A87">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2024年1月-2024年12月</w:t>
      </w:r>
    </w:p>
    <w:p w14:paraId="099E3A2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114BE2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本项</w:t>
      </w:r>
      <w:r>
        <w:rPr>
          <w:rFonts w:hint="eastAsia" w:ascii="宋体" w:hAnsi="宋体" w:eastAsia="宋体" w:cs="宋体"/>
          <w:color w:val="auto"/>
          <w:sz w:val="24"/>
          <w:szCs w:val="24"/>
          <w:lang w:val="en-US" w:eastAsia="zh-CN"/>
        </w:rPr>
        <w:t>目</w:t>
      </w:r>
      <w:r>
        <w:rPr>
          <w:rFonts w:hint="default" w:ascii="宋体" w:hAnsi="宋体" w:eastAsia="宋体" w:cs="宋体"/>
          <w:color w:val="auto"/>
          <w:sz w:val="24"/>
          <w:szCs w:val="24"/>
          <w:lang w:val="en-US" w:eastAsia="zh-CN"/>
        </w:rPr>
        <w:t>截止2024年12月31日已实施完毕，已</w:t>
      </w:r>
      <w:r>
        <w:rPr>
          <w:rFonts w:hint="eastAsia" w:ascii="宋体" w:hAnsi="宋体" w:eastAsia="宋体" w:cs="宋体"/>
          <w:color w:val="auto"/>
          <w:sz w:val="24"/>
          <w:szCs w:val="24"/>
          <w:lang w:val="en-US" w:eastAsia="zh-CN"/>
        </w:rPr>
        <w:t>向农贸市场建设项目施工单位：新疆高顺建设工程有限公司</w:t>
      </w:r>
      <w:r>
        <w:rPr>
          <w:rFonts w:hint="default" w:ascii="宋体" w:hAnsi="宋体" w:eastAsia="宋体" w:cs="宋体"/>
          <w:color w:val="auto"/>
          <w:sz w:val="24"/>
          <w:szCs w:val="24"/>
          <w:lang w:val="en-US" w:eastAsia="zh-CN"/>
        </w:rPr>
        <w:t>支付</w:t>
      </w:r>
      <w:r>
        <w:rPr>
          <w:rFonts w:hint="eastAsia" w:ascii="宋体" w:hAnsi="宋体" w:eastAsia="宋体" w:cs="宋体"/>
          <w:color w:val="auto"/>
          <w:sz w:val="24"/>
          <w:szCs w:val="24"/>
          <w:lang w:val="en-US" w:eastAsia="zh-CN"/>
        </w:rPr>
        <w:t>工程款</w:t>
      </w:r>
      <w:r>
        <w:rPr>
          <w:rFonts w:hint="default" w:ascii="宋体" w:hAnsi="宋体" w:eastAsia="宋体" w:cs="宋体"/>
          <w:color w:val="auto"/>
          <w:sz w:val="24"/>
          <w:szCs w:val="24"/>
          <w:lang w:val="en-US" w:eastAsia="zh-CN"/>
        </w:rPr>
        <w:t>400万元。项目已完成的主要内容是保障了农贸市场建设项目工程款；通过项目实施，加快了农产品流通，促进了农村经济发展，完善了农贸市场服务，保障了政府公信力。项目受益群众满意度达到了95%以上。</w:t>
      </w:r>
    </w:p>
    <w:p w14:paraId="7CFFD05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02DB7CD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6D5312E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本项目预算安排总额为</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万元，资金来源为部门预算（中央专项资金），其中：财政资金</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含自有资金、社会资金及以前年度结转结余资金）0</w:t>
      </w:r>
      <w:r>
        <w:rPr>
          <w:rFonts w:hint="eastAsia" w:ascii="宋体" w:hAnsi="宋体" w:eastAsia="宋体" w:cs="宋体"/>
          <w:color w:val="000000"/>
          <w:sz w:val="24"/>
          <w:szCs w:val="24"/>
          <w:highlight w:val="none"/>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年实际收到预算资金</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6284B32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C5FCEC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本项目实际支付资金</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万元，预算执行率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%。本项目资金主要用于支付</w:t>
      </w:r>
      <w:r>
        <w:rPr>
          <w:rFonts w:hint="eastAsia" w:ascii="宋体" w:hAnsi="宋体" w:eastAsia="宋体" w:cs="宋体"/>
          <w:color w:val="000000"/>
          <w:sz w:val="24"/>
          <w:szCs w:val="24"/>
          <w:highlight w:val="none"/>
          <w:lang w:eastAsia="zh-CN"/>
        </w:rPr>
        <w:t>基础设施建设工程</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w:t>
      </w:r>
    </w:p>
    <w:p w14:paraId="4135B99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73E8073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411A5150">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082FB1D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根据《关于提前下达2021年中央农村综合改革转移支付预算（项目部分)的通知》（和地财农【2020】69号）实施此项目，项目主要内容为：保障农贸市场建设项目工程款，通过项目实施，有利于加快农产品流通，促进农村经济发展，完善农贸市场服务，保障政府公信力。</w:t>
      </w:r>
    </w:p>
    <w:p w14:paraId="2D0FD209">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0DD0CF9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27884B4C">
      <w:pPr>
        <w:pStyle w:val="46"/>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1FA4EC3">
      <w:pPr>
        <w:pStyle w:val="46"/>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67CA1B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指标1：保障项目数量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=1个</w:t>
      </w:r>
      <w:r>
        <w:rPr>
          <w:rFonts w:hint="eastAsia" w:ascii="宋体" w:hAnsi="宋体" w:eastAsia="宋体" w:cs="宋体"/>
          <w:color w:val="auto"/>
          <w:sz w:val="24"/>
          <w:szCs w:val="24"/>
        </w:rPr>
        <w:t>；</w:t>
      </w:r>
    </w:p>
    <w:p w14:paraId="4032E46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04F95886">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01CE33F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3）时效指标：</w:t>
      </w:r>
    </w:p>
    <w:p w14:paraId="347C67DA">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2024年5月</w:t>
      </w:r>
      <w:r>
        <w:rPr>
          <w:rFonts w:hint="eastAsia" w:ascii="宋体" w:hAnsi="宋体" w:eastAsia="宋体" w:cs="宋体"/>
          <w:color w:val="auto"/>
          <w:sz w:val="24"/>
          <w:szCs w:val="24"/>
        </w:rPr>
        <w:t>；</w:t>
      </w:r>
    </w:p>
    <w:p w14:paraId="1AC857CB">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15D76AC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（2）成本指标：</w:t>
      </w:r>
    </w:p>
    <w:p w14:paraId="08F083B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2A2B676C">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指标1：工程款标准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≤400万元</w:t>
      </w:r>
      <w:r>
        <w:rPr>
          <w:rFonts w:hint="eastAsia" w:ascii="宋体" w:hAnsi="宋体" w:eastAsia="宋体" w:cs="宋体"/>
          <w:color w:val="auto"/>
          <w:sz w:val="24"/>
          <w:szCs w:val="24"/>
        </w:rPr>
        <w:t>；</w:t>
      </w:r>
    </w:p>
    <w:p w14:paraId="2964D61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2）社会成本指标：</w:t>
      </w:r>
    </w:p>
    <w:p w14:paraId="0742FC1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该项目无社会成本指标；</w:t>
      </w:r>
    </w:p>
    <w:p w14:paraId="44D1DC1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3）生态成本指标;</w:t>
      </w:r>
    </w:p>
    <w:p w14:paraId="2C4D9A9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该项目无生态成本指标；</w:t>
      </w:r>
    </w:p>
    <w:p w14:paraId="0CBF6BD7">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（3）效益指标：</w:t>
      </w:r>
    </w:p>
    <w:p w14:paraId="093D1DE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1）经济效益指标：</w:t>
      </w:r>
    </w:p>
    <w:p w14:paraId="2609801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该项目无经济效益指标；</w:t>
      </w:r>
    </w:p>
    <w:p w14:paraId="31967A5D">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）社会效益指标：</w:t>
      </w:r>
    </w:p>
    <w:p w14:paraId="4C5F4C37">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指标1：完善农贸市场服务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效果显著</w:t>
      </w:r>
      <w:r>
        <w:rPr>
          <w:rFonts w:hint="eastAsia" w:ascii="宋体" w:hAnsi="宋体" w:eastAsia="宋体" w:cs="宋体"/>
          <w:color w:val="auto"/>
          <w:sz w:val="24"/>
          <w:szCs w:val="24"/>
        </w:rPr>
        <w:t>；</w:t>
      </w:r>
    </w:p>
    <w:p w14:paraId="0B6A04D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3）生态效益指标：</w:t>
      </w:r>
    </w:p>
    <w:p w14:paraId="37FE61E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该项目无生态效益指标；</w:t>
      </w:r>
    </w:p>
    <w:p w14:paraId="6B2F814C">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3FAE7269">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指标1：受益群众满意度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≥95%。</w:t>
      </w:r>
    </w:p>
    <w:p w14:paraId="5248885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2E5A6ED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40FA85E1">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7AC5744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定，对2021年中央农村综合改革转移支付资金项目开展本次部门项目支出绩效评价工作。全面了解</w:t>
      </w:r>
      <w:r>
        <w:rPr>
          <w:rFonts w:hint="eastAsia" w:ascii="宋体" w:hAnsi="宋体" w:eastAsia="宋体" w:cs="宋体"/>
          <w:color w:val="auto"/>
          <w:sz w:val="24"/>
          <w:szCs w:val="24"/>
          <w:lang w:val="en-US" w:eastAsia="zh-CN"/>
        </w:rPr>
        <w:t>2021年中央农村综合改革转移支付资金</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089FC9F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F02F47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E87430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48BC63C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5DBFA8C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2021年中央农村综合改革转移支付资金</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12A9253">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0D292C48">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2021年中央农村综合改革转移支付资金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1ADFA36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5B77B55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412FCFD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5F4A64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2C51F1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5CAEDC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2E9C8E5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61E2D0E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6544690A">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2C1ADD1A">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281C1EE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4BEE432">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3DF050D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1EFE33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4403FBD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DA6721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24BD35A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34A6A08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7671D06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265D8EC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39DCE0B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64E70C4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C82D460">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6EFD27E7">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09AC6A6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3B52E2A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428395DF">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0A9EE50D">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53D13C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2C36FE1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11906BDF">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w:t>
      </w:r>
      <w:r>
        <w:rPr>
          <w:rFonts w:hint="eastAsia" w:ascii="宋体" w:hAnsi="宋体" w:eastAsia="宋体" w:cs="宋体"/>
          <w:color w:val="auto"/>
          <w:sz w:val="24"/>
          <w:szCs w:val="24"/>
        </w:rPr>
        <w:t>。本次评价主要采用了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05F80A31">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5DD50080">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9" w:name="_Toc2318"/>
      <w:bookmarkStart w:id="10"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6EA2A9B2">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1" w:name="_Toc16028"/>
      <w:bookmarkStart w:id="12" w:name="_Toc430"/>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1"/>
      <w:bookmarkEnd w:id="12"/>
    </w:p>
    <w:p w14:paraId="6F80D1FA">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44CFEF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3" w:name="_Toc68364664"/>
      <w:r>
        <w:rPr>
          <w:rFonts w:hint="eastAsia" w:ascii="宋体" w:hAnsi="宋体" w:eastAsia="宋体" w:cs="宋体"/>
          <w:b/>
          <w:bCs/>
          <w:color w:val="000000"/>
          <w:sz w:val="24"/>
          <w:szCs w:val="24"/>
          <w:highlight w:val="none"/>
        </w:rPr>
        <w:t>1.前期准备</w:t>
      </w:r>
    </w:p>
    <w:p w14:paraId="0F38FB6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B91B25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阿勒腾古丽</w:t>
      </w:r>
      <w:r>
        <w:rPr>
          <w:rFonts w:hint="eastAsia" w:ascii="宋体" w:hAnsi="宋体" w:eastAsia="宋体" w:cs="宋体"/>
          <w:color w:val="auto"/>
          <w:sz w:val="24"/>
          <w:szCs w:val="24"/>
        </w:rPr>
        <w:t>（评价小组组长）：主要负责</w:t>
      </w:r>
      <w:r>
        <w:rPr>
          <w:rFonts w:hint="eastAsia"/>
          <w:b w:val="0"/>
          <w:bCs w:val="0"/>
          <w:color w:val="auto"/>
          <w:lang w:val="en-US" w:eastAsia="zh-CN"/>
        </w:rPr>
        <w:t>组织安排绩效评价工作</w:t>
      </w:r>
      <w:r>
        <w:rPr>
          <w:rFonts w:hint="eastAsia" w:ascii="宋体" w:hAnsi="宋体" w:eastAsia="宋体" w:cs="宋体"/>
          <w:color w:val="auto"/>
          <w:sz w:val="24"/>
          <w:szCs w:val="24"/>
        </w:rPr>
        <w:t>;</w:t>
      </w:r>
    </w:p>
    <w:p w14:paraId="35652C9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热孜亚</w:t>
      </w:r>
      <w:r>
        <w:rPr>
          <w:rFonts w:hint="eastAsia" w:ascii="宋体" w:hAnsi="宋体" w:eastAsia="宋体" w:cs="宋体"/>
          <w:color w:val="auto"/>
          <w:sz w:val="24"/>
          <w:szCs w:val="24"/>
        </w:rPr>
        <w:t>（评价小组组员）：主要负责</w:t>
      </w:r>
      <w:r>
        <w:rPr>
          <w:rFonts w:hint="eastAsia"/>
          <w:b w:val="0"/>
          <w:bCs w:val="0"/>
          <w:color w:val="auto"/>
          <w:lang w:val="en-US" w:eastAsia="zh-CN"/>
        </w:rPr>
        <w:t>资料整理及信息汇总工作</w:t>
      </w:r>
      <w:r>
        <w:rPr>
          <w:rFonts w:hint="eastAsia" w:ascii="宋体" w:hAnsi="宋体" w:eastAsia="宋体" w:cs="宋体"/>
          <w:color w:val="auto"/>
          <w:sz w:val="24"/>
          <w:szCs w:val="24"/>
        </w:rPr>
        <w:t>;</w:t>
      </w:r>
    </w:p>
    <w:p w14:paraId="30623F1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娜则古丽</w:t>
      </w:r>
      <w:r>
        <w:rPr>
          <w:rFonts w:hint="eastAsia" w:ascii="宋体" w:hAnsi="宋体" w:eastAsia="宋体" w:cs="宋体"/>
          <w:color w:val="auto"/>
          <w:sz w:val="24"/>
          <w:szCs w:val="24"/>
        </w:rPr>
        <w:t>（评价小组</w:t>
      </w:r>
      <w:r>
        <w:rPr>
          <w:rFonts w:hint="eastAsia" w:ascii="宋体" w:hAnsi="宋体" w:eastAsia="宋体" w:cs="宋体"/>
          <w:sz w:val="24"/>
          <w:szCs w:val="24"/>
        </w:rPr>
        <w:t>组员）：主要负责</w:t>
      </w:r>
      <w:r>
        <w:rPr>
          <w:rFonts w:hint="eastAsia"/>
          <w:b w:val="0"/>
          <w:bCs w:val="0"/>
          <w:lang w:val="en-US" w:eastAsia="zh-CN"/>
        </w:rPr>
        <w:t>出具项目绩效评价报告</w:t>
      </w:r>
      <w:r>
        <w:rPr>
          <w:rFonts w:hint="eastAsia" w:ascii="宋体" w:hAnsi="宋体" w:eastAsia="宋体" w:cs="宋体"/>
          <w:color w:val="FF0000"/>
          <w:sz w:val="24"/>
          <w:szCs w:val="24"/>
        </w:rPr>
        <w:t>。</w:t>
      </w:r>
    </w:p>
    <w:p w14:paraId="2E01CBA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4D606B6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0C7E777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08F01F0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2F9BB87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096354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45FA793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64C1B5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BB660E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6B350D6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57F5EAA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3"/>
    </w:p>
    <w:p w14:paraId="25C9088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4" w:name="_Toc68364665"/>
      <w:r>
        <w:rPr>
          <w:rFonts w:hint="eastAsia" w:ascii="宋体" w:hAnsi="宋体" w:eastAsia="宋体" w:cs="宋体"/>
          <w:sz w:val="24"/>
          <w:szCs w:val="24"/>
        </w:rPr>
        <w:t>（一）综合评价情况</w:t>
      </w:r>
      <w:bookmarkEnd w:id="14"/>
    </w:p>
    <w:p w14:paraId="5EBCA038">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通过实施2021年中央农村综合改革转移支付资金项目产生完善农贸市场服务</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效益。项目实施主要通过项目决策、项目过程、项目产出以及项目效益等方面进行评价，其中：</w:t>
      </w:r>
    </w:p>
    <w:p w14:paraId="3F30CE5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项目决策：该项目主要通过《关于提前下达2021年中央农村综合改革转移支付预算（项目部分)的通知》（和地财农【2020】69号）文件立项，项目实施符合</w:t>
      </w:r>
      <w:r>
        <w:rPr>
          <w:rFonts w:hint="eastAsia" w:ascii="宋体" w:hAnsi="宋体" w:eastAsia="宋体" w:cs="宋体"/>
          <w:color w:val="auto"/>
          <w:sz w:val="24"/>
          <w:szCs w:val="24"/>
          <w:lang w:eastAsia="zh-CN"/>
        </w:rPr>
        <w:t>立项文件</w:t>
      </w:r>
      <w:r>
        <w:rPr>
          <w:rFonts w:hint="eastAsia" w:ascii="宋体" w:hAnsi="宋体" w:eastAsia="宋体" w:cs="宋体"/>
          <w:color w:val="auto"/>
          <w:sz w:val="24"/>
          <w:szCs w:val="24"/>
        </w:rPr>
        <w:t>要求，项目立项依据充分，立项程序规范。</w:t>
      </w:r>
    </w:p>
    <w:p w14:paraId="6A92ECB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项目过程：2021年中央农村综合改革转移支付资金项目预算安排</w:t>
      </w:r>
      <w:r>
        <w:rPr>
          <w:rFonts w:hint="eastAsia" w:ascii="宋体" w:hAnsi="宋体" w:eastAsia="宋体" w:cs="宋体"/>
          <w:color w:val="auto"/>
          <w:sz w:val="24"/>
          <w:szCs w:val="24"/>
          <w:lang w:val="en-US" w:eastAsia="zh-CN"/>
        </w:rPr>
        <w:t>400</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400</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400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4D09009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项目产出：项目保障了农贸市场建设项目工程款</w:t>
      </w:r>
      <w:r>
        <w:rPr>
          <w:rFonts w:hint="eastAsia" w:ascii="宋体" w:hAnsi="宋体" w:eastAsia="宋体" w:cs="宋体"/>
          <w:color w:val="auto"/>
          <w:sz w:val="24"/>
          <w:szCs w:val="24"/>
          <w:lang w:val="en-US" w:eastAsia="zh-CN"/>
        </w:rPr>
        <w:t>。</w:t>
      </w:r>
    </w:p>
    <w:p w14:paraId="41EAD6BA">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项目效益：通过实施此项目产生加快农产品流通，促进农村经济发展，完善农贸市场服务，保障政府公信力</w:t>
      </w:r>
      <w:r>
        <w:rPr>
          <w:rFonts w:hint="eastAsia" w:ascii="宋体" w:hAnsi="宋体" w:eastAsia="宋体" w:cs="宋体"/>
          <w:color w:val="auto"/>
          <w:sz w:val="24"/>
          <w:szCs w:val="24"/>
          <w:lang w:eastAsia="zh-CN"/>
        </w:rPr>
        <w:t>的</w:t>
      </w:r>
      <w:r>
        <w:rPr>
          <w:rFonts w:hint="eastAsia" w:ascii="宋体" w:hAnsi="宋体" w:eastAsia="宋体" w:cs="宋体"/>
          <w:color w:val="auto"/>
          <w:sz w:val="24"/>
          <w:szCs w:val="24"/>
        </w:rPr>
        <w:t>效益</w:t>
      </w:r>
      <w:r>
        <w:rPr>
          <w:rFonts w:hint="eastAsia" w:ascii="宋体" w:hAnsi="宋体" w:eastAsia="宋体" w:cs="宋体"/>
          <w:color w:val="auto"/>
          <w:sz w:val="24"/>
          <w:szCs w:val="24"/>
          <w:lang w:val="en-US" w:eastAsia="zh-CN"/>
        </w:rPr>
        <w:t>。</w:t>
      </w:r>
    </w:p>
    <w:p w14:paraId="1ADE71F3">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289E1B44">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w:t>
      </w:r>
      <w:r>
        <w:rPr>
          <w:rFonts w:hint="eastAsia" w:ascii="宋体" w:hAnsi="宋体" w:eastAsia="宋体" w:cs="宋体"/>
          <w:color w:val="auto"/>
          <w:sz w:val="24"/>
          <w:szCs w:val="24"/>
        </w:rPr>
        <w:t>以下为“差”。经对2021年中央农村综合改革转移支付资金项目进行</w:t>
      </w:r>
      <w:r>
        <w:rPr>
          <w:rFonts w:hint="eastAsia" w:ascii="宋体" w:hAnsi="宋体" w:eastAsia="宋体" w:cs="宋体"/>
          <w:color w:val="333333"/>
          <w:sz w:val="24"/>
          <w:szCs w:val="24"/>
        </w:rPr>
        <w:t>客观评</w:t>
      </w:r>
      <w:r>
        <w:rPr>
          <w:rFonts w:hint="eastAsia" w:ascii="宋体" w:hAnsi="宋体" w:eastAsia="宋体" w:cs="宋体"/>
          <w:color w:val="auto"/>
          <w:sz w:val="24"/>
          <w:szCs w:val="24"/>
        </w:rPr>
        <w:t>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15"/>
      <w:bookmarkStart w:id="16" w:name="_Toc68364667"/>
    </w:p>
    <w:p w14:paraId="37BC6866">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6"/>
    </w:p>
    <w:p w14:paraId="200BFCFE">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7" w:name="_Toc68364668"/>
      <w:r>
        <w:rPr>
          <w:rFonts w:hint="eastAsia" w:ascii="宋体" w:hAnsi="宋体" w:eastAsia="宋体" w:cs="宋体"/>
          <w:sz w:val="24"/>
          <w:szCs w:val="24"/>
        </w:rPr>
        <w:t>（一）项目决策情况</w:t>
      </w:r>
    </w:p>
    <w:p w14:paraId="33668F64">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w:t>
      </w:r>
      <w:r>
        <w:rPr>
          <w:rFonts w:hint="eastAsia" w:ascii="宋体" w:hAnsi="宋体" w:eastAsia="宋体" w:cs="宋体"/>
          <w:color w:val="auto"/>
          <w:sz w:val="24"/>
          <w:szCs w:val="24"/>
        </w:rPr>
        <w:t>标包括项目立项、绩效目标和资金投入三方面的内容，由</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5597A37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33E0F8A8">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本项目立项符合《关于提前下达2021年中央农村综合改革转移支付预算（项目部分)的通知》（和地财农【2020】69号）</w:t>
      </w:r>
      <w:r>
        <w:rPr>
          <w:rFonts w:hint="eastAsia" w:ascii="宋体" w:hAnsi="宋体" w:eastAsia="宋体" w:cs="宋体"/>
          <w:sz w:val="24"/>
          <w:szCs w:val="24"/>
          <w:lang w:eastAsia="zh-CN"/>
        </w:rPr>
        <w:t>文件</w:t>
      </w:r>
      <w:r>
        <w:rPr>
          <w:rFonts w:hint="eastAsia" w:ascii="宋体" w:hAnsi="宋体" w:eastAsia="宋体" w:cs="宋体"/>
          <w:sz w:val="24"/>
          <w:szCs w:val="24"/>
        </w:rPr>
        <w:t>；本项目立项符合《</w:t>
      </w:r>
      <w:r>
        <w:rPr>
          <w:rFonts w:hint="eastAsia" w:ascii="宋体" w:hAnsi="宋体" w:eastAsia="宋体" w:cs="宋体"/>
          <w:sz w:val="24"/>
          <w:szCs w:val="24"/>
          <w:lang w:eastAsia="zh-CN"/>
        </w:rPr>
        <w:t>关于壮大村集体经济资金项目与农贸市场建设项目合建实施的批复</w:t>
      </w:r>
      <w:r>
        <w:rPr>
          <w:rFonts w:hint="eastAsia" w:ascii="宋体" w:hAnsi="宋体" w:eastAsia="宋体" w:cs="宋体"/>
          <w:sz w:val="24"/>
          <w:szCs w:val="24"/>
        </w:rPr>
        <w:t>》</w:t>
      </w:r>
      <w:r>
        <w:rPr>
          <w:rFonts w:hint="eastAsia" w:ascii="宋体" w:hAnsi="宋体" w:eastAsia="宋体" w:cs="宋体"/>
          <w:sz w:val="24"/>
          <w:szCs w:val="24"/>
          <w:lang w:eastAsia="zh-CN"/>
        </w:rPr>
        <w:t>（洛发改项目【</w:t>
      </w:r>
      <w:r>
        <w:rPr>
          <w:rFonts w:hint="eastAsia" w:ascii="宋体" w:hAnsi="宋体" w:eastAsia="宋体" w:cs="宋体"/>
          <w:sz w:val="24"/>
          <w:szCs w:val="24"/>
          <w:lang w:val="en-US" w:eastAsia="zh-CN"/>
        </w:rPr>
        <w:t>2021】172号</w:t>
      </w:r>
      <w:r>
        <w:rPr>
          <w:rFonts w:hint="eastAsia" w:ascii="宋体" w:hAnsi="宋体" w:eastAsia="宋体" w:cs="宋体"/>
          <w:sz w:val="24"/>
          <w:szCs w:val="24"/>
        </w:rPr>
        <w:t>中：“</w:t>
      </w:r>
      <w:r>
        <w:rPr>
          <w:rFonts w:hint="eastAsia" w:ascii="宋体" w:hAnsi="宋体" w:eastAsia="宋体" w:cs="宋体"/>
          <w:sz w:val="24"/>
          <w:szCs w:val="24"/>
          <w:lang w:eastAsia="zh-CN"/>
        </w:rPr>
        <w:t>为更好的完善齐全农贸市场各项功能区域和最大化利用发展壮大村集体经济资金，有效解决农牧民农业生产所需物资交易提供场所顺畅，同时壮大村集体收入</w:t>
      </w:r>
      <w:r>
        <w:rPr>
          <w:rFonts w:hint="eastAsia" w:ascii="宋体" w:hAnsi="宋体" w:eastAsia="宋体" w:cs="宋体"/>
          <w:sz w:val="24"/>
          <w:szCs w:val="24"/>
        </w:rPr>
        <w:t>”内容，符合行业发展规划和政策要求；本项目立项符合《</w:t>
      </w:r>
      <w:r>
        <w:rPr>
          <w:rFonts w:hint="eastAsia" w:ascii="宋体" w:hAnsi="宋体" w:eastAsia="宋体" w:cs="宋体"/>
          <w:sz w:val="24"/>
          <w:szCs w:val="24"/>
          <w:lang w:eastAsia="zh-CN"/>
        </w:rPr>
        <w:t>洛浦县市场监督管理局</w:t>
      </w:r>
      <w:r>
        <w:rPr>
          <w:rFonts w:hint="eastAsia" w:ascii="宋体" w:hAnsi="宋体" w:eastAsia="宋体" w:cs="宋体"/>
          <w:sz w:val="24"/>
          <w:szCs w:val="24"/>
        </w:rPr>
        <w:t>单位配置内设机构和人员编制规定》中职责范围中的“负责市场综合监督管理</w:t>
      </w:r>
      <w:r>
        <w:rPr>
          <w:rFonts w:hint="eastAsia" w:ascii="宋体" w:hAnsi="宋体" w:eastAsia="宋体" w:cs="宋体"/>
          <w:sz w:val="24"/>
          <w:szCs w:val="24"/>
          <w:lang w:eastAsia="zh-CN"/>
        </w:rPr>
        <w:t>，</w:t>
      </w:r>
      <w:r>
        <w:rPr>
          <w:rFonts w:hint="eastAsia" w:ascii="宋体" w:hAnsi="宋体" w:eastAsia="宋体" w:cs="宋体"/>
          <w:sz w:val="24"/>
          <w:szCs w:val="24"/>
        </w:rPr>
        <w:t>组织实施有关规划，规范和维护市场秩序，营造诚实守信、公平竞争的市场环境”</w:t>
      </w:r>
      <w:r>
        <w:rPr>
          <w:rFonts w:hint="eastAsia" w:ascii="宋体" w:hAnsi="宋体" w:eastAsia="宋体" w:cs="宋体"/>
          <w:sz w:val="24"/>
          <w:szCs w:val="24"/>
          <w:lang w:eastAsia="zh-CN"/>
        </w:rPr>
        <w:t>，</w:t>
      </w:r>
      <w:r>
        <w:rPr>
          <w:rFonts w:hint="eastAsia" w:ascii="宋体" w:hAnsi="宋体" w:eastAsia="宋体" w:cs="宋体"/>
          <w:sz w:val="24"/>
          <w:szCs w:val="24"/>
        </w:rPr>
        <w:t>属于我单位履职所需；根据《财政资金直接支付申请书》，本项目资金性质为“公共财政预算”功能分类为“</w:t>
      </w:r>
      <w:r>
        <w:rPr>
          <w:rFonts w:hint="eastAsia" w:ascii="宋体" w:hAnsi="宋体" w:eastAsia="宋体" w:cs="宋体"/>
          <w:sz w:val="24"/>
          <w:szCs w:val="24"/>
          <w:lang w:val="en-US" w:eastAsia="zh-CN"/>
        </w:rPr>
        <w:t>[2130706]对村集体经济组织的补助</w:t>
      </w:r>
      <w:r>
        <w:rPr>
          <w:rFonts w:hint="eastAsia" w:ascii="宋体" w:hAnsi="宋体" w:eastAsia="宋体" w:cs="宋体"/>
          <w:sz w:val="24"/>
          <w:szCs w:val="24"/>
        </w:rPr>
        <w:t>”经济分类为“</w:t>
      </w:r>
      <w:r>
        <w:rPr>
          <w:rFonts w:hint="eastAsia" w:ascii="宋体" w:hAnsi="宋体" w:eastAsia="宋体" w:cs="宋体"/>
          <w:sz w:val="24"/>
          <w:szCs w:val="24"/>
          <w:lang w:eastAsia="zh-CN"/>
        </w:rPr>
        <w:t>基础设施建设</w:t>
      </w:r>
      <w:r>
        <w:rPr>
          <w:rFonts w:hint="eastAsia" w:ascii="宋体" w:hAnsi="宋体" w:eastAsia="宋体" w:cs="宋体"/>
          <w:sz w:val="24"/>
          <w:szCs w:val="24"/>
        </w:rPr>
        <w:t>”属于公共财政支持范围，符合中央、地方事权支出责任划分原则；经检查我单位财政应用平台指标，本项目不存在重复。</w:t>
      </w:r>
    </w:p>
    <w:p w14:paraId="665B7CA3">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综上所述，本指标满分为</w:t>
      </w:r>
      <w:r>
        <w:rPr>
          <w:rFonts w:hint="eastAsia" w:ascii="宋体" w:hAnsi="宋体" w:eastAsia="宋体" w:cs="宋体"/>
          <w:sz w:val="24"/>
          <w:szCs w:val="24"/>
          <w:lang w:val="en-US" w:eastAsia="zh-CN"/>
        </w:rPr>
        <w:t>2</w:t>
      </w:r>
      <w:r>
        <w:rPr>
          <w:rFonts w:hint="eastAsia" w:ascii="宋体" w:hAnsi="宋体" w:eastAsia="宋体" w:cs="宋体"/>
          <w:sz w:val="24"/>
          <w:szCs w:val="24"/>
        </w:rPr>
        <w:t>分，根据评分标准得</w:t>
      </w:r>
      <w:r>
        <w:rPr>
          <w:rFonts w:hint="eastAsia" w:ascii="宋体" w:hAnsi="宋体" w:eastAsia="宋体" w:cs="宋体"/>
          <w:sz w:val="24"/>
          <w:szCs w:val="24"/>
          <w:lang w:val="en-US" w:eastAsia="zh-CN"/>
        </w:rPr>
        <w:t>2</w:t>
      </w:r>
      <w:r>
        <w:rPr>
          <w:rFonts w:hint="eastAsia" w:ascii="宋体" w:hAnsi="宋体" w:eastAsia="宋体" w:cs="宋体"/>
          <w:sz w:val="24"/>
          <w:szCs w:val="24"/>
        </w:rPr>
        <w:t>分，本项目立项依据充分。</w:t>
      </w:r>
    </w:p>
    <w:p w14:paraId="7D54EFA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448E729A">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本项目按照规定的程序申请设立，</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400</w:t>
      </w:r>
      <w:r>
        <w:rPr>
          <w:rFonts w:hint="eastAsia" w:ascii="宋体" w:hAnsi="宋体" w:eastAsia="宋体" w:cs="宋体"/>
          <w:color w:val="auto"/>
          <w:sz w:val="24"/>
          <w:szCs w:val="24"/>
          <w:highlight w:val="none"/>
        </w:rPr>
        <w:t>万元，不涉及事前绩效评估和风险评估。</w:t>
      </w:r>
    </w:p>
    <w:p w14:paraId="0B881DA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0C7432F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349ED80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关于提前下达2021年中央农村综合改革转移支付预算（项目部分)的通知》（和地财农【2020】69号）实施此项目，项目主要内容为：保障农贸市场建设项目工程款，通过项目实施，有利于加快农产品流通，促进农村经济发展，完善农贸市场服务，保障政府公信力</w:t>
      </w:r>
      <w:r>
        <w:rPr>
          <w:rFonts w:hint="eastAsia" w:ascii="宋体" w:hAnsi="宋体" w:eastAsia="宋体" w:cs="宋体"/>
          <w:color w:val="auto"/>
          <w:sz w:val="24"/>
          <w:szCs w:val="24"/>
          <w:highlight w:val="none"/>
        </w:rPr>
        <w:t>。</w:t>
      </w:r>
    </w:p>
    <w:p w14:paraId="34E84DA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73CB5F7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2499C6A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2021年中央农村综合改革转移支付资金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p>
    <w:p w14:paraId="4525136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该《2021年中央农村综合改革转移支付资金项目绩效目标申报表》中，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保障项目数量</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，三级指标的年度指标值与年度绩效目标中任务数一致，已设置时效指标“项目完成时间、资金支付及时率”。已设置的绩效目标具备明确性、可衡量性、可实现性、相关性、时限性。</w:t>
      </w:r>
    </w:p>
    <w:p w14:paraId="6804F90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836B43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47D0250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根据《关于提前下达2021年中央农村综合改革转移支付预算（项目部分)的通知》（和地财农【2020】69号）实施此项目，项目主要内容为：保障农贸市场建设项目工程款，通过项目实施，有利于加快农产品流通，促进农村经济发展，完善农贸市场服务，保障政府公信力，预算申请与《2021年中央农村综合改革转移支付资金项目实施方案》中涉及的项目内容匹配；</w:t>
      </w:r>
    </w:p>
    <w:p w14:paraId="0E91D20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基础设施建设</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598E08F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0806EA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756B2B2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2021年中央农村综合改革转移支付资金项目资金的请示》和《2021年中央农村综合改革转移支付资金项目实施方案》为依据进行资金分配，预算资金分配依据充分。根据《关于提前下达2021年中央农村综合改革转移支付预算（项目部分)的通知文件》（和地财农【2020】69号），本项目实际到位资金</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2CEB010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408665DF">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7FDBCDE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项目过程类指标包括资金管理和组织实施两方面的内容，由5个三级指标构成，权重分为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729B1F3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60008A1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0.00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45A72FF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43DEA29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78577DE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400.00</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100.00</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0FAD429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2EE3D73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43C5208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540FF47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44180F2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7FCB376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洛浦县市场监督管理局</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45D151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1071B2E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39283D81">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洛浦县市场监督管理局</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洛浦县市场监督管理局</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洛浦县市场监督管理局</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洛浦县市场监督管理局</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4E5229D">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2EAB28F">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洛浦县市场监督管理局</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阿勒腾古丽</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热孜亚</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娜孜古丽</w:t>
      </w:r>
      <w:r>
        <w:rPr>
          <w:rFonts w:hint="eastAsia" w:ascii="宋体" w:hAnsi="宋体" w:eastAsia="宋体" w:cs="宋体"/>
          <w:color w:val="auto"/>
          <w:sz w:val="24"/>
          <w:szCs w:val="24"/>
          <w:highlight w:val="none"/>
        </w:rPr>
        <w:t>，主要负责项目监督管理、验收以及资金核拨等工作。</w:t>
      </w:r>
    </w:p>
    <w:p w14:paraId="5AEDBF62">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520CF9F1">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1530A91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个三级指标构成，权重分为4</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FEE3B8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31524EF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保障项目数量，预期指标值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1个，实际完成值1个，指标完成率为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979066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209DEAD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0918B6A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100%，实际完成值100%，指标完成率100%，与预期目标一致，根据评分标准，该指标不扣分，得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E80D9B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4D88C5C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13D80DB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项目完成时间，预期指标值为2024年5月，实际完成值为2024年5月，指标完成率为100%，与预期目标一致，根据评分标准，该指标不扣分，得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2253C0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资金支付及时率指标，预期指标值</w:t>
      </w:r>
      <w:r>
        <w:rPr>
          <w:rFonts w:hint="eastAsia" w:ascii="宋体" w:hAnsi="宋体" w:eastAsia="宋体" w:cs="宋体"/>
          <w:color w:val="auto"/>
          <w:sz w:val="24"/>
          <w:szCs w:val="24"/>
          <w:highlight w:val="none"/>
          <w:lang w:val="en-US" w:eastAsia="zh-CN"/>
        </w:rPr>
        <w:t>等于</w:t>
      </w:r>
      <w:r>
        <w:rPr>
          <w:rFonts w:hint="eastAsia" w:ascii="宋体" w:hAnsi="宋体" w:eastAsia="宋体" w:cs="宋体"/>
          <w:color w:val="auto"/>
          <w:sz w:val="24"/>
          <w:szCs w:val="24"/>
          <w:highlight w:val="none"/>
        </w:rPr>
        <w:t>100%，实际完成值100%，指标完成率为100%，与预期目标一致，根据评分标准，该指标不扣分，得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2609A7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33F2D1C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6946571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工程款标准，预期指标值</w:t>
      </w:r>
      <w:r>
        <w:rPr>
          <w:rFonts w:hint="eastAsia" w:ascii="宋体" w:hAnsi="宋体" w:eastAsia="宋体" w:cs="宋体"/>
          <w:color w:val="auto"/>
          <w:sz w:val="24"/>
          <w:szCs w:val="24"/>
          <w:highlight w:val="none"/>
          <w:lang w:val="en-US" w:eastAsia="zh-CN"/>
        </w:rPr>
        <w:t>小于等于</w:t>
      </w:r>
      <w:r>
        <w:rPr>
          <w:rFonts w:hint="eastAsia" w:ascii="宋体" w:hAnsi="宋体" w:eastAsia="宋体" w:cs="宋体"/>
          <w:color w:val="auto"/>
          <w:sz w:val="24"/>
          <w:szCs w:val="24"/>
          <w:highlight w:val="none"/>
        </w:rPr>
        <w:t>400万元，实际完成值</w:t>
      </w:r>
      <w:r>
        <w:rPr>
          <w:rFonts w:hint="eastAsia" w:ascii="宋体" w:hAnsi="宋体" w:eastAsia="宋体" w:cs="宋体"/>
          <w:color w:val="auto"/>
          <w:sz w:val="24"/>
          <w:szCs w:val="24"/>
          <w:highlight w:val="none"/>
          <w:lang w:val="en-US" w:eastAsia="zh-CN"/>
        </w:rPr>
        <w:t>400万元</w:t>
      </w:r>
      <w:r>
        <w:rPr>
          <w:rFonts w:hint="eastAsia" w:ascii="宋体" w:hAnsi="宋体" w:eastAsia="宋体" w:cs="宋体"/>
          <w:color w:val="auto"/>
          <w:sz w:val="24"/>
          <w:szCs w:val="24"/>
          <w:highlight w:val="none"/>
        </w:rPr>
        <w:t>，指标完成率为100%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400</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3EB4C5E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合计得10分。</w:t>
      </w:r>
    </w:p>
    <w:p w14:paraId="71B1616B">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5DD8B40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7AA3467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2AE978F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完善农贸市场服务，预期指标值为</w:t>
      </w:r>
      <w:r>
        <w:rPr>
          <w:rFonts w:hint="eastAsia" w:ascii="宋体" w:hAnsi="宋体" w:eastAsia="宋体" w:cs="宋体"/>
          <w:sz w:val="24"/>
          <w:szCs w:val="24"/>
          <w:highlight w:val="none"/>
          <w:lang w:val="en-US" w:eastAsia="zh-CN"/>
        </w:rPr>
        <w:t>效果显著</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效果显著</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w:t>
      </w:r>
    </w:p>
    <w:p w14:paraId="50CC883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0FB6DF2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3ADC6A8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155A075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 w:val="0"/>
          <w:bCs w:val="0"/>
          <w:color w:val="000000"/>
          <w:sz w:val="24"/>
          <w:szCs w:val="24"/>
          <w:highlight w:val="none"/>
          <w:lang w:val="en-US" w:eastAsia="zh-CN"/>
        </w:rPr>
        <w:t>该项目不涉及生态效益指标。</w:t>
      </w:r>
    </w:p>
    <w:p w14:paraId="7094F3B4">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p>
    <w:p w14:paraId="31878E9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受益群众满意度，预期指标值大于等于95%，实际完成值95%，指标完成率为100%，与预期目标一致，根据评分标准，该指标不扣分,得10分。</w:t>
      </w:r>
      <w:bookmarkEnd w:id="17"/>
    </w:p>
    <w:p w14:paraId="0B3B258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6ADBA429">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5EAFF7A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本项目年初预算资金总额为</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万元，全年预算数为</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万元，全年执行数为</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万元，预算执行率为</w:t>
      </w:r>
      <w:r>
        <w:rPr>
          <w:rFonts w:hint="eastAsia" w:ascii="宋体" w:hAnsi="宋体" w:eastAsia="宋体" w:cs="宋体"/>
          <w:color w:val="000000"/>
          <w:sz w:val="24"/>
          <w:szCs w:val="24"/>
          <w:highlight w:val="none"/>
          <w:lang w:val="en-US" w:eastAsia="zh-CN"/>
        </w:rPr>
        <w:t>400</w:t>
      </w:r>
      <w:r>
        <w:rPr>
          <w:rFonts w:hint="eastAsia" w:ascii="宋体" w:hAnsi="宋体" w:eastAsia="宋体" w:cs="宋体"/>
          <w:color w:val="000000"/>
          <w:sz w:val="24"/>
          <w:szCs w:val="24"/>
          <w:highlight w:val="none"/>
        </w:rPr>
        <w:t>%。</w:t>
      </w:r>
    </w:p>
    <w:p w14:paraId="2071E16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本项目共设置三级指标数量</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个，满分指标数量</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个，扣分指标数量</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个，经分析计算所有三级指标完成率得出，本项目总体完成率为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0DE7894C">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综上所述本项目预算执行率与总体完成率之间</w:t>
      </w:r>
      <w:r>
        <w:rPr>
          <w:rFonts w:hint="eastAsia" w:ascii="宋体" w:hAnsi="宋体" w:eastAsia="宋体" w:cs="宋体"/>
          <w:color w:val="000000"/>
          <w:sz w:val="24"/>
          <w:szCs w:val="24"/>
          <w:highlight w:val="none"/>
          <w:lang w:val="en-US" w:eastAsia="zh-CN"/>
        </w:rPr>
        <w:t>无偏差</w:t>
      </w:r>
      <w:r>
        <w:rPr>
          <w:rFonts w:hint="eastAsia" w:ascii="宋体" w:hAnsi="宋体" w:eastAsia="宋体" w:cs="宋体"/>
          <w:color w:val="000000"/>
          <w:sz w:val="24"/>
          <w:szCs w:val="24"/>
          <w:highlight w:val="none"/>
        </w:rPr>
        <w:t>。</w:t>
      </w:r>
    </w:p>
    <w:p w14:paraId="5399856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8" w:name="_Toc68364673"/>
      <w:r>
        <w:rPr>
          <w:rFonts w:hint="eastAsia" w:ascii="宋体" w:hAnsi="宋体" w:eastAsia="宋体" w:cs="宋体"/>
          <w:sz w:val="24"/>
          <w:szCs w:val="24"/>
        </w:rPr>
        <w:t>六、主要经验及做法、存在的问题及原因分析</w:t>
      </w:r>
    </w:p>
    <w:p w14:paraId="4DC413E2">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8"/>
    </w:p>
    <w:p w14:paraId="253C94C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一是本项目能够严格按照《项目实施方案》执行，项目执行情况较好。</w:t>
      </w:r>
    </w:p>
    <w:p w14:paraId="75B399E5">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二是加强组织领导，本项目绩效评价工作，有主要领导亲自挂帅，分管领导具体负责，从项目到资金，均能够很好的执行。</w:t>
      </w:r>
    </w:p>
    <w:p w14:paraId="48B9E95F">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9" w:name="_Toc68364674"/>
      <w:r>
        <w:rPr>
          <w:rFonts w:hint="eastAsia" w:ascii="宋体" w:hAnsi="宋体" w:eastAsia="宋体" w:cs="宋体"/>
          <w:sz w:val="24"/>
          <w:szCs w:val="24"/>
        </w:rPr>
        <w:t>（二）存在问题及原因分析</w:t>
      </w:r>
      <w:bookmarkEnd w:id="19"/>
    </w:p>
    <w:p w14:paraId="57534F9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一是对各项指标和指标值要进一步优化、完善，主要在细化、量化上改进</w:t>
      </w:r>
      <w:r>
        <w:rPr>
          <w:rFonts w:hint="eastAsia" w:ascii="宋体" w:hAnsi="宋体" w:eastAsia="宋体" w:cs="宋体"/>
          <w:color w:val="000000"/>
          <w:sz w:val="24"/>
          <w:szCs w:val="24"/>
          <w:highlight w:val="none"/>
          <w:lang w:eastAsia="zh-CN"/>
        </w:rPr>
        <w:t>；</w:t>
      </w:r>
    </w:p>
    <w:p w14:paraId="05E4E8D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二是</w:t>
      </w:r>
      <w:r>
        <w:rPr>
          <w:rFonts w:hint="eastAsia" w:ascii="宋体" w:hAnsi="宋体" w:eastAsia="宋体" w:cs="宋体"/>
          <w:color w:val="000000"/>
          <w:sz w:val="24"/>
          <w:szCs w:val="24"/>
          <w:highlight w:val="none"/>
          <w:lang w:val="en-US" w:eastAsia="zh-CN"/>
        </w:rPr>
        <w:t>部门</w:t>
      </w:r>
      <w:r>
        <w:rPr>
          <w:rFonts w:hint="eastAsia" w:ascii="宋体" w:hAnsi="宋体" w:eastAsia="宋体" w:cs="宋体"/>
          <w:color w:val="000000"/>
          <w:sz w:val="24"/>
          <w:szCs w:val="24"/>
          <w:highlight w:val="none"/>
        </w:rPr>
        <w:t>评价工作还存在自我审定的局限性，会影响评价质量，容易造成问题的疏漏，在客观性和公正性上说服力不强</w:t>
      </w:r>
      <w:r>
        <w:rPr>
          <w:rFonts w:hint="eastAsia" w:ascii="宋体" w:hAnsi="宋体" w:eastAsia="宋体" w:cs="宋体"/>
          <w:color w:val="000000"/>
          <w:sz w:val="24"/>
          <w:szCs w:val="24"/>
          <w:highlight w:val="none"/>
          <w:lang w:eastAsia="zh-CN"/>
        </w:rPr>
        <w:t>；</w:t>
      </w:r>
    </w:p>
    <w:p w14:paraId="45CD3A8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三</w:t>
      </w:r>
      <w:r>
        <w:rPr>
          <w:rFonts w:hint="eastAsia" w:ascii="宋体" w:hAnsi="宋体" w:eastAsia="宋体" w:cs="宋体"/>
          <w:color w:val="000000"/>
          <w:sz w:val="24"/>
          <w:szCs w:val="24"/>
          <w:highlight w:val="none"/>
        </w:rPr>
        <w:t>是</w:t>
      </w:r>
      <w:bookmarkStart w:id="20" w:name="_Toc68364675"/>
      <w:r>
        <w:rPr>
          <w:rFonts w:hint="eastAsia" w:ascii="宋体" w:hAnsi="宋体" w:eastAsia="宋体" w:cs="宋体"/>
          <w:color w:val="000000"/>
          <w:sz w:val="24"/>
          <w:szCs w:val="24"/>
          <w:highlight w:val="none"/>
        </w:rPr>
        <w:t>项目资金监督和管理需进一步完善。</w:t>
      </w:r>
    </w:p>
    <w:p w14:paraId="4F642C2C">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七、有关建议</w:t>
      </w:r>
      <w:bookmarkEnd w:id="20"/>
    </w:p>
    <w:p w14:paraId="48A6489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1.建立健全项目绩效指标数据库建设，将项目考核指标列入项目关注点指标并作为必选指标，加强考核结果的分析使用，利用指标大数据分析等方式，对项目指标进行横纵向分析，从而增强绩效指标的指导作用。</w:t>
      </w:r>
    </w:p>
    <w:p w14:paraId="3D1B3A0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.评价工作应从项目实施方案源头抓起，评价工作和意识应贯穿项目整个过程。</w:t>
      </w:r>
      <w:bookmarkStart w:id="21" w:name="_Toc68364676"/>
      <w:r>
        <w:rPr>
          <w:rFonts w:hint="eastAsia" w:ascii="宋体" w:hAnsi="宋体" w:eastAsia="宋体" w:cs="宋体"/>
          <w:color w:val="000000"/>
          <w:sz w:val="24"/>
          <w:szCs w:val="24"/>
          <w:highlight w:val="none"/>
          <w:lang w:eastAsia="zh-CN"/>
        </w:rPr>
        <w:t>项目评价资料有待进一步完善。项目启动时同步做好档案的归纳与整理，及时整理、收集、汇总，健全档案资料。项目后续管理有待进一步加强和跟踪。</w:t>
      </w:r>
    </w:p>
    <w:p w14:paraId="2E95E23C">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sz w:val="24"/>
          <w:szCs w:val="24"/>
          <w:highlight w:val="none"/>
          <w:lang w:val="en-US" w:eastAsia="zh-CN"/>
        </w:rPr>
        <w:t>3.健全财政收支预算的约束机制。要按公共财政要求，依据系统科学的预算编制标准，深化、细化预算编制，将预算内外资金纳入到预算管理中，提高预算的完整性。要进一步规范预算管理，不得随意调整变更或超支。细化项目明细，提高预算编制的科学性和合理性。申报项目的预算编制需由大到小、由粗到细，通过实际调查数据，使预算明细依据充分，从而提高预算编制的科学性和合理性。对于预算依据，需有明确的标准规范，或为市场公允价值，或为近期同类同行业参考值，或为政府采购标准，注明来源，对于尚无标准的依据，需聘请专业的第三方机构出具评估报告，并纳入项目申报材料。各预算单位需摸清需求底数，精准测算工作量，防止资金结余或闲置。</w:t>
      </w:r>
    </w:p>
    <w:p w14:paraId="0939912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八、其他需要说明的问题</w:t>
      </w:r>
      <w:bookmarkEnd w:id="21"/>
    </w:p>
    <w:p w14:paraId="2A8F20A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我单位对上述项目支出绩效评价报告内反映内容的真实性、完整性负责，愿接受上级部门及社会公众监督。</w:t>
      </w:r>
    </w:p>
    <w:p w14:paraId="6087414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21142C0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附件1：2021年中央农村综合改革转移支付资金项目绩效评价指标体系</w:t>
      </w:r>
    </w:p>
    <w:p w14:paraId="6678190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附件2：2021年中央农村综合改革转移支付资金项目综合得分表</w:t>
      </w:r>
    </w:p>
    <w:p w14:paraId="19B9FD11">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附件3：满意度调查问分析情况</w:t>
      </w:r>
    </w:p>
    <w:p w14:paraId="08CFB5C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7572AB88">
      <w:pPr>
        <w:pStyle w:val="10"/>
        <w:ind w:left="0" w:leftChars="0" w:firstLine="0" w:firstLineChars="0"/>
        <w:jc w:val="both"/>
        <w:rPr>
          <w:rFonts w:hint="eastAsia" w:ascii="宋体" w:hAnsi="宋体" w:eastAsia="宋体" w:cs="宋体"/>
          <w:sz w:val="24"/>
          <w:szCs w:val="24"/>
        </w:rPr>
      </w:pPr>
    </w:p>
    <w:p w14:paraId="0AC6F519">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1"/>
        <w:gridCol w:w="409"/>
        <w:gridCol w:w="665"/>
        <w:gridCol w:w="572"/>
        <w:gridCol w:w="666"/>
        <w:gridCol w:w="489"/>
        <w:gridCol w:w="3032"/>
        <w:gridCol w:w="1118"/>
        <w:gridCol w:w="4270"/>
        <w:gridCol w:w="952"/>
        <w:gridCol w:w="524"/>
      </w:tblGrid>
      <w:tr w14:paraId="5506D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51" w:type="pct"/>
            <w:tcBorders>
              <w:top w:val="nil"/>
              <w:left w:val="nil"/>
              <w:bottom w:val="nil"/>
              <w:right w:val="nil"/>
            </w:tcBorders>
            <w:noWrap/>
            <w:vAlign w:val="center"/>
          </w:tcPr>
          <w:p w14:paraId="7AA25F5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153" w:type="pct"/>
            <w:tcBorders>
              <w:top w:val="nil"/>
              <w:left w:val="nil"/>
              <w:bottom w:val="nil"/>
              <w:right w:val="nil"/>
            </w:tcBorders>
            <w:noWrap/>
            <w:vAlign w:val="center"/>
          </w:tcPr>
          <w:p w14:paraId="49CEAB29">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49" w:type="pct"/>
            <w:tcBorders>
              <w:top w:val="nil"/>
              <w:left w:val="nil"/>
              <w:bottom w:val="nil"/>
              <w:right w:val="nil"/>
            </w:tcBorders>
            <w:noWrap/>
            <w:vAlign w:val="center"/>
          </w:tcPr>
          <w:p w14:paraId="4F682F7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14" w:type="pct"/>
            <w:tcBorders>
              <w:top w:val="nil"/>
              <w:left w:val="nil"/>
              <w:bottom w:val="nil"/>
              <w:right w:val="nil"/>
            </w:tcBorders>
            <w:noWrap/>
            <w:vAlign w:val="center"/>
          </w:tcPr>
          <w:p w14:paraId="456030B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249" w:type="pct"/>
            <w:tcBorders>
              <w:top w:val="nil"/>
              <w:left w:val="nil"/>
              <w:bottom w:val="nil"/>
              <w:right w:val="nil"/>
            </w:tcBorders>
            <w:noWrap/>
            <w:vAlign w:val="center"/>
          </w:tcPr>
          <w:p w14:paraId="0D24CE4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83" w:type="pct"/>
            <w:tcBorders>
              <w:top w:val="nil"/>
              <w:left w:val="nil"/>
              <w:bottom w:val="nil"/>
              <w:right w:val="nil"/>
            </w:tcBorders>
            <w:noWrap/>
            <w:vAlign w:val="center"/>
          </w:tcPr>
          <w:p w14:paraId="65FA30F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134" w:type="pct"/>
            <w:tcBorders>
              <w:top w:val="nil"/>
              <w:left w:val="nil"/>
              <w:bottom w:val="nil"/>
              <w:right w:val="nil"/>
            </w:tcBorders>
            <w:noWrap/>
            <w:vAlign w:val="center"/>
          </w:tcPr>
          <w:p w14:paraId="6A2AE3C6">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418" w:type="pct"/>
            <w:tcBorders>
              <w:top w:val="nil"/>
              <w:left w:val="nil"/>
              <w:bottom w:val="nil"/>
              <w:right w:val="nil"/>
            </w:tcBorders>
            <w:noWrap/>
            <w:vAlign w:val="center"/>
          </w:tcPr>
          <w:p w14:paraId="4FC3091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597" w:type="pct"/>
            <w:tcBorders>
              <w:top w:val="nil"/>
              <w:left w:val="nil"/>
              <w:bottom w:val="nil"/>
              <w:right w:val="nil"/>
            </w:tcBorders>
            <w:noWrap/>
            <w:vAlign w:val="center"/>
          </w:tcPr>
          <w:p w14:paraId="6ABA403B">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356" w:type="pct"/>
            <w:tcBorders>
              <w:top w:val="nil"/>
              <w:left w:val="nil"/>
              <w:bottom w:val="nil"/>
              <w:right w:val="nil"/>
            </w:tcBorders>
            <w:noWrap/>
            <w:vAlign w:val="center"/>
          </w:tcPr>
          <w:p w14:paraId="4A1361C1">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c>
          <w:tcPr>
            <w:tcW w:w="191" w:type="pct"/>
            <w:tcBorders>
              <w:top w:val="nil"/>
              <w:left w:val="nil"/>
              <w:bottom w:val="nil"/>
              <w:right w:val="nil"/>
            </w:tcBorders>
            <w:noWrap/>
            <w:vAlign w:val="center"/>
          </w:tcPr>
          <w:p w14:paraId="442680A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p>
        </w:tc>
      </w:tr>
      <w:tr w14:paraId="63B9E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7E70442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auto"/>
                <w:kern w:val="0"/>
                <w:sz w:val="24"/>
                <w:szCs w:val="24"/>
                <w:u w:val="none"/>
                <w:lang w:val="en-US" w:eastAsia="zh-CN"/>
              </w:rPr>
              <w:t>2021年中央农村综合改革转移支付资金项目</w:t>
            </w:r>
            <w:r>
              <w:rPr>
                <w:rStyle w:val="59"/>
                <w:rFonts w:hint="eastAsia" w:ascii="宋体" w:hAnsi="宋体" w:eastAsia="宋体" w:cs="宋体"/>
                <w:color w:val="auto"/>
                <w:sz w:val="24"/>
                <w:szCs w:val="24"/>
                <w:lang w:val="en-US" w:eastAsia="zh-CN"/>
              </w:rPr>
              <w:t>绩效评价指标体系综合评分表</w:t>
            </w:r>
          </w:p>
        </w:tc>
      </w:tr>
      <w:tr w14:paraId="27047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tcBorders>
              <w:top w:val="single" w:color="auto" w:sz="4" w:space="0"/>
              <w:left w:val="single" w:color="auto" w:sz="4" w:space="0"/>
              <w:bottom w:val="single" w:color="auto" w:sz="4" w:space="0"/>
              <w:right w:val="single" w:color="auto" w:sz="4" w:space="0"/>
            </w:tcBorders>
            <w:noWrap w:val="0"/>
            <w:vAlign w:val="center"/>
          </w:tcPr>
          <w:p w14:paraId="6B97E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53" w:type="pct"/>
            <w:tcBorders>
              <w:top w:val="single" w:color="auto" w:sz="4" w:space="0"/>
              <w:left w:val="single" w:color="auto" w:sz="4" w:space="0"/>
              <w:bottom w:val="single" w:color="auto" w:sz="4" w:space="0"/>
              <w:right w:val="single" w:color="auto" w:sz="4" w:space="0"/>
            </w:tcBorders>
            <w:noWrap w:val="0"/>
            <w:vAlign w:val="center"/>
          </w:tcPr>
          <w:p w14:paraId="1E3972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40505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214" w:type="pct"/>
            <w:tcBorders>
              <w:top w:val="single" w:color="auto" w:sz="4" w:space="0"/>
              <w:left w:val="single" w:color="auto" w:sz="4" w:space="0"/>
              <w:bottom w:val="single" w:color="auto" w:sz="4" w:space="0"/>
              <w:right w:val="single" w:color="auto" w:sz="4" w:space="0"/>
            </w:tcBorders>
            <w:noWrap w:val="0"/>
            <w:vAlign w:val="center"/>
          </w:tcPr>
          <w:p w14:paraId="4CF11F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441AE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64371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DA432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A40BD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54DEB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13BB3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77470D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5ABDB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8" w:hRule="atLeast"/>
        </w:trPr>
        <w:tc>
          <w:tcPr>
            <w:tcW w:w="251" w:type="pct"/>
            <w:vMerge w:val="restart"/>
            <w:tcBorders>
              <w:top w:val="single" w:color="auto" w:sz="4" w:space="0"/>
              <w:left w:val="single" w:color="auto" w:sz="4" w:space="0"/>
              <w:bottom w:val="single" w:color="auto" w:sz="4" w:space="0"/>
              <w:right w:val="single" w:color="auto" w:sz="4" w:space="0"/>
            </w:tcBorders>
            <w:noWrap w:val="0"/>
            <w:vAlign w:val="center"/>
          </w:tcPr>
          <w:p w14:paraId="6F8519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153" w:type="pct"/>
            <w:vMerge w:val="restart"/>
            <w:tcBorders>
              <w:top w:val="single" w:color="auto" w:sz="4" w:space="0"/>
              <w:left w:val="single" w:color="auto" w:sz="4" w:space="0"/>
              <w:bottom w:val="single" w:color="auto" w:sz="4" w:space="0"/>
              <w:right w:val="single" w:color="auto" w:sz="4" w:space="0"/>
            </w:tcBorders>
            <w:noWrap w:val="0"/>
            <w:vAlign w:val="center"/>
          </w:tcPr>
          <w:p w14:paraId="0B9D7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5E5B65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5C9C34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7891A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1F0360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65939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6C73C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70636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5F5F9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490E8A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72ACAE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103FB2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13613A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FD05F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12BF3B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76AE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31C6D5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48B5B2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7E99D9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23C53B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43630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531015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629548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2224C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B4D71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184ABE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0E6219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73DE1E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6E7C4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4CC14B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69F6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378FF4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71519B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431811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60FE3E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BA669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5CA412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0B4BC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512CD4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4EB8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634930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42B5E5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4180CE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77FC4A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14785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587EFA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158F3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1AB834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78007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5EC46C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0DF78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80420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06614C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BC8CC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0BB3D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E5149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6BE4C4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2511CA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5C2382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D1AB1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2622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E1F1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7AD2BC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0ECA51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0E5F9E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6DF15E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7AFF4F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28BBD8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5B0F8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3F72C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B8C75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117A5F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43A48D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6EE79F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3A8458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D1C77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5C2B5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708E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34EC60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09C1ED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1A256E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0C5D80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76878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2BD274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A3BDB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D6027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51475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322313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5FA0DD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4E807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5893D1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20D97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restart"/>
            <w:tcBorders>
              <w:top w:val="single" w:color="auto" w:sz="4" w:space="0"/>
              <w:left w:val="single" w:color="auto" w:sz="4" w:space="0"/>
              <w:bottom w:val="single" w:color="auto" w:sz="4" w:space="0"/>
              <w:right w:val="single" w:color="auto" w:sz="4" w:space="0"/>
            </w:tcBorders>
            <w:noWrap w:val="0"/>
            <w:vAlign w:val="center"/>
          </w:tcPr>
          <w:p w14:paraId="5FE94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153" w:type="pct"/>
            <w:vMerge w:val="restart"/>
            <w:tcBorders>
              <w:top w:val="single" w:color="auto" w:sz="4" w:space="0"/>
              <w:left w:val="single" w:color="auto" w:sz="4" w:space="0"/>
              <w:bottom w:val="single" w:color="auto" w:sz="4" w:space="0"/>
              <w:right w:val="single" w:color="auto" w:sz="4" w:space="0"/>
            </w:tcBorders>
            <w:noWrap w:val="0"/>
            <w:vAlign w:val="center"/>
          </w:tcPr>
          <w:p w14:paraId="5FCE54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w:t>
            </w: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727E8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693483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D4BBA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60756D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5349B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435EB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D4FB5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1749B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A90FB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26FFBF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7EB81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1B780E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4E57C6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3ABDE5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2EFF7F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416F30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1AD359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B753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6AB15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A4143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F2571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D2533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5FC947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30665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60C96C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379DF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39A40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7DFDBF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63DD29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37C25A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84BAB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20483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BD73B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7A3F3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4009E3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2BD9F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15FDD6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09565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8EFE7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59117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08E443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1A797D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429211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1DA762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05C22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1A1FCE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D05B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604F1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2150D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067281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671800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6C216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F34E9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F2DC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71461E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20E210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18A477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11178B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57B6A9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29E274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609AD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6A771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7A17B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66F16A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2E7C9D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22A75E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4FE22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6D8318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D8D3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restart"/>
            <w:tcBorders>
              <w:top w:val="single" w:color="auto" w:sz="4" w:space="0"/>
              <w:left w:val="single" w:color="auto" w:sz="4" w:space="0"/>
              <w:bottom w:val="single" w:color="auto" w:sz="4" w:space="0"/>
              <w:right w:val="single" w:color="auto" w:sz="4" w:space="0"/>
            </w:tcBorders>
            <w:noWrap w:val="0"/>
            <w:vAlign w:val="center"/>
          </w:tcPr>
          <w:p w14:paraId="1E11AC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153" w:type="pct"/>
            <w:vMerge w:val="restart"/>
            <w:tcBorders>
              <w:top w:val="single" w:color="auto" w:sz="4" w:space="0"/>
              <w:left w:val="single" w:color="auto" w:sz="4" w:space="0"/>
              <w:bottom w:val="single" w:color="auto" w:sz="4" w:space="0"/>
              <w:right w:val="single" w:color="auto" w:sz="4" w:space="0"/>
            </w:tcBorders>
            <w:noWrap w:val="0"/>
            <w:vAlign w:val="center"/>
          </w:tcPr>
          <w:p w14:paraId="1F139B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88D34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214" w:type="pct"/>
            <w:tcBorders>
              <w:top w:val="single" w:color="auto" w:sz="4" w:space="0"/>
              <w:left w:val="single" w:color="auto" w:sz="4" w:space="0"/>
              <w:bottom w:val="single" w:color="auto" w:sz="4" w:space="0"/>
              <w:right w:val="single" w:color="auto" w:sz="4" w:space="0"/>
            </w:tcBorders>
            <w:noWrap w:val="0"/>
            <w:vAlign w:val="center"/>
          </w:tcPr>
          <w:p w14:paraId="25FD0B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5AA03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2D9542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577BC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保障项目数量</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F932B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=1个</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80018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BE101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1个</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5BEAD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4564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22091D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6BE096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938EA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214" w:type="pct"/>
            <w:tcBorders>
              <w:top w:val="single" w:color="auto" w:sz="4" w:space="0"/>
              <w:left w:val="single" w:color="auto" w:sz="4" w:space="0"/>
              <w:bottom w:val="single" w:color="auto" w:sz="4" w:space="0"/>
              <w:right w:val="single" w:color="auto" w:sz="4" w:space="0"/>
            </w:tcBorders>
            <w:noWrap w:val="0"/>
            <w:vAlign w:val="center"/>
          </w:tcPr>
          <w:p w14:paraId="6C2A41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5984C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6A7CAB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2A2479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D8B1C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right w:val="single" w:color="auto" w:sz="4" w:space="0"/>
            </w:tcBorders>
            <w:noWrap w:val="0"/>
            <w:vAlign w:val="center"/>
          </w:tcPr>
          <w:p w14:paraId="711E82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59C7F0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DDD2A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3C403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372C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33C9D9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6BF410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restart"/>
            <w:tcBorders>
              <w:top w:val="single" w:color="auto" w:sz="4" w:space="0"/>
              <w:left w:val="single" w:color="auto" w:sz="4" w:space="0"/>
              <w:right w:val="single" w:color="auto" w:sz="4" w:space="0"/>
            </w:tcBorders>
            <w:noWrap w:val="0"/>
            <w:vAlign w:val="center"/>
          </w:tcPr>
          <w:p w14:paraId="2400AD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214" w:type="pct"/>
            <w:vMerge w:val="restart"/>
            <w:tcBorders>
              <w:top w:val="single" w:color="auto" w:sz="4" w:space="0"/>
              <w:left w:val="single" w:color="auto" w:sz="4" w:space="0"/>
              <w:right w:val="single" w:color="auto" w:sz="4" w:space="0"/>
            </w:tcBorders>
            <w:noWrap w:val="0"/>
            <w:vAlign w:val="center"/>
          </w:tcPr>
          <w:p w14:paraId="544900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61371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3434E4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254DF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6A375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vMerge w:val="restart"/>
            <w:tcBorders>
              <w:top w:val="single" w:color="auto" w:sz="4" w:space="0"/>
              <w:left w:val="single" w:color="auto" w:sz="4" w:space="0"/>
              <w:right w:val="single" w:color="auto" w:sz="4" w:space="0"/>
            </w:tcBorders>
            <w:noWrap w:val="0"/>
            <w:vAlign w:val="center"/>
          </w:tcPr>
          <w:p w14:paraId="24F171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22326F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8C62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13" w:type="dxa"/>
            <w:tcBorders>
              <w:top w:val="single" w:color="auto" w:sz="4" w:space="0"/>
              <w:left w:val="single" w:color="auto" w:sz="4" w:space="0"/>
              <w:bottom w:val="single" w:color="auto" w:sz="4" w:space="0"/>
              <w:right w:val="single" w:color="auto" w:sz="4" w:space="0"/>
            </w:tcBorders>
            <w:noWrap w:val="0"/>
            <w:vAlign w:val="center"/>
          </w:tcPr>
          <w:p w14:paraId="135035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14D9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51" w:type="pct"/>
            <w:vMerge w:val="continue"/>
            <w:tcBorders>
              <w:left w:val="single" w:color="auto" w:sz="4" w:space="0"/>
              <w:bottom w:val="single" w:color="auto" w:sz="4" w:space="0"/>
              <w:right w:val="single" w:color="auto" w:sz="4" w:space="0"/>
            </w:tcBorders>
            <w:noWrap w:val="0"/>
            <w:vAlign w:val="center"/>
          </w:tcPr>
          <w:p w14:paraId="6BE49F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53" w:type="pct"/>
            <w:vMerge w:val="continue"/>
            <w:tcBorders>
              <w:left w:val="single" w:color="auto" w:sz="4" w:space="0"/>
              <w:bottom w:val="single" w:color="auto" w:sz="4" w:space="0"/>
              <w:right w:val="single" w:color="auto" w:sz="4" w:space="0"/>
            </w:tcBorders>
            <w:noWrap w:val="0"/>
            <w:vAlign w:val="center"/>
          </w:tcPr>
          <w:p w14:paraId="28DBEE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406B12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4" w:type="pct"/>
            <w:vMerge w:val="continue"/>
            <w:tcBorders>
              <w:left w:val="single" w:color="auto" w:sz="4" w:space="0"/>
              <w:bottom w:val="single" w:color="auto" w:sz="4" w:space="0"/>
              <w:right w:val="single" w:color="auto" w:sz="4" w:space="0"/>
            </w:tcBorders>
            <w:noWrap w:val="0"/>
            <w:vAlign w:val="center"/>
          </w:tcPr>
          <w:p w14:paraId="0986DF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563BE5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83" w:type="pct"/>
            <w:tcBorders>
              <w:top w:val="single" w:color="auto" w:sz="4" w:space="0"/>
              <w:left w:val="single" w:color="auto" w:sz="4" w:space="0"/>
              <w:bottom w:val="single" w:color="auto" w:sz="4" w:space="0"/>
              <w:right w:val="single" w:color="auto" w:sz="4" w:space="0"/>
            </w:tcBorders>
            <w:noWrap w:val="0"/>
            <w:vAlign w:val="center"/>
          </w:tcPr>
          <w:p w14:paraId="7C7B95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5E26E6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448C0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2024年5月</w:t>
            </w:r>
          </w:p>
        </w:tc>
        <w:tc>
          <w:tcPr>
            <w:tcW w:w="1597" w:type="pct"/>
            <w:vMerge w:val="continue"/>
            <w:tcBorders>
              <w:left w:val="single" w:color="auto" w:sz="4" w:space="0"/>
              <w:right w:val="single" w:color="auto" w:sz="4" w:space="0"/>
            </w:tcBorders>
            <w:noWrap w:val="0"/>
            <w:vAlign w:val="center"/>
          </w:tcPr>
          <w:p w14:paraId="6A66F1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56" w:type="pct"/>
            <w:tcBorders>
              <w:top w:val="single" w:color="auto" w:sz="4" w:space="0"/>
              <w:left w:val="single" w:color="auto" w:sz="4" w:space="0"/>
              <w:bottom w:val="single" w:color="auto" w:sz="4" w:space="0"/>
              <w:right w:val="single" w:color="auto" w:sz="4" w:space="0"/>
            </w:tcBorders>
            <w:noWrap w:val="0"/>
            <w:vAlign w:val="center"/>
          </w:tcPr>
          <w:p w14:paraId="0E8797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2024年5月</w:t>
            </w:r>
          </w:p>
        </w:tc>
        <w:tc>
          <w:tcPr>
            <w:tcW w:w="513" w:type="dxa"/>
            <w:tcBorders>
              <w:top w:val="single" w:color="auto" w:sz="4" w:space="0"/>
              <w:left w:val="single" w:color="auto" w:sz="4" w:space="0"/>
              <w:bottom w:val="single" w:color="auto" w:sz="4" w:space="0"/>
              <w:right w:val="single" w:color="auto" w:sz="4" w:space="0"/>
            </w:tcBorders>
            <w:noWrap w:val="0"/>
            <w:vAlign w:val="center"/>
          </w:tcPr>
          <w:p w14:paraId="3D6319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06DE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6C6F23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010E3D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0CD3A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214" w:type="pct"/>
            <w:tcBorders>
              <w:top w:val="single" w:color="auto" w:sz="4" w:space="0"/>
              <w:left w:val="single" w:color="auto" w:sz="4" w:space="0"/>
              <w:bottom w:val="single" w:color="auto" w:sz="4" w:space="0"/>
              <w:right w:val="single" w:color="auto" w:sz="4" w:space="0"/>
            </w:tcBorders>
            <w:noWrap w:val="0"/>
            <w:vAlign w:val="center"/>
          </w:tcPr>
          <w:p w14:paraId="7BDA51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60A54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6C03D9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728DF2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工程款标准</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DD1C4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&lt;=400万元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C51E6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944D2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400万元</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3FFA5A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1D2CB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restart"/>
            <w:tcBorders>
              <w:top w:val="single" w:color="auto" w:sz="4" w:space="0"/>
              <w:left w:val="single" w:color="auto" w:sz="4" w:space="0"/>
              <w:bottom w:val="single" w:color="auto" w:sz="4" w:space="0"/>
              <w:right w:val="single" w:color="auto" w:sz="4" w:space="0"/>
            </w:tcBorders>
            <w:noWrap w:val="0"/>
            <w:vAlign w:val="center"/>
          </w:tcPr>
          <w:p w14:paraId="50E2EB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53" w:type="pct"/>
            <w:vMerge w:val="restart"/>
            <w:tcBorders>
              <w:top w:val="single" w:color="auto" w:sz="4" w:space="0"/>
              <w:left w:val="single" w:color="auto" w:sz="4" w:space="0"/>
              <w:bottom w:val="single" w:color="auto" w:sz="4" w:space="0"/>
              <w:right w:val="single" w:color="auto" w:sz="4" w:space="0"/>
            </w:tcBorders>
            <w:noWrap w:val="0"/>
            <w:vAlign w:val="center"/>
          </w:tcPr>
          <w:p w14:paraId="66B457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49" w:type="pct"/>
            <w:vMerge w:val="restart"/>
            <w:tcBorders>
              <w:top w:val="single" w:color="auto" w:sz="4" w:space="0"/>
              <w:left w:val="single" w:color="auto" w:sz="4" w:space="0"/>
              <w:bottom w:val="single" w:color="auto" w:sz="4" w:space="0"/>
              <w:right w:val="single" w:color="auto" w:sz="4" w:space="0"/>
            </w:tcBorders>
            <w:noWrap w:val="0"/>
            <w:vAlign w:val="center"/>
          </w:tcPr>
          <w:p w14:paraId="6FF8AB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214" w:type="pct"/>
            <w:vMerge w:val="restart"/>
            <w:tcBorders>
              <w:top w:val="single" w:color="auto" w:sz="4" w:space="0"/>
              <w:left w:val="single" w:color="auto" w:sz="4" w:space="0"/>
              <w:bottom w:val="single" w:color="auto" w:sz="4" w:space="0"/>
              <w:right w:val="single" w:color="auto" w:sz="4" w:space="0"/>
            </w:tcBorders>
            <w:noWrap w:val="0"/>
            <w:vAlign w:val="center"/>
          </w:tcPr>
          <w:p w14:paraId="49B3F9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535E9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44A05E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127F09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完善农贸市场服务</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4BD8F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效果显著</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38088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2520DC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效果显著</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273F89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614EE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1" w:type="pct"/>
            <w:vMerge w:val="continue"/>
            <w:tcBorders>
              <w:top w:val="single" w:color="auto" w:sz="4" w:space="0"/>
              <w:left w:val="single" w:color="auto" w:sz="4" w:space="0"/>
              <w:bottom w:val="single" w:color="auto" w:sz="4" w:space="0"/>
              <w:right w:val="single" w:color="auto" w:sz="4" w:space="0"/>
            </w:tcBorders>
            <w:noWrap w:val="0"/>
            <w:vAlign w:val="center"/>
          </w:tcPr>
          <w:p w14:paraId="2B8B1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53" w:type="pct"/>
            <w:vMerge w:val="continue"/>
            <w:tcBorders>
              <w:top w:val="single" w:color="auto" w:sz="4" w:space="0"/>
              <w:left w:val="single" w:color="auto" w:sz="4" w:space="0"/>
              <w:bottom w:val="single" w:color="auto" w:sz="4" w:space="0"/>
              <w:right w:val="single" w:color="auto" w:sz="4" w:space="0"/>
            </w:tcBorders>
            <w:noWrap w:val="0"/>
            <w:vAlign w:val="center"/>
          </w:tcPr>
          <w:p w14:paraId="41DA5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top w:val="single" w:color="auto" w:sz="4" w:space="0"/>
              <w:left w:val="single" w:color="auto" w:sz="4" w:space="0"/>
              <w:bottom w:val="single" w:color="auto" w:sz="4" w:space="0"/>
              <w:right w:val="single" w:color="auto" w:sz="4" w:space="0"/>
            </w:tcBorders>
            <w:noWrap w:val="0"/>
            <w:vAlign w:val="center"/>
          </w:tcPr>
          <w:p w14:paraId="1BE2C6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vMerge w:val="continue"/>
            <w:tcBorders>
              <w:top w:val="single" w:color="auto" w:sz="4" w:space="0"/>
              <w:left w:val="single" w:color="auto" w:sz="4" w:space="0"/>
              <w:bottom w:val="single" w:color="auto" w:sz="4" w:space="0"/>
              <w:right w:val="single" w:color="auto" w:sz="4" w:space="0"/>
            </w:tcBorders>
            <w:noWrap w:val="0"/>
            <w:vAlign w:val="center"/>
          </w:tcPr>
          <w:p w14:paraId="6806E2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675F70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83" w:type="pct"/>
            <w:tcBorders>
              <w:top w:val="single" w:color="auto" w:sz="4" w:space="0"/>
              <w:left w:val="single" w:color="auto" w:sz="4" w:space="0"/>
              <w:bottom w:val="single" w:color="auto" w:sz="4" w:space="0"/>
              <w:right w:val="single" w:color="auto" w:sz="4" w:space="0"/>
            </w:tcBorders>
            <w:noWrap w:val="0"/>
            <w:vAlign w:val="center"/>
          </w:tcPr>
          <w:p w14:paraId="271F5F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341BDC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受益群众满意度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AADFE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424BEB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2A60A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191" w:type="pct"/>
            <w:tcBorders>
              <w:top w:val="single" w:color="auto" w:sz="4" w:space="0"/>
              <w:left w:val="single" w:color="auto" w:sz="4" w:space="0"/>
              <w:bottom w:val="single" w:color="auto" w:sz="4" w:space="0"/>
              <w:right w:val="single" w:color="auto" w:sz="4" w:space="0"/>
            </w:tcBorders>
            <w:noWrap w:val="0"/>
            <w:vAlign w:val="center"/>
          </w:tcPr>
          <w:p w14:paraId="403217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68B71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1" w:type="pct"/>
            <w:tcBorders>
              <w:top w:val="single" w:color="auto" w:sz="4" w:space="0"/>
              <w:left w:val="single" w:color="auto" w:sz="4" w:space="0"/>
              <w:bottom w:val="single" w:color="auto" w:sz="4" w:space="0"/>
              <w:right w:val="single" w:color="auto" w:sz="4" w:space="0"/>
            </w:tcBorders>
            <w:noWrap w:val="0"/>
            <w:vAlign w:val="center"/>
          </w:tcPr>
          <w:p w14:paraId="254892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153" w:type="pct"/>
            <w:tcBorders>
              <w:top w:val="single" w:color="auto" w:sz="4" w:space="0"/>
              <w:left w:val="single" w:color="auto" w:sz="4" w:space="0"/>
              <w:bottom w:val="single" w:color="auto" w:sz="4" w:space="0"/>
              <w:right w:val="single" w:color="auto" w:sz="4" w:space="0"/>
            </w:tcBorders>
            <w:noWrap w:val="0"/>
            <w:vAlign w:val="center"/>
          </w:tcPr>
          <w:p w14:paraId="1EECBB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ECBC4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4" w:type="pct"/>
            <w:tcBorders>
              <w:top w:val="single" w:color="auto" w:sz="4" w:space="0"/>
              <w:left w:val="single" w:color="auto" w:sz="4" w:space="0"/>
              <w:bottom w:val="single" w:color="auto" w:sz="4" w:space="0"/>
              <w:right w:val="single" w:color="auto" w:sz="4" w:space="0"/>
            </w:tcBorders>
            <w:noWrap w:val="0"/>
            <w:vAlign w:val="center"/>
          </w:tcPr>
          <w:p w14:paraId="01AD57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469F6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83" w:type="pct"/>
            <w:tcBorders>
              <w:top w:val="single" w:color="auto" w:sz="4" w:space="0"/>
              <w:left w:val="single" w:color="auto" w:sz="4" w:space="0"/>
              <w:bottom w:val="single" w:color="auto" w:sz="4" w:space="0"/>
              <w:right w:val="single" w:color="auto" w:sz="4" w:space="0"/>
            </w:tcBorders>
            <w:noWrap w:val="0"/>
            <w:vAlign w:val="center"/>
          </w:tcPr>
          <w:p w14:paraId="31139B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134" w:type="pct"/>
            <w:tcBorders>
              <w:top w:val="single" w:color="auto" w:sz="4" w:space="0"/>
              <w:left w:val="single" w:color="auto" w:sz="4" w:space="0"/>
              <w:bottom w:val="single" w:color="auto" w:sz="4" w:space="0"/>
              <w:right w:val="single" w:color="auto" w:sz="4" w:space="0"/>
            </w:tcBorders>
            <w:noWrap w:val="0"/>
            <w:vAlign w:val="center"/>
          </w:tcPr>
          <w:p w14:paraId="0738D1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18" w:type="pct"/>
            <w:tcBorders>
              <w:top w:val="single" w:color="auto" w:sz="4" w:space="0"/>
              <w:left w:val="single" w:color="auto" w:sz="4" w:space="0"/>
              <w:bottom w:val="single" w:color="auto" w:sz="4" w:space="0"/>
              <w:right w:val="single" w:color="auto" w:sz="4" w:space="0"/>
            </w:tcBorders>
            <w:noWrap w:val="0"/>
            <w:vAlign w:val="center"/>
          </w:tcPr>
          <w:p w14:paraId="67DABC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E62D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356" w:type="pct"/>
            <w:tcBorders>
              <w:top w:val="single" w:color="auto" w:sz="4" w:space="0"/>
              <w:left w:val="single" w:color="auto" w:sz="4" w:space="0"/>
              <w:bottom w:val="single" w:color="auto" w:sz="4" w:space="0"/>
              <w:right w:val="single" w:color="auto" w:sz="4" w:space="0"/>
            </w:tcBorders>
            <w:noWrap w:val="0"/>
            <w:vAlign w:val="center"/>
          </w:tcPr>
          <w:p w14:paraId="29D856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1" w:type="pct"/>
            <w:tcBorders>
              <w:top w:val="single" w:color="auto" w:sz="4" w:space="0"/>
              <w:left w:val="single" w:color="auto" w:sz="4" w:space="0"/>
              <w:bottom w:val="single" w:color="auto" w:sz="4" w:space="0"/>
              <w:right w:val="single" w:color="auto" w:sz="4" w:space="0"/>
            </w:tcBorders>
            <w:noWrap w:val="0"/>
            <w:vAlign w:val="center"/>
          </w:tcPr>
          <w:p w14:paraId="7A34C3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38304950">
      <w:pPr>
        <w:pStyle w:val="10"/>
        <w:rPr>
          <w:rFonts w:hint="eastAsia" w:ascii="宋体" w:hAnsi="宋体" w:eastAsia="宋体" w:cs="宋体"/>
          <w:sz w:val="24"/>
          <w:szCs w:val="24"/>
          <w:lang w:eastAsia="zh-CN"/>
        </w:rPr>
      </w:pPr>
    </w:p>
    <w:p w14:paraId="7F4408D8">
      <w:pPr>
        <w:pStyle w:val="10"/>
        <w:rPr>
          <w:rFonts w:hint="eastAsia" w:ascii="宋体" w:hAnsi="宋体" w:eastAsia="宋体" w:cs="宋体"/>
          <w:sz w:val="24"/>
          <w:szCs w:val="24"/>
          <w:lang w:eastAsia="zh-CN"/>
        </w:rPr>
      </w:pPr>
    </w:p>
    <w:p w14:paraId="1A74B5E2">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019"/>
        <w:gridCol w:w="1761"/>
      </w:tblGrid>
      <w:tr w14:paraId="28F33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5E99C3E4">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3D76E73B">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285316FB">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22C5FA67">
            <w:pPr>
              <w:rPr>
                <w:rFonts w:hint="eastAsia" w:ascii="宋体" w:hAnsi="宋体" w:eastAsia="宋体" w:cs="宋体"/>
                <w:i w:val="0"/>
                <w:iCs w:val="0"/>
                <w:color w:val="000000"/>
                <w:sz w:val="22"/>
                <w:szCs w:val="22"/>
                <w:u w:val="none"/>
              </w:rPr>
            </w:pPr>
          </w:p>
        </w:tc>
        <w:tc>
          <w:tcPr>
            <w:tcW w:w="3019" w:type="dxa"/>
            <w:tcBorders>
              <w:top w:val="nil"/>
              <w:left w:val="nil"/>
              <w:bottom w:val="nil"/>
              <w:right w:val="nil"/>
            </w:tcBorders>
            <w:noWrap/>
            <w:vAlign w:val="center"/>
          </w:tcPr>
          <w:p w14:paraId="71B6A3F9">
            <w:pPr>
              <w:rPr>
                <w:rFonts w:hint="eastAsia" w:ascii="宋体" w:hAnsi="宋体" w:eastAsia="宋体" w:cs="宋体"/>
                <w:i w:val="0"/>
                <w:iCs w:val="0"/>
                <w:color w:val="000000"/>
                <w:sz w:val="22"/>
                <w:szCs w:val="22"/>
                <w:u w:val="none"/>
              </w:rPr>
            </w:pPr>
          </w:p>
        </w:tc>
        <w:tc>
          <w:tcPr>
            <w:tcW w:w="1761" w:type="dxa"/>
            <w:tcBorders>
              <w:top w:val="nil"/>
              <w:left w:val="nil"/>
              <w:bottom w:val="nil"/>
              <w:right w:val="nil"/>
            </w:tcBorders>
            <w:noWrap/>
            <w:vAlign w:val="center"/>
          </w:tcPr>
          <w:p w14:paraId="2220B54F">
            <w:pPr>
              <w:rPr>
                <w:rFonts w:hint="eastAsia" w:ascii="宋体" w:hAnsi="宋体" w:eastAsia="宋体" w:cs="宋体"/>
                <w:i w:val="0"/>
                <w:iCs w:val="0"/>
                <w:color w:val="000000"/>
                <w:sz w:val="22"/>
                <w:szCs w:val="22"/>
                <w:u w:val="none"/>
              </w:rPr>
            </w:pPr>
          </w:p>
        </w:tc>
      </w:tr>
      <w:tr w14:paraId="1FD25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4188074">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auto"/>
                <w:kern w:val="0"/>
                <w:sz w:val="36"/>
                <w:szCs w:val="36"/>
                <w:u w:val="none"/>
                <w:lang w:val="en-US" w:eastAsia="zh-CN"/>
              </w:rPr>
              <w:t>2021年中央农村综合改革转移支付资金项目综合得分表</w:t>
            </w:r>
          </w:p>
        </w:tc>
      </w:tr>
      <w:tr w14:paraId="397D3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87E701">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1C529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6D1E93A">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ADD46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01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BF34E4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76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EE1F3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6E445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C95D9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EE6DF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53981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25A043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019" w:type="dxa"/>
            <w:tcBorders>
              <w:top w:val="single" w:color="auto" w:sz="4" w:space="0"/>
              <w:left w:val="single" w:color="auto" w:sz="4" w:space="0"/>
              <w:bottom w:val="single" w:color="auto" w:sz="4" w:space="0"/>
              <w:right w:val="single" w:color="auto" w:sz="4" w:space="0"/>
            </w:tcBorders>
            <w:noWrap w:val="0"/>
            <w:vAlign w:val="center"/>
          </w:tcPr>
          <w:p w14:paraId="660C7CC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4EE4C4F3">
            <w:pPr>
              <w:keepNext w:val="0"/>
              <w:keepLines w:val="0"/>
              <w:widowControl/>
              <w:suppressLineNumbers w:val="0"/>
              <w:ind w:left="0" w:leftChars="0" w:firstLine="480" w:firstLineChars="2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1F2FA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F93E992">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4D46898">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886F5B">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F9243D">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01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C238E67">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2BA3A117">
            <w:pPr>
              <w:keepNext w:val="0"/>
              <w:keepLines w:val="0"/>
              <w:widowControl/>
              <w:suppressLineNumbers w:val="0"/>
              <w:ind w:left="0" w:leftChars="0" w:firstLine="480" w:firstLineChars="200"/>
              <w:jc w:val="both"/>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6DF81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FCFE4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4BE68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519A7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6AB906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3019" w:type="dxa"/>
            <w:tcBorders>
              <w:top w:val="single" w:color="auto" w:sz="4" w:space="0"/>
              <w:left w:val="single" w:color="auto" w:sz="4" w:space="0"/>
              <w:bottom w:val="single" w:color="auto" w:sz="4" w:space="0"/>
              <w:right w:val="single" w:color="auto" w:sz="4" w:space="0"/>
            </w:tcBorders>
            <w:noWrap w:val="0"/>
            <w:vAlign w:val="center"/>
          </w:tcPr>
          <w:p w14:paraId="72C121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c>
          <w:tcPr>
            <w:tcW w:w="1761" w:type="dxa"/>
            <w:tcBorders>
              <w:top w:val="single" w:color="auto" w:sz="4" w:space="0"/>
              <w:left w:val="single" w:color="auto" w:sz="4" w:space="0"/>
              <w:bottom w:val="single" w:color="auto" w:sz="4" w:space="0"/>
              <w:right w:val="single" w:color="auto" w:sz="4" w:space="0"/>
            </w:tcBorders>
            <w:noWrap w:val="0"/>
            <w:vAlign w:val="center"/>
          </w:tcPr>
          <w:p w14:paraId="11F10468">
            <w:pPr>
              <w:keepNext w:val="0"/>
              <w:keepLines w:val="0"/>
              <w:widowControl/>
              <w:suppressLineNumbers w:val="0"/>
              <w:ind w:left="0" w:leftChars="0" w:firstLine="480" w:firstLineChars="20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bl>
    <w:p w14:paraId="63E20F42">
      <w:pPr>
        <w:pStyle w:val="10"/>
        <w:ind w:left="0" w:leftChars="0" w:firstLine="0" w:firstLineChars="0"/>
        <w:jc w:val="both"/>
        <w:rPr>
          <w:rFonts w:hint="default" w:ascii="宋体" w:hAnsi="宋体" w:eastAsia="宋体" w:cs="宋体"/>
          <w:sz w:val="24"/>
          <w:szCs w:val="24"/>
          <w:lang w:val="en-US" w:eastAsia="zh-CN"/>
        </w:rPr>
      </w:pPr>
    </w:p>
    <w:p w14:paraId="32068126">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710F6E5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3A1EF6A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2021年中央农村综合改革转移支付资金项目</w:t>
      </w:r>
    </w:p>
    <w:p w14:paraId="0F2A971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1D0B799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0477BEE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18214D3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一、该问卷调查从2025年2月1日开始至2025年2月28日结束，调查问卷共设置2道题目。</w:t>
      </w:r>
    </w:p>
    <w:p w14:paraId="6E752599">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52142AE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农贸市场建设项目施工方</w:t>
      </w:r>
      <w:r>
        <w:rPr>
          <w:rFonts w:hint="eastAsia" w:ascii="宋体" w:hAnsi="宋体" w:eastAsia="宋体" w:cs="宋体"/>
          <w:color w:val="000000"/>
          <w:sz w:val="24"/>
          <w:szCs w:val="24"/>
          <w:highlight w:val="none"/>
        </w:rPr>
        <w:t>。</w:t>
      </w:r>
    </w:p>
    <w:p w14:paraId="4838E4E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50F20C5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①您对2021年中央农村综合改革转移支付资金项目的资金支付及时性是否满意?</w:t>
      </w:r>
    </w:p>
    <w:p w14:paraId="0A745C3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②总的来说，您对目前2021年中央农村综合改革转移支付资金项目实施后的整体满意程度如何？</w:t>
      </w:r>
    </w:p>
    <w:p w14:paraId="6FCF38B7">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56AACF2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111EE0E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1579296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3EDB8F2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467FEFA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为了给调查对象营造良好的作答环境，保证调查的科学性和严谨性，由我单位工作人员在线下发放问卷，邀请相应的调查对象填写问卷。到目前为止共回收问卷1份，其中有效问卷1份，有效问卷回收率为100%。</w:t>
      </w:r>
    </w:p>
    <w:p w14:paraId="3A7C1025">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6801838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本次调查过程中，评价小组实际发放问卷1份，回收问卷1份，问卷回收率为100.00%，有效问卷1份，有效回收率100.00%，本次调查的整体情况如下：</w:t>
      </w:r>
    </w:p>
    <w:p w14:paraId="6DF49E9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第一个问题：该项统计有效问卷数量1份，选择非常满意的人数为1人。选择比较满意的人数为0人，选择一般的人数0人，选择不满意的人数0人，选择非常不满意的人数0人。</w:t>
      </w:r>
    </w:p>
    <w:p w14:paraId="667AEDC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第二个问题：该项统计有效问卷数量1份，选择非常满意的人数为1人。选择比较满意的人数为0人，选择一般的人数0人，选择不满意的人数0人，选择非常不满意的人数0人。</w:t>
      </w:r>
    </w:p>
    <w:p w14:paraId="50ABB23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58F5DAB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2021年中央农村综合改革转移支付资金项目针对受益人员发放1份调查问卷，最终统计受益人群满意度为100%。</w:t>
      </w:r>
    </w:p>
    <w:p w14:paraId="287C617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23A56F59">
      <w:pPr>
        <w:pStyle w:val="2"/>
        <w:rPr>
          <w:rFonts w:hint="eastAsia"/>
          <w:lang w:val="en-US" w:eastAsia="zh-CN"/>
        </w:rPr>
      </w:pPr>
    </w:p>
    <w:p w14:paraId="24A037D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洛浦县市场监督管理局</w:t>
      </w:r>
    </w:p>
    <w:p w14:paraId="680FD38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2025年3月18日</w:t>
      </w:r>
    </w:p>
    <w:p w14:paraId="23CC23E5">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DDCF2">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F1F3452">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F549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137D6CA3"/>
    <w:rsid w:val="55A714C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qFormat/>
    <w:uiPriority w:val="0"/>
    <w:pPr>
      <w:ind w:firstLine="420"/>
    </w:pPr>
  </w:style>
  <w:style w:type="paragraph" w:styleId="3">
    <w:name w:val="Body Text Indent"/>
    <w:basedOn w:val="1"/>
    <w:link w:val="31"/>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7"/>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9"/>
    <w:unhideWhenUsed/>
    <w:qFormat/>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qFormat/>
    <w:uiPriority w:val="39"/>
    <w:pPr>
      <w:spacing w:before="120" w:after="120"/>
      <w:jc w:val="left"/>
    </w:pPr>
    <w:rPr>
      <w:rFonts w:ascii="Calibri" w:hAnsi="Calibri" w:cs="Calibri"/>
      <w:b/>
      <w:bCs/>
      <w:caps/>
      <w:sz w:val="20"/>
      <w:szCs w:val="20"/>
    </w:rPr>
  </w:style>
  <w:style w:type="paragraph" w:styleId="18">
    <w:name w:val="toc 4"/>
    <w:basedOn w:val="1"/>
    <w:next w:val="1"/>
    <w:unhideWhenUsed/>
    <w:qFormat/>
    <w:uiPriority w:val="39"/>
    <w:pPr>
      <w:ind w:left="840"/>
      <w:jc w:val="left"/>
    </w:pPr>
    <w:rPr>
      <w:rFonts w:ascii="Calibri" w:hAnsi="Calibri" w:cs="Calibri"/>
      <w:sz w:val="18"/>
      <w:szCs w:val="18"/>
    </w:rPr>
  </w:style>
  <w:style w:type="paragraph" w:styleId="19">
    <w:name w:val="toc 6"/>
    <w:basedOn w:val="1"/>
    <w:next w:val="1"/>
    <w:unhideWhenUsed/>
    <w:qFormat/>
    <w:uiPriority w:val="39"/>
    <w:pPr>
      <w:ind w:left="1400"/>
      <w:jc w:val="left"/>
    </w:pPr>
    <w:rPr>
      <w:rFonts w:ascii="Calibri" w:hAnsi="Calibri" w:cs="Calibri"/>
      <w:sz w:val="18"/>
      <w:szCs w:val="18"/>
    </w:rPr>
  </w:style>
  <w:style w:type="paragraph" w:styleId="20">
    <w:name w:val="toc 2"/>
    <w:basedOn w:val="1"/>
    <w:next w:val="1"/>
    <w:unhideWhenUsed/>
    <w:qFormat/>
    <w:uiPriority w:val="39"/>
    <w:pPr>
      <w:ind w:left="280"/>
      <w:jc w:val="left"/>
    </w:pPr>
    <w:rPr>
      <w:rFonts w:ascii="Calibri" w:hAnsi="Calibri" w:cs="Calibri"/>
      <w:smallCaps/>
      <w:sz w:val="20"/>
      <w:szCs w:val="20"/>
    </w:rPr>
  </w:style>
  <w:style w:type="paragraph" w:styleId="21">
    <w:name w:val="toc 9"/>
    <w:basedOn w:val="1"/>
    <w:next w:val="1"/>
    <w:unhideWhenUsed/>
    <w:qFormat/>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qFormat/>
    <w:uiPriority w:val="99"/>
    <w:rPr>
      <w:color w:val="0000FF"/>
      <w:u w:val="single"/>
    </w:rPr>
  </w:style>
  <w:style w:type="paragraph" w:customStyle="1" w:styleId="28">
    <w:name w:val="Comment Text"/>
    <w:basedOn w:val="1"/>
    <w:link w:val="38"/>
    <w:unhideWhenUsed/>
    <w:qFormat/>
    <w:uiPriority w:val="99"/>
    <w:rPr>
      <w:rFonts w:cs="Times New Roman"/>
      <w:kern w:val="0"/>
      <w:sz w:val="20"/>
      <w:szCs w:val="20"/>
    </w:rPr>
  </w:style>
  <w:style w:type="paragraph" w:customStyle="1" w:styleId="29">
    <w:name w:val="Comment Subject"/>
    <w:basedOn w:val="28"/>
    <w:next w:val="28"/>
    <w:link w:val="43"/>
    <w:unhideWhenUsed/>
    <w:qFormat/>
    <w:uiPriority w:val="99"/>
    <w:rPr>
      <w:b/>
      <w:bCs/>
    </w:rPr>
  </w:style>
  <w:style w:type="character" w:customStyle="1" w:styleId="30">
    <w:name w:val="Comment Reference"/>
    <w:unhideWhenUsed/>
    <w:qFormat/>
    <w:uiPriority w:val="99"/>
    <w:rPr>
      <w:sz w:val="16"/>
      <w:szCs w:val="16"/>
    </w:rPr>
  </w:style>
  <w:style w:type="character" w:customStyle="1" w:styleId="31">
    <w:name w:val="正文文本缩进 Char"/>
    <w:link w:val="3"/>
    <w:semiHidden/>
    <w:qFormat/>
    <w:uiPriority w:val="99"/>
    <w:rPr>
      <w:rFonts w:ascii="Calibri" w:hAnsi="Calibri" w:eastAsia="仿宋_GB2312" w:cs="黑体"/>
      <w:sz w:val="28"/>
    </w:rPr>
  </w:style>
  <w:style w:type="character" w:customStyle="1" w:styleId="32">
    <w:name w:val="正文首行缩进 2 Char"/>
    <w:link w:val="2"/>
    <w:qFormat/>
    <w:uiPriority w:val="0"/>
    <w:rPr>
      <w:rFonts w:ascii="Calibri" w:hAnsi="Calibri" w:eastAsia="仿宋_GB2312" w:cs="黑体"/>
      <w:sz w:val="28"/>
    </w:rPr>
  </w:style>
  <w:style w:type="character" w:customStyle="1" w:styleId="33">
    <w:name w:val="标题 1 Char"/>
    <w:link w:val="4"/>
    <w:qFormat/>
    <w:uiPriority w:val="9"/>
    <w:rPr>
      <w:rFonts w:ascii="Times New Roman" w:hAnsi="Times New Roman" w:eastAsia="仿宋_GB2312" w:cs="Times New Roman"/>
      <w:b/>
      <w:bCs/>
      <w:kern w:val="44"/>
      <w:sz w:val="32"/>
      <w:szCs w:val="44"/>
    </w:rPr>
  </w:style>
  <w:style w:type="character" w:customStyle="1" w:styleId="34">
    <w:name w:val="标题 2 Char"/>
    <w:link w:val="5"/>
    <w:qFormat/>
    <w:uiPriority w:val="0"/>
    <w:rPr>
      <w:rFonts w:ascii="Cambria" w:hAnsi="Cambria" w:eastAsia="仿宋_GB2312" w:cs="Times New Roman"/>
      <w:b/>
      <w:bCs/>
      <w:kern w:val="0"/>
      <w:sz w:val="30"/>
      <w:szCs w:val="32"/>
    </w:rPr>
  </w:style>
  <w:style w:type="character" w:customStyle="1" w:styleId="35">
    <w:name w:val="标题 3 Char"/>
    <w:link w:val="6"/>
    <w:qFormat/>
    <w:uiPriority w:val="9"/>
    <w:rPr>
      <w:rFonts w:ascii="Calibri" w:hAnsi="Calibri" w:eastAsia="仿宋_GB2312" w:cs="黑体"/>
      <w:bCs/>
      <w:sz w:val="28"/>
      <w:szCs w:val="32"/>
    </w:rPr>
  </w:style>
  <w:style w:type="character" w:customStyle="1" w:styleId="36">
    <w:name w:val="标题 4 Char"/>
    <w:link w:val="7"/>
    <w:semiHidden/>
    <w:qFormat/>
    <w:uiPriority w:val="9"/>
    <w:rPr>
      <w:rFonts w:ascii="Cambria" w:hAnsi="Cambria" w:eastAsia="宋体" w:cs="Times New Roman"/>
      <w:b/>
      <w:bCs/>
      <w:sz w:val="28"/>
      <w:szCs w:val="28"/>
    </w:rPr>
  </w:style>
  <w:style w:type="character" w:customStyle="1" w:styleId="37">
    <w:name w:val="文档结构图 Char"/>
    <w:link w:val="9"/>
    <w:semiHidden/>
    <w:qFormat/>
    <w:uiPriority w:val="99"/>
    <w:rPr>
      <w:rFonts w:ascii="宋体" w:hAnsi="Calibri" w:eastAsia="宋体" w:cs="黑体"/>
      <w:sz w:val="18"/>
      <w:szCs w:val="18"/>
    </w:rPr>
  </w:style>
  <w:style w:type="character" w:customStyle="1" w:styleId="38">
    <w:name w:val="批注文字 Char"/>
    <w:link w:val="28"/>
    <w:semiHidden/>
    <w:qFormat/>
    <w:uiPriority w:val="99"/>
    <w:rPr>
      <w:rFonts w:ascii="Calibri" w:hAnsi="Calibri" w:eastAsia="仿宋_GB2312" w:cs="黑体"/>
      <w:sz w:val="20"/>
      <w:szCs w:val="20"/>
    </w:rPr>
  </w:style>
  <w:style w:type="character" w:customStyle="1" w:styleId="39">
    <w:name w:val="批注框文本 Char"/>
    <w:link w:val="14"/>
    <w:semiHidden/>
    <w:qFormat/>
    <w:uiPriority w:val="99"/>
    <w:rPr>
      <w:rFonts w:ascii="Calibri" w:hAnsi="Calibri" w:eastAsia="仿宋_GB2312" w:cs="黑体"/>
      <w:sz w:val="18"/>
      <w:szCs w:val="18"/>
    </w:rPr>
  </w:style>
  <w:style w:type="character" w:customStyle="1" w:styleId="40">
    <w:name w:val="页脚 Char"/>
    <w:link w:val="15"/>
    <w:qFormat/>
    <w:uiPriority w:val="99"/>
    <w:rPr>
      <w:rFonts w:ascii="Calibri" w:hAnsi="Calibri" w:eastAsia="仿宋_GB2312" w:cs="黑体"/>
      <w:sz w:val="18"/>
      <w:szCs w:val="18"/>
    </w:rPr>
  </w:style>
  <w:style w:type="character" w:customStyle="1" w:styleId="41">
    <w:name w:val="页眉 Char"/>
    <w:link w:val="16"/>
    <w:qFormat/>
    <w:uiPriority w:val="99"/>
    <w:rPr>
      <w:rFonts w:ascii="Calibri" w:hAnsi="Calibri" w:eastAsia="仿宋_GB2312" w:cs="黑体"/>
      <w:sz w:val="18"/>
      <w:szCs w:val="18"/>
    </w:rPr>
  </w:style>
  <w:style w:type="character" w:customStyle="1" w:styleId="42">
    <w:name w:val="标题 Char"/>
    <w:link w:val="22"/>
    <w:qFormat/>
    <w:uiPriority w:val="10"/>
    <w:rPr>
      <w:rFonts w:ascii="Cambria" w:hAnsi="Cambria"/>
      <w:b/>
      <w:bCs/>
      <w:kern w:val="2"/>
      <w:sz w:val="32"/>
      <w:szCs w:val="32"/>
    </w:rPr>
  </w:style>
  <w:style w:type="character" w:customStyle="1" w:styleId="43">
    <w:name w:val="批注主题 Char"/>
    <w:link w:val="29"/>
    <w:semiHidden/>
    <w:qFormat/>
    <w:uiPriority w:val="99"/>
    <w:rPr>
      <w:rFonts w:ascii="Calibri" w:hAnsi="Calibri" w:eastAsia="仿宋_GB2312" w:cs="黑体"/>
      <w:b/>
      <w:bCs/>
      <w:sz w:val="20"/>
      <w:szCs w:val="20"/>
    </w:rPr>
  </w:style>
  <w:style w:type="character" w:customStyle="1" w:styleId="44">
    <w:name w:val="闻政-正文一级标题 Char"/>
    <w:link w:val="45"/>
    <w:qFormat/>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qFormat/>
    <w:uiPriority w:val="3"/>
    <w:rPr>
      <w:rFonts w:ascii="Times New Roman" w:hAnsi="Times New Roman" w:eastAsia="仿宋_GB2312"/>
      <w:sz w:val="28"/>
      <w:szCs w:val="28"/>
    </w:rPr>
  </w:style>
  <w:style w:type="character" w:customStyle="1" w:styleId="48">
    <w:name w:val="闻政-正文二级标题 Char"/>
    <w:link w:val="49"/>
    <w:qFormat/>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qFormat/>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qFormat/>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qFormat/>
    <w:uiPriority w:val="0"/>
    <w:rPr>
      <w:rFonts w:hint="default" w:ascii="Times New Roman" w:hAnsi="Times New Roman" w:cs="Times New Roman"/>
      <w:color w:val="000000"/>
      <w:sz w:val="24"/>
      <w:szCs w:val="24"/>
      <w:u w:val="none"/>
    </w:rPr>
  </w:style>
  <w:style w:type="character" w:customStyle="1" w:styleId="55">
    <w:name w:val="无间隔 Char"/>
    <w:link w:val="56"/>
    <w:qFormat/>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4EDCC621E5E44934B13D4173530911CE_13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144568-8663-4d36-93b8-e650a73e503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4914</Words>
  <Characters>5116</Characters>
  <Lines>44</Lines>
  <Paragraphs>12</Paragraphs>
  <TotalTime>8</TotalTime>
  <ScaleCrop>false</ScaleCrop>
  <LinksUpToDate>false</LinksUpToDate>
  <CharactersWithSpaces>5116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2025-10-10T10:57:20Z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4EDCC621E5E44934B13D4173530911CE_13</vt:lpwstr>
  </property>
  <property fmtid="{D5CDD505-2E9C-101B-9397-08002B2CF9AE}" pid="4" name="KSOTemplateDocerSaveRecord">
    <vt:lpwstr>eyJoZGlkIjoiMGIxZTI3ODM4ZmVjOGE5NDFiYmE3OTRiMjQ5OTEyNzIiLCJ1c2VySWQiOiIzNzI2MDMzNTYifQ==</vt:lpwstr>
  </property>
</Properties>
</file>