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37D55">
      <w:bookmarkStart w:id="20" w:name="_GoBack"/>
      <w:bookmarkEnd w:id="20"/>
    </w:p>
    <w:p w14:paraId="0D2C2426">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4A503E8A">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和田地区洛浦县西部计划志愿者生活补助项目</w:t>
      </w:r>
    </w:p>
    <w:p w14:paraId="1A11A988">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支出绩效评价报告</w:t>
      </w:r>
    </w:p>
    <w:p w14:paraId="5F89AC5D">
      <w:pPr>
        <w:pStyle w:val="6"/>
        <w:ind w:left="0" w:leftChars="0" w:firstLine="0" w:firstLineChars="0"/>
        <w:jc w:val="center"/>
        <w:rPr>
          <w:rFonts w:hint="eastAsia" w:ascii="宋体" w:hAnsi="宋体" w:eastAsia="宋体" w:cs="宋体"/>
          <w:b/>
          <w:bCs w:val="0"/>
          <w:color w:val="000000"/>
          <w:sz w:val="28"/>
          <w:szCs w:val="28"/>
          <w:highlight w:val="none"/>
          <w:lang w:eastAsia="zh-CN"/>
        </w:rPr>
      </w:pPr>
      <w:r>
        <w:rPr>
          <w:rFonts w:hint="eastAsia" w:ascii="宋体" w:hAnsi="宋体" w:eastAsia="宋体" w:cs="宋体"/>
          <w:b/>
          <w:bCs w:val="0"/>
          <w:color w:val="000000"/>
          <w:sz w:val="28"/>
          <w:szCs w:val="28"/>
          <w:highlight w:val="none"/>
          <w:lang w:eastAsia="zh-CN"/>
        </w:rPr>
        <w:t>（</w:t>
      </w:r>
      <w:r>
        <w:rPr>
          <w:rFonts w:hint="eastAsia" w:ascii="宋体" w:hAnsi="宋体" w:eastAsia="宋体" w:cs="宋体"/>
          <w:b/>
          <w:bCs w:val="0"/>
          <w:color w:val="000000"/>
          <w:sz w:val="28"/>
          <w:szCs w:val="28"/>
          <w:highlight w:val="none"/>
          <w:lang w:val="en-US" w:eastAsia="zh-CN"/>
        </w:rPr>
        <w:t>2024年度</w:t>
      </w:r>
      <w:r>
        <w:rPr>
          <w:rFonts w:hint="eastAsia" w:ascii="宋体" w:hAnsi="宋体" w:eastAsia="宋体" w:cs="宋体"/>
          <w:b/>
          <w:bCs w:val="0"/>
          <w:color w:val="000000"/>
          <w:sz w:val="28"/>
          <w:szCs w:val="28"/>
          <w:highlight w:val="none"/>
          <w:lang w:eastAsia="zh-CN"/>
        </w:rPr>
        <w:t>）</w:t>
      </w:r>
    </w:p>
    <w:p w14:paraId="0E436AD9">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01BDBB78">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4ECDB9B5">
      <w:pPr>
        <w:pStyle w:val="6"/>
        <w:rPr>
          <w:rFonts w:hint="eastAsia" w:eastAsia="方正仿宋_GBK" w:cs="方正仿宋_GBK"/>
          <w:b/>
          <w:kern w:val="0"/>
          <w:sz w:val="32"/>
          <w:szCs w:val="32"/>
          <w:lang w:bidi="en-US"/>
        </w:rPr>
      </w:pPr>
    </w:p>
    <w:p w14:paraId="76E8979C">
      <w:pPr>
        <w:rPr>
          <w:rFonts w:hint="eastAsia" w:eastAsia="方正仿宋_GBK" w:cs="方正仿宋_GBK"/>
          <w:b/>
          <w:kern w:val="0"/>
          <w:sz w:val="32"/>
          <w:szCs w:val="32"/>
          <w:lang w:bidi="en-US"/>
        </w:rPr>
      </w:pPr>
    </w:p>
    <w:p w14:paraId="46C315BC">
      <w:pPr>
        <w:pStyle w:val="6"/>
        <w:rPr>
          <w:rFonts w:hint="eastAsia"/>
        </w:rPr>
      </w:pPr>
    </w:p>
    <w:p w14:paraId="2A873A18">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26542257">
      <w:pPr>
        <w:pageBreakBefore w:val="0"/>
        <w:widowControl w:val="0"/>
        <w:kinsoku/>
        <w:wordWrap/>
        <w:topLinePunct w:val="0"/>
        <w:autoSpaceDE/>
        <w:autoSpaceDN/>
        <w:bidi w:val="0"/>
        <w:spacing w:line="560" w:lineRule="exact"/>
        <w:ind w:left="0" w:leftChars="0" w:firstLine="560"/>
        <w:textAlignment w:val="auto"/>
        <w:rPr>
          <w:rFonts w:hint="eastAsia"/>
        </w:rPr>
      </w:pPr>
    </w:p>
    <w:p w14:paraId="5499D00B">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721FB907">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项目名称：</w:t>
      </w:r>
      <w:r>
        <w:rPr>
          <w:rFonts w:hint="eastAsia" w:ascii="宋体" w:hAnsi="宋体" w:eastAsia="宋体" w:cs="宋体"/>
          <w:b/>
          <w:bCs/>
          <w:color w:val="000000"/>
          <w:kern w:val="0"/>
          <w:sz w:val="28"/>
          <w:szCs w:val="28"/>
          <w:highlight w:val="none"/>
          <w:lang w:val="en-US" w:eastAsia="zh-CN" w:bidi="en-US"/>
        </w:rPr>
        <w:t>西部计划志愿者生活补助</w:t>
      </w:r>
      <w:r>
        <w:rPr>
          <w:rFonts w:hint="eastAsia" w:ascii="宋体" w:hAnsi="宋体" w:eastAsia="宋体" w:cs="宋体"/>
          <w:b/>
          <w:bCs/>
          <w:color w:val="000000"/>
          <w:kern w:val="0"/>
          <w:sz w:val="28"/>
          <w:szCs w:val="28"/>
          <w:highlight w:val="none"/>
          <w:lang w:bidi="en-US"/>
        </w:rPr>
        <w:t>项目</w:t>
      </w:r>
    </w:p>
    <w:p w14:paraId="19161536">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项目单位：</w:t>
      </w:r>
      <w:r>
        <w:rPr>
          <w:rFonts w:hint="eastAsia" w:ascii="宋体" w:hAnsi="宋体" w:eastAsia="宋体" w:cs="宋体"/>
          <w:b/>
          <w:bCs/>
          <w:color w:val="000000"/>
          <w:kern w:val="0"/>
          <w:sz w:val="28"/>
          <w:szCs w:val="28"/>
          <w:highlight w:val="none"/>
          <w:lang w:eastAsia="zh-CN" w:bidi="en-US"/>
        </w:rPr>
        <w:t>中国共产主义青年团洛浦县委员会</w:t>
      </w:r>
    </w:p>
    <w:p w14:paraId="7B009718">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主管部门</w:t>
      </w:r>
      <w:r>
        <w:rPr>
          <w:rFonts w:hint="eastAsia" w:ascii="宋体" w:hAnsi="宋体" w:eastAsia="宋体" w:cs="宋体"/>
          <w:b/>
          <w:bCs/>
          <w:color w:val="000000"/>
          <w:kern w:val="0"/>
          <w:sz w:val="28"/>
          <w:szCs w:val="28"/>
          <w:highlight w:val="none"/>
          <w:lang w:eastAsia="zh-CN" w:bidi="en-US"/>
        </w:rPr>
        <w:t>：中国共产主义青年团洛浦县委员会</w:t>
      </w:r>
    </w:p>
    <w:p w14:paraId="15EEC845">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项目负责人：</w:t>
      </w:r>
      <w:r>
        <w:rPr>
          <w:rFonts w:hint="eastAsia" w:ascii="宋体" w:hAnsi="宋体" w:eastAsia="宋体" w:cs="宋体"/>
          <w:b/>
          <w:bCs/>
          <w:color w:val="000000"/>
          <w:kern w:val="0"/>
          <w:sz w:val="28"/>
          <w:szCs w:val="28"/>
          <w:highlight w:val="none"/>
          <w:lang w:eastAsia="zh-CN" w:bidi="en-US"/>
        </w:rPr>
        <w:t>蒋娟</w:t>
      </w:r>
    </w:p>
    <w:p w14:paraId="0F309FDA">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2025</w:t>
      </w:r>
      <w:r>
        <w:rPr>
          <w:rFonts w:hint="eastAsia" w:ascii="宋体" w:hAnsi="宋体" w:eastAsia="宋体" w:cs="宋体"/>
          <w:b/>
          <w:bCs/>
          <w:color w:val="000000"/>
          <w:kern w:val="0"/>
          <w:sz w:val="28"/>
          <w:szCs w:val="28"/>
          <w:highlight w:val="none"/>
          <w:lang w:bidi="en-US"/>
        </w:rPr>
        <w:t>年</w:t>
      </w:r>
      <w:r>
        <w:rPr>
          <w:rFonts w:hint="eastAsia" w:ascii="宋体" w:hAnsi="宋体" w:eastAsia="宋体" w:cs="宋体"/>
          <w:b/>
          <w:bCs/>
          <w:color w:val="000000"/>
          <w:kern w:val="0"/>
          <w:sz w:val="28"/>
          <w:szCs w:val="28"/>
          <w:highlight w:val="none"/>
          <w:lang w:val="en-US" w:eastAsia="zh-CN" w:bidi="en-US"/>
        </w:rPr>
        <w:t>3</w:t>
      </w:r>
      <w:r>
        <w:rPr>
          <w:rFonts w:hint="eastAsia" w:ascii="宋体" w:hAnsi="宋体" w:eastAsia="宋体" w:cs="宋体"/>
          <w:b/>
          <w:bCs/>
          <w:color w:val="000000"/>
          <w:kern w:val="0"/>
          <w:sz w:val="28"/>
          <w:szCs w:val="28"/>
          <w:highlight w:val="none"/>
          <w:lang w:bidi="en-US"/>
        </w:rPr>
        <w:t>月</w:t>
      </w:r>
      <w:r>
        <w:rPr>
          <w:rFonts w:hint="eastAsia" w:ascii="宋体" w:hAnsi="宋体" w:eastAsia="宋体" w:cs="宋体"/>
          <w:b/>
          <w:bCs/>
          <w:color w:val="000000"/>
          <w:kern w:val="0"/>
          <w:sz w:val="28"/>
          <w:szCs w:val="28"/>
          <w:highlight w:val="none"/>
          <w:lang w:val="en-US" w:eastAsia="zh-CN" w:bidi="en-US"/>
        </w:rPr>
        <w:t>6</w:t>
      </w:r>
      <w:r>
        <w:rPr>
          <w:rFonts w:hint="eastAsia" w:ascii="宋体" w:hAnsi="宋体" w:eastAsia="宋体" w:cs="宋体"/>
          <w:b/>
          <w:bCs/>
          <w:color w:val="000000"/>
          <w:kern w:val="0"/>
          <w:sz w:val="28"/>
          <w:szCs w:val="28"/>
          <w:highlight w:val="none"/>
          <w:lang w:bidi="en-US"/>
        </w:rPr>
        <w:t>日</w:t>
      </w:r>
    </w:p>
    <w:p w14:paraId="4480D6AB">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kern w:val="0"/>
          <w:sz w:val="28"/>
          <w:szCs w:val="28"/>
          <w:lang w:bidi="en-US"/>
        </w:rPr>
      </w:pPr>
    </w:p>
    <w:p w14:paraId="2A680451">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color w:val="000000"/>
          <w:sz w:val="24"/>
          <w:szCs w:val="24"/>
          <w:highlight w:val="none"/>
        </w:rPr>
      </w:pPr>
      <w:r>
        <w:rPr>
          <w:rFonts w:hint="eastAsia" w:ascii="黑体" w:hAnsi="黑体" w:eastAsia="黑体" w:cs="黑体"/>
          <w:color w:val="000000"/>
          <w:sz w:val="24"/>
          <w:szCs w:val="24"/>
          <w:highlight w:val="none"/>
          <w:lang w:val="en-US" w:eastAsia="zh-CN"/>
        </w:rPr>
        <w:t>一、</w:t>
      </w:r>
      <w:r>
        <w:rPr>
          <w:rFonts w:hint="eastAsia" w:ascii="黑体" w:hAnsi="黑体" w:eastAsia="黑体" w:cs="黑体"/>
          <w:color w:val="000000"/>
          <w:sz w:val="24"/>
          <w:szCs w:val="24"/>
          <w:highlight w:val="none"/>
        </w:rPr>
        <w:t>基本情况</w:t>
      </w:r>
    </w:p>
    <w:p w14:paraId="64B5B407">
      <w:pPr>
        <w:pStyle w:val="49"/>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0" w:name="_Toc68364658"/>
      <w:r>
        <w:rPr>
          <w:rFonts w:hint="eastAsia" w:ascii="宋体" w:hAnsi="宋体" w:eastAsia="宋体" w:cs="宋体"/>
          <w:color w:val="000000"/>
          <w:sz w:val="24"/>
          <w:szCs w:val="24"/>
          <w:highlight w:val="none"/>
          <w:lang w:eastAsia="zh-CN"/>
        </w:rPr>
        <w:t>（一）</w:t>
      </w:r>
      <w:r>
        <w:rPr>
          <w:rFonts w:hint="eastAsia" w:ascii="宋体" w:hAnsi="宋体" w:eastAsia="宋体" w:cs="宋体"/>
          <w:color w:val="000000"/>
          <w:sz w:val="24"/>
          <w:szCs w:val="24"/>
          <w:highlight w:val="none"/>
        </w:rPr>
        <w:t>项目概况</w:t>
      </w:r>
      <w:bookmarkEnd w:id="0"/>
    </w:p>
    <w:p w14:paraId="0630C8C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1.项目背景</w:t>
      </w:r>
    </w:p>
    <w:p w14:paraId="6158D048">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按照《关于印发&lt;2018-2019年度大学生志愿服务西部计划新疆专项实施方案&gt;的通知》（新团办联发【2018】16号）的规定，西部计划志愿者在岗服务期间，基层服务单位按不低于800元/人/月标准发放工作生活补助，有条件的单位可根据实际情况适当上调工作生活补助金额。项目的实施将促进大学生志愿服务西部计划项目融入地方发展，吸引更多有志青年来洛工作。</w:t>
      </w:r>
    </w:p>
    <w:p w14:paraId="5E305DE2">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2BB9DEB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53085EE5">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每月按照全国+南疆专项西部计划志愿者在岗数量，保障其工作生活补助，每月按不低于800元/人/月标准进行发放。</w:t>
      </w:r>
    </w:p>
    <w:p w14:paraId="46B78FA7">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778F5223">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7FC3A285">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本项目主管部门为中国共产主义青年团洛浦县委员会，实施单位为中国共产主义青年团洛浦县委员会。</w:t>
      </w:r>
    </w:p>
    <w:p w14:paraId="02789AC2">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374AB604">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2024年10月-2024年11月</w:t>
      </w:r>
    </w:p>
    <w:p w14:paraId="45191A72">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0DAC5F06">
      <w:pPr>
        <w:pStyle w:val="46"/>
        <w:pageBreakBefore w:val="0"/>
        <w:widowControl w:val="0"/>
        <w:kinsoku/>
        <w:wordWrap/>
        <w:overflowPunct/>
        <w:topLinePunct w:val="0"/>
        <w:autoSpaceDE/>
        <w:autoSpaceDN/>
        <w:bidi w:val="0"/>
        <w:adjustRightInd/>
        <w:snapToGrid/>
        <w:spacing w:line="560" w:lineRule="exact"/>
        <w:ind w:left="0" w:leftChars="0" w:firstLine="643"/>
        <w:jc w:val="both"/>
        <w:textAlignment w:val="auto"/>
        <w:outlineLvl w:val="2"/>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截止2024年12月，9月-10月全国+南疆专项西部计划志愿者平均在岗人数131人，已完成西部计划志愿者10月至11月份生活补助的发放。项目的实施一定程度促进大学生志愿服务西部计划项目融入地方发展，吸引更多有志青年来洛工作。</w:t>
      </w:r>
    </w:p>
    <w:p w14:paraId="47E6167B">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75B71425">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3A9D1D01">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本项目预算安排总额为</w:t>
      </w:r>
      <w:r>
        <w:rPr>
          <w:rFonts w:hint="eastAsia" w:ascii="宋体" w:hAnsi="宋体" w:eastAsia="宋体" w:cs="宋体"/>
          <w:color w:val="000000"/>
          <w:sz w:val="24"/>
          <w:szCs w:val="24"/>
          <w:highlight w:val="none"/>
          <w:lang w:val="en-US" w:eastAsia="zh-CN"/>
        </w:rPr>
        <w:t>34.8</w:t>
      </w:r>
      <w:r>
        <w:rPr>
          <w:rFonts w:hint="eastAsia" w:ascii="宋体" w:hAnsi="宋体" w:eastAsia="宋体" w:cs="宋体"/>
          <w:color w:val="000000"/>
          <w:sz w:val="24"/>
          <w:szCs w:val="24"/>
          <w:highlight w:val="none"/>
        </w:rPr>
        <w:t>万元，资金来源为部门预算（地方政府专项），其中：财政资金</w:t>
      </w:r>
      <w:r>
        <w:rPr>
          <w:rFonts w:hint="eastAsia" w:ascii="宋体" w:hAnsi="宋体" w:eastAsia="宋体" w:cs="宋体"/>
          <w:color w:val="000000"/>
          <w:sz w:val="24"/>
          <w:szCs w:val="24"/>
          <w:highlight w:val="none"/>
          <w:lang w:val="en-US" w:eastAsia="zh-CN"/>
        </w:rPr>
        <w:t>34.8</w:t>
      </w:r>
      <w:r>
        <w:rPr>
          <w:rFonts w:hint="eastAsia" w:ascii="宋体" w:hAnsi="宋体" w:eastAsia="宋体" w:cs="宋体"/>
          <w:color w:val="000000"/>
          <w:sz w:val="24"/>
          <w:szCs w:val="24"/>
          <w:highlight w:val="none"/>
        </w:rPr>
        <w:t>万元，202</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年实际收到预算资金</w:t>
      </w:r>
      <w:r>
        <w:rPr>
          <w:rFonts w:hint="eastAsia" w:ascii="宋体" w:hAnsi="宋体" w:eastAsia="宋体" w:cs="宋体"/>
          <w:color w:val="000000"/>
          <w:sz w:val="24"/>
          <w:szCs w:val="24"/>
          <w:highlight w:val="none"/>
          <w:lang w:val="en-US" w:eastAsia="zh-CN"/>
        </w:rPr>
        <w:t>34.8</w:t>
      </w:r>
      <w:r>
        <w:rPr>
          <w:rFonts w:hint="eastAsia" w:ascii="宋体" w:hAnsi="宋体" w:eastAsia="宋体" w:cs="宋体"/>
          <w:color w:val="000000"/>
          <w:sz w:val="24"/>
          <w:szCs w:val="24"/>
          <w:highlight w:val="none"/>
        </w:rPr>
        <w:t>万元，预算资金到位率为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0C764808">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（2）项目资金实际使用情况分析</w:t>
      </w:r>
    </w:p>
    <w:p w14:paraId="04C749E1">
      <w:pPr>
        <w:pStyle w:val="46"/>
        <w:pageBreakBefore w:val="0"/>
        <w:widowControl w:val="0"/>
        <w:kinsoku/>
        <w:wordWrap/>
        <w:overflowPunct/>
        <w:topLinePunct w:val="0"/>
        <w:autoSpaceDE/>
        <w:autoSpaceDN/>
        <w:bidi w:val="0"/>
        <w:adjustRightInd/>
        <w:snapToGrid/>
        <w:spacing w:line="560" w:lineRule="exact"/>
        <w:ind w:left="0" w:leftChars="0" w:firstLine="640"/>
        <w:jc w:val="both"/>
        <w:textAlignment w:val="auto"/>
        <w:rPr>
          <w:rFonts w:hint="default" w:ascii="宋体" w:hAnsi="宋体" w:eastAsia="宋体" w:cs="宋体"/>
          <w:color w:val="auto"/>
          <w:sz w:val="24"/>
          <w:szCs w:val="24"/>
          <w:lang w:val="en-US"/>
        </w:rPr>
      </w:pPr>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val="en-US" w:eastAsia="zh-CN"/>
        </w:rPr>
        <w:t>34.8</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%。本项目资金主要用于支付</w:t>
      </w:r>
      <w:r>
        <w:rPr>
          <w:rFonts w:hint="eastAsia" w:ascii="宋体" w:hAnsi="宋体" w:eastAsia="宋体" w:cs="宋体"/>
          <w:color w:val="auto"/>
          <w:sz w:val="24"/>
          <w:szCs w:val="24"/>
          <w:lang w:eastAsia="zh-CN"/>
        </w:rPr>
        <w:t>全国</w:t>
      </w:r>
      <w:r>
        <w:rPr>
          <w:rFonts w:hint="eastAsia" w:ascii="宋体" w:hAnsi="宋体" w:eastAsia="宋体" w:cs="宋体"/>
          <w:color w:val="auto"/>
          <w:sz w:val="24"/>
          <w:szCs w:val="24"/>
          <w:lang w:val="en-US" w:eastAsia="zh-CN"/>
        </w:rPr>
        <w:t>+南疆专项西部计划志愿者10月-11月工作生活补助。</w:t>
      </w:r>
    </w:p>
    <w:p w14:paraId="5DDD6DCA">
      <w:pPr>
        <w:pStyle w:val="49"/>
        <w:pageBreakBefore w:val="0"/>
        <w:widowControl w:val="0"/>
        <w:kinsoku/>
        <w:wordWrap/>
        <w:overflowPunct/>
        <w:topLinePunct w:val="0"/>
        <w:autoSpaceDE/>
        <w:autoSpaceDN/>
        <w:bidi w:val="0"/>
        <w:adjustRightInd/>
        <w:snapToGrid/>
        <w:spacing w:before="0" w:after="0" w:line="560" w:lineRule="exact"/>
        <w:ind w:left="0" w:leftChars="0" w:firstLine="480" w:firstLineChars="200"/>
        <w:jc w:val="both"/>
        <w:textAlignment w:val="auto"/>
        <w:rPr>
          <w:rFonts w:hint="eastAsia" w:ascii="宋体" w:hAnsi="宋体" w:eastAsia="宋体" w:cs="宋体"/>
          <w:color w:val="auto"/>
          <w:sz w:val="24"/>
          <w:szCs w:val="24"/>
        </w:rPr>
      </w:pPr>
      <w:bookmarkStart w:id="1" w:name="_Toc68364659"/>
      <w:r>
        <w:rPr>
          <w:rFonts w:hint="eastAsia" w:ascii="宋体" w:hAnsi="宋体" w:eastAsia="宋体" w:cs="宋体"/>
          <w:color w:val="auto"/>
          <w:sz w:val="24"/>
          <w:szCs w:val="24"/>
        </w:rPr>
        <w:t>（二）项目绩效目标</w:t>
      </w:r>
      <w:bookmarkEnd w:id="1"/>
    </w:p>
    <w:p w14:paraId="4C58CFE3">
      <w:pPr>
        <w:pStyle w:val="46"/>
        <w:pageBreakBefore w:val="0"/>
        <w:widowControl w:val="0"/>
        <w:kinsoku/>
        <w:wordWrap/>
        <w:overflowPunct/>
        <w:topLinePunct w:val="0"/>
        <w:autoSpaceDE/>
        <w:autoSpaceDN/>
        <w:bidi w:val="0"/>
        <w:adjustRightInd/>
        <w:snapToGrid/>
        <w:spacing w:line="560" w:lineRule="exact"/>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项目绩效目标包括项目总</w:t>
      </w:r>
      <w:r>
        <w:rPr>
          <w:rFonts w:hint="eastAsia" w:ascii="宋体" w:hAnsi="宋体" w:eastAsia="宋体" w:cs="宋体"/>
          <w:color w:val="auto"/>
          <w:sz w:val="24"/>
          <w:szCs w:val="24"/>
          <w:lang w:val="en-US" w:eastAsia="zh-CN"/>
        </w:rPr>
        <w:t>体</w:t>
      </w:r>
      <w:r>
        <w:rPr>
          <w:rFonts w:hint="eastAsia" w:ascii="宋体" w:hAnsi="宋体" w:eastAsia="宋体" w:cs="宋体"/>
          <w:color w:val="auto"/>
          <w:sz w:val="24"/>
          <w:szCs w:val="24"/>
        </w:rPr>
        <w:t>目标和阶段性目标。</w:t>
      </w:r>
    </w:p>
    <w:p w14:paraId="4ABC6C74">
      <w:pPr>
        <w:pStyle w:val="46"/>
        <w:pageBreakBefore w:val="0"/>
        <w:widowControl w:val="0"/>
        <w:kinsoku/>
        <w:wordWrap/>
        <w:overflowPunct/>
        <w:topLinePunct w:val="0"/>
        <w:autoSpaceDE/>
        <w:autoSpaceDN/>
        <w:bidi w:val="0"/>
        <w:adjustRightInd/>
        <w:snapToGrid/>
        <w:spacing w:line="560" w:lineRule="exact"/>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1.总</w:t>
      </w:r>
      <w:r>
        <w:rPr>
          <w:rFonts w:hint="eastAsia" w:ascii="宋体" w:hAnsi="宋体" w:eastAsia="宋体" w:cs="宋体"/>
          <w:b/>
          <w:bCs/>
          <w:color w:val="auto"/>
          <w:sz w:val="24"/>
          <w:szCs w:val="24"/>
          <w:lang w:val="en-US" w:eastAsia="zh-CN"/>
        </w:rPr>
        <w:t>体</w:t>
      </w:r>
      <w:r>
        <w:rPr>
          <w:rFonts w:hint="eastAsia" w:ascii="宋体" w:hAnsi="宋体" w:eastAsia="宋体" w:cs="宋体"/>
          <w:b/>
          <w:bCs/>
          <w:color w:val="auto"/>
          <w:sz w:val="24"/>
          <w:szCs w:val="24"/>
        </w:rPr>
        <w:t>目标</w:t>
      </w:r>
    </w:p>
    <w:p w14:paraId="79DA5034">
      <w:pPr>
        <w:pStyle w:val="46"/>
        <w:pageBreakBefore w:val="0"/>
        <w:widowControl w:val="0"/>
        <w:numPr>
          <w:ilvl w:val="0"/>
          <w:numId w:val="0"/>
        </w:numPr>
        <w:kinsoku/>
        <w:wordWrap/>
        <w:overflowPunct/>
        <w:topLinePunct w:val="0"/>
        <w:autoSpaceDE/>
        <w:autoSpaceDN/>
        <w:bidi w:val="0"/>
        <w:adjustRightInd/>
        <w:snapToGrid/>
        <w:spacing w:line="560" w:lineRule="exact"/>
        <w:ind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color w:val="auto"/>
          <w:sz w:val="24"/>
          <w:szCs w:val="24"/>
          <w:lang w:eastAsia="zh-CN"/>
        </w:rPr>
        <w:t>按照《关于印发&lt;2018-2019年度大学生志愿服务西部计划新疆专项实施方案&gt;的通知》（新团办联发【2018】16号）的规定，西部计划志愿者在岗服务期间，基层服务单位按不低于800元/人/月标准发放工作生活补助，有条件的单位可根据实际情况适当上调工作生活补助金额。项目的实施将促进大学生志愿服务西部计划项目融入地方发展，吸引更多有志青年来洛工作。</w:t>
      </w:r>
    </w:p>
    <w:p w14:paraId="28B5888A">
      <w:pPr>
        <w:pStyle w:val="46"/>
        <w:pageBreakBefore w:val="0"/>
        <w:widowControl w:val="0"/>
        <w:numPr>
          <w:ilvl w:val="0"/>
          <w:numId w:val="1"/>
        </w:numPr>
        <w:kinsoku/>
        <w:wordWrap/>
        <w:overflowPunct/>
        <w:topLinePunct w:val="0"/>
        <w:autoSpaceDE/>
        <w:autoSpaceDN/>
        <w:bidi w:val="0"/>
        <w:adjustRightInd/>
        <w:snapToGrid/>
        <w:spacing w:line="560" w:lineRule="exact"/>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阶段性目标</w:t>
      </w:r>
    </w:p>
    <w:p w14:paraId="0842F8CC">
      <w:pPr>
        <w:pStyle w:val="46"/>
        <w:pageBreakBefore w:val="0"/>
        <w:widowControl w:val="0"/>
        <w:numPr>
          <w:ilvl w:val="0"/>
          <w:numId w:val="0"/>
        </w:numPr>
        <w:kinsoku/>
        <w:wordWrap/>
        <w:overflowPunct/>
        <w:topLinePunct w:val="0"/>
        <w:autoSpaceDE/>
        <w:autoSpaceDN/>
        <w:bidi w:val="0"/>
        <w:adjustRightInd/>
        <w:snapToGrid/>
        <w:spacing w:line="560" w:lineRule="exact"/>
        <w:ind w:firstLine="480" w:firstLineChars="200"/>
        <w:jc w:val="both"/>
        <w:textAlignment w:val="auto"/>
        <w:outlineLvl w:val="2"/>
        <w:rPr>
          <w:rFonts w:hint="eastAsia" w:ascii="宋体" w:hAnsi="宋体" w:eastAsia="宋体" w:cs="宋体"/>
          <w:color w:val="auto"/>
          <w:sz w:val="24"/>
          <w:szCs w:val="24"/>
        </w:rPr>
      </w:pPr>
      <w:bookmarkStart w:id="2"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3BDD85B7">
      <w:pPr>
        <w:pStyle w:val="46"/>
        <w:pageBreakBefore w:val="0"/>
        <w:widowControl w:val="0"/>
        <w:numPr>
          <w:ilvl w:val="0"/>
          <w:numId w:val="2"/>
        </w:numPr>
        <w:kinsoku/>
        <w:wordWrap/>
        <w:overflowPunct/>
        <w:topLinePunct w:val="0"/>
        <w:autoSpaceDE/>
        <w:autoSpaceDN/>
        <w:bidi w:val="0"/>
        <w:adjustRightInd/>
        <w:snapToGrid/>
        <w:spacing w:line="560" w:lineRule="exact"/>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78B99685">
      <w:pPr>
        <w:pStyle w:val="46"/>
        <w:pageBreakBefore w:val="0"/>
        <w:widowControl w:val="0"/>
        <w:numPr>
          <w:ilvl w:val="0"/>
          <w:numId w:val="3"/>
        </w:numPr>
        <w:kinsoku/>
        <w:wordWrap/>
        <w:overflowPunct/>
        <w:topLinePunct w:val="0"/>
        <w:autoSpaceDE/>
        <w:autoSpaceDN/>
        <w:bidi w:val="0"/>
        <w:adjustRightInd/>
        <w:snapToGrid/>
        <w:spacing w:line="560" w:lineRule="exact"/>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52471731">
      <w:pPr>
        <w:pStyle w:val="46"/>
        <w:pageBreakBefore w:val="0"/>
        <w:widowControl w:val="0"/>
        <w:numPr>
          <w:ilvl w:val="0"/>
          <w:numId w:val="0"/>
        </w:numPr>
        <w:kinsoku/>
        <w:wordWrap/>
        <w:overflowPunct/>
        <w:topLinePunct w:val="0"/>
        <w:autoSpaceDE/>
        <w:autoSpaceDN/>
        <w:bidi w:val="0"/>
        <w:adjustRightInd/>
        <w:snapToGrid/>
        <w:spacing w:line="560" w:lineRule="exact"/>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指标1：西部计划志愿者在岗数量</w:t>
      </w:r>
      <w:r>
        <w:rPr>
          <w:rFonts w:hint="eastAsia" w:ascii="宋体" w:hAnsi="宋体" w:eastAsia="宋体" w:cs="宋体"/>
          <w:color w:val="auto"/>
          <w:sz w:val="24"/>
          <w:szCs w:val="24"/>
          <w:lang w:eastAsia="zh-CN"/>
        </w:rPr>
        <w:t>，</w:t>
      </w:r>
      <w:r>
        <w:rPr>
          <w:rFonts w:hint="eastAsia" w:ascii="宋体" w:hAnsi="宋体" w:eastAsia="宋体" w:cs="宋体"/>
          <w:color w:val="000000"/>
          <w:sz w:val="24"/>
          <w:szCs w:val="24"/>
          <w:highlight w:val="none"/>
          <w:lang w:val="en-US" w:eastAsia="zh-CN"/>
        </w:rPr>
        <w:t>预期指标值≥131人；</w:t>
      </w:r>
    </w:p>
    <w:p w14:paraId="571852F9">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2）质量指标：</w:t>
      </w:r>
    </w:p>
    <w:p w14:paraId="4F413E9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指标1：补贴覆盖率，预期指标值=100%；</w:t>
      </w:r>
    </w:p>
    <w:p w14:paraId="15B87201">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000000"/>
          <w:sz w:val="24"/>
          <w:szCs w:val="24"/>
          <w:highlight w:val="none"/>
          <w:lang w:val="en-US" w:eastAsia="zh-CN"/>
        </w:rPr>
        <w:t>指标2：资金使用合规率，预期指标值=100%；</w:t>
      </w:r>
    </w:p>
    <w:p w14:paraId="701995C7">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3）时效指标：</w:t>
      </w:r>
    </w:p>
    <w:p w14:paraId="007382E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指标1：项目完成时间，预期指标值2024年12月；</w:t>
      </w:r>
    </w:p>
    <w:p w14:paraId="5508BB9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指标2：资金发放及时率，预期指标值=100%；</w:t>
      </w:r>
    </w:p>
    <w:p w14:paraId="325472AC">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（2）成本指标：</w:t>
      </w:r>
    </w:p>
    <w:p w14:paraId="1D41B3F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1）经济成本指标</w:t>
      </w:r>
    </w:p>
    <w:p w14:paraId="5290E8DC">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指标1：西部计划者生活补助的发放标准，预期指标值≤1200元/月/人；</w:t>
      </w:r>
    </w:p>
    <w:p w14:paraId="05107618">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2）社会成本指标：</w:t>
      </w:r>
    </w:p>
    <w:p w14:paraId="100B8EF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该项目无社会成本指标；</w:t>
      </w:r>
    </w:p>
    <w:p w14:paraId="02C02F9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3）生态成本指标;</w:t>
      </w:r>
    </w:p>
    <w:p w14:paraId="18F4B203">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该项目无生态成本指标；</w:t>
      </w:r>
    </w:p>
    <w:p w14:paraId="68270830">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（3）效益指标</w:t>
      </w:r>
    </w:p>
    <w:p w14:paraId="77702255">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1）经济效益指标：</w:t>
      </w:r>
    </w:p>
    <w:p w14:paraId="56AB3A06">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该项目无经济效益指标；</w:t>
      </w:r>
    </w:p>
    <w:p w14:paraId="3B356E0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社会效益指标：</w:t>
      </w:r>
    </w:p>
    <w:p w14:paraId="759B4AF0">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指标1：促进大学生志愿服务西部计划项目融入地方发展，预期指标值为有效促进；</w:t>
      </w:r>
    </w:p>
    <w:p w14:paraId="07921968">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3）生态效益指标：</w:t>
      </w:r>
    </w:p>
    <w:p w14:paraId="6218AAD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该项目无生态效益指标；</w:t>
      </w:r>
    </w:p>
    <w:p w14:paraId="17EE669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（4）服务对象满意度指标：</w:t>
      </w:r>
    </w:p>
    <w:p w14:paraId="26EBF80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指标1：受益西部计划志愿者满意度，预期指标值≥95%。</w:t>
      </w:r>
    </w:p>
    <w:p w14:paraId="52B244A1">
      <w:pPr>
        <w:pStyle w:val="4"/>
        <w:pageBreakBefore w:val="0"/>
        <w:widowControl w:val="0"/>
        <w:kinsoku/>
        <w:wordWrap/>
        <w:overflowPunct/>
        <w:topLinePunct w:val="0"/>
        <w:autoSpaceDE/>
        <w:autoSpaceDN/>
        <w:bidi w:val="0"/>
        <w:adjustRightInd/>
        <w:snapToGrid/>
        <w:spacing w:before="0" w:after="0" w:line="560" w:lineRule="exact"/>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二、绩效评价工作开展情况</w:t>
      </w:r>
      <w:bookmarkEnd w:id="2"/>
    </w:p>
    <w:p w14:paraId="3552C589">
      <w:pPr>
        <w:pStyle w:val="49"/>
        <w:pageBreakBefore w:val="0"/>
        <w:widowControl w:val="0"/>
        <w:kinsoku/>
        <w:wordWrap/>
        <w:overflowPunct/>
        <w:topLinePunct w:val="0"/>
        <w:autoSpaceDE/>
        <w:autoSpaceDN/>
        <w:bidi w:val="0"/>
        <w:adjustRightInd/>
        <w:snapToGrid/>
        <w:spacing w:before="0" w:after="0" w:line="560" w:lineRule="exact"/>
        <w:ind w:left="0" w:leftChars="0" w:firstLine="480" w:firstLineChars="200"/>
        <w:jc w:val="both"/>
        <w:textAlignment w:val="auto"/>
        <w:rPr>
          <w:rFonts w:hint="eastAsia" w:ascii="宋体" w:hAnsi="宋体" w:eastAsia="宋体" w:cs="宋体"/>
          <w:color w:val="auto"/>
          <w:sz w:val="24"/>
          <w:szCs w:val="24"/>
        </w:rPr>
      </w:pPr>
      <w:bookmarkStart w:id="3" w:name="_Toc68364661"/>
      <w:r>
        <w:rPr>
          <w:rFonts w:hint="eastAsia" w:ascii="宋体" w:hAnsi="宋体" w:eastAsia="宋体" w:cs="宋体"/>
          <w:color w:val="auto"/>
          <w:sz w:val="24"/>
          <w:szCs w:val="24"/>
        </w:rPr>
        <w:t>（一）绩效评价目的、对象和范围</w:t>
      </w:r>
      <w:bookmarkEnd w:id="3"/>
    </w:p>
    <w:p w14:paraId="208D0CA3">
      <w:pPr>
        <w:pStyle w:val="46"/>
        <w:pageBreakBefore w:val="0"/>
        <w:widowControl w:val="0"/>
        <w:kinsoku/>
        <w:wordWrap/>
        <w:overflowPunct/>
        <w:topLinePunct w:val="0"/>
        <w:autoSpaceDE/>
        <w:autoSpaceDN/>
        <w:bidi w:val="0"/>
        <w:adjustRightInd/>
        <w:snapToGrid/>
        <w:spacing w:line="560" w:lineRule="exact"/>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1.绩效评价目的</w:t>
      </w:r>
    </w:p>
    <w:p w14:paraId="19314F03">
      <w:pPr>
        <w:pStyle w:val="46"/>
        <w:pageBreakBefore w:val="0"/>
        <w:widowControl w:val="0"/>
        <w:kinsoku/>
        <w:wordWrap/>
        <w:overflowPunct/>
        <w:topLinePunct w:val="0"/>
        <w:autoSpaceDE/>
        <w:autoSpaceDN/>
        <w:bidi w:val="0"/>
        <w:adjustRightInd/>
        <w:snapToGrid/>
        <w:spacing w:line="560" w:lineRule="exact"/>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自治区财政厅《关于印发〈自治区项目支出绩效目标设置指引〉的通知》（新财预〔2022〕42号）</w:t>
      </w:r>
      <w:r>
        <w:rPr>
          <w:rFonts w:hint="eastAsia" w:ascii="宋体" w:hAnsi="宋体" w:eastAsia="宋体" w:cs="宋体"/>
          <w:color w:val="auto"/>
          <w:sz w:val="24"/>
          <w:szCs w:val="24"/>
          <w:highlight w:val="none"/>
        </w:rPr>
        <w:t>等相关政策文件与规</w:t>
      </w:r>
      <w:r>
        <w:rPr>
          <w:rFonts w:hint="eastAsia" w:ascii="宋体" w:hAnsi="宋体" w:eastAsia="宋体" w:cs="宋体"/>
          <w:color w:val="auto"/>
          <w:sz w:val="24"/>
          <w:szCs w:val="24"/>
        </w:rPr>
        <w:t>定，对</w:t>
      </w:r>
      <w:r>
        <w:rPr>
          <w:rFonts w:hint="eastAsia" w:ascii="宋体" w:hAnsi="宋体" w:eastAsia="宋体" w:cs="宋体"/>
          <w:color w:val="auto"/>
          <w:sz w:val="24"/>
          <w:szCs w:val="24"/>
          <w:lang w:eastAsia="zh-CN"/>
        </w:rPr>
        <w:t>西部计划志愿者生活补助</w:t>
      </w:r>
      <w:r>
        <w:rPr>
          <w:rFonts w:hint="eastAsia" w:ascii="宋体" w:hAnsi="宋体" w:eastAsia="宋体" w:cs="宋体"/>
          <w:color w:val="auto"/>
          <w:sz w:val="24"/>
          <w:szCs w:val="24"/>
        </w:rPr>
        <w:t>项目开展本次部门项目支出绩效评价工作。全面了解</w:t>
      </w:r>
      <w:r>
        <w:rPr>
          <w:rFonts w:hint="eastAsia" w:ascii="宋体" w:hAnsi="宋体" w:eastAsia="宋体" w:cs="宋体"/>
          <w:color w:val="auto"/>
          <w:sz w:val="24"/>
          <w:szCs w:val="24"/>
          <w:lang w:eastAsia="zh-CN"/>
        </w:rPr>
        <w:t>西部计划志愿者生活补助</w:t>
      </w:r>
      <w:r>
        <w:rPr>
          <w:rFonts w:hint="eastAsia" w:ascii="宋体" w:hAnsi="宋体" w:eastAsia="宋体" w:cs="宋体"/>
          <w:color w:val="auto"/>
          <w:sz w:val="24"/>
          <w:szCs w:val="24"/>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lang w:val="en-US" w:eastAsia="zh-CN"/>
        </w:rPr>
        <w:t>实施</w:t>
      </w:r>
      <w:r>
        <w:rPr>
          <w:rFonts w:hint="eastAsia" w:ascii="宋体" w:hAnsi="宋体" w:eastAsia="宋体" w:cs="宋体"/>
          <w:color w:val="auto"/>
          <w:sz w:val="24"/>
          <w:szCs w:val="24"/>
        </w:rPr>
        <w:t>效果</w:t>
      </w:r>
      <w:r>
        <w:rPr>
          <w:rFonts w:hint="eastAsia" w:ascii="宋体" w:hAnsi="宋体" w:eastAsia="宋体" w:cs="宋体"/>
          <w:color w:val="auto"/>
          <w:sz w:val="24"/>
          <w:szCs w:val="24"/>
          <w:lang w:val="en-US" w:eastAsia="zh-CN"/>
        </w:rPr>
        <w:t>情况。</w:t>
      </w:r>
    </w:p>
    <w:p w14:paraId="003E2A28">
      <w:pPr>
        <w:pStyle w:val="46"/>
        <w:pageBreakBefore w:val="0"/>
        <w:widowControl w:val="0"/>
        <w:kinsoku/>
        <w:wordWrap/>
        <w:overflowPunct/>
        <w:topLinePunct w:val="0"/>
        <w:autoSpaceDE/>
        <w:autoSpaceDN/>
        <w:bidi w:val="0"/>
        <w:adjustRightInd/>
        <w:snapToGrid/>
        <w:spacing w:line="560" w:lineRule="exact"/>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6B7A504B">
      <w:pPr>
        <w:pStyle w:val="46"/>
        <w:pageBreakBefore w:val="0"/>
        <w:widowControl w:val="0"/>
        <w:kinsoku/>
        <w:wordWrap/>
        <w:overflowPunct/>
        <w:topLinePunct w:val="0"/>
        <w:autoSpaceDE/>
        <w:autoSpaceDN/>
        <w:bidi w:val="0"/>
        <w:adjustRightInd/>
        <w:snapToGrid/>
        <w:spacing w:line="560" w:lineRule="exact"/>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65FBBD66">
      <w:pPr>
        <w:pStyle w:val="46"/>
        <w:pageBreakBefore w:val="0"/>
        <w:widowControl w:val="0"/>
        <w:kinsoku/>
        <w:wordWrap/>
        <w:overflowPunct/>
        <w:topLinePunct w:val="0"/>
        <w:autoSpaceDE/>
        <w:autoSpaceDN/>
        <w:bidi w:val="0"/>
        <w:adjustRightInd/>
        <w:snapToGrid/>
        <w:spacing w:line="560" w:lineRule="exact"/>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color w:val="auto"/>
          <w:sz w:val="24"/>
          <w:szCs w:val="24"/>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rPr>
        <w:t>财政预算资金使用的效率及效益。</w:t>
      </w:r>
    </w:p>
    <w:p w14:paraId="78944A55">
      <w:pPr>
        <w:pStyle w:val="46"/>
        <w:keepNext w:val="0"/>
        <w:keepLines w:val="0"/>
        <w:pageBreakBefore w:val="0"/>
        <w:widowControl w:val="0"/>
        <w:kinsoku/>
        <w:wordWrap/>
        <w:overflowPunct/>
        <w:topLinePunct w:val="0"/>
        <w:autoSpaceDE/>
        <w:autoSpaceDN/>
        <w:bidi w:val="0"/>
        <w:adjustRightInd/>
        <w:snapToGrid/>
        <w:spacing w:line="560" w:lineRule="exact"/>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68D575AE">
      <w:pPr>
        <w:pStyle w:val="46"/>
        <w:keepNext w:val="0"/>
        <w:keepLines w:val="0"/>
        <w:pageBreakBefore w:val="0"/>
        <w:widowControl w:val="0"/>
        <w:kinsoku/>
        <w:wordWrap/>
        <w:overflowPunct/>
        <w:topLinePunct w:val="0"/>
        <w:autoSpaceDE/>
        <w:autoSpaceDN/>
        <w:bidi w:val="0"/>
        <w:adjustRightInd/>
        <w:snapToGrid/>
        <w:spacing w:line="560" w:lineRule="exact"/>
        <w:ind w:left="0" w:leftChars="0" w:firstLine="64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lang w:eastAsia="zh-CN"/>
        </w:rPr>
        <w:t>西部计划志愿者生活补助</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5935B458">
      <w:pPr>
        <w:pStyle w:val="46"/>
        <w:pageBreakBefore w:val="0"/>
        <w:widowControl w:val="0"/>
        <w:kinsoku/>
        <w:wordWrap/>
        <w:topLinePunct w:val="0"/>
        <w:autoSpaceDE/>
        <w:autoSpaceDN/>
        <w:bidi w:val="0"/>
        <w:adjustRightInd/>
        <w:snapToGrid/>
        <w:spacing w:line="560" w:lineRule="exact"/>
        <w:ind w:left="0" w:leftChars="0" w:firstLine="64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3.绩效评价范围</w:t>
      </w:r>
    </w:p>
    <w:p w14:paraId="787E33AD">
      <w:pPr>
        <w:pStyle w:val="46"/>
        <w:pageBreakBefore w:val="0"/>
        <w:widowControl w:val="0"/>
        <w:kinsoku/>
        <w:wordWrap/>
        <w:topLinePunct w:val="0"/>
        <w:autoSpaceDE/>
        <w:autoSpaceDN/>
        <w:bidi w:val="0"/>
        <w:adjustRightInd/>
        <w:snapToGrid/>
        <w:spacing w:line="560" w:lineRule="exact"/>
        <w:ind w:left="0" w:leftChars="0" w:firstLine="6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本次绩效评价主要围绕</w:t>
      </w:r>
      <w:r>
        <w:rPr>
          <w:rFonts w:hint="eastAsia" w:ascii="宋体" w:hAnsi="宋体" w:eastAsia="宋体" w:cs="宋体"/>
          <w:color w:val="auto"/>
          <w:sz w:val="24"/>
          <w:szCs w:val="24"/>
          <w:lang w:eastAsia="zh-CN"/>
        </w:rPr>
        <w:t>西部计划志愿者生活补助</w:t>
      </w:r>
      <w:r>
        <w:rPr>
          <w:rFonts w:hint="eastAsia" w:ascii="宋体" w:hAnsi="宋体" w:eastAsia="宋体" w:cs="宋体"/>
          <w:color w:val="auto"/>
          <w:sz w:val="24"/>
          <w:szCs w:val="24"/>
        </w:rPr>
        <w:t>项目决策、项目资金管理、项目实施过程管理，以及项目实施所带来的产出和效果等内容，进行综合评价。范围涵盖项目总体绩效目标、各项绩效指标完成情况以及预算执行情况</w:t>
      </w:r>
      <w:bookmarkStart w:id="4" w:name="_Toc68364662"/>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覆盖预算资金支出项目的所有内容进行评价。</w:t>
      </w:r>
      <w:bookmarkEnd w:id="4"/>
    </w:p>
    <w:p w14:paraId="44680A3C">
      <w:pPr>
        <w:pStyle w:val="49"/>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（二）绩效评价原则、评价指标体系、评价方法评价标准</w:t>
      </w:r>
    </w:p>
    <w:p w14:paraId="25E42884">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1.绩效评价原则</w:t>
      </w:r>
    </w:p>
    <w:p w14:paraId="3C41523D">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77076D30">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（1）科学公正。绩效评价应当运用科学合理的方法，按照规范的程序，对项目绩效进行客观、公正的反映。</w:t>
      </w:r>
    </w:p>
    <w:p w14:paraId="2FDF3821">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47113E16">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（3）激励约束。绩效评价结果应与预算安排、政策调整、改进管理实质性挂钩，体现奖优罚劣和激励相容导向，有效要安排、低效要压减、无效要问责。</w:t>
      </w:r>
    </w:p>
    <w:p w14:paraId="77CE1E7F">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（4）公开透明。绩效评价结果应依法依规公开，并自觉接受社会监督。</w:t>
      </w:r>
    </w:p>
    <w:p w14:paraId="06ECBD3C">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根据以上原则，绩效评价应遵循如下要求:</w:t>
      </w:r>
    </w:p>
    <w:p w14:paraId="01AA3B65">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1）在数据采集时，采取客观数据，主管部门审查、社会中介组织复查，与问卷调查相结合的形式，以保证各项指标的真实性。</w:t>
      </w:r>
    </w:p>
    <w:p w14:paraId="28DB5C02">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2）保证评价结果的真实性、公正性，提高评价报告的公信力。</w:t>
      </w:r>
    </w:p>
    <w:p w14:paraId="79B7D604">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3）绩</w:t>
      </w:r>
      <w:r>
        <w:rPr>
          <w:rFonts w:hint="eastAsia" w:ascii="宋体" w:hAnsi="宋体" w:eastAsia="宋体" w:cs="宋体"/>
          <w:color w:val="000000"/>
          <w:sz w:val="24"/>
          <w:szCs w:val="24"/>
          <w:highlight w:val="none"/>
          <w:lang w:val="en-US" w:eastAsia="zh-CN"/>
        </w:rPr>
        <w:t>效</w:t>
      </w:r>
      <w:r>
        <w:rPr>
          <w:rFonts w:hint="eastAsia" w:ascii="宋体" w:hAnsi="宋体" w:eastAsia="宋体" w:cs="宋体"/>
          <w:color w:val="000000"/>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1571114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2.绩效评价指标体系</w:t>
      </w:r>
    </w:p>
    <w:p w14:paraId="460B7288">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个二级指标。项目绩效评价体系</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详细指标体系见“附件1：项目支出绩效评价体系”。</w:t>
      </w:r>
    </w:p>
    <w:p w14:paraId="499E791F">
      <w:pPr>
        <w:pStyle w:val="46"/>
        <w:pageBreakBefore w:val="0"/>
        <w:widowControl w:val="0"/>
        <w:kinsoku/>
        <w:wordWrap/>
        <w:overflowPunct/>
        <w:topLinePunct w:val="0"/>
        <w:autoSpaceDE/>
        <w:autoSpaceDN/>
        <w:bidi w:val="0"/>
        <w:adjustRightInd/>
        <w:snapToGrid/>
        <w:spacing w:line="560" w:lineRule="exact"/>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3.绩效评价方法</w:t>
      </w:r>
    </w:p>
    <w:p w14:paraId="19C91766">
      <w:pPr>
        <w:pStyle w:val="46"/>
        <w:pageBreakBefore w:val="0"/>
        <w:widowControl w:val="0"/>
        <w:kinsoku/>
        <w:wordWrap/>
        <w:overflowPunct/>
        <w:topLinePunct w:val="0"/>
        <w:autoSpaceDE/>
        <w:autoSpaceDN/>
        <w:bidi w:val="0"/>
        <w:adjustRightInd/>
        <w:snapToGrid/>
        <w:spacing w:line="560" w:lineRule="exact"/>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1E2D676C">
      <w:pPr>
        <w:pStyle w:val="46"/>
        <w:pageBreakBefore w:val="0"/>
        <w:widowControl w:val="0"/>
        <w:kinsoku/>
        <w:wordWrap/>
        <w:overflowPunct/>
        <w:topLinePunct w:val="0"/>
        <w:autoSpaceDE/>
        <w:autoSpaceDN/>
        <w:bidi w:val="0"/>
        <w:adjustRightInd/>
        <w:snapToGrid/>
        <w:spacing w:line="560" w:lineRule="exact"/>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具体</w:t>
      </w:r>
      <w:r>
        <w:rPr>
          <w:rFonts w:hint="eastAsia" w:ascii="宋体" w:hAnsi="宋体" w:eastAsia="宋体" w:cs="宋体"/>
          <w:b w:val="0"/>
          <w:bCs/>
          <w:color w:val="auto"/>
          <w:sz w:val="24"/>
          <w:szCs w:val="24"/>
        </w:rPr>
        <w:t>评价方法的应用如下:</w:t>
      </w:r>
    </w:p>
    <w:p w14:paraId="6FDAFDE1">
      <w:pPr>
        <w:pStyle w:val="46"/>
        <w:pageBreakBefore w:val="0"/>
        <w:widowControl w:val="0"/>
        <w:kinsoku/>
        <w:wordWrap/>
        <w:overflowPunct/>
        <w:topLinePunct w:val="0"/>
        <w:autoSpaceDE/>
        <w:autoSpaceDN/>
        <w:bidi w:val="0"/>
        <w:adjustRightInd/>
        <w:snapToGrid/>
        <w:spacing w:line="560" w:lineRule="exact"/>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立项依据充分性：比较法、文献法，查找法律法规政策以及规划，对比实际执行内容和政策支持内容是否匹配。</w:t>
      </w:r>
    </w:p>
    <w:p w14:paraId="5ACC6AB3">
      <w:pPr>
        <w:pStyle w:val="46"/>
        <w:pageBreakBefore w:val="0"/>
        <w:widowControl w:val="0"/>
        <w:kinsoku/>
        <w:wordWrap/>
        <w:overflowPunct/>
        <w:topLinePunct w:val="0"/>
        <w:autoSpaceDE/>
        <w:autoSpaceDN/>
        <w:bidi w:val="0"/>
        <w:adjustRightInd/>
        <w:snapToGrid/>
        <w:spacing w:line="560" w:lineRule="exact"/>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立项程序规范性：比较法、文献法，查找相关项目设立的政策和文件要求，对比分析实际执行程序是否按照政策及文件要求执行，分析立项程序的规范性。</w:t>
      </w:r>
    </w:p>
    <w:p w14:paraId="7182807D">
      <w:pPr>
        <w:pStyle w:val="46"/>
        <w:pageBreakBefore w:val="0"/>
        <w:widowControl w:val="0"/>
        <w:kinsoku/>
        <w:wordWrap/>
        <w:overflowPunct/>
        <w:topLinePunct w:val="0"/>
        <w:autoSpaceDE/>
        <w:autoSpaceDN/>
        <w:bidi w:val="0"/>
        <w:adjustRightInd/>
        <w:snapToGrid/>
        <w:spacing w:line="560" w:lineRule="exact"/>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绩效目标合理性：比较法，对比分析年初编制项目支出绩效目标表与项目内容的相关性、资金的匹配性等。</w:t>
      </w:r>
    </w:p>
    <w:p w14:paraId="42356A53">
      <w:pPr>
        <w:pStyle w:val="46"/>
        <w:pageBreakBefore w:val="0"/>
        <w:widowControl w:val="0"/>
        <w:kinsoku/>
        <w:wordWrap/>
        <w:overflowPunct/>
        <w:topLinePunct w:val="0"/>
        <w:autoSpaceDE/>
        <w:autoSpaceDN/>
        <w:bidi w:val="0"/>
        <w:adjustRightInd/>
        <w:snapToGrid/>
        <w:spacing w:line="560" w:lineRule="exact"/>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绩效指标明确性：比较法，比较分析年初编制项目支出绩效目标表是否符合双七原则，是否可衡量。</w:t>
      </w:r>
    </w:p>
    <w:p w14:paraId="2743D11C">
      <w:pPr>
        <w:pStyle w:val="46"/>
        <w:pageBreakBefore w:val="0"/>
        <w:widowControl w:val="0"/>
        <w:kinsoku/>
        <w:wordWrap/>
        <w:overflowPunct/>
        <w:topLinePunct w:val="0"/>
        <w:autoSpaceDE/>
        <w:autoSpaceDN/>
        <w:bidi w:val="0"/>
        <w:adjustRightInd/>
        <w:snapToGrid/>
        <w:spacing w:line="560" w:lineRule="exact"/>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预算编制科学性</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成本效益分析法</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分析在产出一定的情况下，成本取值是否有依据，是否经过询价，是否按照市场最低成本编制。</w:t>
      </w:r>
    </w:p>
    <w:p w14:paraId="6BE99B5F">
      <w:pPr>
        <w:pStyle w:val="46"/>
        <w:pageBreakBefore w:val="0"/>
        <w:widowControl w:val="0"/>
        <w:kinsoku/>
        <w:wordWrap/>
        <w:overflowPunct/>
        <w:topLinePunct w:val="0"/>
        <w:autoSpaceDE/>
        <w:autoSpaceDN/>
        <w:bidi w:val="0"/>
        <w:adjustRightInd/>
        <w:snapToGrid/>
        <w:spacing w:line="560" w:lineRule="exact"/>
        <w:ind w:left="0" w:leftChars="0" w:firstLine="643"/>
        <w:textAlignment w:val="auto"/>
        <w:outlineLvl w:val="2"/>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lang w:eastAsia="zh-CN"/>
        </w:rPr>
        <w:t>。</w:t>
      </w:r>
    </w:p>
    <w:p w14:paraId="3C41111F">
      <w:pPr>
        <w:pStyle w:val="46"/>
        <w:pageBreakBefore w:val="0"/>
        <w:widowControl w:val="0"/>
        <w:kinsoku/>
        <w:wordWrap/>
        <w:overflowPunct/>
        <w:topLinePunct w:val="0"/>
        <w:autoSpaceDE/>
        <w:autoSpaceDN/>
        <w:bidi w:val="0"/>
        <w:adjustRightInd/>
        <w:snapToGrid/>
        <w:spacing w:line="560" w:lineRule="exact"/>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资金到位率：比较法，资金到位率预期指标值应为100%，通过实际计算，分析实际完成值和预期指标值之间的差距和原因。</w:t>
      </w:r>
    </w:p>
    <w:p w14:paraId="36D6521E">
      <w:pPr>
        <w:pStyle w:val="46"/>
        <w:pageBreakBefore w:val="0"/>
        <w:widowControl w:val="0"/>
        <w:kinsoku/>
        <w:wordWrap/>
        <w:overflowPunct/>
        <w:topLinePunct w:val="0"/>
        <w:autoSpaceDE/>
        <w:autoSpaceDN/>
        <w:bidi w:val="0"/>
        <w:adjustRightInd/>
        <w:snapToGrid/>
        <w:spacing w:line="560" w:lineRule="exact"/>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预算执行率：比较法，预算执行率预期指标值应为100%，通过实际计算，分析实际完成值和预期指标值之间的差距和原因。</w:t>
      </w:r>
    </w:p>
    <w:p w14:paraId="59387281">
      <w:pPr>
        <w:pStyle w:val="46"/>
        <w:pageBreakBefore w:val="0"/>
        <w:widowControl w:val="0"/>
        <w:kinsoku/>
        <w:wordWrap/>
        <w:overflowPunct/>
        <w:topLinePunct w:val="0"/>
        <w:autoSpaceDE/>
        <w:autoSpaceDN/>
        <w:bidi w:val="0"/>
        <w:adjustRightInd/>
        <w:snapToGrid/>
        <w:spacing w:line="560" w:lineRule="exact"/>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资金使用合规性：文献法、实地勘察法，一是查找资金管理办法，包括专项资金管理办法和单位自有资金管理办法；二是通过查账了解具体开支情况，是否专用专用，是否按照标准支出。</w:t>
      </w:r>
    </w:p>
    <w:p w14:paraId="53470CA6">
      <w:pPr>
        <w:pStyle w:val="46"/>
        <w:pageBreakBefore w:val="0"/>
        <w:widowControl w:val="0"/>
        <w:kinsoku/>
        <w:wordWrap/>
        <w:overflowPunct/>
        <w:topLinePunct w:val="0"/>
        <w:autoSpaceDE/>
        <w:autoSpaceDN/>
        <w:bidi w:val="0"/>
        <w:adjustRightInd/>
        <w:snapToGrid/>
        <w:spacing w:line="560" w:lineRule="exact"/>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管理制度健全性：文献法、比较法，查阅项目实施人员提供的财务和业务管理制度，将已建立的制度与现行的法律法规和政策要求进行对比，分析项目制度的合法性、合规性、完整性。</w:t>
      </w:r>
    </w:p>
    <w:p w14:paraId="70AA406D">
      <w:pPr>
        <w:pStyle w:val="46"/>
        <w:pageBreakBefore w:val="0"/>
        <w:widowControl w:val="0"/>
        <w:kinsoku/>
        <w:wordWrap/>
        <w:overflowPunct/>
        <w:topLinePunct w:val="0"/>
        <w:autoSpaceDE/>
        <w:autoSpaceDN/>
        <w:bidi w:val="0"/>
        <w:adjustRightInd/>
        <w:snapToGrid/>
        <w:spacing w:line="560" w:lineRule="exact"/>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制度执行有效性：比较法，结合项目实际实施过程性文件，根据已建设的财务管理制度和项目管理制度综合分析制度执行的有效性。</w:t>
      </w:r>
    </w:p>
    <w:p w14:paraId="0B9212FE">
      <w:pPr>
        <w:pStyle w:val="46"/>
        <w:pageBreakBefore w:val="0"/>
        <w:widowControl w:val="0"/>
        <w:kinsoku/>
        <w:wordWrap/>
        <w:overflowPunct/>
        <w:topLinePunct w:val="0"/>
        <w:autoSpaceDE/>
        <w:autoSpaceDN/>
        <w:bidi w:val="0"/>
        <w:adjustRightInd/>
        <w:snapToGrid/>
        <w:spacing w:line="560" w:lineRule="exact"/>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3498EECD">
      <w:pPr>
        <w:pStyle w:val="46"/>
        <w:pageBreakBefore w:val="0"/>
        <w:widowControl w:val="0"/>
        <w:kinsoku/>
        <w:wordWrap/>
        <w:overflowPunct/>
        <w:topLinePunct w:val="0"/>
        <w:autoSpaceDE/>
        <w:autoSpaceDN/>
        <w:bidi w:val="0"/>
        <w:adjustRightInd/>
        <w:snapToGrid/>
        <w:spacing w:line="560" w:lineRule="exact"/>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定性指标：公众评判法，通过问卷及抽样调查等方式评价本项目实施后社会公众对于其实施效果的满意程度。</w:t>
      </w:r>
    </w:p>
    <w:p w14:paraId="715C9E45">
      <w:pPr>
        <w:pStyle w:val="46"/>
        <w:pageBreakBefore w:val="0"/>
        <w:widowControl w:val="0"/>
        <w:kinsoku/>
        <w:wordWrap/>
        <w:overflowPunct/>
        <w:topLinePunct w:val="0"/>
        <w:autoSpaceDE/>
        <w:autoSpaceDN/>
        <w:bidi w:val="0"/>
        <w:adjustRightInd/>
        <w:snapToGrid/>
        <w:spacing w:line="560" w:lineRule="exact"/>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4.绩效评价标准</w:t>
      </w:r>
    </w:p>
    <w:p w14:paraId="32C9C360">
      <w:pPr>
        <w:pageBreakBefore w:val="0"/>
        <w:widowControl w:val="0"/>
        <w:kinsoku/>
        <w:wordWrap/>
        <w:overflowPunct/>
        <w:topLinePunct w:val="0"/>
        <w:autoSpaceDE/>
        <w:autoSpaceDN/>
        <w:bidi w:val="0"/>
        <w:adjustRightInd/>
        <w:snapToGrid/>
        <w:spacing w:line="560" w:lineRule="exact"/>
        <w:ind w:left="0" w:leftChars="0" w:firstLine="640"/>
        <w:textAlignment w:val="auto"/>
        <w:rPr>
          <w:rFonts w:hint="eastAsia" w:ascii="宋体" w:hAnsi="宋体" w:eastAsia="宋体" w:cs="宋体"/>
          <w:color w:val="auto"/>
          <w:sz w:val="24"/>
          <w:szCs w:val="24"/>
        </w:rPr>
      </w:pPr>
      <w:bookmarkStart w:id="5" w:name="_Toc68364663"/>
      <w:r>
        <w:rPr>
          <w:rFonts w:hint="eastAsia" w:ascii="宋体" w:hAnsi="宋体" w:eastAsia="宋体" w:cs="宋体"/>
          <w:color w:val="auto"/>
          <w:sz w:val="24"/>
          <w:szCs w:val="24"/>
        </w:rPr>
        <w:t>绩效评价标准通常包括计划标准、行业标准、历史标准等，用于对绩效指标完成情况进行比较、分析、评价。本次评价主要采用了</w:t>
      </w:r>
      <w:r>
        <w:rPr>
          <w:rFonts w:hint="eastAsia" w:ascii="宋体" w:hAnsi="宋体" w:eastAsia="宋体" w:cs="宋体"/>
          <w:color w:val="auto"/>
          <w:sz w:val="24"/>
          <w:szCs w:val="24"/>
          <w:lang w:eastAsia="zh-CN"/>
        </w:rPr>
        <w:t>计划</w:t>
      </w:r>
      <w:r>
        <w:rPr>
          <w:rFonts w:hint="eastAsia" w:ascii="宋体" w:hAnsi="宋体" w:eastAsia="宋体" w:cs="宋体"/>
          <w:color w:val="auto"/>
          <w:sz w:val="24"/>
          <w:szCs w:val="24"/>
        </w:rPr>
        <w:t>标准。</w:t>
      </w:r>
    </w:p>
    <w:p w14:paraId="0A7DF92A">
      <w:pPr>
        <w:pageBreakBefore w:val="0"/>
        <w:widowControl w:val="0"/>
        <w:kinsoku/>
        <w:wordWrap/>
        <w:overflowPunct/>
        <w:topLinePunct w:val="0"/>
        <w:autoSpaceDE/>
        <w:autoSpaceDN/>
        <w:bidi w:val="0"/>
        <w:adjustRightInd/>
        <w:snapToGrid/>
        <w:spacing w:line="560" w:lineRule="exact"/>
        <w:ind w:left="0" w:leftChars="0" w:firstLine="643"/>
        <w:textAlignment w:val="auto"/>
        <w:rPr>
          <w:rFonts w:hint="eastAsia" w:ascii="宋体" w:hAnsi="宋体" w:eastAsia="宋体" w:cs="宋体"/>
          <w:color w:val="auto"/>
          <w:sz w:val="24"/>
          <w:szCs w:val="24"/>
        </w:rPr>
      </w:pPr>
      <w:bookmarkStart w:id="6" w:name="_Toc17882"/>
      <w:bookmarkStart w:id="7" w:name="_Toc31464"/>
      <w:r>
        <w:rPr>
          <w:rFonts w:hint="eastAsia" w:ascii="宋体" w:hAnsi="宋体" w:eastAsia="宋体" w:cs="宋体"/>
          <w:b/>
          <w:bCs/>
          <w:color w:val="auto"/>
          <w:sz w:val="24"/>
          <w:szCs w:val="24"/>
        </w:rPr>
        <w:t>计划标准：</w:t>
      </w:r>
      <w:r>
        <w:rPr>
          <w:rFonts w:hint="eastAsia" w:ascii="宋体" w:hAnsi="宋体" w:eastAsia="宋体" w:cs="宋体"/>
          <w:color w:val="auto"/>
          <w:sz w:val="24"/>
          <w:szCs w:val="24"/>
        </w:rPr>
        <w:t>指以预先制定的目标、计划、预算、定额等作为评价标准。</w:t>
      </w:r>
      <w:bookmarkEnd w:id="6"/>
      <w:bookmarkEnd w:id="7"/>
    </w:p>
    <w:p w14:paraId="25C103AE">
      <w:pPr>
        <w:pageBreakBefore w:val="0"/>
        <w:widowControl w:val="0"/>
        <w:kinsoku/>
        <w:wordWrap/>
        <w:overflowPunct/>
        <w:topLinePunct w:val="0"/>
        <w:autoSpaceDE/>
        <w:autoSpaceDN/>
        <w:bidi w:val="0"/>
        <w:adjustRightInd/>
        <w:snapToGrid/>
        <w:spacing w:line="560" w:lineRule="exact"/>
        <w:ind w:left="0" w:leftChars="0" w:firstLine="643"/>
        <w:textAlignment w:val="auto"/>
        <w:rPr>
          <w:rFonts w:hint="eastAsia" w:ascii="宋体" w:hAnsi="宋体" w:eastAsia="宋体" w:cs="宋体"/>
          <w:color w:val="auto"/>
          <w:sz w:val="24"/>
          <w:szCs w:val="24"/>
        </w:rPr>
      </w:pPr>
      <w:bookmarkStart w:id="8" w:name="_Toc2318"/>
      <w:bookmarkStart w:id="9" w:name="_Toc5633"/>
      <w:r>
        <w:rPr>
          <w:rFonts w:hint="eastAsia" w:ascii="宋体" w:hAnsi="宋体" w:eastAsia="宋体" w:cs="宋体"/>
          <w:b/>
          <w:bCs/>
          <w:color w:val="auto"/>
          <w:sz w:val="24"/>
          <w:szCs w:val="24"/>
        </w:rPr>
        <w:t>行业标准：</w:t>
      </w:r>
      <w:r>
        <w:rPr>
          <w:rFonts w:hint="eastAsia" w:ascii="宋体" w:hAnsi="宋体" w:eastAsia="宋体" w:cs="宋体"/>
          <w:color w:val="auto"/>
          <w:sz w:val="24"/>
          <w:szCs w:val="24"/>
        </w:rPr>
        <w:t>指参照国家公布的行业指标数据制定的评价标准。</w:t>
      </w:r>
      <w:bookmarkEnd w:id="8"/>
      <w:bookmarkEnd w:id="9"/>
    </w:p>
    <w:p w14:paraId="09950982">
      <w:pPr>
        <w:pageBreakBefore w:val="0"/>
        <w:widowControl w:val="0"/>
        <w:kinsoku/>
        <w:wordWrap/>
        <w:overflowPunct/>
        <w:topLinePunct w:val="0"/>
        <w:autoSpaceDE/>
        <w:autoSpaceDN/>
        <w:bidi w:val="0"/>
        <w:adjustRightInd/>
        <w:snapToGrid/>
        <w:spacing w:line="560" w:lineRule="exact"/>
        <w:ind w:left="0" w:leftChars="0" w:firstLine="643"/>
        <w:textAlignment w:val="auto"/>
        <w:rPr>
          <w:rFonts w:hint="eastAsia" w:ascii="宋体" w:hAnsi="宋体" w:eastAsia="宋体" w:cs="宋体"/>
          <w:color w:val="auto"/>
          <w:sz w:val="24"/>
          <w:szCs w:val="24"/>
        </w:rPr>
      </w:pPr>
      <w:bookmarkStart w:id="10" w:name="_Toc16028"/>
      <w:bookmarkStart w:id="11" w:name="_Toc430"/>
      <w:r>
        <w:rPr>
          <w:rFonts w:hint="eastAsia" w:ascii="宋体" w:hAnsi="宋体" w:eastAsia="宋体" w:cs="宋体"/>
          <w:b/>
          <w:bCs/>
          <w:color w:val="auto"/>
          <w:sz w:val="24"/>
          <w:szCs w:val="24"/>
        </w:rPr>
        <w:t>历史标准：</w:t>
      </w:r>
      <w:r>
        <w:rPr>
          <w:rFonts w:hint="eastAsia" w:ascii="宋体" w:hAnsi="宋体" w:eastAsia="宋体" w:cs="宋体"/>
          <w:color w:val="auto"/>
          <w:sz w:val="24"/>
          <w:szCs w:val="24"/>
        </w:rPr>
        <w:t>指参照历史数据制定的评价标准，为体现绩效改进的原则，在可实现的条件下应当确定相对较高的评价标准。</w:t>
      </w:r>
      <w:bookmarkEnd w:id="5"/>
      <w:bookmarkEnd w:id="10"/>
      <w:bookmarkEnd w:id="11"/>
    </w:p>
    <w:p w14:paraId="08D3B75F">
      <w:pPr>
        <w:pStyle w:val="49"/>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12" w:name="_Toc68364664"/>
      <w:r>
        <w:rPr>
          <w:rFonts w:hint="eastAsia" w:ascii="宋体" w:hAnsi="宋体" w:eastAsia="宋体" w:cs="宋体"/>
          <w:color w:val="000000"/>
          <w:sz w:val="24"/>
          <w:szCs w:val="24"/>
          <w:highlight w:val="none"/>
        </w:rPr>
        <w:t>（三）绩效评价工作过程</w:t>
      </w:r>
    </w:p>
    <w:p w14:paraId="4C844282">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1.前期准备</w:t>
      </w:r>
    </w:p>
    <w:p w14:paraId="28F3FBB1">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我单位于202</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lang w:eastAsia="zh-CN"/>
        </w:rPr>
        <w:t>年</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月</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lang w:eastAsia="zh-CN"/>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5E6889A9">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eastAsia="zh-CN"/>
        </w:rPr>
        <w:t>解学鹏（评价小组组长）：主要负责</w:t>
      </w:r>
      <w:r>
        <w:rPr>
          <w:rFonts w:hint="eastAsia" w:ascii="宋体" w:hAnsi="宋体" w:eastAsia="宋体" w:cs="宋体"/>
          <w:color w:val="000000"/>
          <w:sz w:val="24"/>
          <w:szCs w:val="24"/>
          <w:highlight w:val="none"/>
          <w:lang w:val="en-US" w:eastAsia="zh-CN"/>
        </w:rPr>
        <w:t>统筹协调项目绩效评价全盘工作。</w:t>
      </w:r>
    </w:p>
    <w:p w14:paraId="766429AE">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迪丽努尔</w:t>
      </w:r>
      <w:r>
        <w:rPr>
          <w:rFonts w:hint="eastAsia" w:ascii="宋体" w:hAnsi="宋体" w:eastAsia="宋体" w:cs="宋体"/>
          <w:color w:val="000000"/>
          <w:sz w:val="24"/>
          <w:szCs w:val="24"/>
          <w:highlight w:val="none"/>
          <w:lang w:val="en-US" w:eastAsia="zh-CN"/>
        </w:rPr>
        <w:t>·凯尤木</w:t>
      </w:r>
      <w:r>
        <w:rPr>
          <w:rFonts w:hint="eastAsia" w:ascii="宋体" w:hAnsi="宋体" w:eastAsia="宋体" w:cs="宋体"/>
          <w:color w:val="000000"/>
          <w:sz w:val="24"/>
          <w:szCs w:val="24"/>
          <w:highlight w:val="none"/>
          <w:lang w:eastAsia="zh-CN"/>
        </w:rPr>
        <w:t>（评价小组组员）：主要负责绩效评价工作的指导和监督。</w:t>
      </w:r>
    </w:p>
    <w:p w14:paraId="77322F17">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蒋娟（评价小组组员）：主要负责绩效评价工作材料的收集整理、自评表的填写、撰写报告等。</w:t>
      </w:r>
    </w:p>
    <w:p w14:paraId="6536DD8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765BBF04">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202</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lang w:eastAsia="zh-CN"/>
        </w:rPr>
        <w:t>年</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月</w:t>
      </w:r>
      <w:r>
        <w:rPr>
          <w:rFonts w:hint="eastAsia" w:ascii="宋体" w:hAnsi="宋体" w:eastAsia="宋体" w:cs="宋体"/>
          <w:color w:val="000000"/>
          <w:sz w:val="24"/>
          <w:szCs w:val="24"/>
          <w:highlight w:val="none"/>
          <w:lang w:val="en-US" w:eastAsia="zh-CN"/>
        </w:rPr>
        <w:t>28</w:t>
      </w:r>
      <w:r>
        <w:rPr>
          <w:rFonts w:hint="eastAsia" w:ascii="宋体" w:hAnsi="宋体" w:eastAsia="宋体" w:cs="宋体"/>
          <w:color w:val="000000"/>
          <w:sz w:val="24"/>
          <w:szCs w:val="24"/>
          <w:highlight w:val="none"/>
          <w:lang w:eastAsia="zh-CN"/>
        </w:rPr>
        <w:t>日-</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lang w:eastAsia="zh-CN"/>
        </w:rPr>
        <w:t>月</w:t>
      </w:r>
      <w:r>
        <w:rPr>
          <w:rFonts w:hint="eastAsia" w:ascii="宋体" w:hAnsi="宋体" w:eastAsia="宋体" w:cs="宋体"/>
          <w:color w:val="000000"/>
          <w:sz w:val="24"/>
          <w:szCs w:val="24"/>
          <w:highlight w:val="none"/>
          <w:lang w:val="en-US" w:eastAsia="zh-CN"/>
        </w:rPr>
        <w:t>15</w:t>
      </w:r>
      <w:r>
        <w:rPr>
          <w:rFonts w:hint="eastAsia" w:ascii="宋体" w:hAnsi="宋体" w:eastAsia="宋体" w:cs="宋体"/>
          <w:color w:val="000000"/>
          <w:sz w:val="24"/>
          <w:szCs w:val="24"/>
          <w:highlight w:val="none"/>
          <w:lang w:eastAsia="zh-CN"/>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55769E1D">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3.分析评价</w:t>
      </w:r>
    </w:p>
    <w:p w14:paraId="76500F7B">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202</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lang w:eastAsia="zh-CN"/>
        </w:rPr>
        <w:t>年</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lang w:eastAsia="zh-CN"/>
        </w:rPr>
        <w:t>月</w:t>
      </w:r>
      <w:r>
        <w:rPr>
          <w:rFonts w:hint="eastAsia" w:ascii="宋体" w:hAnsi="宋体" w:eastAsia="宋体" w:cs="宋体"/>
          <w:color w:val="000000"/>
          <w:sz w:val="24"/>
          <w:szCs w:val="24"/>
          <w:highlight w:val="none"/>
          <w:lang w:val="en-US" w:eastAsia="zh-CN"/>
        </w:rPr>
        <w:t>16</w:t>
      </w:r>
      <w:r>
        <w:rPr>
          <w:rFonts w:hint="eastAsia" w:ascii="宋体" w:hAnsi="宋体" w:eastAsia="宋体" w:cs="宋体"/>
          <w:color w:val="000000"/>
          <w:sz w:val="24"/>
          <w:szCs w:val="24"/>
          <w:highlight w:val="none"/>
          <w:lang w:eastAsia="zh-CN"/>
        </w:rPr>
        <w:t>日-</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月</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eastAsia="zh-CN"/>
        </w:rPr>
        <w:t>日，评价小组按照绩效评价的原则和规范，对取得的资料进行审查核实，对采集的数据进行分析，按照绩效评价指标评分表逐项进行打分、分析、汇总各方评价结果。</w:t>
      </w:r>
    </w:p>
    <w:p w14:paraId="7FCA7E70">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57393285">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202</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lang w:eastAsia="zh-CN"/>
        </w:rPr>
        <w:t>年</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月</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eastAsia="zh-CN"/>
        </w:rPr>
        <w:t>日-</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月</w:t>
      </w:r>
      <w:r>
        <w:rPr>
          <w:rFonts w:hint="eastAsia" w:ascii="宋体" w:hAnsi="宋体" w:eastAsia="宋体" w:cs="宋体"/>
          <w:color w:val="000000"/>
          <w:sz w:val="24"/>
          <w:szCs w:val="24"/>
          <w:highlight w:val="none"/>
          <w:lang w:val="en-US" w:eastAsia="zh-CN"/>
        </w:rPr>
        <w:t>15</w:t>
      </w:r>
      <w:r>
        <w:rPr>
          <w:rFonts w:hint="eastAsia" w:ascii="宋体" w:hAnsi="宋体" w:eastAsia="宋体" w:cs="宋体"/>
          <w:color w:val="000000"/>
          <w:sz w:val="24"/>
          <w:szCs w:val="24"/>
          <w:highlight w:val="none"/>
          <w:lang w:eastAsia="zh-CN"/>
        </w:rPr>
        <w:t>日</w:t>
      </w:r>
      <w:r>
        <w:rPr>
          <w:rFonts w:hint="eastAsia" w:ascii="宋体" w:hAnsi="宋体" w:eastAsia="宋体" w:cs="宋体"/>
          <w:color w:val="000000"/>
          <w:sz w:val="24"/>
          <w:szCs w:val="24"/>
          <w:highlight w:val="none"/>
          <w:lang w:val="en-US" w:eastAsia="zh-CN"/>
        </w:rPr>
        <w:t>评价小组</w:t>
      </w:r>
      <w:r>
        <w:rPr>
          <w:rFonts w:hint="eastAsia" w:ascii="宋体" w:hAnsi="宋体" w:eastAsia="宋体" w:cs="宋体"/>
          <w:color w:val="000000"/>
          <w:sz w:val="24"/>
          <w:szCs w:val="24"/>
          <w:highlight w:val="none"/>
          <w:lang w:eastAsia="zh-CN"/>
        </w:rPr>
        <w:t>撰写绩效评价报告，按照新疆维吾尔自治区财政绩效管理信息系统绩效评价模块中统一格式和文本框架撰写绩效评价报告并提交审核。</w:t>
      </w:r>
    </w:p>
    <w:p w14:paraId="24AA4F9F">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7ACACEFA">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52798A4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03194BF7">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建立和落实档案管理制度，将项目相关资料存档，包括但不限于：评价项目基本情况和相关文件、评价实施方案、项目支付资料等相关档案。</w:t>
      </w:r>
    </w:p>
    <w:p w14:paraId="105AABD0">
      <w:pPr>
        <w:pStyle w:val="4"/>
        <w:pageBreakBefore w:val="0"/>
        <w:widowControl w:val="0"/>
        <w:kinsoku/>
        <w:wordWrap/>
        <w:overflowPunct/>
        <w:topLinePunct w:val="0"/>
        <w:autoSpaceDE/>
        <w:autoSpaceDN/>
        <w:bidi w:val="0"/>
        <w:adjustRightInd/>
        <w:snapToGrid/>
        <w:spacing w:before="0" w:after="0" w:line="560" w:lineRule="exact"/>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三、综合评价情况及评价结论</w:t>
      </w:r>
      <w:bookmarkEnd w:id="12"/>
    </w:p>
    <w:p w14:paraId="696FB77C">
      <w:pPr>
        <w:pStyle w:val="49"/>
        <w:pageBreakBefore w:val="0"/>
        <w:widowControl w:val="0"/>
        <w:kinsoku/>
        <w:wordWrap/>
        <w:overflowPunct/>
        <w:topLinePunct w:val="0"/>
        <w:autoSpaceDE/>
        <w:autoSpaceDN/>
        <w:bidi w:val="0"/>
        <w:adjustRightInd/>
        <w:snapToGrid/>
        <w:spacing w:before="0" w:after="0" w:line="560" w:lineRule="exact"/>
        <w:ind w:left="0" w:leftChars="0" w:firstLine="480" w:firstLineChars="200"/>
        <w:jc w:val="both"/>
        <w:textAlignment w:val="auto"/>
        <w:rPr>
          <w:rFonts w:hint="eastAsia" w:ascii="宋体" w:hAnsi="宋体" w:eastAsia="宋体" w:cs="宋体"/>
          <w:color w:val="auto"/>
          <w:sz w:val="24"/>
          <w:szCs w:val="24"/>
        </w:rPr>
      </w:pPr>
      <w:bookmarkStart w:id="13" w:name="_Toc68364665"/>
      <w:r>
        <w:rPr>
          <w:rFonts w:hint="eastAsia" w:ascii="宋体" w:hAnsi="宋体" w:eastAsia="宋体" w:cs="宋体"/>
          <w:color w:val="auto"/>
          <w:sz w:val="24"/>
          <w:szCs w:val="24"/>
        </w:rPr>
        <w:t>（一）综合评价情况</w:t>
      </w:r>
      <w:bookmarkEnd w:id="13"/>
    </w:p>
    <w:p w14:paraId="5057DDF5">
      <w:pPr>
        <w:pageBreakBefore w:val="0"/>
        <w:widowControl w:val="0"/>
        <w:kinsoku/>
        <w:wordWrap/>
        <w:overflowPunct/>
        <w:topLinePunct w:val="0"/>
        <w:autoSpaceDE/>
        <w:autoSpaceDN/>
        <w:bidi w:val="0"/>
        <w:adjustRightInd/>
        <w:snapToGrid/>
        <w:spacing w:line="560" w:lineRule="exact"/>
        <w:ind w:left="0" w:leftChars="0" w:firstLine="640"/>
        <w:jc w:val="both"/>
        <w:textAlignment w:val="auto"/>
        <w:rPr>
          <w:rFonts w:hint="eastAsia" w:ascii="宋体" w:hAnsi="宋体" w:eastAsia="宋体" w:cs="宋体"/>
          <w:color w:val="auto"/>
          <w:sz w:val="24"/>
          <w:szCs w:val="24"/>
        </w:rPr>
      </w:pPr>
      <w:bookmarkStart w:id="14" w:name="_Toc68364666"/>
      <w:r>
        <w:rPr>
          <w:rFonts w:hint="eastAsia" w:ascii="宋体" w:hAnsi="宋体" w:eastAsia="宋体" w:cs="宋体"/>
          <w:color w:val="auto"/>
          <w:sz w:val="24"/>
          <w:szCs w:val="24"/>
        </w:rPr>
        <w:t>通过实施</w:t>
      </w:r>
      <w:r>
        <w:rPr>
          <w:rFonts w:hint="eastAsia" w:ascii="宋体" w:hAnsi="宋体" w:eastAsia="宋体" w:cs="宋体"/>
          <w:color w:val="auto"/>
          <w:sz w:val="24"/>
          <w:szCs w:val="24"/>
          <w:lang w:eastAsia="zh-CN"/>
        </w:rPr>
        <w:t>西部计划志愿者生活补助</w:t>
      </w:r>
      <w:r>
        <w:rPr>
          <w:rFonts w:hint="eastAsia" w:ascii="宋体" w:hAnsi="宋体" w:eastAsia="宋体" w:cs="宋体"/>
          <w:color w:val="auto"/>
          <w:sz w:val="24"/>
          <w:szCs w:val="24"/>
        </w:rPr>
        <w:t>项目产生促进大学生志愿服务西部计划项目融入地方发展</w:t>
      </w:r>
      <w:r>
        <w:rPr>
          <w:rFonts w:hint="eastAsia" w:ascii="宋体" w:hAnsi="宋体" w:eastAsia="宋体" w:cs="宋体"/>
          <w:color w:val="auto"/>
          <w:sz w:val="24"/>
          <w:szCs w:val="24"/>
          <w:lang w:eastAsia="zh-CN"/>
        </w:rPr>
        <w:t>的</w:t>
      </w:r>
      <w:r>
        <w:rPr>
          <w:rFonts w:hint="eastAsia" w:ascii="宋体" w:hAnsi="宋体" w:eastAsia="宋体" w:cs="宋体"/>
          <w:color w:val="auto"/>
          <w:sz w:val="24"/>
          <w:szCs w:val="24"/>
        </w:rPr>
        <w:t>效益。项目实施主要通过项目决策、项目过程、项目产出以及项目效益等方面进行评价，其中：</w:t>
      </w:r>
    </w:p>
    <w:p w14:paraId="226DD3A8">
      <w:pPr>
        <w:pStyle w:val="46"/>
        <w:pageBreakBefore w:val="0"/>
        <w:widowControl w:val="0"/>
        <w:kinsoku/>
        <w:wordWrap/>
        <w:overflowPunct/>
        <w:topLinePunct w:val="0"/>
        <w:autoSpaceDE/>
        <w:autoSpaceDN/>
        <w:bidi w:val="0"/>
        <w:adjustRightInd/>
        <w:snapToGrid/>
        <w:spacing w:line="560" w:lineRule="exact"/>
        <w:ind w:left="0" w:leftChars="0" w:firstLine="64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项目决策：该项目主要通过</w:t>
      </w:r>
      <w:r>
        <w:rPr>
          <w:rFonts w:hint="eastAsia" w:ascii="宋体" w:hAnsi="宋体" w:eastAsia="宋体" w:cs="宋体"/>
          <w:color w:val="auto"/>
          <w:sz w:val="24"/>
          <w:szCs w:val="24"/>
          <w:lang w:eastAsia="zh-CN"/>
        </w:rPr>
        <w:t>洛财纪字【</w:t>
      </w:r>
      <w:r>
        <w:rPr>
          <w:rFonts w:hint="eastAsia" w:ascii="宋体" w:hAnsi="宋体" w:eastAsia="宋体" w:cs="宋体"/>
          <w:color w:val="auto"/>
          <w:sz w:val="24"/>
          <w:szCs w:val="24"/>
          <w:lang w:val="en-US" w:eastAsia="zh-CN"/>
        </w:rPr>
        <w:t>2024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9号文件</w:t>
      </w:r>
      <w:r>
        <w:rPr>
          <w:rFonts w:hint="eastAsia" w:ascii="宋体" w:hAnsi="宋体" w:eastAsia="宋体" w:cs="宋体"/>
          <w:color w:val="auto"/>
          <w:sz w:val="24"/>
          <w:szCs w:val="24"/>
        </w:rPr>
        <w:t>立项，项目实施符合</w:t>
      </w:r>
      <w:r>
        <w:rPr>
          <w:rFonts w:hint="eastAsia" w:ascii="宋体" w:hAnsi="宋体" w:eastAsia="宋体" w:cs="宋体"/>
          <w:color w:val="auto"/>
          <w:sz w:val="24"/>
          <w:szCs w:val="24"/>
          <w:lang w:eastAsia="zh-CN"/>
        </w:rPr>
        <w:t>相关政策和部门职责</w:t>
      </w:r>
      <w:r>
        <w:rPr>
          <w:rFonts w:hint="eastAsia" w:ascii="宋体" w:hAnsi="宋体" w:eastAsia="宋体" w:cs="宋体"/>
          <w:color w:val="auto"/>
          <w:sz w:val="24"/>
          <w:szCs w:val="24"/>
        </w:rPr>
        <w:t>要求，项目立项依据充分，立项程序规范。</w:t>
      </w:r>
    </w:p>
    <w:p w14:paraId="41246D0D">
      <w:pPr>
        <w:pageBreakBefore w:val="0"/>
        <w:widowControl w:val="0"/>
        <w:kinsoku/>
        <w:wordWrap/>
        <w:overflowPunct/>
        <w:topLinePunct w:val="0"/>
        <w:autoSpaceDE/>
        <w:autoSpaceDN/>
        <w:bidi w:val="0"/>
        <w:adjustRightInd/>
        <w:snapToGrid/>
        <w:spacing w:line="560" w:lineRule="exact"/>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项目过程：</w:t>
      </w:r>
      <w:r>
        <w:rPr>
          <w:rFonts w:hint="eastAsia" w:ascii="宋体" w:hAnsi="宋体" w:eastAsia="宋体" w:cs="宋体"/>
          <w:color w:val="auto"/>
          <w:sz w:val="24"/>
          <w:szCs w:val="24"/>
          <w:lang w:eastAsia="zh-CN"/>
        </w:rPr>
        <w:t>西部计划志愿者生活补助</w:t>
      </w:r>
      <w:r>
        <w:rPr>
          <w:rFonts w:hint="eastAsia" w:ascii="宋体" w:hAnsi="宋体" w:eastAsia="宋体" w:cs="宋体"/>
          <w:color w:val="auto"/>
          <w:sz w:val="24"/>
          <w:szCs w:val="24"/>
        </w:rPr>
        <w:t>项目预算安排</w:t>
      </w:r>
      <w:r>
        <w:rPr>
          <w:rFonts w:hint="eastAsia" w:ascii="宋体" w:hAnsi="宋体" w:eastAsia="宋体" w:cs="宋体"/>
          <w:color w:val="auto"/>
          <w:sz w:val="24"/>
          <w:szCs w:val="24"/>
          <w:lang w:val="en-US" w:eastAsia="zh-CN"/>
        </w:rPr>
        <w:t>34.8</w:t>
      </w:r>
      <w:r>
        <w:rPr>
          <w:rFonts w:hint="eastAsia" w:ascii="宋体" w:hAnsi="宋体" w:eastAsia="宋体" w:cs="宋体"/>
          <w:color w:val="auto"/>
          <w:sz w:val="24"/>
          <w:szCs w:val="24"/>
        </w:rPr>
        <w:t>万元，实际支出</w:t>
      </w:r>
      <w:r>
        <w:rPr>
          <w:rFonts w:hint="eastAsia" w:ascii="宋体" w:hAnsi="宋体" w:eastAsia="宋体" w:cs="宋体"/>
          <w:color w:val="auto"/>
          <w:sz w:val="24"/>
          <w:szCs w:val="24"/>
          <w:lang w:val="en-US" w:eastAsia="zh-CN"/>
        </w:rPr>
        <w:t>34.8</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%。项目资金使用合规，项目财务管理制度健全，财务监控到位，所有资金支付均按照国库集中支付制度严格执行，现有项目管理制度执行情况良好。</w:t>
      </w:r>
    </w:p>
    <w:p w14:paraId="0D4FD06D">
      <w:pPr>
        <w:pageBreakBefore w:val="0"/>
        <w:widowControl w:val="0"/>
        <w:kinsoku/>
        <w:wordWrap/>
        <w:overflowPunct/>
        <w:topLinePunct w:val="0"/>
        <w:autoSpaceDE/>
        <w:autoSpaceDN/>
        <w:bidi w:val="0"/>
        <w:adjustRightInd/>
        <w:snapToGrid/>
        <w:spacing w:line="560" w:lineRule="exact"/>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项目产出：西部计划志愿者在岗数量</w:t>
      </w:r>
      <w:r>
        <w:rPr>
          <w:rFonts w:hint="eastAsia" w:ascii="宋体" w:hAnsi="宋体" w:eastAsia="宋体" w:cs="宋体"/>
          <w:color w:val="auto"/>
          <w:sz w:val="24"/>
          <w:szCs w:val="24"/>
          <w:lang w:eastAsia="zh-CN"/>
        </w:rPr>
        <w:t>142人，</w:t>
      </w:r>
      <w:r>
        <w:rPr>
          <w:rFonts w:hint="eastAsia" w:ascii="宋体" w:hAnsi="宋体" w:eastAsia="宋体" w:cs="宋体"/>
          <w:color w:val="auto"/>
          <w:sz w:val="24"/>
          <w:szCs w:val="24"/>
          <w:highlight w:val="none"/>
          <w:lang w:val="en-US" w:eastAsia="zh-CN"/>
        </w:rPr>
        <w:t>指标达到预算目标</w:t>
      </w:r>
      <w:r>
        <w:rPr>
          <w:rFonts w:hint="eastAsia" w:ascii="宋体" w:hAnsi="宋体" w:eastAsia="宋体" w:cs="宋体"/>
          <w:color w:val="auto"/>
          <w:sz w:val="24"/>
          <w:szCs w:val="24"/>
          <w:lang w:val="en-US" w:eastAsia="zh-CN"/>
        </w:rPr>
        <w:t>。</w:t>
      </w:r>
    </w:p>
    <w:p w14:paraId="46CD1958">
      <w:pPr>
        <w:pageBreakBefore w:val="0"/>
        <w:widowControl w:val="0"/>
        <w:kinsoku/>
        <w:wordWrap/>
        <w:overflowPunct/>
        <w:topLinePunct w:val="0"/>
        <w:autoSpaceDE/>
        <w:autoSpaceDN/>
        <w:bidi w:val="0"/>
        <w:adjustRightInd/>
        <w:snapToGrid/>
        <w:spacing w:line="560" w:lineRule="exact"/>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项目效益：通过实施此项目产生促进大学生志愿服务西部计划项目融入地方发展</w:t>
      </w:r>
      <w:r>
        <w:rPr>
          <w:rFonts w:hint="eastAsia" w:ascii="宋体" w:hAnsi="宋体" w:eastAsia="宋体" w:cs="宋体"/>
          <w:color w:val="auto"/>
          <w:sz w:val="24"/>
          <w:szCs w:val="24"/>
          <w:lang w:eastAsia="zh-CN"/>
        </w:rPr>
        <w:t>的</w:t>
      </w:r>
      <w:r>
        <w:rPr>
          <w:rFonts w:hint="eastAsia" w:ascii="宋体" w:hAnsi="宋体" w:eastAsia="宋体" w:cs="宋体"/>
          <w:color w:val="auto"/>
          <w:sz w:val="24"/>
          <w:szCs w:val="24"/>
        </w:rPr>
        <w:t>效益</w:t>
      </w:r>
      <w:r>
        <w:rPr>
          <w:rFonts w:hint="eastAsia" w:ascii="宋体" w:hAnsi="宋体" w:eastAsia="宋体" w:cs="宋体"/>
          <w:color w:val="auto"/>
          <w:sz w:val="24"/>
          <w:szCs w:val="24"/>
          <w:lang w:val="en-US" w:eastAsia="zh-CN"/>
        </w:rPr>
        <w:t>。</w:t>
      </w:r>
    </w:p>
    <w:p w14:paraId="7E9052AC">
      <w:pPr>
        <w:pStyle w:val="49"/>
        <w:pageBreakBefore w:val="0"/>
        <w:widowControl w:val="0"/>
        <w:kinsoku/>
        <w:wordWrap/>
        <w:overflowPunct/>
        <w:topLinePunct w:val="0"/>
        <w:autoSpaceDE/>
        <w:autoSpaceDN/>
        <w:bidi w:val="0"/>
        <w:adjustRightInd/>
        <w:snapToGrid/>
        <w:spacing w:before="0" w:after="0" w:line="56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（二）综合评价结论</w:t>
      </w:r>
    </w:p>
    <w:p w14:paraId="052B2551">
      <w:pPr>
        <w:pageBreakBefore w:val="0"/>
        <w:widowControl w:val="0"/>
        <w:kinsoku/>
        <w:wordWrap/>
        <w:overflowPunct/>
        <w:topLinePunct w:val="0"/>
        <w:autoSpaceDE/>
        <w:autoSpaceDN/>
        <w:bidi w:val="0"/>
        <w:adjustRightInd/>
        <w:snapToGrid/>
        <w:spacing w:line="560" w:lineRule="exact"/>
        <w:ind w:left="0" w:leftChars="0" w:firstLine="640"/>
        <w:jc w:val="both"/>
        <w:textAlignment w:val="auto"/>
        <w:rPr>
          <w:rFonts w:hint="eastAsia" w:ascii="黑体" w:hAnsi="黑体" w:eastAsia="黑体" w:cs="黑体"/>
          <w:color w:val="auto"/>
          <w:sz w:val="24"/>
          <w:szCs w:val="24"/>
        </w:rPr>
      </w:pPr>
      <w:r>
        <w:rPr>
          <w:rFonts w:hint="eastAsia" w:ascii="宋体" w:hAnsi="宋体" w:eastAsia="宋体" w:cs="宋体"/>
          <w:color w:val="auto"/>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color w:val="auto"/>
          <w:sz w:val="24"/>
          <w:szCs w:val="24"/>
          <w:lang w:eastAsia="zh-CN"/>
        </w:rPr>
        <w:t>西部计划志愿者生活补助</w:t>
      </w:r>
      <w:r>
        <w:rPr>
          <w:rFonts w:hint="eastAsia" w:ascii="宋体" w:hAnsi="宋体" w:eastAsia="宋体" w:cs="宋体"/>
          <w:color w:val="auto"/>
          <w:sz w:val="24"/>
          <w:szCs w:val="24"/>
        </w:rPr>
        <w:t>项目进行客观评价，最终评分结果：评价总分</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分，绩效等级为“</w:t>
      </w:r>
      <w:r>
        <w:rPr>
          <w:rFonts w:hint="eastAsia" w:ascii="宋体" w:hAnsi="宋体" w:eastAsia="宋体" w:cs="宋体"/>
          <w:color w:val="auto"/>
          <w:sz w:val="24"/>
          <w:szCs w:val="24"/>
          <w:lang w:eastAsia="zh-CN"/>
        </w:rPr>
        <w:t>优</w:t>
      </w:r>
      <w:r>
        <w:rPr>
          <w:rFonts w:hint="eastAsia" w:ascii="宋体" w:hAnsi="宋体" w:eastAsia="宋体" w:cs="宋体"/>
          <w:color w:val="auto"/>
          <w:sz w:val="24"/>
          <w:szCs w:val="24"/>
        </w:rPr>
        <w:t>”。</w:t>
      </w:r>
      <w:bookmarkEnd w:id="14"/>
      <w:bookmarkStart w:id="15" w:name="_Toc68364667"/>
    </w:p>
    <w:p w14:paraId="41599854">
      <w:pPr>
        <w:pStyle w:val="4"/>
        <w:pageBreakBefore w:val="0"/>
        <w:widowControl w:val="0"/>
        <w:kinsoku/>
        <w:wordWrap/>
        <w:topLinePunct w:val="0"/>
        <w:autoSpaceDE/>
        <w:autoSpaceDN/>
        <w:bidi w:val="0"/>
        <w:adjustRightInd/>
        <w:snapToGrid/>
        <w:spacing w:before="0" w:after="0" w:line="560" w:lineRule="exact"/>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四、绩效评价指标分析</w:t>
      </w:r>
      <w:bookmarkEnd w:id="15"/>
    </w:p>
    <w:p w14:paraId="47A24DF4">
      <w:pPr>
        <w:pStyle w:val="49"/>
        <w:pageBreakBefore w:val="0"/>
        <w:widowControl w:val="0"/>
        <w:kinsoku/>
        <w:wordWrap/>
        <w:topLinePunct w:val="0"/>
        <w:autoSpaceDE/>
        <w:autoSpaceDN/>
        <w:bidi w:val="0"/>
        <w:adjustRightInd/>
        <w:snapToGrid/>
        <w:spacing w:before="0" w:after="0" w:line="560" w:lineRule="exact"/>
        <w:ind w:left="0" w:leftChars="0" w:firstLine="480" w:firstLineChars="200"/>
        <w:jc w:val="both"/>
        <w:textAlignment w:val="auto"/>
        <w:rPr>
          <w:rFonts w:hint="eastAsia" w:ascii="宋体" w:hAnsi="宋体" w:eastAsia="宋体" w:cs="宋体"/>
          <w:color w:val="auto"/>
          <w:sz w:val="24"/>
          <w:szCs w:val="24"/>
        </w:rPr>
      </w:pPr>
      <w:bookmarkStart w:id="16" w:name="_Toc68364668"/>
      <w:r>
        <w:rPr>
          <w:rFonts w:hint="eastAsia" w:ascii="宋体" w:hAnsi="宋体" w:eastAsia="宋体" w:cs="宋体"/>
          <w:color w:val="auto"/>
          <w:sz w:val="24"/>
          <w:szCs w:val="24"/>
        </w:rPr>
        <w:t>（一）项目决策情况</w:t>
      </w:r>
    </w:p>
    <w:p w14:paraId="2B4DBDDB">
      <w:pPr>
        <w:keepNext w:val="0"/>
        <w:keepLines w:val="0"/>
        <w:pageBreakBefore w:val="0"/>
        <w:widowControl w:val="0"/>
        <w:kinsoku/>
        <w:wordWrap/>
        <w:overflowPunct w:val="0"/>
        <w:topLinePunct w:val="0"/>
        <w:autoSpaceDE/>
        <w:autoSpaceDN/>
        <w:bidi w:val="0"/>
        <w:adjustRightInd/>
        <w:snapToGrid/>
        <w:spacing w:line="560" w:lineRule="exact"/>
        <w:ind w:left="0" w:leftChars="0" w:firstLine="640"/>
        <w:contextualSpacing/>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项目决策类指标包括项目立项、绩效目标和资金投入三方面的内容，由6个三级指标构成，权重分</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rPr>
        <w:t>，实际得分</w:t>
      </w: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分，得分率为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291A598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5DB35A22">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本项目立项符合</w:t>
      </w:r>
      <w:r>
        <w:rPr>
          <w:rFonts w:hint="eastAsia" w:ascii="宋体" w:hAnsi="宋体" w:eastAsia="宋体" w:cs="宋体"/>
          <w:color w:val="000000"/>
          <w:sz w:val="24"/>
          <w:szCs w:val="24"/>
          <w:highlight w:val="none"/>
          <w:lang w:eastAsia="zh-CN"/>
        </w:rPr>
        <w:t>自治区</w:t>
      </w:r>
      <w:r>
        <w:rPr>
          <w:rFonts w:hint="eastAsia" w:ascii="宋体" w:hAnsi="宋体" w:eastAsia="宋体" w:cs="宋体"/>
          <w:color w:val="000000"/>
          <w:sz w:val="24"/>
          <w:szCs w:val="24"/>
          <w:highlight w:val="none"/>
        </w:rPr>
        <w:t>颁发的《</w:t>
      </w:r>
      <w:r>
        <w:rPr>
          <w:rFonts w:hint="eastAsia" w:ascii="宋体" w:hAnsi="宋体" w:eastAsia="宋体" w:cs="宋体"/>
          <w:color w:val="000000"/>
          <w:sz w:val="24"/>
          <w:szCs w:val="24"/>
          <w:highlight w:val="none"/>
          <w:lang w:eastAsia="zh-CN"/>
        </w:rPr>
        <w:t>关于做好</w:t>
      </w:r>
      <w:r>
        <w:rPr>
          <w:rFonts w:hint="eastAsia" w:ascii="宋体" w:hAnsi="宋体" w:eastAsia="宋体" w:cs="宋体"/>
          <w:color w:val="000000"/>
          <w:sz w:val="24"/>
          <w:szCs w:val="24"/>
          <w:highlight w:val="none"/>
          <w:lang w:val="en-US" w:eastAsia="zh-CN"/>
        </w:rPr>
        <w:t>2023-2024年度大学生志愿服务西部计划经费保障工能够在的通知</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新团办发</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2023</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9</w:t>
      </w:r>
      <w:r>
        <w:rPr>
          <w:rFonts w:hint="eastAsia" w:ascii="宋体" w:hAnsi="宋体" w:eastAsia="宋体" w:cs="宋体"/>
          <w:color w:val="000000"/>
          <w:sz w:val="24"/>
          <w:szCs w:val="24"/>
          <w:highlight w:val="none"/>
        </w:rPr>
        <w:t>号）中：“</w:t>
      </w:r>
      <w:r>
        <w:rPr>
          <w:rFonts w:hint="eastAsia" w:ascii="宋体" w:hAnsi="宋体" w:eastAsia="宋体" w:cs="宋体"/>
          <w:color w:val="000000"/>
          <w:sz w:val="24"/>
          <w:szCs w:val="24"/>
          <w:highlight w:val="none"/>
          <w:lang w:val="en-US" w:eastAsia="zh-CN"/>
        </w:rPr>
        <w:t>服务单位工作生活补助</w:t>
      </w:r>
      <w:r>
        <w:rPr>
          <w:rFonts w:hint="eastAsia" w:ascii="宋体" w:hAnsi="宋体" w:eastAsia="宋体" w:cs="宋体"/>
          <w:color w:val="000000"/>
          <w:sz w:val="24"/>
          <w:szCs w:val="24"/>
          <w:highlight w:val="none"/>
        </w:rPr>
        <w:t>”；本项目立项符合《</w:t>
      </w:r>
      <w:r>
        <w:rPr>
          <w:rFonts w:hint="eastAsia" w:ascii="宋体" w:hAnsi="宋体" w:eastAsia="宋体" w:cs="宋体"/>
          <w:color w:val="000000"/>
          <w:sz w:val="24"/>
          <w:szCs w:val="24"/>
          <w:highlight w:val="none"/>
          <w:lang w:eastAsia="zh-CN"/>
        </w:rPr>
        <w:t>中国共产主义青年团洛浦县委员会</w:t>
      </w:r>
      <w:r>
        <w:rPr>
          <w:rFonts w:hint="eastAsia" w:ascii="宋体" w:hAnsi="宋体" w:eastAsia="宋体" w:cs="宋体"/>
          <w:color w:val="000000"/>
          <w:sz w:val="24"/>
          <w:szCs w:val="24"/>
          <w:highlight w:val="none"/>
        </w:rPr>
        <w:t>单位配置内设机构和人员编制规定》中职责范围中的“</w:t>
      </w:r>
      <w:r>
        <w:rPr>
          <w:rFonts w:hint="eastAsia" w:ascii="宋体" w:hAnsi="宋体" w:eastAsia="宋体" w:cs="宋体"/>
          <w:color w:val="000000"/>
          <w:sz w:val="24"/>
          <w:szCs w:val="24"/>
          <w:highlight w:val="none"/>
          <w:lang w:val="en-US" w:eastAsia="zh-CN"/>
        </w:rPr>
        <w:t>对团员青年进行理想教育，纪律教育和革命传育，鼓励他们积极投身于社会主义现代化建设，引导团员提高政治思想觉悟，做到有理想、有道道、守纤积极响应党的号召，投身到经济建设的主战场，建业提供方便</w:t>
      </w:r>
      <w:r>
        <w:rPr>
          <w:rFonts w:hint="eastAsia" w:ascii="宋体" w:hAnsi="宋体" w:eastAsia="宋体" w:cs="宋体"/>
          <w:color w:val="000000"/>
          <w:sz w:val="24"/>
          <w:szCs w:val="24"/>
          <w:highlight w:val="none"/>
        </w:rPr>
        <w:t>”，属于我单位履职所需；根据《财政资金直接支付申请书》，本项目资金性质为“公共财政预算”功能分类为“</w:t>
      </w:r>
      <w:r>
        <w:rPr>
          <w:rFonts w:hint="eastAsia" w:ascii="宋体" w:hAnsi="宋体" w:eastAsia="宋体" w:cs="宋体"/>
          <w:color w:val="000000"/>
          <w:sz w:val="24"/>
          <w:szCs w:val="24"/>
          <w:highlight w:val="none"/>
          <w:lang w:eastAsia="zh-CN"/>
        </w:rPr>
        <w:t>一般公共服务支出</w:t>
      </w:r>
      <w:r>
        <w:rPr>
          <w:rFonts w:hint="eastAsia" w:ascii="宋体" w:hAnsi="宋体" w:eastAsia="宋体" w:cs="宋体"/>
          <w:color w:val="000000"/>
          <w:sz w:val="24"/>
          <w:szCs w:val="24"/>
          <w:highlight w:val="none"/>
        </w:rPr>
        <w:t>”经济分类为“</w:t>
      </w:r>
      <w:r>
        <w:rPr>
          <w:rFonts w:hint="eastAsia" w:ascii="宋体" w:hAnsi="宋体" w:eastAsia="宋体" w:cs="宋体"/>
          <w:color w:val="000000"/>
          <w:sz w:val="24"/>
          <w:szCs w:val="24"/>
          <w:highlight w:val="none"/>
          <w:lang w:eastAsia="zh-CN"/>
        </w:rPr>
        <w:t>对个人和家庭的补助</w:t>
      </w:r>
      <w:r>
        <w:rPr>
          <w:rFonts w:hint="eastAsia" w:ascii="宋体" w:hAnsi="宋体" w:eastAsia="宋体" w:cs="宋体"/>
          <w:color w:val="000000"/>
          <w:sz w:val="24"/>
          <w:szCs w:val="24"/>
          <w:highlight w:val="none"/>
        </w:rPr>
        <w:t>”属于公共财政支持范围，符合中央、地方事权支出责任划分原则；经检查我单位财政应用平台指标，本项目不存在重复。</w:t>
      </w:r>
    </w:p>
    <w:p w14:paraId="45276FBF">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分，本项目立项依据充分。</w:t>
      </w:r>
    </w:p>
    <w:p w14:paraId="6CFDE17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7D0A940A">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本项目按照规定的程序申请设立，项目立项过程中产生的文件均符合相关要求。本项目为</w:t>
      </w:r>
      <w:r>
        <w:rPr>
          <w:rFonts w:hint="eastAsia" w:ascii="宋体" w:hAnsi="宋体" w:eastAsia="宋体" w:cs="宋体"/>
          <w:color w:val="000000"/>
          <w:sz w:val="24"/>
          <w:szCs w:val="24"/>
          <w:highlight w:val="none"/>
          <w:lang w:eastAsia="zh-CN"/>
        </w:rPr>
        <w:t>特定</w:t>
      </w:r>
      <w:r>
        <w:rPr>
          <w:rFonts w:hint="eastAsia" w:ascii="宋体" w:hAnsi="宋体" w:eastAsia="宋体" w:cs="宋体"/>
          <w:color w:val="000000"/>
          <w:sz w:val="24"/>
          <w:szCs w:val="24"/>
          <w:highlight w:val="none"/>
        </w:rPr>
        <w:t>类项目，属于经常性项目，项目预算金额为</w:t>
      </w:r>
      <w:r>
        <w:rPr>
          <w:rFonts w:hint="eastAsia" w:ascii="宋体" w:hAnsi="宋体" w:eastAsia="宋体" w:cs="宋体"/>
          <w:color w:val="000000"/>
          <w:sz w:val="24"/>
          <w:szCs w:val="24"/>
          <w:highlight w:val="none"/>
          <w:lang w:val="en-US" w:eastAsia="zh-CN"/>
        </w:rPr>
        <w:t>34.8</w:t>
      </w:r>
      <w:r>
        <w:rPr>
          <w:rFonts w:hint="eastAsia" w:ascii="宋体" w:hAnsi="宋体" w:eastAsia="宋体" w:cs="宋体"/>
          <w:color w:val="000000"/>
          <w:sz w:val="24"/>
          <w:szCs w:val="24"/>
          <w:highlight w:val="none"/>
        </w:rPr>
        <w:t>万元，不涉及事前绩效评估和风险评估。</w:t>
      </w:r>
    </w:p>
    <w:p w14:paraId="4D2C59D8">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综上所述，本指标满分为3分，根据评分标准得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分，本项目立项程序合规。</w:t>
      </w:r>
    </w:p>
    <w:p w14:paraId="3F4A051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lang w:val="en-US" w:eastAsia="zh-CN"/>
        </w:rPr>
        <w:t>3.绩效目标合理性</w:t>
      </w:r>
    </w:p>
    <w:p w14:paraId="26FBC959">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该项目年初设定绩效目标主要内容为： 按照《关于印发&lt;2018-2019年度大学生志愿服务西部计划新疆专项实施方案&gt;的通知》（新团办联发【2018】16号）的规定，西部计划志愿者在岗服务期间，基层服务单位按不低于800元/人/月标准发放工作生活补助，有条件的单位可根据实际情况适当上调工作生活补助金额。项目的实施将促进大学生志愿服务西部计划项目融入地方发展，吸引更多有志青年来洛工作。</w:t>
      </w:r>
    </w:p>
    <w:p w14:paraId="2388908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757FF71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2980103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经检查我单位年初设置的《西部计划志愿者生活补助项目支出绩效目标表》，得出如下结论：本项目已将年度绩效目标进行细化为绩效指标</w:t>
      </w:r>
      <w:r>
        <w:rPr>
          <w:rFonts w:hint="eastAsia" w:ascii="宋体" w:hAnsi="宋体" w:eastAsia="宋体" w:cs="宋体"/>
          <w:color w:val="000000"/>
          <w:sz w:val="24"/>
          <w:szCs w:val="24"/>
          <w:highlight w:val="none"/>
          <w:lang w:val="en-US" w:eastAsia="zh-CN"/>
        </w:rPr>
        <w:t>体系</w:t>
      </w:r>
      <w:r>
        <w:rPr>
          <w:rFonts w:hint="eastAsia" w:ascii="宋体" w:hAnsi="宋体" w:eastAsia="宋体" w:cs="宋体"/>
          <w:color w:val="000000"/>
          <w:sz w:val="24"/>
          <w:szCs w:val="24"/>
          <w:highlight w:val="none"/>
        </w:rPr>
        <w:t>，共设置一级指标</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个，二级指标</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个，三级指标</w:t>
      </w: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个，定量指标</w:t>
      </w: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rPr>
        <w:t>个，定性指标</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个，指标量化率为</w:t>
      </w:r>
      <w:r>
        <w:rPr>
          <w:rFonts w:hint="eastAsia" w:ascii="宋体" w:hAnsi="宋体" w:eastAsia="宋体" w:cs="宋体"/>
          <w:color w:val="000000"/>
          <w:sz w:val="24"/>
          <w:szCs w:val="24"/>
          <w:highlight w:val="none"/>
          <w:lang w:val="en-US" w:eastAsia="zh-CN"/>
        </w:rPr>
        <w:t>87.5</w:t>
      </w:r>
      <w:r>
        <w:rPr>
          <w:rFonts w:hint="eastAsia" w:ascii="宋体" w:hAnsi="宋体" w:eastAsia="宋体" w:cs="宋体"/>
          <w:color w:val="000000"/>
          <w:sz w:val="24"/>
          <w:szCs w:val="24"/>
          <w:highlight w:val="none"/>
        </w:rPr>
        <w:t>%，量化率</w:t>
      </w:r>
      <w:r>
        <w:rPr>
          <w:rFonts w:hint="eastAsia" w:ascii="宋体" w:hAnsi="宋体" w:eastAsia="宋体" w:cs="宋体"/>
          <w:color w:val="000000"/>
          <w:sz w:val="24"/>
          <w:szCs w:val="24"/>
          <w:highlight w:val="none"/>
          <w:lang w:eastAsia="zh-CN"/>
        </w:rPr>
        <w:t>未</w:t>
      </w:r>
      <w:r>
        <w:rPr>
          <w:rFonts w:hint="eastAsia" w:ascii="宋体" w:hAnsi="宋体" w:eastAsia="宋体" w:cs="宋体"/>
          <w:color w:val="000000"/>
          <w:sz w:val="24"/>
          <w:szCs w:val="24"/>
          <w:highlight w:val="none"/>
        </w:rPr>
        <w:t>达70.0%以上</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将项目绩效目标细化分解为具体的绩效指标</w:t>
      </w:r>
      <w:r>
        <w:rPr>
          <w:rFonts w:hint="eastAsia" w:ascii="宋体" w:hAnsi="宋体" w:eastAsia="宋体" w:cs="宋体"/>
          <w:color w:val="000000"/>
          <w:sz w:val="24"/>
          <w:szCs w:val="24"/>
          <w:highlight w:val="none"/>
          <w:lang w:eastAsia="zh-CN"/>
        </w:rPr>
        <w:t>。</w:t>
      </w:r>
    </w:p>
    <w:p w14:paraId="1AECF9C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该《西部计划志愿者生活补助项目绩效目标申报表》中，已设置数量指标</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西部计划志愿者在岗数</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量，三级指标的年度指标值与年度绩效目标中任务数一致，已设置时效指标</w:t>
      </w:r>
      <w:r>
        <w:rPr>
          <w:rFonts w:hint="eastAsia" w:ascii="宋体" w:hAnsi="宋体" w:eastAsia="宋体" w:cs="宋体"/>
          <w:color w:val="000000"/>
          <w:sz w:val="24"/>
          <w:szCs w:val="24"/>
          <w:highlight w:val="none"/>
          <w:lang w:val="en-US" w:eastAsia="zh-CN"/>
        </w:rPr>
        <w:t>“项目完成时间、资金发放及时率”</w:t>
      </w:r>
      <w:r>
        <w:rPr>
          <w:rFonts w:hint="eastAsia" w:ascii="宋体" w:hAnsi="宋体" w:eastAsia="宋体" w:cs="宋体"/>
          <w:color w:val="000000"/>
          <w:sz w:val="24"/>
          <w:szCs w:val="24"/>
          <w:highlight w:val="none"/>
        </w:rPr>
        <w:t>。已设置的绩效目标具备明确性、可衡量性、可实现性、相关性、时限性。</w:t>
      </w:r>
    </w:p>
    <w:p w14:paraId="33E643D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2F50824C">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7479AB2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：西部计划志愿者在岗服务期间，基层服务单位按不低于800元/人/月标准发放工作生活补助</w:t>
      </w:r>
      <w:r>
        <w:rPr>
          <w:rFonts w:hint="eastAsia" w:ascii="宋体" w:hAnsi="宋体" w:eastAsia="宋体" w:cs="宋体"/>
          <w:color w:val="000000"/>
          <w:sz w:val="24"/>
          <w:szCs w:val="24"/>
          <w:highlight w:val="none"/>
        </w:rPr>
        <w:t>，预算申请与《西部计划志愿者生活补助项目实施方案》中涉及的项目内容匹配</w:t>
      </w:r>
      <w:r>
        <w:rPr>
          <w:rFonts w:hint="eastAsia" w:ascii="宋体" w:hAnsi="宋体" w:eastAsia="宋体" w:cs="宋体"/>
          <w:color w:val="auto"/>
          <w:sz w:val="24"/>
          <w:szCs w:val="24"/>
          <w:highlight w:val="none"/>
        </w:rPr>
        <w:t>。</w:t>
      </w:r>
      <w:r>
        <w:rPr>
          <w:rFonts w:hint="eastAsia" w:ascii="宋体" w:hAnsi="宋体" w:eastAsia="宋体" w:cs="宋体"/>
          <w:color w:val="000000"/>
          <w:sz w:val="24"/>
          <w:szCs w:val="24"/>
          <w:highlight w:val="none"/>
        </w:rPr>
        <w:t>本项目预算申请资金</w:t>
      </w:r>
      <w:r>
        <w:rPr>
          <w:rFonts w:hint="eastAsia" w:ascii="宋体" w:hAnsi="宋体" w:eastAsia="宋体" w:cs="宋体"/>
          <w:color w:val="000000"/>
          <w:sz w:val="24"/>
          <w:szCs w:val="24"/>
          <w:highlight w:val="none"/>
          <w:lang w:val="en-US" w:eastAsia="zh-CN"/>
        </w:rPr>
        <w:t>34.8</w:t>
      </w:r>
      <w:r>
        <w:rPr>
          <w:rFonts w:hint="eastAsia" w:ascii="宋体" w:hAnsi="宋体" w:eastAsia="宋体" w:cs="宋体"/>
          <w:color w:val="000000"/>
          <w:sz w:val="24"/>
          <w:szCs w:val="24"/>
          <w:highlight w:val="none"/>
        </w:rPr>
        <w:t>万元，我单位在预算申请中严格按照项目实施内容及测算标准进行核算，预算确定资金量与实际工作任务相匹配。本项目预算额度测算依据充分，严格按照标准编制，预算确定资金量与实际工作任务相匹配</w:t>
      </w:r>
      <w:r>
        <w:rPr>
          <w:rFonts w:hint="eastAsia" w:ascii="宋体" w:hAnsi="宋体" w:eastAsia="宋体" w:cs="宋体"/>
          <w:color w:val="000000"/>
          <w:sz w:val="24"/>
          <w:szCs w:val="24"/>
          <w:highlight w:val="none"/>
          <w:lang w:eastAsia="zh-CN"/>
        </w:rPr>
        <w:t>。</w:t>
      </w:r>
    </w:p>
    <w:p w14:paraId="7DD5185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2C4E03C7">
      <w:pPr>
        <w:pageBreakBefore w:val="0"/>
        <w:widowControl w:val="0"/>
        <w:kinsoku/>
        <w:wordWrap/>
        <w:topLinePunct w:val="0"/>
        <w:autoSpaceDE/>
        <w:autoSpaceDN/>
        <w:bidi w:val="0"/>
        <w:adjustRightInd/>
        <w:snapToGrid/>
        <w:spacing w:line="560" w:lineRule="exact"/>
        <w:ind w:left="0" w:leftChars="0" w:firstLine="643"/>
        <w:jc w:val="both"/>
        <w:textAlignment w:val="auto"/>
        <w:rPr>
          <w:rFonts w:hint="eastAsia" w:ascii="宋体" w:hAnsi="宋体" w:eastAsia="宋体" w:cs="宋体"/>
          <w:color w:val="auto"/>
          <w:sz w:val="24"/>
          <w:szCs w:val="24"/>
          <w:highlight w:val="none"/>
        </w:rPr>
      </w:pPr>
    </w:p>
    <w:p w14:paraId="5D8A28C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33BDF84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本项目实际分配资金以《关于申请西部计划志愿者生活补助项目资金的请示》和《关于印发&lt;2018-2019年度大学生志愿服务西部计划新疆专项实施方案》为依据进行资金分配，预算资金分配依据充分。</w:t>
      </w:r>
      <w:r>
        <w:rPr>
          <w:rFonts w:hint="eastAsia" w:ascii="宋体" w:hAnsi="宋体" w:eastAsia="宋体" w:cs="宋体"/>
          <w:color w:val="000000"/>
          <w:sz w:val="24"/>
          <w:szCs w:val="24"/>
          <w:highlight w:val="none"/>
          <w:lang w:val="en-US" w:eastAsia="zh-CN"/>
        </w:rPr>
        <w:t>根据</w:t>
      </w:r>
      <w:r>
        <w:rPr>
          <w:rFonts w:hint="eastAsia" w:ascii="宋体" w:hAnsi="宋体" w:eastAsia="宋体" w:cs="宋体"/>
          <w:color w:val="auto"/>
          <w:sz w:val="24"/>
          <w:szCs w:val="24"/>
          <w:highlight w:val="none"/>
          <w:lang w:eastAsia="zh-CN"/>
        </w:rPr>
        <w:t>洛财纪字【</w:t>
      </w:r>
      <w:r>
        <w:rPr>
          <w:rFonts w:hint="eastAsia" w:ascii="宋体" w:hAnsi="宋体" w:eastAsia="宋体" w:cs="宋体"/>
          <w:color w:val="auto"/>
          <w:sz w:val="24"/>
          <w:szCs w:val="24"/>
          <w:highlight w:val="none"/>
          <w:lang w:val="en-US" w:eastAsia="zh-CN"/>
        </w:rPr>
        <w:t>2024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9号文件</w:t>
      </w:r>
      <w:r>
        <w:rPr>
          <w:rFonts w:hint="eastAsia" w:ascii="宋体" w:hAnsi="宋体" w:eastAsia="宋体" w:cs="宋体"/>
          <w:color w:val="000000"/>
          <w:sz w:val="24"/>
          <w:szCs w:val="24"/>
          <w:highlight w:val="none"/>
        </w:rPr>
        <w:t>，本项目实际到位资金</w:t>
      </w:r>
      <w:r>
        <w:rPr>
          <w:rFonts w:hint="eastAsia" w:ascii="宋体" w:hAnsi="宋体" w:eastAsia="宋体" w:cs="宋体"/>
          <w:color w:val="000000"/>
          <w:sz w:val="24"/>
          <w:szCs w:val="24"/>
          <w:highlight w:val="none"/>
          <w:lang w:val="en-US" w:eastAsia="zh-CN"/>
        </w:rPr>
        <w:t>34.8</w:t>
      </w:r>
      <w:r>
        <w:rPr>
          <w:rFonts w:hint="eastAsia" w:ascii="宋体" w:hAnsi="宋体" w:eastAsia="宋体" w:cs="宋体"/>
          <w:color w:val="000000"/>
          <w:sz w:val="24"/>
          <w:szCs w:val="24"/>
          <w:highlight w:val="none"/>
        </w:rPr>
        <w:t>万元，资金分配额度合理，与我单位实际需求相适应。资金分配与实际相适应</w:t>
      </w:r>
      <w:r>
        <w:rPr>
          <w:rFonts w:hint="eastAsia" w:ascii="宋体" w:hAnsi="宋体" w:eastAsia="宋体" w:cs="宋体"/>
          <w:color w:val="000000"/>
          <w:sz w:val="24"/>
          <w:szCs w:val="24"/>
          <w:highlight w:val="none"/>
          <w:lang w:eastAsia="zh-CN"/>
        </w:rPr>
        <w:t>。</w:t>
      </w:r>
    </w:p>
    <w:p w14:paraId="3EBD4580">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147BBE79">
      <w:pPr>
        <w:pStyle w:val="49"/>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（二）项目过程情况</w:t>
      </w:r>
    </w:p>
    <w:p w14:paraId="10BCEB2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项目过程类指标包括资金管理和组织实施两方面的内容，由</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个三级指标构成，权重分为</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分，实际得分</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分，得分率为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086BD4A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0F9EBA8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本项目预算资金为</w:t>
      </w:r>
      <w:r>
        <w:rPr>
          <w:rFonts w:hint="eastAsia" w:ascii="宋体" w:hAnsi="宋体" w:eastAsia="宋体" w:cs="宋体"/>
          <w:color w:val="000000"/>
          <w:sz w:val="24"/>
          <w:szCs w:val="24"/>
          <w:highlight w:val="none"/>
          <w:lang w:val="en-US" w:eastAsia="zh-CN"/>
        </w:rPr>
        <w:t>34.8</w:t>
      </w:r>
      <w:r>
        <w:rPr>
          <w:rFonts w:hint="eastAsia" w:ascii="宋体" w:hAnsi="宋体" w:eastAsia="宋体" w:cs="宋体"/>
          <w:color w:val="000000"/>
          <w:sz w:val="24"/>
          <w:szCs w:val="24"/>
          <w:highlight w:val="none"/>
        </w:rPr>
        <w:t>万元，其中：财政安排资金</w:t>
      </w:r>
      <w:r>
        <w:rPr>
          <w:rFonts w:hint="eastAsia" w:ascii="宋体" w:hAnsi="宋体" w:eastAsia="宋体" w:cs="宋体"/>
          <w:color w:val="000000"/>
          <w:sz w:val="24"/>
          <w:szCs w:val="24"/>
          <w:highlight w:val="none"/>
          <w:lang w:val="en-US" w:eastAsia="zh-CN"/>
        </w:rPr>
        <w:t>34.8</w:t>
      </w:r>
      <w:r>
        <w:rPr>
          <w:rFonts w:hint="eastAsia" w:ascii="宋体" w:hAnsi="宋体" w:eastAsia="宋体" w:cs="宋体"/>
          <w:color w:val="000000"/>
          <w:sz w:val="24"/>
          <w:szCs w:val="24"/>
          <w:highlight w:val="none"/>
        </w:rPr>
        <w:t>万元，实际到位资金</w:t>
      </w:r>
      <w:r>
        <w:rPr>
          <w:rFonts w:hint="eastAsia" w:ascii="宋体" w:hAnsi="宋体" w:eastAsia="宋体" w:cs="宋体"/>
          <w:color w:val="000000"/>
          <w:sz w:val="24"/>
          <w:szCs w:val="24"/>
          <w:highlight w:val="none"/>
          <w:lang w:val="en-US" w:eastAsia="zh-CN"/>
        </w:rPr>
        <w:t>34.8</w:t>
      </w:r>
      <w:r>
        <w:rPr>
          <w:rFonts w:hint="eastAsia" w:ascii="宋体" w:hAnsi="宋体" w:eastAsia="宋体" w:cs="宋体"/>
          <w:color w:val="000000"/>
          <w:sz w:val="24"/>
          <w:szCs w:val="24"/>
          <w:highlight w:val="none"/>
        </w:rPr>
        <w:t>万元，资金到位率</w:t>
      </w:r>
      <w:r>
        <w:rPr>
          <w:rFonts w:hint="eastAsia" w:ascii="宋体" w:hAnsi="宋体" w:eastAsia="宋体" w:cs="宋体"/>
          <w:color w:val="000000"/>
          <w:sz w:val="24"/>
          <w:szCs w:val="24"/>
          <w:highlight w:val="none"/>
          <w:lang w:val="en-US" w:eastAsia="zh-CN"/>
        </w:rPr>
        <w:t>100%。通过分析可知，该项目</w:t>
      </w:r>
      <w:r>
        <w:rPr>
          <w:rFonts w:hint="eastAsia" w:ascii="宋体" w:hAnsi="宋体" w:eastAsia="宋体" w:cs="宋体"/>
          <w:color w:val="000000"/>
          <w:sz w:val="24"/>
          <w:szCs w:val="24"/>
          <w:highlight w:val="none"/>
        </w:rPr>
        <w:t>财政资金足额拨付到位，能够及时足额</w:t>
      </w:r>
      <w:r>
        <w:rPr>
          <w:rFonts w:hint="eastAsia" w:ascii="宋体" w:hAnsi="宋体" w:eastAsia="宋体" w:cs="宋体"/>
          <w:color w:val="000000"/>
          <w:sz w:val="24"/>
          <w:szCs w:val="24"/>
          <w:highlight w:val="none"/>
          <w:lang w:val="en-US" w:eastAsia="zh-CN"/>
        </w:rPr>
        <w:t>支付</w:t>
      </w:r>
      <w:r>
        <w:rPr>
          <w:rFonts w:hint="eastAsia" w:ascii="宋体" w:hAnsi="宋体" w:eastAsia="宋体" w:cs="宋体"/>
          <w:color w:val="000000"/>
          <w:sz w:val="24"/>
          <w:szCs w:val="24"/>
          <w:highlight w:val="none"/>
        </w:rPr>
        <w:t>给</w:t>
      </w:r>
      <w:r>
        <w:rPr>
          <w:rFonts w:hint="eastAsia" w:ascii="宋体" w:hAnsi="宋体" w:eastAsia="宋体" w:cs="宋体"/>
          <w:color w:val="000000"/>
          <w:sz w:val="24"/>
          <w:szCs w:val="24"/>
          <w:highlight w:val="none"/>
          <w:lang w:val="en-US" w:eastAsia="zh-CN"/>
        </w:rPr>
        <w:t>实施</w:t>
      </w:r>
      <w:r>
        <w:rPr>
          <w:rFonts w:hint="eastAsia" w:ascii="宋体" w:hAnsi="宋体" w:eastAsia="宋体" w:cs="宋体"/>
          <w:color w:val="000000"/>
          <w:sz w:val="24"/>
          <w:szCs w:val="24"/>
          <w:highlight w:val="none"/>
        </w:rPr>
        <w:t>单位</w:t>
      </w:r>
      <w:r>
        <w:rPr>
          <w:rFonts w:hint="eastAsia" w:ascii="宋体" w:hAnsi="宋体" w:eastAsia="宋体" w:cs="宋体"/>
          <w:color w:val="000000"/>
          <w:sz w:val="24"/>
          <w:szCs w:val="24"/>
          <w:highlight w:val="none"/>
          <w:lang w:eastAsia="zh-CN"/>
        </w:rPr>
        <w:t>。</w:t>
      </w:r>
    </w:p>
    <w:p w14:paraId="591F366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分。</w:t>
      </w:r>
    </w:p>
    <w:p w14:paraId="28EE7FAD">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16F8D3D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本项目实际支出资金</w:t>
      </w:r>
      <w:r>
        <w:rPr>
          <w:rFonts w:hint="eastAsia" w:ascii="宋体" w:hAnsi="宋体" w:eastAsia="宋体" w:cs="宋体"/>
          <w:color w:val="000000"/>
          <w:sz w:val="24"/>
          <w:szCs w:val="24"/>
          <w:highlight w:val="none"/>
          <w:lang w:val="en-US" w:eastAsia="zh-CN"/>
        </w:rPr>
        <w:t>34.8</w:t>
      </w:r>
      <w:r>
        <w:rPr>
          <w:rFonts w:hint="eastAsia" w:ascii="宋体" w:hAnsi="宋体" w:eastAsia="宋体" w:cs="宋体"/>
          <w:color w:val="000000"/>
          <w:sz w:val="24"/>
          <w:szCs w:val="24"/>
          <w:highlight w:val="none"/>
        </w:rPr>
        <w:t>万元，预算执行率=（实际支出资金/实际到位资金）×100.0%=</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通过分析可知，该项目</w:t>
      </w:r>
      <w:r>
        <w:rPr>
          <w:rFonts w:hint="eastAsia" w:ascii="宋体" w:hAnsi="宋体" w:eastAsia="宋体" w:cs="宋体"/>
          <w:color w:val="000000"/>
          <w:sz w:val="24"/>
          <w:szCs w:val="24"/>
          <w:highlight w:val="none"/>
        </w:rPr>
        <w:t>预算编制较为详细，项目资金支出总体能够按照预算执行</w:t>
      </w:r>
      <w:r>
        <w:rPr>
          <w:rFonts w:hint="eastAsia" w:ascii="宋体" w:hAnsi="宋体" w:eastAsia="宋体" w:cs="宋体"/>
          <w:color w:val="000000"/>
          <w:sz w:val="24"/>
          <w:szCs w:val="24"/>
          <w:highlight w:val="none"/>
          <w:lang w:eastAsia="zh-CN"/>
        </w:rPr>
        <w:t>。</w:t>
      </w:r>
    </w:p>
    <w:p w14:paraId="5C44669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w:t>
      </w:r>
    </w:p>
    <w:p w14:paraId="062D1A79">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6849852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通过检查项目资金申请文件、</w:t>
      </w:r>
      <w:r>
        <w:rPr>
          <w:rFonts w:hint="eastAsia" w:ascii="宋体" w:hAnsi="宋体" w:eastAsia="宋体" w:cs="宋体"/>
          <w:color w:val="000000"/>
          <w:sz w:val="24"/>
          <w:szCs w:val="24"/>
          <w:highlight w:val="none"/>
          <w:lang w:val="en-US" w:eastAsia="zh-CN"/>
        </w:rPr>
        <w:t>国库支付凭证</w:t>
      </w:r>
      <w:r>
        <w:rPr>
          <w:rFonts w:hint="eastAsia" w:ascii="宋体" w:hAnsi="宋体" w:eastAsia="宋体" w:cs="宋体"/>
          <w:color w:val="000000"/>
          <w:sz w:val="24"/>
          <w:szCs w:val="24"/>
          <w:highlight w:val="none"/>
        </w:rPr>
        <w:t>等财务</w:t>
      </w:r>
      <w:r>
        <w:rPr>
          <w:rFonts w:hint="eastAsia" w:ascii="宋体" w:hAnsi="宋体" w:eastAsia="宋体" w:cs="宋体"/>
          <w:color w:val="000000"/>
          <w:sz w:val="24"/>
          <w:szCs w:val="24"/>
          <w:highlight w:val="none"/>
          <w:lang w:val="en-US" w:eastAsia="zh-CN"/>
        </w:rPr>
        <w:t>资料</w:t>
      </w:r>
      <w:r>
        <w:rPr>
          <w:rFonts w:hint="eastAsia" w:ascii="宋体" w:hAnsi="宋体" w:eastAsia="宋体" w:cs="宋体"/>
          <w:color w:val="000000"/>
          <w:sz w:val="24"/>
          <w:szCs w:val="24"/>
          <w:highlight w:val="none"/>
        </w:rPr>
        <w:t>，得出本项目资金支出符合国家财经法规、《政府会计制度》《</w:t>
      </w:r>
      <w:r>
        <w:rPr>
          <w:rFonts w:hint="eastAsia" w:ascii="宋体" w:hAnsi="宋体" w:eastAsia="宋体" w:cs="宋体"/>
          <w:color w:val="000000"/>
          <w:sz w:val="24"/>
          <w:szCs w:val="24"/>
          <w:highlight w:val="none"/>
          <w:lang w:eastAsia="zh-CN"/>
        </w:rPr>
        <w:t>中国共产主义青年团洛浦县委员会</w:t>
      </w:r>
      <w:r>
        <w:rPr>
          <w:rFonts w:hint="eastAsia" w:ascii="宋体" w:hAnsi="宋体" w:eastAsia="宋体" w:cs="宋体"/>
          <w:color w:val="000000"/>
          <w:sz w:val="24"/>
          <w:szCs w:val="24"/>
          <w:highlight w:val="none"/>
        </w:rPr>
        <w:t>单位资金管理办法》，资金的拨付有完整的审批程序和手续，资金实际使用方向与预算批复用途一致，不存在截留、挤占、挪用、虚列支出的情况。</w:t>
      </w:r>
      <w:r>
        <w:rPr>
          <w:rFonts w:hint="eastAsia" w:ascii="宋体" w:hAnsi="宋体" w:eastAsia="宋体" w:cs="宋体"/>
          <w:color w:val="000000"/>
          <w:sz w:val="24"/>
          <w:szCs w:val="24"/>
          <w:highlight w:val="none"/>
          <w:lang w:val="en-US" w:eastAsia="zh-CN"/>
        </w:rPr>
        <w:t>我单位</w:t>
      </w:r>
      <w:r>
        <w:rPr>
          <w:rFonts w:hint="eastAsia" w:ascii="宋体" w:hAnsi="宋体" w:eastAsia="宋体" w:cs="宋体"/>
          <w:color w:val="000000"/>
          <w:sz w:val="24"/>
          <w:szCs w:val="24"/>
          <w:highlight w:val="none"/>
        </w:rPr>
        <w:t>制定了相关的制度和管理规定对经费使用进行规范管理，财务制度健全、执行严格</w:t>
      </w:r>
      <w:r>
        <w:rPr>
          <w:rFonts w:hint="eastAsia" w:ascii="宋体" w:hAnsi="宋体" w:eastAsia="宋体" w:cs="宋体"/>
          <w:color w:val="000000"/>
          <w:sz w:val="24"/>
          <w:szCs w:val="24"/>
          <w:highlight w:val="none"/>
          <w:lang w:eastAsia="zh-CN"/>
        </w:rPr>
        <w:t>。</w:t>
      </w:r>
    </w:p>
    <w:p w14:paraId="64FC519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5A69BDB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2984B12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我单位已制定《</w:t>
      </w:r>
      <w:r>
        <w:rPr>
          <w:rFonts w:hint="eastAsia" w:ascii="宋体" w:hAnsi="宋体" w:eastAsia="宋体" w:cs="宋体"/>
          <w:color w:val="000000"/>
          <w:sz w:val="24"/>
          <w:szCs w:val="24"/>
          <w:highlight w:val="none"/>
          <w:lang w:eastAsia="zh-CN"/>
        </w:rPr>
        <w:t>中国共产主义青年团洛浦县委员会</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eastAsia="zh-CN"/>
        </w:rPr>
        <w:t>中国共产主义青年团洛浦县委员会</w:t>
      </w:r>
      <w:r>
        <w:rPr>
          <w:rFonts w:hint="eastAsia" w:ascii="宋体" w:hAnsi="宋体" w:eastAsia="宋体" w:cs="宋体"/>
          <w:color w:val="000000"/>
          <w:sz w:val="24"/>
          <w:szCs w:val="24"/>
          <w:highlight w:val="none"/>
        </w:rPr>
        <w:t>收支业务管理制度》，</w:t>
      </w:r>
      <w:r>
        <w:rPr>
          <w:rFonts w:hint="eastAsia" w:ascii="宋体" w:hAnsi="宋体" w:eastAsia="宋体" w:cs="宋体"/>
          <w:color w:val="000000"/>
          <w:sz w:val="24"/>
          <w:szCs w:val="24"/>
          <w:highlight w:val="none"/>
          <w:lang w:val="en-US" w:eastAsia="zh-CN"/>
        </w:rPr>
        <w:t>相关</w:t>
      </w:r>
      <w:r>
        <w:rPr>
          <w:rFonts w:hint="eastAsia" w:ascii="宋体" w:hAnsi="宋体" w:eastAsia="宋体" w:cs="宋体"/>
          <w:color w:val="000000"/>
          <w:sz w:val="24"/>
          <w:szCs w:val="24"/>
          <w:highlight w:val="none"/>
        </w:rPr>
        <w:t>制度均符合行政事业单位内控管理要求，财务和业务管理制度合法、合规、完整，本项目执行符合上述制度规定</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 xml:space="preserve">  </w:t>
      </w:r>
    </w:p>
    <w:p w14:paraId="1737D26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6A58EB1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6C0EEDE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①该项目的实施符合《</w:t>
      </w:r>
      <w:r>
        <w:rPr>
          <w:rFonts w:hint="eastAsia" w:ascii="宋体" w:hAnsi="宋体" w:eastAsia="宋体" w:cs="宋体"/>
          <w:color w:val="000000"/>
          <w:sz w:val="24"/>
          <w:szCs w:val="24"/>
          <w:highlight w:val="none"/>
          <w:lang w:eastAsia="zh-CN"/>
        </w:rPr>
        <w:t>中国共产主义青年团洛浦县委员会</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eastAsia="zh-CN"/>
        </w:rPr>
        <w:t>中国共产主义青年团洛浦县委员会</w:t>
      </w:r>
      <w:r>
        <w:rPr>
          <w:rFonts w:hint="eastAsia" w:ascii="宋体" w:hAnsi="宋体" w:eastAsia="宋体" w:cs="宋体"/>
          <w:color w:val="000000"/>
          <w:sz w:val="24"/>
          <w:szCs w:val="24"/>
          <w:highlight w:val="none"/>
        </w:rPr>
        <w:t>收支业务管理制度》等相关法律法规及管理规定，项目具备完整规范的立项程序；经查证项目实施过程资料，项目实施过程均按照采购管理办法和合同管理办法等相关制度执行，基本完成既定目标；经查证</w:t>
      </w:r>
      <w:r>
        <w:rPr>
          <w:rFonts w:hint="eastAsia" w:ascii="宋体" w:hAnsi="宋体" w:eastAsia="宋体" w:cs="宋体"/>
          <w:color w:val="000000"/>
          <w:sz w:val="24"/>
          <w:szCs w:val="24"/>
          <w:highlight w:val="none"/>
          <w:lang w:eastAsia="zh-CN"/>
        </w:rPr>
        <w:t>单位</w:t>
      </w:r>
      <w:r>
        <w:rPr>
          <w:rFonts w:hint="eastAsia" w:ascii="宋体" w:hAnsi="宋体" w:eastAsia="宋体" w:cs="宋体"/>
          <w:color w:val="000000"/>
          <w:sz w:val="24"/>
          <w:szCs w:val="24"/>
          <w:highlight w:val="none"/>
        </w:rPr>
        <w:t>会议纪要、项目资金支付审批表、记账凭证等资金拨付流程资料，项目资金拨付流程完整、手续齐全。综上分析，项目执行遵守相关法律法规和相关管理规定。经现场查证财务支付凭证等资料齐全并及时归档。该项目实施所需要的项目人员已落实到位，具体涉及内容包括：项目资金支出严格按照自治区、地区以及本单位资金管理办法执行，项目启动实施后，为了加快本项目的实施，成立了</w:t>
      </w:r>
      <w:r>
        <w:rPr>
          <w:rFonts w:hint="eastAsia" w:ascii="宋体" w:hAnsi="宋体" w:eastAsia="宋体" w:cs="宋体"/>
          <w:color w:val="000000"/>
          <w:sz w:val="24"/>
          <w:szCs w:val="24"/>
          <w:highlight w:val="none"/>
          <w:lang w:eastAsia="zh-CN"/>
        </w:rPr>
        <w:t>西部计划志愿者生活补助</w:t>
      </w:r>
      <w:r>
        <w:rPr>
          <w:rFonts w:hint="eastAsia" w:ascii="宋体" w:hAnsi="宋体" w:eastAsia="宋体" w:cs="宋体"/>
          <w:color w:val="000000"/>
          <w:sz w:val="24"/>
          <w:szCs w:val="24"/>
          <w:highlight w:val="none"/>
        </w:rPr>
        <w:t>项目工作领导小组，由</w:t>
      </w:r>
      <w:r>
        <w:rPr>
          <w:rFonts w:hint="eastAsia" w:ascii="宋体" w:hAnsi="宋体" w:eastAsia="宋体" w:cs="宋体"/>
          <w:color w:val="000000"/>
          <w:sz w:val="24"/>
          <w:szCs w:val="24"/>
          <w:highlight w:val="none"/>
          <w:lang w:eastAsia="zh-CN"/>
        </w:rPr>
        <w:t>单位主要领导解学哦</w:t>
      </w:r>
      <w:r>
        <w:rPr>
          <w:rFonts w:hint="eastAsia" w:ascii="宋体" w:hAnsi="宋体" w:eastAsia="宋体" w:cs="宋体"/>
          <w:color w:val="000000"/>
          <w:sz w:val="24"/>
          <w:szCs w:val="24"/>
          <w:highlight w:val="none"/>
        </w:rPr>
        <w:t>任组长，负责项目的组织工作；</w:t>
      </w:r>
      <w:r>
        <w:rPr>
          <w:rFonts w:hint="eastAsia" w:ascii="宋体" w:hAnsi="宋体" w:eastAsia="宋体" w:cs="宋体"/>
          <w:color w:val="000000"/>
          <w:sz w:val="24"/>
          <w:szCs w:val="24"/>
          <w:highlight w:val="none"/>
          <w:lang w:eastAsia="zh-CN"/>
        </w:rPr>
        <w:t>财务分管领导迪丽努尔</w:t>
      </w:r>
      <w:r>
        <w:rPr>
          <w:rFonts w:hint="eastAsia" w:ascii="宋体" w:hAnsi="宋体" w:eastAsia="宋体" w:cs="宋体"/>
          <w:color w:val="000000"/>
          <w:sz w:val="24"/>
          <w:szCs w:val="24"/>
          <w:highlight w:val="none"/>
          <w:lang w:val="en-US" w:eastAsia="zh-CN"/>
        </w:rPr>
        <w:t>·凯尤木</w:t>
      </w:r>
      <w:r>
        <w:rPr>
          <w:rFonts w:hint="eastAsia" w:ascii="宋体" w:hAnsi="宋体" w:eastAsia="宋体" w:cs="宋体"/>
          <w:color w:val="000000"/>
          <w:sz w:val="24"/>
          <w:szCs w:val="24"/>
          <w:highlight w:val="none"/>
        </w:rPr>
        <w:t>任副组长，负责项目的实施工作；组员</w:t>
      </w:r>
      <w:r>
        <w:rPr>
          <w:rFonts w:hint="eastAsia" w:ascii="宋体" w:hAnsi="宋体" w:eastAsia="宋体" w:cs="宋体"/>
          <w:color w:val="000000"/>
          <w:sz w:val="24"/>
          <w:szCs w:val="24"/>
          <w:highlight w:val="none"/>
          <w:lang w:eastAsia="zh-CN"/>
        </w:rPr>
        <w:t>为干部蒋娟</w:t>
      </w:r>
      <w:r>
        <w:rPr>
          <w:rFonts w:hint="eastAsia" w:ascii="宋体" w:hAnsi="宋体" w:eastAsia="宋体" w:cs="宋体"/>
          <w:color w:val="000000"/>
          <w:sz w:val="24"/>
          <w:szCs w:val="24"/>
          <w:highlight w:val="none"/>
        </w:rPr>
        <w:t>，主要负责项目监督管理、验收以及资金核拨等工作。</w:t>
      </w:r>
    </w:p>
    <w:p w14:paraId="4414659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32E49F9B">
      <w:pPr>
        <w:pStyle w:val="49"/>
        <w:pageBreakBefore w:val="0"/>
        <w:widowControl w:val="0"/>
        <w:kinsoku/>
        <w:wordWrap/>
        <w:topLinePunct w:val="0"/>
        <w:autoSpaceDE/>
        <w:autoSpaceDN/>
        <w:bidi w:val="0"/>
        <w:adjustRightInd/>
        <w:snapToGrid/>
        <w:spacing w:before="0" w:after="0" w:line="56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62494D41">
      <w:pPr>
        <w:pageBreakBefore w:val="0"/>
        <w:widowControl w:val="0"/>
        <w:kinsoku/>
        <w:wordWrap/>
        <w:topLinePunct w:val="0"/>
        <w:autoSpaceDE/>
        <w:autoSpaceDN/>
        <w:bidi w:val="0"/>
        <w:adjustRightInd/>
        <w:snapToGrid/>
        <w:spacing w:line="560" w:lineRule="exact"/>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个三级指标构成，权重分为4</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5AD3CCA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0914F26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西部计划志愿者在岗数量指标，预期指标值</w:t>
      </w:r>
      <w:r>
        <w:rPr>
          <w:rFonts w:hint="eastAsia" w:ascii="宋体" w:hAnsi="宋体" w:eastAsia="宋体" w:cs="宋体"/>
          <w:color w:val="000000"/>
          <w:sz w:val="24"/>
          <w:szCs w:val="24"/>
          <w:highlight w:val="none"/>
          <w:lang w:val="en-US" w:eastAsia="zh-CN"/>
        </w:rPr>
        <w:t>大于等于</w:t>
      </w: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31</w:t>
      </w:r>
      <w:r>
        <w:rPr>
          <w:rFonts w:hint="eastAsia" w:ascii="宋体" w:hAnsi="宋体" w:eastAsia="宋体" w:cs="宋体"/>
          <w:color w:val="000000"/>
          <w:sz w:val="24"/>
          <w:szCs w:val="24"/>
          <w:highlight w:val="none"/>
        </w:rPr>
        <w:t>人，实际完成值为1</w:t>
      </w:r>
      <w:r>
        <w:rPr>
          <w:rFonts w:hint="eastAsia" w:ascii="宋体" w:hAnsi="宋体" w:eastAsia="宋体" w:cs="宋体"/>
          <w:color w:val="000000"/>
          <w:sz w:val="24"/>
          <w:szCs w:val="24"/>
          <w:highlight w:val="none"/>
          <w:lang w:val="en-US" w:eastAsia="zh-CN"/>
        </w:rPr>
        <w:t>31人</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13A818E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32160E1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2F9B4D2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补贴覆盖率，预期指标值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4ECDF47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资金使用合规率，预期指标值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0A04007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49F41A03">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101271A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项目完成时间，预期指标值为</w:t>
      </w:r>
      <w:r>
        <w:rPr>
          <w:rFonts w:hint="eastAsia" w:ascii="宋体" w:hAnsi="宋体" w:eastAsia="宋体" w:cs="宋体"/>
          <w:color w:val="000000"/>
          <w:sz w:val="24"/>
          <w:szCs w:val="24"/>
          <w:highlight w:val="none"/>
          <w:lang w:val="en-US" w:eastAsia="zh-CN"/>
        </w:rPr>
        <w:t>2024年12月</w:t>
      </w:r>
      <w:r>
        <w:rPr>
          <w:rFonts w:hint="eastAsia" w:ascii="宋体" w:hAnsi="宋体" w:eastAsia="宋体" w:cs="宋体"/>
          <w:color w:val="000000"/>
          <w:sz w:val="24"/>
          <w:szCs w:val="24"/>
          <w:highlight w:val="none"/>
        </w:rPr>
        <w:t>，实际完成值为</w:t>
      </w:r>
      <w:r>
        <w:rPr>
          <w:rFonts w:hint="eastAsia" w:ascii="宋体" w:hAnsi="宋体" w:eastAsia="宋体" w:cs="宋体"/>
          <w:color w:val="000000"/>
          <w:sz w:val="24"/>
          <w:szCs w:val="24"/>
          <w:highlight w:val="none"/>
          <w:lang w:val="en-US" w:eastAsia="zh-CN"/>
        </w:rPr>
        <w:t>2024年12月</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2F6BA37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资金发放及时率，预期指标值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3D6FE5B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color w:val="auto"/>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065153E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689FF8C0">
      <w:pPr>
        <w:pageBreakBefore w:val="0"/>
        <w:widowControl w:val="0"/>
        <w:kinsoku/>
        <w:wordWrap/>
        <w:topLinePunct w:val="0"/>
        <w:autoSpaceDE/>
        <w:autoSpaceDN/>
        <w:bidi w:val="0"/>
        <w:adjustRightInd/>
        <w:snapToGrid/>
        <w:spacing w:line="560" w:lineRule="exact"/>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西部计划者生活补助的发放标准，预期指标值</w:t>
      </w:r>
      <w:r>
        <w:rPr>
          <w:rFonts w:hint="eastAsia" w:ascii="宋体" w:hAnsi="宋体" w:eastAsia="宋体" w:cs="宋体"/>
          <w:color w:val="auto"/>
          <w:sz w:val="24"/>
          <w:szCs w:val="24"/>
          <w:highlight w:val="none"/>
          <w:lang w:val="en-US" w:eastAsia="zh-CN"/>
        </w:rPr>
        <w:t>小于等于12</w:t>
      </w:r>
      <w:r>
        <w:rPr>
          <w:rFonts w:hint="eastAsia" w:ascii="宋体" w:hAnsi="宋体" w:eastAsia="宋体" w:cs="宋体"/>
          <w:color w:val="auto"/>
          <w:sz w:val="24"/>
          <w:szCs w:val="24"/>
          <w:highlight w:val="none"/>
        </w:rPr>
        <w:t>00元/月/人，实际完成值为</w:t>
      </w:r>
      <w:r>
        <w:rPr>
          <w:rFonts w:hint="eastAsia" w:ascii="宋体" w:hAnsi="宋体" w:eastAsia="宋体" w:cs="宋体"/>
          <w:color w:val="auto"/>
          <w:sz w:val="24"/>
          <w:szCs w:val="24"/>
          <w:highlight w:val="none"/>
          <w:lang w:val="en-US" w:eastAsia="zh-CN"/>
        </w:rPr>
        <w:t>1200元/月/人</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得10分</w:t>
      </w:r>
      <w:r>
        <w:rPr>
          <w:rFonts w:hint="eastAsia" w:ascii="宋体" w:hAnsi="宋体" w:eastAsia="宋体" w:cs="宋体"/>
          <w:color w:val="auto"/>
          <w:sz w:val="24"/>
          <w:szCs w:val="24"/>
          <w:highlight w:val="none"/>
        </w:rPr>
        <w:t>。</w:t>
      </w:r>
    </w:p>
    <w:p w14:paraId="62A5E2FE">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bCs/>
          <w:color w:val="000000"/>
          <w:sz w:val="24"/>
          <w:szCs w:val="24"/>
          <w:highlight w:val="none"/>
        </w:rPr>
        <w:t>合计得10分。</w:t>
      </w:r>
    </w:p>
    <w:p w14:paraId="17D40D95">
      <w:pPr>
        <w:pStyle w:val="49"/>
        <w:pageBreakBefore w:val="0"/>
        <w:widowControl w:val="0"/>
        <w:kinsoku/>
        <w:wordWrap/>
        <w:topLinePunct w:val="0"/>
        <w:autoSpaceDE/>
        <w:autoSpaceDN/>
        <w:bidi w:val="0"/>
        <w:adjustRightInd/>
        <w:snapToGrid/>
        <w:spacing w:before="0" w:after="0" w:line="56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4235481B">
      <w:pPr>
        <w:pageBreakBefore w:val="0"/>
        <w:widowControl w:val="0"/>
        <w:kinsoku/>
        <w:wordWrap/>
        <w:topLinePunct w:val="0"/>
        <w:autoSpaceDE/>
        <w:autoSpaceDN/>
        <w:bidi w:val="0"/>
        <w:adjustRightInd/>
        <w:snapToGrid/>
        <w:spacing w:line="560" w:lineRule="exact"/>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项目效益类指标包括项目效益1个方面的内容，由2个三级指标构成，权重分为</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分，得分率为100%。</w:t>
      </w:r>
    </w:p>
    <w:p w14:paraId="2E1089C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65F50D38">
      <w:pPr>
        <w:pageBreakBefore w:val="0"/>
        <w:widowControl w:val="0"/>
        <w:kinsoku/>
        <w:wordWrap/>
        <w:topLinePunct w:val="0"/>
        <w:autoSpaceDE/>
        <w:autoSpaceDN/>
        <w:bidi w:val="0"/>
        <w:adjustRightInd/>
        <w:snapToGrid/>
        <w:spacing w:line="560" w:lineRule="exact"/>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促进大学生志愿服务西部计划项目融入地方发展，该指标预期指标值为</w:t>
      </w:r>
      <w:r>
        <w:rPr>
          <w:rFonts w:hint="eastAsia" w:ascii="宋体" w:hAnsi="宋体" w:eastAsia="宋体" w:cs="宋体"/>
          <w:color w:val="auto"/>
          <w:sz w:val="24"/>
          <w:szCs w:val="24"/>
          <w:highlight w:val="none"/>
          <w:lang w:val="en-US" w:eastAsia="zh-CN"/>
        </w:rPr>
        <w:t>有效促进</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有效促进</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，与预期指标一致，根据评分标准，该指标不扣分，得</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w:t>
      </w:r>
    </w:p>
    <w:p w14:paraId="6CF53059">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07CA1E5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158EE28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1A5D7A80">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 w:val="0"/>
          <w:bCs w:val="0"/>
          <w:color w:val="000000"/>
          <w:sz w:val="24"/>
          <w:szCs w:val="24"/>
          <w:highlight w:val="none"/>
          <w:lang w:val="en-US" w:eastAsia="zh-CN"/>
        </w:rPr>
        <w:t>该项目不涉及生态效益指标。</w:t>
      </w:r>
    </w:p>
    <w:p w14:paraId="12A28E1B">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4.满意度指标分析</w:t>
      </w:r>
    </w:p>
    <w:p w14:paraId="065C0325">
      <w:pPr>
        <w:pStyle w:val="46"/>
        <w:pageBreakBefore w:val="0"/>
        <w:widowControl w:val="0"/>
        <w:kinsoku/>
        <w:wordWrap/>
        <w:topLinePunct w:val="0"/>
        <w:autoSpaceDE/>
        <w:autoSpaceDN/>
        <w:bidi w:val="0"/>
        <w:adjustRightInd/>
        <w:snapToGrid/>
        <w:spacing w:line="560" w:lineRule="exact"/>
        <w:ind w:left="0" w:leftChars="0" w:firstLine="640"/>
        <w:jc w:val="both"/>
        <w:textAlignment w:val="auto"/>
        <w:rPr>
          <w:rFonts w:hint="eastAsia" w:ascii="黑体" w:hAnsi="黑体" w:eastAsia="黑体" w:cs="黑体"/>
          <w:color w:val="auto"/>
          <w:sz w:val="24"/>
          <w:szCs w:val="24"/>
        </w:rPr>
      </w:pPr>
      <w:r>
        <w:rPr>
          <w:rFonts w:hint="eastAsia" w:ascii="宋体" w:hAnsi="宋体" w:eastAsia="宋体" w:cs="宋体"/>
          <w:color w:val="auto"/>
          <w:sz w:val="24"/>
          <w:szCs w:val="24"/>
        </w:rPr>
        <w:t>受益西部计划志愿者满意度，预期指标值</w:t>
      </w:r>
      <w:r>
        <w:rPr>
          <w:rFonts w:hint="eastAsia" w:ascii="宋体" w:hAnsi="宋体" w:eastAsia="宋体" w:cs="宋体"/>
          <w:color w:val="auto"/>
          <w:sz w:val="24"/>
          <w:szCs w:val="24"/>
          <w:lang w:val="en-US" w:eastAsia="zh-CN"/>
        </w:rPr>
        <w:t>大于等于95%</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，与预期目标一致，根据评分标准，该指标不扣分,得10分。</w:t>
      </w:r>
      <w:bookmarkEnd w:id="16"/>
    </w:p>
    <w:p w14:paraId="2A177A6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5BB1CC73">
      <w:pPr>
        <w:pStyle w:val="4"/>
        <w:pageBreakBefore w:val="0"/>
        <w:widowControl w:val="0"/>
        <w:kinsoku/>
        <w:wordWrap/>
        <w:topLinePunct w:val="0"/>
        <w:autoSpaceDE/>
        <w:autoSpaceDN/>
        <w:bidi w:val="0"/>
        <w:adjustRightInd/>
        <w:snapToGrid/>
        <w:spacing w:before="0" w:after="0" w:line="560" w:lineRule="exact"/>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五、预算执行进度与绩效指标偏差情况</w:t>
      </w:r>
    </w:p>
    <w:p w14:paraId="7D4FC255">
      <w:pPr>
        <w:pStyle w:val="46"/>
        <w:pageBreakBefore w:val="0"/>
        <w:widowControl w:val="0"/>
        <w:kinsoku/>
        <w:wordWrap/>
        <w:topLinePunct w:val="0"/>
        <w:autoSpaceDE/>
        <w:autoSpaceDN/>
        <w:bidi w:val="0"/>
        <w:adjustRightInd/>
        <w:snapToGrid/>
        <w:spacing w:line="560" w:lineRule="exact"/>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万元，全年预算数为</w:t>
      </w:r>
      <w:r>
        <w:rPr>
          <w:rFonts w:hint="eastAsia" w:ascii="宋体" w:hAnsi="宋体" w:eastAsia="宋体" w:cs="宋体"/>
          <w:color w:val="auto"/>
          <w:sz w:val="24"/>
          <w:szCs w:val="24"/>
          <w:lang w:val="en-US" w:eastAsia="zh-CN"/>
        </w:rPr>
        <w:t>34.8</w:t>
      </w:r>
      <w:r>
        <w:rPr>
          <w:rFonts w:hint="eastAsia" w:ascii="宋体" w:hAnsi="宋体" w:eastAsia="宋体" w:cs="宋体"/>
          <w:color w:val="auto"/>
          <w:sz w:val="24"/>
          <w:szCs w:val="24"/>
        </w:rPr>
        <w:t>万元，全年执行数为</w:t>
      </w:r>
      <w:r>
        <w:rPr>
          <w:rFonts w:hint="eastAsia" w:ascii="宋体" w:hAnsi="宋体" w:eastAsia="宋体" w:cs="宋体"/>
          <w:color w:val="auto"/>
          <w:sz w:val="24"/>
          <w:szCs w:val="24"/>
          <w:lang w:val="en-US" w:eastAsia="zh-CN"/>
        </w:rPr>
        <w:t>34.8</w:t>
      </w:r>
      <w:r>
        <w:rPr>
          <w:rFonts w:hint="eastAsia" w:ascii="宋体" w:hAnsi="宋体" w:eastAsia="宋体" w:cs="宋体"/>
          <w:color w:val="auto"/>
          <w:sz w:val="24"/>
          <w:szCs w:val="24"/>
        </w:rPr>
        <w:t>万元，预算执行率为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48645A6A">
      <w:pPr>
        <w:pStyle w:val="46"/>
        <w:pageBreakBefore w:val="0"/>
        <w:widowControl w:val="0"/>
        <w:kinsoku/>
        <w:wordWrap/>
        <w:topLinePunct w:val="0"/>
        <w:autoSpaceDE/>
        <w:autoSpaceDN/>
        <w:bidi w:val="0"/>
        <w:adjustRightInd/>
        <w:snapToGrid/>
        <w:spacing w:line="560" w:lineRule="exact"/>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本项目共设置三级指标数量</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个，满分指标数量</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个，扣分指标数量</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个，经分析计算所有三级指标完成率得出，本项目总体完成率为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41AAD6B2">
      <w:pPr>
        <w:pStyle w:val="46"/>
        <w:pageBreakBefore w:val="0"/>
        <w:widowControl w:val="0"/>
        <w:kinsoku/>
        <w:wordWrap/>
        <w:topLinePunct w:val="0"/>
        <w:autoSpaceDE/>
        <w:autoSpaceDN/>
        <w:bidi w:val="0"/>
        <w:adjustRightInd/>
        <w:snapToGrid/>
        <w:spacing w:line="560" w:lineRule="exact"/>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综上所述本项目预算执行率与总体完成率之间</w:t>
      </w:r>
      <w:r>
        <w:rPr>
          <w:rFonts w:hint="eastAsia" w:ascii="宋体" w:hAnsi="宋体" w:eastAsia="宋体" w:cs="宋体"/>
          <w:color w:val="auto"/>
          <w:sz w:val="24"/>
          <w:szCs w:val="24"/>
          <w:lang w:val="en-US" w:eastAsia="zh-CN"/>
        </w:rPr>
        <w:t>无偏差</w:t>
      </w:r>
      <w:r>
        <w:rPr>
          <w:rFonts w:hint="eastAsia" w:ascii="宋体" w:hAnsi="宋体" w:eastAsia="宋体" w:cs="宋体"/>
          <w:color w:val="auto"/>
          <w:sz w:val="24"/>
          <w:szCs w:val="24"/>
        </w:rPr>
        <w:t>。</w:t>
      </w:r>
    </w:p>
    <w:p w14:paraId="5FE76689">
      <w:pPr>
        <w:pStyle w:val="4"/>
        <w:pageBreakBefore w:val="0"/>
        <w:widowControl w:val="0"/>
        <w:kinsoku/>
        <w:wordWrap/>
        <w:overflowPunct/>
        <w:topLinePunct w:val="0"/>
        <w:autoSpaceDE/>
        <w:autoSpaceDN/>
        <w:bidi w:val="0"/>
        <w:adjustRightInd/>
        <w:snapToGrid/>
        <w:spacing w:before="0" w:after="0" w:line="560" w:lineRule="exact"/>
        <w:ind w:left="0" w:leftChars="0" w:firstLine="643"/>
        <w:jc w:val="both"/>
        <w:textAlignment w:val="auto"/>
        <w:rPr>
          <w:rFonts w:hint="eastAsia" w:ascii="宋体" w:hAnsi="宋体" w:eastAsia="宋体" w:cs="宋体"/>
          <w:color w:val="auto"/>
          <w:sz w:val="24"/>
          <w:szCs w:val="24"/>
        </w:rPr>
      </w:pPr>
      <w:bookmarkStart w:id="17" w:name="_Toc68364673"/>
      <w:r>
        <w:rPr>
          <w:rFonts w:hint="eastAsia" w:ascii="宋体" w:hAnsi="宋体" w:eastAsia="宋体" w:cs="宋体"/>
          <w:color w:val="auto"/>
          <w:sz w:val="24"/>
          <w:szCs w:val="24"/>
        </w:rPr>
        <w:t>六、主要经验及做法、存在的问题及原因分析</w:t>
      </w:r>
    </w:p>
    <w:p w14:paraId="5EFC9374">
      <w:pPr>
        <w:pStyle w:val="49"/>
        <w:pageBreakBefore w:val="0"/>
        <w:widowControl w:val="0"/>
        <w:kinsoku/>
        <w:wordWrap/>
        <w:overflowPunct/>
        <w:topLinePunct w:val="0"/>
        <w:autoSpaceDE/>
        <w:autoSpaceDN/>
        <w:bidi w:val="0"/>
        <w:adjustRightInd/>
        <w:snapToGrid/>
        <w:spacing w:before="0" w:after="0" w:line="56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（一）主要经验及做法</w:t>
      </w:r>
      <w:bookmarkEnd w:id="17"/>
    </w:p>
    <w:p w14:paraId="1992A5CC">
      <w:pPr>
        <w:pStyle w:val="49"/>
        <w:pageBreakBefore w:val="0"/>
        <w:widowControl w:val="0"/>
        <w:kinsoku/>
        <w:wordWrap/>
        <w:overflowPunct/>
        <w:topLinePunct w:val="0"/>
        <w:autoSpaceDE/>
        <w:autoSpaceDN/>
        <w:bidi w:val="0"/>
        <w:adjustRightInd/>
        <w:snapToGrid/>
        <w:spacing w:before="0" w:after="0" w:line="560" w:lineRule="exact"/>
        <w:ind w:left="0" w:leftChars="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一是精准预算规划。在制定项目实施方案前，深入调研和田地区各县市对西部计划志愿者生活补助发放标准和结合本县西部计划志愿者的基本生活需求，确定每月生活补助金额，确保资金既能保障志愿者生活，又实现合理分配。</w:t>
      </w:r>
    </w:p>
    <w:p w14:paraId="2E794BE9">
      <w:pPr>
        <w:pStyle w:val="46"/>
        <w:pageBreakBefore w:val="0"/>
        <w:widowControl w:val="0"/>
        <w:kinsoku/>
        <w:wordWrap/>
        <w:topLinePunct w:val="0"/>
        <w:autoSpaceDE/>
        <w:autoSpaceDN/>
        <w:bidi w:val="0"/>
        <w:adjustRightInd/>
        <w:snapToGrid/>
        <w:spacing w:line="560" w:lineRule="exact"/>
        <w:textAlignment w:val="auto"/>
        <w:rPr>
          <w:rFonts w:hint="eastAsia"/>
          <w:color w:val="auto"/>
        </w:rPr>
      </w:pPr>
      <w:r>
        <w:rPr>
          <w:rFonts w:hint="eastAsia" w:ascii="宋体" w:hAnsi="宋体" w:eastAsia="宋体" w:cs="宋体"/>
          <w:b w:val="0"/>
          <w:bCs w:val="0"/>
          <w:color w:val="auto"/>
          <w:kern w:val="0"/>
          <w:sz w:val="24"/>
          <w:szCs w:val="24"/>
          <w:lang w:val="en-US" w:eastAsia="zh-CN" w:bidi="ar-SA"/>
        </w:rPr>
        <w:t>二是建立沟通协调机制。建立定期沟通渠道，通过问卷调查、座谈会等形式，收集西部计划志愿者对生活补助发放的意见和建议，对于志愿者反馈的问题，指定专人负责根据近处理，及时给予答复和解决方案，提高志愿者对项目实施的满意度。</w:t>
      </w:r>
    </w:p>
    <w:p w14:paraId="62F8145C">
      <w:pPr>
        <w:pStyle w:val="49"/>
        <w:pageBreakBefore w:val="0"/>
        <w:widowControl w:val="0"/>
        <w:numPr>
          <w:ilvl w:val="0"/>
          <w:numId w:val="4"/>
        </w:numPr>
        <w:kinsoku/>
        <w:wordWrap/>
        <w:overflowPunct/>
        <w:topLinePunct w:val="0"/>
        <w:autoSpaceDE/>
        <w:autoSpaceDN/>
        <w:bidi w:val="0"/>
        <w:adjustRightInd/>
        <w:snapToGrid/>
        <w:spacing w:before="0" w:after="0" w:line="560" w:lineRule="exact"/>
        <w:ind w:left="0" w:leftChars="0" w:firstLine="480" w:firstLineChars="200"/>
        <w:jc w:val="both"/>
        <w:textAlignment w:val="auto"/>
        <w:rPr>
          <w:rFonts w:hint="eastAsia" w:ascii="宋体" w:hAnsi="宋体" w:eastAsia="宋体" w:cs="宋体"/>
          <w:color w:val="auto"/>
          <w:sz w:val="24"/>
          <w:szCs w:val="24"/>
        </w:rPr>
      </w:pPr>
      <w:bookmarkStart w:id="18" w:name="_Toc68364674"/>
      <w:r>
        <w:rPr>
          <w:rFonts w:hint="eastAsia" w:ascii="宋体" w:hAnsi="宋体" w:eastAsia="宋体" w:cs="宋体"/>
          <w:color w:val="auto"/>
          <w:sz w:val="24"/>
          <w:szCs w:val="24"/>
        </w:rPr>
        <w:t>存在问题及原因分析</w:t>
      </w:r>
      <w:bookmarkEnd w:id="18"/>
    </w:p>
    <w:p w14:paraId="1778A98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一是在西部计划志愿者生活补助项目中，评价指标片面问题较为突出。一方面，指标过度聚焦生活补助的发放情况，如发放人数、覆盖率和及时性等，这些量化指标虽易获取与统计，但仅反映资金发放的基层层面，无法体现资金使用对志愿者生活与志愿服务的实际影响。另一方面，对志愿者服务成效指标关注不足。很少考量志愿者服务成果对当地稳定、经济、教育和卫生等领域的长期推动作用。造成这一问题的原因为对项目目标理解不全面，仅把生活补助发放当做核心，忽略生活补助为志愿服务提供支撑着一深层目标，导致评价指标无法覆盖项目全流程与真实成效。</w:t>
      </w:r>
    </w:p>
    <w:p w14:paraId="7EF654C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二是西部计划志愿者生活补助项目资金来源单一风险显著，主要依赖政府地方财政拨款。这种单一的资金获取模式，使得项目对财政政策的变动极为敏感。一旦政府财政预算出现调整或遇到财政紧张时期，对西部计划志愿者生活补助的资金投入就难以办证。此外，财政拨款的审批流程通常较为繁琐，资金下拨可能存在延迟，导致西部计划志愿者不能按时领取生活补助，影响其日常生活和服务质量，同时影响西部计划志愿者对项目实施的评价和满意度。</w:t>
      </w:r>
    </w:p>
    <w:p w14:paraId="6C7D8F3C">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color w:val="000000"/>
          <w:sz w:val="24"/>
          <w:szCs w:val="24"/>
          <w:highlight w:val="none"/>
        </w:rPr>
        <w:t>七、有关建议</w:t>
      </w:r>
    </w:p>
    <w:p w14:paraId="64B28E4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kern w:val="0"/>
          <w:sz w:val="24"/>
          <w:szCs w:val="24"/>
          <w:highlight w:val="none"/>
          <w:lang w:val="en-US" w:eastAsia="zh-CN" w:bidi="ar-SA"/>
        </w:rPr>
      </w:pPr>
      <w:r>
        <w:rPr>
          <w:rFonts w:hint="eastAsia" w:ascii="宋体" w:hAnsi="宋体" w:eastAsia="宋体" w:cs="宋体"/>
          <w:b w:val="0"/>
          <w:bCs w:val="0"/>
          <w:color w:val="000000"/>
          <w:kern w:val="0"/>
          <w:sz w:val="24"/>
          <w:szCs w:val="24"/>
          <w:highlight w:val="none"/>
          <w:lang w:val="en-US" w:eastAsia="zh-CN" w:bidi="ar-SA"/>
        </w:rPr>
        <w:t>一是完善项目目标和评价指标体系。重新审视西部计划志愿者生活补助项目，明确生活补助不仅是资金发放，更是支撑西部计划志愿者生活、助力志愿服务的关键要素。从项目筹备到结束的全流程出发，深入分析各环节与项目核心目标的关联。邀请西部计划志愿者服务单位和西部计划志愿者代表共同讨论，设计一套全面且具针对性的评价指标体系，涵盖资金管理、志愿者生活保障、志愿服务成果转化等多维度，确保评价工作紧密围绕项目整体目标开展。</w:t>
      </w:r>
    </w:p>
    <w:p w14:paraId="0280073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kern w:val="0"/>
          <w:sz w:val="24"/>
          <w:szCs w:val="24"/>
          <w:highlight w:val="none"/>
          <w:lang w:val="en-US" w:eastAsia="zh-CN" w:bidi="ar-SA"/>
        </w:rPr>
      </w:pPr>
      <w:r>
        <w:rPr>
          <w:rFonts w:hint="eastAsia" w:ascii="宋体" w:hAnsi="宋体" w:eastAsia="宋体" w:cs="宋体"/>
          <w:b w:val="0"/>
          <w:bCs w:val="0"/>
          <w:color w:val="000000"/>
          <w:kern w:val="0"/>
          <w:sz w:val="24"/>
          <w:szCs w:val="24"/>
          <w:highlight w:val="none"/>
          <w:lang w:val="en-US" w:eastAsia="zh-CN" w:bidi="ar-SA"/>
        </w:rPr>
        <w:t>二是为化解西部计划志愿者生活补助项目资金来源单一风险，可从多渠道拓展和优化现有资金来源两方面着手。在拓展资金来源渠道方面，我单位根据“十五五”规划编制工作要求，围绕10+1专项研究清单，将西部计划志愿者生活补助纳入“十五五”青年发展规划中，协调北京援疆资金给予保障，减少政府地方财政压力。加强与财政部门的常态化沟通，提前规划资金需求，做好预算编制工作，使拨款计划更贴合项目实际，确保西部计划志愿者生活补助按时足额发放到位，提升志愿者服务质量。</w:t>
      </w:r>
      <w:bookmarkStart w:id="19" w:name="_Toc68364676"/>
    </w:p>
    <w:p w14:paraId="5E37F26F">
      <w:pPr>
        <w:pStyle w:val="4"/>
        <w:pageBreakBefore w:val="0"/>
        <w:widowControl w:val="0"/>
        <w:kinsoku/>
        <w:wordWrap/>
        <w:overflowPunct/>
        <w:topLinePunct w:val="0"/>
        <w:autoSpaceDE/>
        <w:autoSpaceDN/>
        <w:bidi w:val="0"/>
        <w:adjustRightInd/>
        <w:snapToGrid/>
        <w:spacing w:before="0" w:after="0" w:line="560" w:lineRule="exact"/>
        <w:ind w:left="0" w:leftChars="0" w:firstLine="643"/>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八、其他需要说明的问题</w:t>
      </w:r>
      <w:bookmarkEnd w:id="19"/>
    </w:p>
    <w:p w14:paraId="21972DCC">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我单位对上述项目支出绩效评价报告内反映内容的真实性、完整性负责，</w:t>
      </w:r>
      <w:r>
        <w:rPr>
          <w:rFonts w:hint="eastAsia" w:ascii="宋体" w:hAnsi="宋体" w:eastAsia="宋体" w:cs="宋体"/>
          <w:color w:val="000000"/>
          <w:sz w:val="24"/>
          <w:szCs w:val="24"/>
          <w:highlight w:val="none"/>
          <w:lang w:val="en-US" w:eastAsia="zh-CN"/>
        </w:rPr>
        <w:t>愿</w:t>
      </w:r>
      <w:r>
        <w:rPr>
          <w:rFonts w:hint="eastAsia" w:ascii="宋体" w:hAnsi="宋体" w:eastAsia="宋体" w:cs="宋体"/>
          <w:color w:val="000000"/>
          <w:sz w:val="24"/>
          <w:szCs w:val="24"/>
          <w:highlight w:val="none"/>
        </w:rPr>
        <w:t>接受上级部门及社会公众监督。</w:t>
      </w:r>
    </w:p>
    <w:p w14:paraId="5EC58957">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p>
    <w:p w14:paraId="005B340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附件1：西部计划志愿者生活补助项目绩效评价指标体系</w:t>
      </w:r>
    </w:p>
    <w:p w14:paraId="139C7EA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附件2：西部计划志愿者生活补助项目综合得分表</w:t>
      </w:r>
    </w:p>
    <w:p w14:paraId="468C042D">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r>
        <w:rPr>
          <w:rFonts w:hint="eastAsia" w:ascii="宋体" w:hAnsi="宋体" w:eastAsia="宋体" w:cs="宋体"/>
          <w:color w:val="000000"/>
          <w:sz w:val="24"/>
          <w:szCs w:val="24"/>
          <w:highlight w:val="none"/>
          <w:lang w:val="en-US" w:eastAsia="zh-CN"/>
        </w:rPr>
        <w:t>附件3：满意度调查问分析情况</w:t>
      </w: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3"/>
        <w:gridCol w:w="545"/>
        <w:gridCol w:w="708"/>
        <w:gridCol w:w="556"/>
        <w:gridCol w:w="631"/>
        <w:gridCol w:w="527"/>
        <w:gridCol w:w="2928"/>
        <w:gridCol w:w="1118"/>
        <w:gridCol w:w="4270"/>
        <w:gridCol w:w="976"/>
        <w:gridCol w:w="516"/>
      </w:tblGrid>
      <w:tr w14:paraId="22DDA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22" w:type="pct"/>
            <w:tcBorders>
              <w:top w:val="nil"/>
              <w:left w:val="nil"/>
              <w:bottom w:val="nil"/>
              <w:right w:val="nil"/>
            </w:tcBorders>
            <w:noWrap/>
            <w:vAlign w:val="center"/>
          </w:tcPr>
          <w:p w14:paraId="129DC4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附件1：</w:t>
            </w:r>
          </w:p>
        </w:tc>
        <w:tc>
          <w:tcPr>
            <w:tcW w:w="204" w:type="pct"/>
            <w:tcBorders>
              <w:top w:val="nil"/>
              <w:left w:val="nil"/>
              <w:bottom w:val="nil"/>
              <w:right w:val="nil"/>
            </w:tcBorders>
            <w:noWrap/>
            <w:vAlign w:val="center"/>
          </w:tcPr>
          <w:p w14:paraId="57023553">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65" w:type="pct"/>
            <w:tcBorders>
              <w:top w:val="nil"/>
              <w:left w:val="nil"/>
              <w:bottom w:val="nil"/>
              <w:right w:val="nil"/>
            </w:tcBorders>
            <w:noWrap/>
            <w:vAlign w:val="center"/>
          </w:tcPr>
          <w:p w14:paraId="4B159FD0">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08" w:type="pct"/>
            <w:tcBorders>
              <w:top w:val="nil"/>
              <w:left w:val="nil"/>
              <w:bottom w:val="nil"/>
              <w:right w:val="nil"/>
            </w:tcBorders>
            <w:noWrap/>
            <w:vAlign w:val="center"/>
          </w:tcPr>
          <w:p w14:paraId="7790F544">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36" w:type="pct"/>
            <w:tcBorders>
              <w:top w:val="nil"/>
              <w:left w:val="nil"/>
              <w:bottom w:val="nil"/>
              <w:right w:val="nil"/>
            </w:tcBorders>
            <w:noWrap/>
            <w:vAlign w:val="center"/>
          </w:tcPr>
          <w:p w14:paraId="44ADE61C">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97" w:type="pct"/>
            <w:tcBorders>
              <w:top w:val="nil"/>
              <w:left w:val="nil"/>
              <w:bottom w:val="nil"/>
              <w:right w:val="nil"/>
            </w:tcBorders>
            <w:noWrap/>
            <w:vAlign w:val="center"/>
          </w:tcPr>
          <w:p w14:paraId="775026BC">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095" w:type="pct"/>
            <w:tcBorders>
              <w:top w:val="nil"/>
              <w:left w:val="nil"/>
              <w:bottom w:val="nil"/>
              <w:right w:val="nil"/>
            </w:tcBorders>
            <w:noWrap/>
            <w:vAlign w:val="center"/>
          </w:tcPr>
          <w:p w14:paraId="2D9AABB9">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highlight w:val="none"/>
                <w:u w:val="none"/>
              </w:rPr>
            </w:pPr>
          </w:p>
        </w:tc>
        <w:tc>
          <w:tcPr>
            <w:tcW w:w="418" w:type="pct"/>
            <w:tcBorders>
              <w:top w:val="nil"/>
              <w:left w:val="nil"/>
              <w:bottom w:val="nil"/>
              <w:right w:val="nil"/>
            </w:tcBorders>
            <w:noWrap/>
            <w:vAlign w:val="center"/>
          </w:tcPr>
          <w:p w14:paraId="0620D0E6">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597" w:type="pct"/>
            <w:tcBorders>
              <w:top w:val="nil"/>
              <w:left w:val="nil"/>
              <w:bottom w:val="nil"/>
              <w:right w:val="nil"/>
            </w:tcBorders>
            <w:noWrap/>
            <w:vAlign w:val="center"/>
          </w:tcPr>
          <w:p w14:paraId="0DCD7240">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365" w:type="pct"/>
            <w:tcBorders>
              <w:top w:val="nil"/>
              <w:left w:val="nil"/>
              <w:bottom w:val="nil"/>
              <w:right w:val="nil"/>
            </w:tcBorders>
            <w:noWrap/>
            <w:vAlign w:val="center"/>
          </w:tcPr>
          <w:p w14:paraId="09CCCD7E">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88" w:type="pct"/>
            <w:tcBorders>
              <w:top w:val="nil"/>
              <w:left w:val="nil"/>
              <w:bottom w:val="nil"/>
              <w:right w:val="nil"/>
            </w:tcBorders>
            <w:noWrap/>
            <w:vAlign w:val="center"/>
          </w:tcPr>
          <w:p w14:paraId="3F5289E3">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r>
      <w:tr w14:paraId="18770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760E28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4"/>
                <w:szCs w:val="24"/>
                <w:highlight w:val="none"/>
                <w:u w:val="none"/>
                <w:lang w:val="en-US" w:eastAsia="zh-CN"/>
              </w:rPr>
              <w:t>西部计划志愿者生活补助项目</w:t>
            </w:r>
            <w:r>
              <w:rPr>
                <w:rStyle w:val="59"/>
                <w:rFonts w:hint="eastAsia" w:ascii="宋体" w:hAnsi="宋体" w:eastAsia="宋体" w:cs="宋体"/>
                <w:color w:val="000000"/>
                <w:sz w:val="24"/>
                <w:szCs w:val="24"/>
                <w:highlight w:val="none"/>
                <w:lang w:val="en-US" w:eastAsia="zh-CN"/>
              </w:rPr>
              <w:t>绩效评价指标体系综合评分表</w:t>
            </w:r>
          </w:p>
        </w:tc>
      </w:tr>
      <w:tr w14:paraId="4EBBD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2" w:type="pct"/>
            <w:tcBorders>
              <w:top w:val="single" w:color="auto" w:sz="4" w:space="0"/>
              <w:left w:val="single" w:color="auto" w:sz="4" w:space="0"/>
              <w:bottom w:val="single" w:color="auto" w:sz="4" w:space="0"/>
              <w:right w:val="single" w:color="auto" w:sz="4" w:space="0"/>
            </w:tcBorders>
            <w:noWrap w:val="0"/>
            <w:vAlign w:val="center"/>
          </w:tcPr>
          <w:p w14:paraId="5326C2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37F2C2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6AB7AD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208" w:type="pct"/>
            <w:tcBorders>
              <w:top w:val="single" w:color="auto" w:sz="4" w:space="0"/>
              <w:left w:val="single" w:color="auto" w:sz="4" w:space="0"/>
              <w:bottom w:val="single" w:color="auto" w:sz="4" w:space="0"/>
              <w:right w:val="single" w:color="auto" w:sz="4" w:space="0"/>
            </w:tcBorders>
            <w:noWrap w:val="0"/>
            <w:vAlign w:val="center"/>
          </w:tcPr>
          <w:p w14:paraId="6D2C13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36" w:type="pct"/>
            <w:tcBorders>
              <w:top w:val="single" w:color="auto" w:sz="4" w:space="0"/>
              <w:left w:val="single" w:color="auto" w:sz="4" w:space="0"/>
              <w:bottom w:val="single" w:color="auto" w:sz="4" w:space="0"/>
              <w:right w:val="single" w:color="auto" w:sz="4" w:space="0"/>
            </w:tcBorders>
            <w:noWrap w:val="0"/>
            <w:vAlign w:val="center"/>
          </w:tcPr>
          <w:p w14:paraId="7F73DC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0BE1C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78F8B1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F2087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A353F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365" w:type="pct"/>
            <w:tcBorders>
              <w:top w:val="single" w:color="auto" w:sz="4" w:space="0"/>
              <w:left w:val="single" w:color="auto" w:sz="4" w:space="0"/>
              <w:bottom w:val="single" w:color="auto" w:sz="4" w:space="0"/>
              <w:right w:val="single" w:color="auto" w:sz="4" w:space="0"/>
            </w:tcBorders>
            <w:noWrap w:val="0"/>
            <w:vAlign w:val="center"/>
          </w:tcPr>
          <w:p w14:paraId="2530F2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188" w:type="pct"/>
            <w:tcBorders>
              <w:top w:val="single" w:color="auto" w:sz="4" w:space="0"/>
              <w:left w:val="single" w:color="auto" w:sz="4" w:space="0"/>
              <w:bottom w:val="single" w:color="auto" w:sz="4" w:space="0"/>
              <w:right w:val="single" w:color="auto" w:sz="4" w:space="0"/>
            </w:tcBorders>
            <w:noWrap w:val="0"/>
            <w:vAlign w:val="center"/>
          </w:tcPr>
          <w:p w14:paraId="5A5D31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得分</w:t>
            </w:r>
          </w:p>
        </w:tc>
      </w:tr>
      <w:tr w14:paraId="2BD50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4CED27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项目决策</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480303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23</w:t>
            </w: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526B3D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项目立项</w:t>
            </w:r>
          </w:p>
        </w:tc>
        <w:tc>
          <w:tcPr>
            <w:tcW w:w="208" w:type="pct"/>
            <w:vMerge w:val="restart"/>
            <w:tcBorders>
              <w:top w:val="single" w:color="auto" w:sz="4" w:space="0"/>
              <w:left w:val="single" w:color="auto" w:sz="4" w:space="0"/>
              <w:bottom w:val="single" w:color="auto" w:sz="4" w:space="0"/>
              <w:right w:val="single" w:color="auto" w:sz="4" w:space="0"/>
            </w:tcBorders>
            <w:noWrap w:val="0"/>
            <w:vAlign w:val="center"/>
          </w:tcPr>
          <w:p w14:paraId="50A455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36" w:type="pct"/>
            <w:tcBorders>
              <w:top w:val="single" w:color="auto" w:sz="4" w:space="0"/>
              <w:left w:val="single" w:color="auto" w:sz="4" w:space="0"/>
              <w:bottom w:val="single" w:color="auto" w:sz="4" w:space="0"/>
              <w:right w:val="single" w:color="auto" w:sz="4" w:space="0"/>
            </w:tcBorders>
            <w:noWrap w:val="0"/>
            <w:vAlign w:val="center"/>
          </w:tcPr>
          <w:p w14:paraId="4A3BE2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FE138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24C49F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4AD0C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充分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8B258C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59218F3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3663092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657E6D1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5BDACDB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62C982A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365" w:type="pct"/>
            <w:tcBorders>
              <w:top w:val="single" w:color="auto" w:sz="4" w:space="0"/>
              <w:left w:val="single" w:color="auto" w:sz="4" w:space="0"/>
              <w:bottom w:val="single" w:color="auto" w:sz="4" w:space="0"/>
              <w:right w:val="single" w:color="auto" w:sz="4" w:space="0"/>
            </w:tcBorders>
            <w:noWrap w:val="0"/>
            <w:vAlign w:val="center"/>
          </w:tcPr>
          <w:p w14:paraId="23075B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充分</w:t>
            </w:r>
          </w:p>
        </w:tc>
        <w:tc>
          <w:tcPr>
            <w:tcW w:w="188" w:type="pct"/>
            <w:tcBorders>
              <w:top w:val="single" w:color="auto" w:sz="4" w:space="0"/>
              <w:left w:val="single" w:color="auto" w:sz="4" w:space="0"/>
              <w:bottom w:val="single" w:color="auto" w:sz="4" w:space="0"/>
              <w:right w:val="single" w:color="auto" w:sz="4" w:space="0"/>
            </w:tcBorders>
            <w:noWrap w:val="0"/>
            <w:vAlign w:val="center"/>
          </w:tcPr>
          <w:p w14:paraId="3613EB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r>
      <w:tr w14:paraId="3CFD4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1D5B84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6B3F64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713F5F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8" w:type="pct"/>
            <w:vMerge w:val="continue"/>
            <w:tcBorders>
              <w:top w:val="single" w:color="auto" w:sz="4" w:space="0"/>
              <w:left w:val="single" w:color="auto" w:sz="4" w:space="0"/>
              <w:bottom w:val="single" w:color="auto" w:sz="4" w:space="0"/>
              <w:right w:val="single" w:color="auto" w:sz="4" w:space="0"/>
            </w:tcBorders>
            <w:noWrap w:val="0"/>
            <w:vAlign w:val="center"/>
          </w:tcPr>
          <w:p w14:paraId="3BF978D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6" w:type="pct"/>
            <w:tcBorders>
              <w:top w:val="single" w:color="auto" w:sz="4" w:space="0"/>
              <w:left w:val="single" w:color="auto" w:sz="4" w:space="0"/>
              <w:bottom w:val="single" w:color="auto" w:sz="4" w:space="0"/>
              <w:right w:val="single" w:color="auto" w:sz="4" w:space="0"/>
            </w:tcBorders>
            <w:noWrap w:val="0"/>
            <w:vAlign w:val="center"/>
          </w:tcPr>
          <w:p w14:paraId="72A265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A4E33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4EB8D5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E68DB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规范</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E03F1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57E22C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6BED88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0E35AA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365" w:type="pct"/>
            <w:tcBorders>
              <w:top w:val="single" w:color="auto" w:sz="4" w:space="0"/>
              <w:left w:val="single" w:color="auto" w:sz="4" w:space="0"/>
              <w:bottom w:val="single" w:color="auto" w:sz="4" w:space="0"/>
              <w:right w:val="single" w:color="auto" w:sz="4" w:space="0"/>
            </w:tcBorders>
            <w:noWrap w:val="0"/>
            <w:vAlign w:val="center"/>
          </w:tcPr>
          <w:p w14:paraId="04A262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规范</w:t>
            </w:r>
          </w:p>
        </w:tc>
        <w:tc>
          <w:tcPr>
            <w:tcW w:w="188" w:type="pct"/>
            <w:tcBorders>
              <w:top w:val="single" w:color="auto" w:sz="4" w:space="0"/>
              <w:left w:val="single" w:color="auto" w:sz="4" w:space="0"/>
              <w:bottom w:val="single" w:color="auto" w:sz="4" w:space="0"/>
              <w:right w:val="single" w:color="auto" w:sz="4" w:space="0"/>
            </w:tcBorders>
            <w:noWrap w:val="0"/>
            <w:vAlign w:val="center"/>
          </w:tcPr>
          <w:p w14:paraId="6C0BA6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51CC3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9"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68512A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451383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77D237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绩效目标</w:t>
            </w:r>
          </w:p>
        </w:tc>
        <w:tc>
          <w:tcPr>
            <w:tcW w:w="208" w:type="pct"/>
            <w:vMerge w:val="restart"/>
            <w:tcBorders>
              <w:top w:val="single" w:color="auto" w:sz="4" w:space="0"/>
              <w:left w:val="single" w:color="auto" w:sz="4" w:space="0"/>
              <w:bottom w:val="single" w:color="auto" w:sz="4" w:space="0"/>
              <w:right w:val="single" w:color="auto" w:sz="4" w:space="0"/>
            </w:tcBorders>
            <w:noWrap w:val="0"/>
            <w:vAlign w:val="center"/>
          </w:tcPr>
          <w:p w14:paraId="78E3C9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36" w:type="pct"/>
            <w:tcBorders>
              <w:top w:val="single" w:color="auto" w:sz="4" w:space="0"/>
              <w:left w:val="single" w:color="auto" w:sz="4" w:space="0"/>
              <w:bottom w:val="single" w:color="auto" w:sz="4" w:space="0"/>
              <w:right w:val="single" w:color="auto" w:sz="4" w:space="0"/>
            </w:tcBorders>
            <w:noWrap w:val="0"/>
            <w:vAlign w:val="center"/>
          </w:tcPr>
          <w:p w14:paraId="7E8762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11E1F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D2EBA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02355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4196E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339A7E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2ABA45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305642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125779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65" w:type="pct"/>
            <w:tcBorders>
              <w:top w:val="single" w:color="auto" w:sz="4" w:space="0"/>
              <w:left w:val="single" w:color="auto" w:sz="4" w:space="0"/>
              <w:bottom w:val="single" w:color="auto" w:sz="4" w:space="0"/>
              <w:right w:val="single" w:color="auto" w:sz="4" w:space="0"/>
            </w:tcBorders>
            <w:noWrap w:val="0"/>
            <w:vAlign w:val="center"/>
          </w:tcPr>
          <w:p w14:paraId="5CA75A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88" w:type="pct"/>
            <w:tcBorders>
              <w:top w:val="single" w:color="auto" w:sz="4" w:space="0"/>
              <w:left w:val="single" w:color="auto" w:sz="4" w:space="0"/>
              <w:bottom w:val="single" w:color="auto" w:sz="4" w:space="0"/>
              <w:right w:val="single" w:color="auto" w:sz="4" w:space="0"/>
            </w:tcBorders>
            <w:noWrap w:val="0"/>
            <w:vAlign w:val="center"/>
          </w:tcPr>
          <w:p w14:paraId="38279E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71C66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2AE6CD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576B70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379BEC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8" w:type="pct"/>
            <w:vMerge w:val="continue"/>
            <w:tcBorders>
              <w:top w:val="single" w:color="auto" w:sz="4" w:space="0"/>
              <w:left w:val="single" w:color="auto" w:sz="4" w:space="0"/>
              <w:bottom w:val="single" w:color="auto" w:sz="4" w:space="0"/>
              <w:right w:val="single" w:color="auto" w:sz="4" w:space="0"/>
            </w:tcBorders>
            <w:noWrap w:val="0"/>
            <w:vAlign w:val="center"/>
          </w:tcPr>
          <w:p w14:paraId="18698A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6" w:type="pct"/>
            <w:tcBorders>
              <w:top w:val="single" w:color="auto" w:sz="4" w:space="0"/>
              <w:left w:val="single" w:color="auto" w:sz="4" w:space="0"/>
              <w:bottom w:val="single" w:color="auto" w:sz="4" w:space="0"/>
              <w:right w:val="single" w:color="auto" w:sz="4" w:space="0"/>
            </w:tcBorders>
            <w:noWrap w:val="0"/>
            <w:vAlign w:val="center"/>
          </w:tcPr>
          <w:p w14:paraId="39FE24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8A5CF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1E2F8C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31D49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明确</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0803E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57877C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66CA19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34A68E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365" w:type="pct"/>
            <w:tcBorders>
              <w:top w:val="single" w:color="auto" w:sz="4" w:space="0"/>
              <w:left w:val="single" w:color="auto" w:sz="4" w:space="0"/>
              <w:bottom w:val="single" w:color="auto" w:sz="4" w:space="0"/>
              <w:right w:val="single" w:color="auto" w:sz="4" w:space="0"/>
            </w:tcBorders>
            <w:noWrap w:val="0"/>
            <w:vAlign w:val="center"/>
          </w:tcPr>
          <w:p w14:paraId="42A3E7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明确</w:t>
            </w:r>
          </w:p>
        </w:tc>
        <w:tc>
          <w:tcPr>
            <w:tcW w:w="188" w:type="pct"/>
            <w:tcBorders>
              <w:top w:val="single" w:color="auto" w:sz="4" w:space="0"/>
              <w:left w:val="single" w:color="auto" w:sz="4" w:space="0"/>
              <w:bottom w:val="single" w:color="auto" w:sz="4" w:space="0"/>
              <w:right w:val="single" w:color="auto" w:sz="4" w:space="0"/>
            </w:tcBorders>
            <w:noWrap w:val="0"/>
            <w:vAlign w:val="center"/>
          </w:tcPr>
          <w:p w14:paraId="2A845B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1C77F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0D445B1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0FC14F9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5F2C4E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资金投入</w:t>
            </w:r>
          </w:p>
        </w:tc>
        <w:tc>
          <w:tcPr>
            <w:tcW w:w="208" w:type="pct"/>
            <w:vMerge w:val="restart"/>
            <w:tcBorders>
              <w:top w:val="single" w:color="auto" w:sz="4" w:space="0"/>
              <w:left w:val="single" w:color="auto" w:sz="4" w:space="0"/>
              <w:bottom w:val="single" w:color="auto" w:sz="4" w:space="0"/>
              <w:right w:val="single" w:color="auto" w:sz="4" w:space="0"/>
            </w:tcBorders>
            <w:noWrap w:val="0"/>
            <w:vAlign w:val="center"/>
          </w:tcPr>
          <w:p w14:paraId="21E42F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8</w:t>
            </w:r>
          </w:p>
        </w:tc>
        <w:tc>
          <w:tcPr>
            <w:tcW w:w="236" w:type="pct"/>
            <w:tcBorders>
              <w:top w:val="single" w:color="auto" w:sz="4" w:space="0"/>
              <w:left w:val="single" w:color="auto" w:sz="4" w:space="0"/>
              <w:bottom w:val="single" w:color="auto" w:sz="4" w:space="0"/>
              <w:right w:val="single" w:color="auto" w:sz="4" w:space="0"/>
            </w:tcBorders>
            <w:noWrap w:val="0"/>
            <w:vAlign w:val="center"/>
          </w:tcPr>
          <w:p w14:paraId="65A315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2756B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747CF9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4221D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科学</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2D3BD3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0266D1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6FE64B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7FE17E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6BD349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65" w:type="pct"/>
            <w:tcBorders>
              <w:top w:val="single" w:color="auto" w:sz="4" w:space="0"/>
              <w:left w:val="single" w:color="auto" w:sz="4" w:space="0"/>
              <w:bottom w:val="single" w:color="auto" w:sz="4" w:space="0"/>
              <w:right w:val="single" w:color="auto" w:sz="4" w:space="0"/>
            </w:tcBorders>
            <w:noWrap w:val="0"/>
            <w:vAlign w:val="center"/>
          </w:tcPr>
          <w:p w14:paraId="60A3F8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科学</w:t>
            </w:r>
          </w:p>
        </w:tc>
        <w:tc>
          <w:tcPr>
            <w:tcW w:w="188" w:type="pct"/>
            <w:tcBorders>
              <w:top w:val="single" w:color="auto" w:sz="4" w:space="0"/>
              <w:left w:val="single" w:color="auto" w:sz="4" w:space="0"/>
              <w:bottom w:val="single" w:color="auto" w:sz="4" w:space="0"/>
              <w:right w:val="single" w:color="auto" w:sz="4" w:space="0"/>
            </w:tcBorders>
            <w:noWrap w:val="0"/>
            <w:vAlign w:val="center"/>
          </w:tcPr>
          <w:p w14:paraId="5C9F1D5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5B6D5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3088C5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27710F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16C831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8" w:type="pct"/>
            <w:vMerge w:val="continue"/>
            <w:tcBorders>
              <w:top w:val="single" w:color="auto" w:sz="4" w:space="0"/>
              <w:left w:val="single" w:color="auto" w:sz="4" w:space="0"/>
              <w:bottom w:val="single" w:color="auto" w:sz="4" w:space="0"/>
              <w:right w:val="single" w:color="auto" w:sz="4" w:space="0"/>
            </w:tcBorders>
            <w:noWrap w:val="0"/>
            <w:vAlign w:val="center"/>
          </w:tcPr>
          <w:p w14:paraId="363542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6" w:type="pct"/>
            <w:tcBorders>
              <w:top w:val="single" w:color="auto" w:sz="4" w:space="0"/>
              <w:left w:val="single" w:color="auto" w:sz="4" w:space="0"/>
              <w:bottom w:val="single" w:color="auto" w:sz="4" w:space="0"/>
              <w:right w:val="single" w:color="auto" w:sz="4" w:space="0"/>
            </w:tcBorders>
            <w:noWrap w:val="0"/>
            <w:vAlign w:val="center"/>
          </w:tcPr>
          <w:p w14:paraId="392CFD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B469D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2DE753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7B3B8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71810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50BA63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5DB8BF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65" w:type="pct"/>
            <w:tcBorders>
              <w:top w:val="single" w:color="auto" w:sz="4" w:space="0"/>
              <w:left w:val="single" w:color="auto" w:sz="4" w:space="0"/>
              <w:bottom w:val="single" w:color="auto" w:sz="4" w:space="0"/>
              <w:right w:val="single" w:color="auto" w:sz="4" w:space="0"/>
            </w:tcBorders>
            <w:noWrap w:val="0"/>
            <w:vAlign w:val="center"/>
          </w:tcPr>
          <w:p w14:paraId="0D248B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88" w:type="pct"/>
            <w:tcBorders>
              <w:top w:val="single" w:color="auto" w:sz="4" w:space="0"/>
              <w:left w:val="single" w:color="auto" w:sz="4" w:space="0"/>
              <w:bottom w:val="single" w:color="auto" w:sz="4" w:space="0"/>
              <w:right w:val="single" w:color="auto" w:sz="4" w:space="0"/>
            </w:tcBorders>
            <w:noWrap w:val="0"/>
            <w:vAlign w:val="center"/>
          </w:tcPr>
          <w:p w14:paraId="578C6B2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3BB69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4F30C1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项目过程</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0B2512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12</w:t>
            </w: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7E03B1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资金管理</w:t>
            </w:r>
          </w:p>
        </w:tc>
        <w:tc>
          <w:tcPr>
            <w:tcW w:w="208" w:type="pct"/>
            <w:vMerge w:val="restart"/>
            <w:tcBorders>
              <w:top w:val="single" w:color="auto" w:sz="4" w:space="0"/>
              <w:left w:val="single" w:color="auto" w:sz="4" w:space="0"/>
              <w:bottom w:val="single" w:color="auto" w:sz="4" w:space="0"/>
              <w:right w:val="single" w:color="auto" w:sz="4" w:space="0"/>
            </w:tcBorders>
            <w:noWrap w:val="0"/>
            <w:vAlign w:val="center"/>
          </w:tcPr>
          <w:p w14:paraId="1A7B9D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236" w:type="pct"/>
            <w:tcBorders>
              <w:top w:val="single" w:color="auto" w:sz="4" w:space="0"/>
              <w:left w:val="single" w:color="auto" w:sz="4" w:space="0"/>
              <w:bottom w:val="single" w:color="auto" w:sz="4" w:space="0"/>
              <w:right w:val="single" w:color="auto" w:sz="4" w:space="0"/>
            </w:tcBorders>
            <w:noWrap w:val="0"/>
            <w:vAlign w:val="center"/>
          </w:tcPr>
          <w:p w14:paraId="25618D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D84B3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0A38AD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238F2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6BB62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6F7B2E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365" w:type="pct"/>
            <w:tcBorders>
              <w:top w:val="single" w:color="auto" w:sz="4" w:space="0"/>
              <w:left w:val="single" w:color="auto" w:sz="4" w:space="0"/>
              <w:bottom w:val="single" w:color="auto" w:sz="4" w:space="0"/>
              <w:right w:val="single" w:color="auto" w:sz="4" w:space="0"/>
            </w:tcBorders>
            <w:noWrap w:val="0"/>
            <w:vAlign w:val="center"/>
          </w:tcPr>
          <w:p w14:paraId="27FF9D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88" w:type="pct"/>
            <w:tcBorders>
              <w:top w:val="single" w:color="auto" w:sz="4" w:space="0"/>
              <w:left w:val="single" w:color="auto" w:sz="4" w:space="0"/>
              <w:bottom w:val="single" w:color="auto" w:sz="4" w:space="0"/>
              <w:right w:val="single" w:color="auto" w:sz="4" w:space="0"/>
            </w:tcBorders>
            <w:noWrap w:val="0"/>
            <w:vAlign w:val="center"/>
          </w:tcPr>
          <w:p w14:paraId="1AAD5C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r>
      <w:tr w14:paraId="573AD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3AEFBC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16090C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2C3D05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8" w:type="pct"/>
            <w:vMerge w:val="continue"/>
            <w:tcBorders>
              <w:top w:val="single" w:color="auto" w:sz="4" w:space="0"/>
              <w:left w:val="single" w:color="auto" w:sz="4" w:space="0"/>
              <w:bottom w:val="single" w:color="auto" w:sz="4" w:space="0"/>
              <w:right w:val="single" w:color="auto" w:sz="4" w:space="0"/>
            </w:tcBorders>
            <w:noWrap w:val="0"/>
            <w:vAlign w:val="center"/>
          </w:tcPr>
          <w:p w14:paraId="2C3F2B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6" w:type="pct"/>
            <w:tcBorders>
              <w:top w:val="single" w:color="auto" w:sz="4" w:space="0"/>
              <w:left w:val="single" w:color="auto" w:sz="4" w:space="0"/>
              <w:bottom w:val="single" w:color="auto" w:sz="4" w:space="0"/>
              <w:right w:val="single" w:color="auto" w:sz="4" w:space="0"/>
            </w:tcBorders>
            <w:noWrap w:val="0"/>
            <w:vAlign w:val="center"/>
          </w:tcPr>
          <w:p w14:paraId="3322A2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726AE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7CE67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6F7BF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8A44C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4E60D1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365" w:type="pct"/>
            <w:tcBorders>
              <w:top w:val="single" w:color="auto" w:sz="4" w:space="0"/>
              <w:left w:val="single" w:color="auto" w:sz="4" w:space="0"/>
              <w:bottom w:val="single" w:color="auto" w:sz="4" w:space="0"/>
              <w:right w:val="single" w:color="auto" w:sz="4" w:space="0"/>
            </w:tcBorders>
            <w:noWrap w:val="0"/>
            <w:vAlign w:val="center"/>
          </w:tcPr>
          <w:p w14:paraId="490EF0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和预算执行率保持一致</w:t>
            </w:r>
          </w:p>
        </w:tc>
        <w:tc>
          <w:tcPr>
            <w:tcW w:w="188" w:type="pct"/>
            <w:tcBorders>
              <w:top w:val="single" w:color="auto" w:sz="4" w:space="0"/>
              <w:left w:val="single" w:color="auto" w:sz="4" w:space="0"/>
              <w:bottom w:val="single" w:color="auto" w:sz="4" w:space="0"/>
              <w:right w:val="single" w:color="auto" w:sz="4" w:space="0"/>
            </w:tcBorders>
            <w:noWrap w:val="0"/>
            <w:vAlign w:val="center"/>
          </w:tcPr>
          <w:p w14:paraId="7E20E2A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r>
      <w:tr w14:paraId="173CE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72830D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573B064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56D641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8" w:type="pct"/>
            <w:vMerge w:val="continue"/>
            <w:tcBorders>
              <w:top w:val="single" w:color="auto" w:sz="4" w:space="0"/>
              <w:left w:val="single" w:color="auto" w:sz="4" w:space="0"/>
              <w:bottom w:val="single" w:color="auto" w:sz="4" w:space="0"/>
              <w:right w:val="single" w:color="auto" w:sz="4" w:space="0"/>
            </w:tcBorders>
            <w:noWrap w:val="0"/>
            <w:vAlign w:val="center"/>
          </w:tcPr>
          <w:p w14:paraId="4AB11A3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6" w:type="pct"/>
            <w:tcBorders>
              <w:top w:val="single" w:color="auto" w:sz="4" w:space="0"/>
              <w:left w:val="single" w:color="auto" w:sz="4" w:space="0"/>
              <w:bottom w:val="single" w:color="auto" w:sz="4" w:space="0"/>
              <w:right w:val="single" w:color="auto" w:sz="4" w:space="0"/>
            </w:tcBorders>
            <w:noWrap w:val="0"/>
            <w:vAlign w:val="center"/>
          </w:tcPr>
          <w:p w14:paraId="0CAB5A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E683A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215966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3119A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合规</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0FFF33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63CC26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51A0CF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650CEB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2A2D23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365" w:type="pct"/>
            <w:tcBorders>
              <w:top w:val="single" w:color="auto" w:sz="4" w:space="0"/>
              <w:left w:val="single" w:color="auto" w:sz="4" w:space="0"/>
              <w:bottom w:val="single" w:color="auto" w:sz="4" w:space="0"/>
              <w:right w:val="single" w:color="auto" w:sz="4" w:space="0"/>
            </w:tcBorders>
            <w:noWrap w:val="0"/>
            <w:vAlign w:val="center"/>
          </w:tcPr>
          <w:p w14:paraId="2157C6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合规</w:t>
            </w:r>
          </w:p>
        </w:tc>
        <w:tc>
          <w:tcPr>
            <w:tcW w:w="188" w:type="pct"/>
            <w:tcBorders>
              <w:top w:val="single" w:color="auto" w:sz="4" w:space="0"/>
              <w:left w:val="single" w:color="auto" w:sz="4" w:space="0"/>
              <w:bottom w:val="single" w:color="auto" w:sz="4" w:space="0"/>
              <w:right w:val="single" w:color="auto" w:sz="4" w:space="0"/>
            </w:tcBorders>
            <w:noWrap w:val="0"/>
            <w:vAlign w:val="center"/>
          </w:tcPr>
          <w:p w14:paraId="147BEF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35BD1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7652D9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77E77D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6F3D12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组织实施</w:t>
            </w:r>
          </w:p>
        </w:tc>
        <w:tc>
          <w:tcPr>
            <w:tcW w:w="208" w:type="pct"/>
            <w:vMerge w:val="restart"/>
            <w:tcBorders>
              <w:top w:val="single" w:color="auto" w:sz="4" w:space="0"/>
              <w:left w:val="single" w:color="auto" w:sz="4" w:space="0"/>
              <w:bottom w:val="single" w:color="auto" w:sz="4" w:space="0"/>
              <w:right w:val="single" w:color="auto" w:sz="4" w:space="0"/>
            </w:tcBorders>
            <w:noWrap w:val="0"/>
            <w:vAlign w:val="center"/>
          </w:tcPr>
          <w:p w14:paraId="29AACD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236" w:type="pct"/>
            <w:tcBorders>
              <w:top w:val="single" w:color="auto" w:sz="4" w:space="0"/>
              <w:left w:val="single" w:color="auto" w:sz="4" w:space="0"/>
              <w:bottom w:val="single" w:color="auto" w:sz="4" w:space="0"/>
              <w:right w:val="single" w:color="auto" w:sz="4" w:space="0"/>
            </w:tcBorders>
            <w:noWrap w:val="0"/>
            <w:vAlign w:val="center"/>
          </w:tcPr>
          <w:p w14:paraId="15A6E0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F7100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6DAAC6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08441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健全</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E9358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141A85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673D35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65" w:type="pct"/>
            <w:tcBorders>
              <w:top w:val="single" w:color="auto" w:sz="4" w:space="0"/>
              <w:left w:val="single" w:color="auto" w:sz="4" w:space="0"/>
              <w:bottom w:val="single" w:color="auto" w:sz="4" w:space="0"/>
              <w:right w:val="single" w:color="auto" w:sz="4" w:space="0"/>
            </w:tcBorders>
            <w:noWrap w:val="0"/>
            <w:vAlign w:val="center"/>
          </w:tcPr>
          <w:p w14:paraId="5A7C52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健全</w:t>
            </w:r>
          </w:p>
        </w:tc>
        <w:tc>
          <w:tcPr>
            <w:tcW w:w="188" w:type="pct"/>
            <w:tcBorders>
              <w:top w:val="single" w:color="auto" w:sz="4" w:space="0"/>
              <w:left w:val="single" w:color="auto" w:sz="4" w:space="0"/>
              <w:bottom w:val="single" w:color="auto" w:sz="4" w:space="0"/>
              <w:right w:val="single" w:color="auto" w:sz="4" w:space="0"/>
            </w:tcBorders>
            <w:noWrap w:val="0"/>
            <w:vAlign w:val="center"/>
          </w:tcPr>
          <w:p w14:paraId="0C812D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2F78C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70985C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7BF901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57779AE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8" w:type="pct"/>
            <w:vMerge w:val="continue"/>
            <w:tcBorders>
              <w:top w:val="single" w:color="auto" w:sz="4" w:space="0"/>
              <w:left w:val="single" w:color="auto" w:sz="4" w:space="0"/>
              <w:bottom w:val="single" w:color="auto" w:sz="4" w:space="0"/>
              <w:right w:val="single" w:color="auto" w:sz="4" w:space="0"/>
            </w:tcBorders>
            <w:noWrap w:val="0"/>
            <w:vAlign w:val="center"/>
          </w:tcPr>
          <w:p w14:paraId="6236C2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6" w:type="pct"/>
            <w:tcBorders>
              <w:top w:val="single" w:color="auto" w:sz="4" w:space="0"/>
              <w:left w:val="single" w:color="auto" w:sz="4" w:space="0"/>
              <w:bottom w:val="single" w:color="auto" w:sz="4" w:space="0"/>
              <w:right w:val="single" w:color="auto" w:sz="4" w:space="0"/>
            </w:tcBorders>
            <w:noWrap w:val="0"/>
            <w:vAlign w:val="center"/>
          </w:tcPr>
          <w:p w14:paraId="58576A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0A727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2F418D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E8537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有效</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FA0C5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604E19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7CF05F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013E1E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365" w:type="pct"/>
            <w:tcBorders>
              <w:top w:val="single" w:color="auto" w:sz="4" w:space="0"/>
              <w:left w:val="single" w:color="auto" w:sz="4" w:space="0"/>
              <w:bottom w:val="single" w:color="auto" w:sz="4" w:space="0"/>
              <w:right w:val="single" w:color="auto" w:sz="4" w:space="0"/>
            </w:tcBorders>
            <w:noWrap w:val="0"/>
            <w:vAlign w:val="center"/>
          </w:tcPr>
          <w:p w14:paraId="7267E6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有效</w:t>
            </w:r>
          </w:p>
        </w:tc>
        <w:tc>
          <w:tcPr>
            <w:tcW w:w="188" w:type="pct"/>
            <w:tcBorders>
              <w:top w:val="single" w:color="auto" w:sz="4" w:space="0"/>
              <w:left w:val="single" w:color="auto" w:sz="4" w:space="0"/>
              <w:bottom w:val="single" w:color="auto" w:sz="4" w:space="0"/>
              <w:right w:val="single" w:color="auto" w:sz="4" w:space="0"/>
            </w:tcBorders>
            <w:noWrap w:val="0"/>
            <w:vAlign w:val="center"/>
          </w:tcPr>
          <w:p w14:paraId="632CB67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3A846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22" w:type="pct"/>
            <w:vMerge w:val="restart"/>
            <w:tcBorders>
              <w:top w:val="single" w:color="auto" w:sz="4" w:space="0"/>
              <w:left w:val="single" w:color="auto" w:sz="4" w:space="0"/>
              <w:right w:val="single" w:color="auto" w:sz="4" w:space="0"/>
            </w:tcBorders>
            <w:noWrap w:val="0"/>
            <w:vAlign w:val="center"/>
          </w:tcPr>
          <w:p w14:paraId="6AD84B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项目产出</w:t>
            </w:r>
          </w:p>
        </w:tc>
        <w:tc>
          <w:tcPr>
            <w:tcW w:w="204" w:type="pct"/>
            <w:vMerge w:val="restart"/>
            <w:tcBorders>
              <w:top w:val="single" w:color="auto" w:sz="4" w:space="0"/>
              <w:left w:val="single" w:color="auto" w:sz="4" w:space="0"/>
              <w:right w:val="single" w:color="auto" w:sz="4" w:space="0"/>
            </w:tcBorders>
            <w:noWrap w:val="0"/>
            <w:vAlign w:val="center"/>
          </w:tcPr>
          <w:p w14:paraId="168D85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40</w:t>
            </w:r>
          </w:p>
        </w:tc>
        <w:tc>
          <w:tcPr>
            <w:tcW w:w="265" w:type="pct"/>
            <w:tcBorders>
              <w:top w:val="single" w:color="auto" w:sz="4" w:space="0"/>
              <w:left w:val="single" w:color="auto" w:sz="4" w:space="0"/>
              <w:right w:val="single" w:color="auto" w:sz="4" w:space="0"/>
            </w:tcBorders>
            <w:noWrap w:val="0"/>
            <w:vAlign w:val="center"/>
          </w:tcPr>
          <w:p w14:paraId="72917A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产出数量</w:t>
            </w:r>
          </w:p>
        </w:tc>
        <w:tc>
          <w:tcPr>
            <w:tcW w:w="208" w:type="pct"/>
            <w:tcBorders>
              <w:top w:val="single" w:color="auto" w:sz="4" w:space="0"/>
              <w:left w:val="single" w:color="auto" w:sz="4" w:space="0"/>
              <w:right w:val="single" w:color="auto" w:sz="4" w:space="0"/>
            </w:tcBorders>
            <w:noWrap w:val="0"/>
            <w:vAlign w:val="center"/>
          </w:tcPr>
          <w:p w14:paraId="7FFAF1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36" w:type="pct"/>
            <w:tcBorders>
              <w:top w:val="single" w:color="auto" w:sz="4" w:space="0"/>
              <w:left w:val="single" w:color="auto" w:sz="4" w:space="0"/>
              <w:right w:val="single" w:color="auto" w:sz="4" w:space="0"/>
            </w:tcBorders>
            <w:noWrap w:val="0"/>
            <w:vAlign w:val="center"/>
          </w:tcPr>
          <w:p w14:paraId="7355E8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67E1B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lang w:val="en-US" w:eastAsia="zh-CN"/>
              </w:rPr>
              <w:t>0</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5F554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西部计划志愿者在岗数量</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8B53E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≥131人</w:t>
            </w:r>
          </w:p>
        </w:tc>
        <w:tc>
          <w:tcPr>
            <w:tcW w:w="1597" w:type="pct"/>
            <w:tcBorders>
              <w:top w:val="single" w:color="auto" w:sz="4" w:space="0"/>
              <w:left w:val="single" w:color="auto" w:sz="4" w:space="0"/>
              <w:right w:val="single" w:color="auto" w:sz="4" w:space="0"/>
            </w:tcBorders>
            <w:noWrap w:val="0"/>
            <w:vAlign w:val="center"/>
          </w:tcPr>
          <w:p w14:paraId="10167F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365" w:type="pct"/>
            <w:tcBorders>
              <w:top w:val="single" w:color="auto" w:sz="4" w:space="0"/>
              <w:left w:val="single" w:color="auto" w:sz="4" w:space="0"/>
              <w:bottom w:val="single" w:color="auto" w:sz="4" w:space="0"/>
              <w:right w:val="single" w:color="auto" w:sz="4" w:space="0"/>
            </w:tcBorders>
            <w:noWrap w:val="0"/>
            <w:vAlign w:val="center"/>
          </w:tcPr>
          <w:p w14:paraId="41E52E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131人</w:t>
            </w:r>
          </w:p>
        </w:tc>
        <w:tc>
          <w:tcPr>
            <w:tcW w:w="188" w:type="pct"/>
            <w:tcBorders>
              <w:top w:val="single" w:color="auto" w:sz="4" w:space="0"/>
              <w:left w:val="single" w:color="auto" w:sz="4" w:space="0"/>
              <w:bottom w:val="single" w:color="auto" w:sz="4" w:space="0"/>
              <w:right w:val="single" w:color="auto" w:sz="4" w:space="0"/>
            </w:tcBorders>
            <w:noWrap w:val="0"/>
            <w:vAlign w:val="center"/>
          </w:tcPr>
          <w:p w14:paraId="5148D76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r>
      <w:tr w14:paraId="1317A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4CF1A5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2DC6CA1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right w:val="single" w:color="auto" w:sz="4" w:space="0"/>
            </w:tcBorders>
            <w:noWrap w:val="0"/>
            <w:vAlign w:val="center"/>
          </w:tcPr>
          <w:p w14:paraId="2F10F7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产出质量</w:t>
            </w:r>
          </w:p>
        </w:tc>
        <w:tc>
          <w:tcPr>
            <w:tcW w:w="208" w:type="pct"/>
            <w:vMerge w:val="restart"/>
            <w:tcBorders>
              <w:top w:val="single" w:color="auto" w:sz="4" w:space="0"/>
              <w:left w:val="single" w:color="auto" w:sz="4" w:space="0"/>
              <w:right w:val="single" w:color="auto" w:sz="4" w:space="0"/>
            </w:tcBorders>
            <w:noWrap w:val="0"/>
            <w:vAlign w:val="center"/>
          </w:tcPr>
          <w:p w14:paraId="4B1FA9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36" w:type="pct"/>
            <w:vMerge w:val="restart"/>
            <w:tcBorders>
              <w:top w:val="single" w:color="auto" w:sz="4" w:space="0"/>
              <w:left w:val="single" w:color="auto" w:sz="4" w:space="0"/>
              <w:right w:val="single" w:color="auto" w:sz="4" w:space="0"/>
            </w:tcBorders>
            <w:noWrap w:val="0"/>
            <w:vAlign w:val="center"/>
          </w:tcPr>
          <w:p w14:paraId="5D15CD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9C770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4FAAF91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补贴覆盖率</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9962C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597" w:type="pct"/>
            <w:vMerge w:val="restart"/>
            <w:tcBorders>
              <w:top w:val="single" w:color="auto" w:sz="4" w:space="0"/>
              <w:left w:val="single" w:color="auto" w:sz="4" w:space="0"/>
              <w:right w:val="single" w:color="auto" w:sz="4" w:space="0"/>
            </w:tcBorders>
            <w:noWrap w:val="0"/>
            <w:vAlign w:val="center"/>
          </w:tcPr>
          <w:p w14:paraId="0E96B5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p w14:paraId="5DC106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若指标完成值达到标杆值，则得100%权重分；否则，不得分。</w:t>
            </w:r>
          </w:p>
        </w:tc>
        <w:tc>
          <w:tcPr>
            <w:tcW w:w="365" w:type="pct"/>
            <w:tcBorders>
              <w:top w:val="single" w:color="auto" w:sz="4" w:space="0"/>
              <w:left w:val="single" w:color="auto" w:sz="4" w:space="0"/>
              <w:bottom w:val="single" w:color="auto" w:sz="4" w:space="0"/>
              <w:right w:val="single" w:color="auto" w:sz="4" w:space="0"/>
            </w:tcBorders>
            <w:noWrap w:val="0"/>
            <w:vAlign w:val="center"/>
          </w:tcPr>
          <w:p w14:paraId="0EF4CB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88" w:type="pct"/>
            <w:tcBorders>
              <w:top w:val="single" w:color="auto" w:sz="4" w:space="0"/>
              <w:left w:val="single" w:color="auto" w:sz="4" w:space="0"/>
              <w:bottom w:val="single" w:color="auto" w:sz="4" w:space="0"/>
              <w:right w:val="single" w:color="auto" w:sz="4" w:space="0"/>
            </w:tcBorders>
            <w:noWrap w:val="0"/>
            <w:vAlign w:val="center"/>
          </w:tcPr>
          <w:p w14:paraId="4F1817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79A29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22" w:type="pct"/>
            <w:vMerge w:val="continue"/>
            <w:tcBorders>
              <w:left w:val="single" w:color="auto" w:sz="4" w:space="0"/>
              <w:bottom w:val="single" w:color="auto" w:sz="4" w:space="0"/>
              <w:right w:val="single" w:color="auto" w:sz="4" w:space="0"/>
            </w:tcBorders>
            <w:noWrap w:val="0"/>
            <w:vAlign w:val="center"/>
          </w:tcPr>
          <w:p w14:paraId="00806C1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04" w:type="pct"/>
            <w:vMerge w:val="continue"/>
            <w:tcBorders>
              <w:left w:val="single" w:color="auto" w:sz="4" w:space="0"/>
              <w:bottom w:val="single" w:color="auto" w:sz="4" w:space="0"/>
              <w:right w:val="single" w:color="auto" w:sz="4" w:space="0"/>
            </w:tcBorders>
            <w:noWrap w:val="0"/>
            <w:vAlign w:val="center"/>
          </w:tcPr>
          <w:p w14:paraId="631DF4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65" w:type="pct"/>
            <w:vMerge w:val="continue"/>
            <w:tcBorders>
              <w:left w:val="single" w:color="auto" w:sz="4" w:space="0"/>
              <w:bottom w:val="single" w:color="auto" w:sz="4" w:space="0"/>
              <w:right w:val="single" w:color="auto" w:sz="4" w:space="0"/>
            </w:tcBorders>
            <w:noWrap w:val="0"/>
            <w:vAlign w:val="center"/>
          </w:tcPr>
          <w:p w14:paraId="5D0FF0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08" w:type="pct"/>
            <w:vMerge w:val="continue"/>
            <w:tcBorders>
              <w:left w:val="single" w:color="auto" w:sz="4" w:space="0"/>
              <w:bottom w:val="single" w:color="auto" w:sz="4" w:space="0"/>
              <w:right w:val="single" w:color="auto" w:sz="4" w:space="0"/>
            </w:tcBorders>
            <w:noWrap w:val="0"/>
            <w:vAlign w:val="center"/>
          </w:tcPr>
          <w:p w14:paraId="550001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36" w:type="pct"/>
            <w:vMerge w:val="continue"/>
            <w:tcBorders>
              <w:left w:val="single" w:color="auto" w:sz="4" w:space="0"/>
              <w:bottom w:val="single" w:color="auto" w:sz="4" w:space="0"/>
              <w:right w:val="single" w:color="auto" w:sz="4" w:space="0"/>
            </w:tcBorders>
            <w:noWrap w:val="0"/>
            <w:vAlign w:val="center"/>
          </w:tcPr>
          <w:p w14:paraId="0F1130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7" w:type="pct"/>
            <w:tcBorders>
              <w:top w:val="single" w:color="auto" w:sz="4" w:space="0"/>
              <w:left w:val="single" w:color="auto" w:sz="4" w:space="0"/>
              <w:bottom w:val="single" w:color="auto" w:sz="4" w:space="0"/>
              <w:right w:val="single" w:color="auto" w:sz="4" w:space="0"/>
            </w:tcBorders>
            <w:noWrap w:val="0"/>
            <w:vAlign w:val="center"/>
          </w:tcPr>
          <w:p w14:paraId="4848C2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eastAsia="仿宋_GB2312"/>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09EEF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资金使用合规率</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77E166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597" w:type="pct"/>
            <w:vMerge w:val="continue"/>
            <w:tcBorders>
              <w:left w:val="single" w:color="auto" w:sz="4" w:space="0"/>
              <w:right w:val="single" w:color="auto" w:sz="4" w:space="0"/>
            </w:tcBorders>
            <w:noWrap w:val="0"/>
            <w:vAlign w:val="center"/>
          </w:tcPr>
          <w:p w14:paraId="2A111A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65" w:type="pct"/>
            <w:tcBorders>
              <w:top w:val="single" w:color="auto" w:sz="4" w:space="0"/>
              <w:left w:val="single" w:color="auto" w:sz="4" w:space="0"/>
              <w:bottom w:val="single" w:color="auto" w:sz="4" w:space="0"/>
              <w:right w:val="single" w:color="auto" w:sz="4" w:space="0"/>
            </w:tcBorders>
            <w:noWrap w:val="0"/>
            <w:vAlign w:val="center"/>
          </w:tcPr>
          <w:p w14:paraId="6F5147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88" w:type="pct"/>
            <w:tcBorders>
              <w:top w:val="single" w:color="auto" w:sz="4" w:space="0"/>
              <w:left w:val="single" w:color="auto" w:sz="4" w:space="0"/>
              <w:bottom w:val="single" w:color="auto" w:sz="4" w:space="0"/>
              <w:right w:val="single" w:color="auto" w:sz="4" w:space="0"/>
            </w:tcBorders>
            <w:noWrap w:val="0"/>
            <w:vAlign w:val="center"/>
          </w:tcPr>
          <w:p w14:paraId="1261BE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r>
      <w:tr w14:paraId="7D1B3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5F96C59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590F16A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right w:val="single" w:color="auto" w:sz="4" w:space="0"/>
            </w:tcBorders>
            <w:noWrap w:val="0"/>
            <w:vAlign w:val="center"/>
          </w:tcPr>
          <w:p w14:paraId="433F64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产出时效</w:t>
            </w:r>
          </w:p>
        </w:tc>
        <w:tc>
          <w:tcPr>
            <w:tcW w:w="208" w:type="pct"/>
            <w:vMerge w:val="restart"/>
            <w:tcBorders>
              <w:top w:val="single" w:color="auto" w:sz="4" w:space="0"/>
              <w:left w:val="single" w:color="auto" w:sz="4" w:space="0"/>
              <w:right w:val="single" w:color="auto" w:sz="4" w:space="0"/>
            </w:tcBorders>
            <w:noWrap w:val="0"/>
            <w:vAlign w:val="center"/>
          </w:tcPr>
          <w:p w14:paraId="04F583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36" w:type="pct"/>
            <w:vMerge w:val="restart"/>
            <w:tcBorders>
              <w:top w:val="single" w:color="auto" w:sz="4" w:space="0"/>
              <w:left w:val="single" w:color="auto" w:sz="4" w:space="0"/>
              <w:right w:val="single" w:color="auto" w:sz="4" w:space="0"/>
            </w:tcBorders>
            <w:noWrap w:val="0"/>
            <w:vAlign w:val="center"/>
          </w:tcPr>
          <w:p w14:paraId="4ECBDE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AFF28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278BA8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项目完成时间</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C4045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12</w:t>
            </w:r>
            <w:r>
              <w:rPr>
                <w:rFonts w:hint="eastAsia" w:ascii="宋体" w:hAnsi="宋体" w:eastAsia="宋体" w:cs="宋体"/>
                <w:i w:val="0"/>
                <w:iCs w:val="0"/>
                <w:color w:val="000000"/>
                <w:sz w:val="18"/>
                <w:szCs w:val="18"/>
                <w:highlight w:val="none"/>
                <w:u w:val="none"/>
              </w:rPr>
              <w:t>月</w:t>
            </w:r>
          </w:p>
        </w:tc>
        <w:tc>
          <w:tcPr>
            <w:tcW w:w="1597" w:type="pct"/>
            <w:vMerge w:val="restart"/>
            <w:tcBorders>
              <w:top w:val="single" w:color="auto" w:sz="4" w:space="0"/>
              <w:left w:val="single" w:color="auto" w:sz="4" w:space="0"/>
              <w:right w:val="single" w:color="auto" w:sz="4" w:space="0"/>
            </w:tcBorders>
            <w:noWrap w:val="0"/>
            <w:vAlign w:val="center"/>
          </w:tcPr>
          <w:p w14:paraId="0AAFCF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087046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365" w:type="pct"/>
            <w:tcBorders>
              <w:top w:val="single" w:color="auto" w:sz="4" w:space="0"/>
              <w:left w:val="single" w:color="auto" w:sz="4" w:space="0"/>
              <w:bottom w:val="single" w:color="auto" w:sz="4" w:space="0"/>
              <w:right w:val="single" w:color="auto" w:sz="4" w:space="0"/>
            </w:tcBorders>
            <w:noWrap w:val="0"/>
            <w:vAlign w:val="center"/>
          </w:tcPr>
          <w:p w14:paraId="1F708D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12</w:t>
            </w:r>
            <w:r>
              <w:rPr>
                <w:rFonts w:hint="eastAsia" w:ascii="宋体" w:hAnsi="宋体" w:eastAsia="宋体" w:cs="宋体"/>
                <w:i w:val="0"/>
                <w:iCs w:val="0"/>
                <w:color w:val="000000"/>
                <w:sz w:val="18"/>
                <w:szCs w:val="18"/>
                <w:highlight w:val="none"/>
                <w:u w:val="none"/>
              </w:rPr>
              <w:t>月</w:t>
            </w:r>
          </w:p>
        </w:tc>
        <w:tc>
          <w:tcPr>
            <w:tcW w:w="188" w:type="pct"/>
            <w:tcBorders>
              <w:top w:val="single" w:color="auto" w:sz="4" w:space="0"/>
              <w:left w:val="single" w:color="auto" w:sz="4" w:space="0"/>
              <w:bottom w:val="single" w:color="auto" w:sz="4" w:space="0"/>
              <w:right w:val="single" w:color="auto" w:sz="4" w:space="0"/>
            </w:tcBorders>
            <w:noWrap w:val="0"/>
            <w:vAlign w:val="center"/>
          </w:tcPr>
          <w:p w14:paraId="4B9848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50A17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22" w:type="pct"/>
            <w:vMerge w:val="continue"/>
            <w:tcBorders>
              <w:left w:val="single" w:color="auto" w:sz="4" w:space="0"/>
              <w:bottom w:val="single" w:color="auto" w:sz="4" w:space="0"/>
              <w:right w:val="single" w:color="auto" w:sz="4" w:space="0"/>
            </w:tcBorders>
            <w:noWrap w:val="0"/>
            <w:vAlign w:val="center"/>
          </w:tcPr>
          <w:p w14:paraId="33304F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left w:val="single" w:color="auto" w:sz="4" w:space="0"/>
              <w:bottom w:val="single" w:color="auto" w:sz="4" w:space="0"/>
              <w:right w:val="single" w:color="auto" w:sz="4" w:space="0"/>
            </w:tcBorders>
            <w:noWrap w:val="0"/>
            <w:vAlign w:val="center"/>
          </w:tcPr>
          <w:p w14:paraId="4F0F11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left w:val="single" w:color="auto" w:sz="4" w:space="0"/>
              <w:bottom w:val="single" w:color="auto" w:sz="4" w:space="0"/>
              <w:right w:val="single" w:color="auto" w:sz="4" w:space="0"/>
            </w:tcBorders>
            <w:noWrap w:val="0"/>
            <w:vAlign w:val="center"/>
          </w:tcPr>
          <w:p w14:paraId="11BEB7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8" w:type="pct"/>
            <w:vMerge w:val="continue"/>
            <w:tcBorders>
              <w:left w:val="single" w:color="auto" w:sz="4" w:space="0"/>
              <w:bottom w:val="single" w:color="auto" w:sz="4" w:space="0"/>
              <w:right w:val="single" w:color="auto" w:sz="4" w:space="0"/>
            </w:tcBorders>
            <w:noWrap w:val="0"/>
            <w:vAlign w:val="center"/>
          </w:tcPr>
          <w:p w14:paraId="776B72C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6" w:type="pct"/>
            <w:vMerge w:val="continue"/>
            <w:tcBorders>
              <w:left w:val="single" w:color="auto" w:sz="4" w:space="0"/>
              <w:bottom w:val="single" w:color="auto" w:sz="4" w:space="0"/>
              <w:right w:val="single" w:color="auto" w:sz="4" w:space="0"/>
            </w:tcBorders>
            <w:noWrap w:val="0"/>
            <w:vAlign w:val="center"/>
          </w:tcPr>
          <w:p w14:paraId="587E45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tcBorders>
              <w:top w:val="single" w:color="auto" w:sz="4" w:space="0"/>
              <w:left w:val="single" w:color="auto" w:sz="4" w:space="0"/>
              <w:bottom w:val="single" w:color="auto" w:sz="4" w:space="0"/>
              <w:right w:val="single" w:color="auto" w:sz="4" w:space="0"/>
            </w:tcBorders>
            <w:noWrap w:val="0"/>
            <w:vAlign w:val="center"/>
          </w:tcPr>
          <w:p w14:paraId="2F1313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1A33AB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资金发放及时率</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E65B1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597" w:type="pct"/>
            <w:vMerge w:val="continue"/>
            <w:tcBorders>
              <w:left w:val="single" w:color="auto" w:sz="4" w:space="0"/>
              <w:right w:val="single" w:color="auto" w:sz="4" w:space="0"/>
            </w:tcBorders>
            <w:noWrap w:val="0"/>
            <w:vAlign w:val="center"/>
          </w:tcPr>
          <w:p w14:paraId="3FF378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65" w:type="pct"/>
            <w:tcBorders>
              <w:top w:val="single" w:color="auto" w:sz="4" w:space="0"/>
              <w:left w:val="single" w:color="auto" w:sz="4" w:space="0"/>
              <w:bottom w:val="single" w:color="auto" w:sz="4" w:space="0"/>
              <w:right w:val="single" w:color="auto" w:sz="4" w:space="0"/>
            </w:tcBorders>
            <w:noWrap w:val="0"/>
            <w:vAlign w:val="center"/>
          </w:tcPr>
          <w:p w14:paraId="33A5C1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88" w:type="pct"/>
            <w:tcBorders>
              <w:top w:val="single" w:color="auto" w:sz="4" w:space="0"/>
              <w:left w:val="single" w:color="auto" w:sz="4" w:space="0"/>
              <w:bottom w:val="single" w:color="auto" w:sz="4" w:space="0"/>
              <w:right w:val="single" w:color="auto" w:sz="4" w:space="0"/>
            </w:tcBorders>
            <w:noWrap w:val="0"/>
            <w:vAlign w:val="center"/>
          </w:tcPr>
          <w:p w14:paraId="000E86F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0F94C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5C8371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5D5296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tcBorders>
              <w:top w:val="single" w:color="auto" w:sz="4" w:space="0"/>
              <w:left w:val="single" w:color="auto" w:sz="4" w:space="0"/>
              <w:right w:val="single" w:color="auto" w:sz="4" w:space="0"/>
            </w:tcBorders>
            <w:noWrap w:val="0"/>
            <w:vAlign w:val="center"/>
          </w:tcPr>
          <w:p w14:paraId="3CB788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产出成本</w:t>
            </w:r>
          </w:p>
        </w:tc>
        <w:tc>
          <w:tcPr>
            <w:tcW w:w="208" w:type="pct"/>
            <w:tcBorders>
              <w:top w:val="single" w:color="auto" w:sz="4" w:space="0"/>
              <w:left w:val="single" w:color="auto" w:sz="4" w:space="0"/>
              <w:right w:val="single" w:color="auto" w:sz="4" w:space="0"/>
            </w:tcBorders>
            <w:noWrap w:val="0"/>
            <w:vAlign w:val="center"/>
          </w:tcPr>
          <w:p w14:paraId="789288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36" w:type="pct"/>
            <w:tcBorders>
              <w:top w:val="single" w:color="auto" w:sz="4" w:space="0"/>
              <w:left w:val="single" w:color="auto" w:sz="4" w:space="0"/>
              <w:right w:val="single" w:color="auto" w:sz="4" w:space="0"/>
            </w:tcBorders>
            <w:noWrap w:val="0"/>
            <w:vAlign w:val="center"/>
          </w:tcPr>
          <w:p w14:paraId="140F9B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4FD67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36E99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西部计划者生活补助的发放标准</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9A0FC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≤1200元/月/人</w:t>
            </w:r>
          </w:p>
        </w:tc>
        <w:tc>
          <w:tcPr>
            <w:tcW w:w="1597" w:type="pct"/>
            <w:tcBorders>
              <w:top w:val="single" w:color="auto" w:sz="4" w:space="0"/>
              <w:left w:val="single" w:color="auto" w:sz="4" w:space="0"/>
              <w:right w:val="single" w:color="auto" w:sz="4" w:space="0"/>
            </w:tcBorders>
            <w:noWrap w:val="0"/>
            <w:vAlign w:val="center"/>
          </w:tcPr>
          <w:p w14:paraId="408222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①实际完成率＞年度指标值，得0得分；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365" w:type="pct"/>
            <w:tcBorders>
              <w:top w:val="single" w:color="auto" w:sz="4" w:space="0"/>
              <w:left w:val="single" w:color="auto" w:sz="4" w:space="0"/>
              <w:bottom w:val="single" w:color="auto" w:sz="4" w:space="0"/>
              <w:right w:val="single" w:color="auto" w:sz="4" w:space="0"/>
            </w:tcBorders>
            <w:noWrap w:val="0"/>
            <w:vAlign w:val="center"/>
          </w:tcPr>
          <w:p w14:paraId="24BF3B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1200元/月/人</w:t>
            </w:r>
          </w:p>
        </w:tc>
        <w:tc>
          <w:tcPr>
            <w:tcW w:w="188" w:type="pct"/>
            <w:tcBorders>
              <w:top w:val="single" w:color="auto" w:sz="4" w:space="0"/>
              <w:left w:val="single" w:color="auto" w:sz="4" w:space="0"/>
              <w:bottom w:val="single" w:color="auto" w:sz="4" w:space="0"/>
              <w:right w:val="single" w:color="auto" w:sz="4" w:space="0"/>
            </w:tcBorders>
            <w:noWrap w:val="0"/>
            <w:vAlign w:val="center"/>
          </w:tcPr>
          <w:p w14:paraId="59CEB6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r>
      <w:tr w14:paraId="561B1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1BA2A4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项目效益</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73F542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25</w:t>
            </w: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0DCD2C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项目效益</w:t>
            </w:r>
          </w:p>
        </w:tc>
        <w:tc>
          <w:tcPr>
            <w:tcW w:w="208" w:type="pct"/>
            <w:vMerge w:val="restart"/>
            <w:tcBorders>
              <w:top w:val="single" w:color="auto" w:sz="4" w:space="0"/>
              <w:left w:val="single" w:color="auto" w:sz="4" w:space="0"/>
              <w:bottom w:val="single" w:color="auto" w:sz="4" w:space="0"/>
              <w:right w:val="single" w:color="auto" w:sz="4" w:space="0"/>
            </w:tcBorders>
            <w:noWrap w:val="0"/>
            <w:vAlign w:val="center"/>
          </w:tcPr>
          <w:p w14:paraId="3902D2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25</w:t>
            </w:r>
          </w:p>
        </w:tc>
        <w:tc>
          <w:tcPr>
            <w:tcW w:w="236" w:type="pct"/>
            <w:tcBorders>
              <w:top w:val="single" w:color="auto" w:sz="4" w:space="0"/>
              <w:left w:val="single" w:color="auto" w:sz="4" w:space="0"/>
              <w:bottom w:val="single" w:color="auto" w:sz="4" w:space="0"/>
              <w:right w:val="single" w:color="auto" w:sz="4" w:space="0"/>
            </w:tcBorders>
            <w:noWrap w:val="0"/>
            <w:vAlign w:val="center"/>
          </w:tcPr>
          <w:p w14:paraId="06BC34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社会效益</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CB6FE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23BC63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促进大学生志愿服务西部计划项目融入地方发展</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08EFFD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有效</w:t>
            </w:r>
            <w:r>
              <w:rPr>
                <w:rFonts w:hint="eastAsia" w:ascii="宋体" w:hAnsi="宋体" w:eastAsia="宋体" w:cs="宋体"/>
                <w:i w:val="0"/>
                <w:iCs w:val="0"/>
                <w:color w:val="000000"/>
                <w:sz w:val="18"/>
                <w:szCs w:val="18"/>
                <w:highlight w:val="none"/>
                <w:u w:val="none"/>
                <w:lang w:val="en-US" w:eastAsia="zh-CN"/>
              </w:rPr>
              <w:t>促进</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5C36B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365" w:type="pct"/>
            <w:tcBorders>
              <w:top w:val="single" w:color="auto" w:sz="4" w:space="0"/>
              <w:left w:val="single" w:color="auto" w:sz="4" w:space="0"/>
              <w:bottom w:val="single" w:color="auto" w:sz="4" w:space="0"/>
              <w:right w:val="single" w:color="auto" w:sz="4" w:space="0"/>
            </w:tcBorders>
            <w:noWrap w:val="0"/>
            <w:vAlign w:val="center"/>
          </w:tcPr>
          <w:p w14:paraId="6FBDB4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有效</w:t>
            </w:r>
            <w:r>
              <w:rPr>
                <w:rFonts w:hint="eastAsia" w:ascii="宋体" w:hAnsi="宋体" w:eastAsia="宋体" w:cs="宋体"/>
                <w:i w:val="0"/>
                <w:iCs w:val="0"/>
                <w:color w:val="000000"/>
                <w:sz w:val="18"/>
                <w:szCs w:val="18"/>
                <w:highlight w:val="none"/>
                <w:u w:val="none"/>
                <w:lang w:val="en-US" w:eastAsia="zh-CN"/>
              </w:rPr>
              <w:t>促进</w:t>
            </w:r>
          </w:p>
        </w:tc>
        <w:tc>
          <w:tcPr>
            <w:tcW w:w="188" w:type="pct"/>
            <w:tcBorders>
              <w:top w:val="single" w:color="auto" w:sz="4" w:space="0"/>
              <w:left w:val="single" w:color="auto" w:sz="4" w:space="0"/>
              <w:bottom w:val="single" w:color="auto" w:sz="4" w:space="0"/>
              <w:right w:val="single" w:color="auto" w:sz="4" w:space="0"/>
            </w:tcBorders>
            <w:noWrap w:val="0"/>
            <w:vAlign w:val="center"/>
          </w:tcPr>
          <w:p w14:paraId="43C588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r>
      <w:tr w14:paraId="00AEC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6E36B1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49C332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725131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8" w:type="pct"/>
            <w:vMerge w:val="continue"/>
            <w:tcBorders>
              <w:top w:val="single" w:color="auto" w:sz="4" w:space="0"/>
              <w:left w:val="single" w:color="auto" w:sz="4" w:space="0"/>
              <w:bottom w:val="single" w:color="auto" w:sz="4" w:space="0"/>
              <w:right w:val="single" w:color="auto" w:sz="4" w:space="0"/>
            </w:tcBorders>
            <w:noWrap w:val="0"/>
            <w:vAlign w:val="center"/>
          </w:tcPr>
          <w:p w14:paraId="7FF696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6" w:type="pct"/>
            <w:tcBorders>
              <w:top w:val="single" w:color="auto" w:sz="4" w:space="0"/>
              <w:left w:val="single" w:color="auto" w:sz="4" w:space="0"/>
              <w:bottom w:val="single" w:color="auto" w:sz="4" w:space="0"/>
              <w:right w:val="single" w:color="auto" w:sz="4" w:space="0"/>
            </w:tcBorders>
            <w:noWrap w:val="0"/>
            <w:vAlign w:val="center"/>
          </w:tcPr>
          <w:p w14:paraId="15C7C3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61EB7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2AD9DB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受益西部计划志愿者满意度</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73B6A5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r>
              <w:rPr>
                <w:rFonts w:hint="eastAsia" w:ascii="宋体" w:hAnsi="宋体" w:eastAsia="宋体" w:cs="宋体"/>
                <w:i w:val="0"/>
                <w:iCs w:val="0"/>
                <w:color w:val="000000"/>
                <w:sz w:val="18"/>
                <w:szCs w:val="18"/>
                <w:highlight w:val="none"/>
                <w:u w:val="none"/>
              </w:rPr>
              <w:t>95%</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0D415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365" w:type="pct"/>
            <w:tcBorders>
              <w:top w:val="single" w:color="auto" w:sz="4" w:space="0"/>
              <w:left w:val="single" w:color="auto" w:sz="4" w:space="0"/>
              <w:bottom w:val="single" w:color="auto" w:sz="4" w:space="0"/>
              <w:right w:val="single" w:color="auto" w:sz="4" w:space="0"/>
            </w:tcBorders>
            <w:noWrap w:val="0"/>
            <w:vAlign w:val="center"/>
          </w:tcPr>
          <w:p w14:paraId="3C195A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r>
              <w:rPr>
                <w:rFonts w:hint="eastAsia" w:ascii="宋体" w:hAnsi="宋体" w:eastAsia="宋体" w:cs="宋体"/>
                <w:i w:val="0"/>
                <w:iCs w:val="0"/>
                <w:color w:val="000000"/>
                <w:sz w:val="18"/>
                <w:szCs w:val="18"/>
                <w:highlight w:val="none"/>
                <w:u w:val="none"/>
              </w:rPr>
              <w:t>%</w:t>
            </w:r>
          </w:p>
        </w:tc>
        <w:tc>
          <w:tcPr>
            <w:tcW w:w="188" w:type="pct"/>
            <w:tcBorders>
              <w:top w:val="single" w:color="auto" w:sz="4" w:space="0"/>
              <w:left w:val="single" w:color="auto" w:sz="4" w:space="0"/>
              <w:bottom w:val="single" w:color="auto" w:sz="4" w:space="0"/>
              <w:right w:val="single" w:color="auto" w:sz="4" w:space="0"/>
            </w:tcBorders>
            <w:noWrap w:val="0"/>
            <w:vAlign w:val="center"/>
          </w:tcPr>
          <w:p w14:paraId="5A95C7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r>
      <w:tr w14:paraId="17EB6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 w:hRule="atLeast"/>
        </w:trPr>
        <w:tc>
          <w:tcPr>
            <w:tcW w:w="222" w:type="pct"/>
            <w:tcBorders>
              <w:top w:val="single" w:color="auto" w:sz="4" w:space="0"/>
              <w:left w:val="single" w:color="auto" w:sz="4" w:space="0"/>
              <w:bottom w:val="single" w:color="auto" w:sz="4" w:space="0"/>
              <w:right w:val="single" w:color="auto" w:sz="4" w:space="0"/>
            </w:tcBorders>
            <w:noWrap w:val="0"/>
            <w:vAlign w:val="center"/>
          </w:tcPr>
          <w:p w14:paraId="1EA815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总分</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6BF97D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2389973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8" w:type="pct"/>
            <w:tcBorders>
              <w:top w:val="single" w:color="auto" w:sz="4" w:space="0"/>
              <w:left w:val="single" w:color="auto" w:sz="4" w:space="0"/>
              <w:bottom w:val="single" w:color="auto" w:sz="4" w:space="0"/>
              <w:right w:val="single" w:color="auto" w:sz="4" w:space="0"/>
            </w:tcBorders>
            <w:noWrap w:val="0"/>
            <w:vAlign w:val="center"/>
          </w:tcPr>
          <w:p w14:paraId="3276FD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236" w:type="pct"/>
            <w:tcBorders>
              <w:top w:val="single" w:color="auto" w:sz="4" w:space="0"/>
              <w:left w:val="single" w:color="auto" w:sz="4" w:space="0"/>
              <w:bottom w:val="single" w:color="auto" w:sz="4" w:space="0"/>
              <w:right w:val="single" w:color="auto" w:sz="4" w:space="0"/>
            </w:tcBorders>
            <w:noWrap w:val="0"/>
            <w:vAlign w:val="center"/>
          </w:tcPr>
          <w:p w14:paraId="668F6C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tcBorders>
              <w:top w:val="single" w:color="auto" w:sz="4" w:space="0"/>
              <w:left w:val="single" w:color="auto" w:sz="4" w:space="0"/>
              <w:bottom w:val="single" w:color="auto" w:sz="4" w:space="0"/>
              <w:right w:val="single" w:color="auto" w:sz="4" w:space="0"/>
            </w:tcBorders>
            <w:noWrap w:val="0"/>
            <w:vAlign w:val="center"/>
          </w:tcPr>
          <w:p w14:paraId="11E040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D3E41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18" w:type="pct"/>
            <w:tcBorders>
              <w:top w:val="single" w:color="auto" w:sz="4" w:space="0"/>
              <w:left w:val="single" w:color="auto" w:sz="4" w:space="0"/>
              <w:bottom w:val="single" w:color="auto" w:sz="4" w:space="0"/>
              <w:right w:val="single" w:color="auto" w:sz="4" w:space="0"/>
            </w:tcBorders>
            <w:noWrap w:val="0"/>
            <w:vAlign w:val="center"/>
          </w:tcPr>
          <w:p w14:paraId="75B49A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21DF508E">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365" w:type="pct"/>
            <w:tcBorders>
              <w:top w:val="single" w:color="auto" w:sz="4" w:space="0"/>
              <w:left w:val="single" w:color="auto" w:sz="4" w:space="0"/>
              <w:bottom w:val="single" w:color="auto" w:sz="4" w:space="0"/>
              <w:right w:val="single" w:color="auto" w:sz="4" w:space="0"/>
            </w:tcBorders>
            <w:noWrap w:val="0"/>
            <w:vAlign w:val="center"/>
          </w:tcPr>
          <w:p w14:paraId="396D2D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88" w:type="pct"/>
            <w:tcBorders>
              <w:top w:val="single" w:color="auto" w:sz="4" w:space="0"/>
              <w:left w:val="single" w:color="auto" w:sz="4" w:space="0"/>
              <w:bottom w:val="single" w:color="auto" w:sz="4" w:space="0"/>
              <w:right w:val="single" w:color="auto" w:sz="4" w:space="0"/>
            </w:tcBorders>
            <w:noWrap w:val="0"/>
            <w:vAlign w:val="center"/>
          </w:tcPr>
          <w:p w14:paraId="127E814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100</w:t>
            </w:r>
          </w:p>
        </w:tc>
      </w:tr>
    </w:tbl>
    <w:p w14:paraId="6F2E3514">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000000"/>
          <w:sz w:val="24"/>
          <w:szCs w:val="24"/>
          <w:highlight w:val="none"/>
          <w:lang w:val="en-US" w:eastAsia="zh-CN"/>
        </w:rPr>
      </w:pPr>
    </w:p>
    <w:p w14:paraId="6B6E6E4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p w14:paraId="4CE2102A">
      <w:pPr>
        <w:pStyle w:val="10"/>
        <w:ind w:left="0" w:leftChars="0" w:firstLine="0" w:firstLineChars="0"/>
        <w:jc w:val="both"/>
        <w:rPr>
          <w:rFonts w:hint="eastAsia" w:ascii="宋体" w:hAnsi="宋体" w:eastAsia="宋体" w:cs="宋体"/>
          <w:sz w:val="24"/>
          <w:szCs w:val="24"/>
        </w:rPr>
      </w:pPr>
    </w:p>
    <w:p w14:paraId="06E7BA78">
      <w:pPr>
        <w:pStyle w:val="10"/>
        <w:ind w:left="0" w:leftChars="0" w:firstLine="0" w:firstLineChars="0"/>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附件2：</w:t>
      </w:r>
    </w:p>
    <w:tbl>
      <w:tblPr>
        <w:tblStyle w:val="23"/>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069DB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2317E5D4">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sz w:val="22"/>
                <w:szCs w:val="22"/>
                <w:highlight w:val="none"/>
                <w:u w:val="none"/>
              </w:rPr>
            </w:pPr>
          </w:p>
        </w:tc>
        <w:tc>
          <w:tcPr>
            <w:tcW w:w="1778" w:type="dxa"/>
            <w:tcBorders>
              <w:top w:val="nil"/>
              <w:left w:val="nil"/>
              <w:bottom w:val="nil"/>
              <w:right w:val="nil"/>
            </w:tcBorders>
            <w:noWrap/>
            <w:vAlign w:val="center"/>
          </w:tcPr>
          <w:p w14:paraId="6F7B833E">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c>
          <w:tcPr>
            <w:tcW w:w="2786" w:type="dxa"/>
            <w:tcBorders>
              <w:top w:val="nil"/>
              <w:left w:val="nil"/>
              <w:bottom w:val="nil"/>
              <w:right w:val="nil"/>
            </w:tcBorders>
            <w:noWrap/>
            <w:vAlign w:val="center"/>
          </w:tcPr>
          <w:p w14:paraId="1D0E01D4">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c>
          <w:tcPr>
            <w:tcW w:w="2314" w:type="dxa"/>
            <w:tcBorders>
              <w:top w:val="nil"/>
              <w:left w:val="nil"/>
              <w:bottom w:val="nil"/>
              <w:right w:val="nil"/>
            </w:tcBorders>
            <w:noWrap/>
            <w:vAlign w:val="center"/>
          </w:tcPr>
          <w:p w14:paraId="2B964696">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c>
          <w:tcPr>
            <w:tcW w:w="3449" w:type="dxa"/>
            <w:tcBorders>
              <w:top w:val="nil"/>
              <w:left w:val="nil"/>
              <w:bottom w:val="nil"/>
              <w:right w:val="nil"/>
            </w:tcBorders>
            <w:noWrap/>
            <w:vAlign w:val="center"/>
          </w:tcPr>
          <w:p w14:paraId="2B638F79">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c>
          <w:tcPr>
            <w:tcW w:w="1331" w:type="dxa"/>
            <w:tcBorders>
              <w:top w:val="nil"/>
              <w:left w:val="nil"/>
              <w:bottom w:val="nil"/>
              <w:right w:val="nil"/>
            </w:tcBorders>
            <w:noWrap/>
            <w:vAlign w:val="center"/>
          </w:tcPr>
          <w:p w14:paraId="04B06F50">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r>
      <w:tr w14:paraId="5B07E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338202C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36"/>
                <w:szCs w:val="36"/>
                <w:highlight w:val="none"/>
                <w:u w:val="none"/>
              </w:rPr>
            </w:pPr>
            <w:r>
              <w:rPr>
                <w:rFonts w:hint="eastAsia" w:ascii="宋体" w:hAnsi="宋体" w:eastAsia="宋体" w:cs="宋体"/>
                <w:b/>
                <w:bCs/>
                <w:i w:val="0"/>
                <w:iCs w:val="0"/>
                <w:color w:val="000000"/>
                <w:kern w:val="0"/>
                <w:sz w:val="36"/>
                <w:szCs w:val="36"/>
                <w:highlight w:val="none"/>
                <w:u w:val="none"/>
                <w:lang w:val="en-US" w:eastAsia="zh-CN"/>
              </w:rPr>
              <w:t>西部计划志愿者生活补助项目综合得分表</w:t>
            </w:r>
          </w:p>
        </w:tc>
      </w:tr>
      <w:tr w14:paraId="279B4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BC131B5">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55110F8">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1BB2D1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4ED05B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49A643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1DCC66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合计</w:t>
            </w:r>
          </w:p>
        </w:tc>
      </w:tr>
      <w:tr w14:paraId="21200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8919BD1">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54C337C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7EDF93D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97D6E1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37418F5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10856FE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r>
      <w:tr w14:paraId="2E341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4268934">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0070E3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4262FD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37CDDE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7689EE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7534182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rPr>
              <w:t>100.00</w:t>
            </w:r>
          </w:p>
        </w:tc>
      </w:tr>
      <w:tr w14:paraId="0E005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D6E572E">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FC8677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5A0359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00EE50E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3341E91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75E1247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r>
    </w:tbl>
    <w:p w14:paraId="28CFD3D7">
      <w:pPr>
        <w:pStyle w:val="10"/>
        <w:ind w:left="0" w:leftChars="0" w:firstLine="0" w:firstLineChars="0"/>
        <w:jc w:val="both"/>
        <w:rPr>
          <w:rFonts w:hint="eastAsia" w:ascii="宋体" w:hAnsi="宋体" w:eastAsia="宋体" w:cs="宋体"/>
          <w:sz w:val="24"/>
          <w:szCs w:val="24"/>
        </w:rPr>
        <w:sectPr>
          <w:pgSz w:w="16838" w:h="11906" w:orient="landscape"/>
          <w:pgMar w:top="1531" w:right="1985" w:bottom="1531" w:left="1701" w:header="851" w:footer="992" w:gutter="0"/>
          <w:pgNumType w:start="1"/>
          <w:cols w:space="720" w:num="1"/>
          <w:docGrid w:type="linesAndChars" w:linePitch="386" w:charSpace="0"/>
        </w:sectPr>
      </w:pPr>
    </w:p>
    <w:p w14:paraId="5B3624D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default"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附件3：</w:t>
      </w:r>
    </w:p>
    <w:p w14:paraId="308F34B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西部计划志愿者生活补助项目满意度调查问卷分析报告</w:t>
      </w:r>
    </w:p>
    <w:p w14:paraId="3F8BC8D2">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560" w:firstLineChars="200"/>
        <w:jc w:val="both"/>
        <w:textAlignment w:val="auto"/>
        <w:rPr>
          <w:rFonts w:hint="eastAsia" w:ascii="宋体" w:hAnsi="宋体" w:eastAsia="宋体" w:cs="宋体"/>
          <w:b/>
          <w:bCs/>
          <w:sz w:val="28"/>
          <w:szCs w:val="28"/>
          <w:highlight w:val="none"/>
        </w:rPr>
      </w:pPr>
    </w:p>
    <w:p w14:paraId="58B40AC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为客观评价该项目的社会效果，了解</w:t>
      </w:r>
      <w:r>
        <w:rPr>
          <w:rFonts w:hint="eastAsia" w:ascii="宋体" w:hAnsi="宋体" w:eastAsia="宋体" w:cs="宋体"/>
          <w:color w:val="000000"/>
          <w:sz w:val="24"/>
          <w:szCs w:val="24"/>
          <w:highlight w:val="none"/>
          <w:lang w:val="en-US" w:eastAsia="zh-CN"/>
        </w:rPr>
        <w:t>项目受益群体</w:t>
      </w:r>
      <w:r>
        <w:rPr>
          <w:rFonts w:hint="eastAsia" w:ascii="宋体" w:hAnsi="宋体" w:eastAsia="宋体" w:cs="宋体"/>
          <w:color w:val="000000"/>
          <w:sz w:val="24"/>
          <w:szCs w:val="24"/>
          <w:highlight w:val="none"/>
        </w:rPr>
        <w:t>对项目</w:t>
      </w:r>
      <w:r>
        <w:rPr>
          <w:rFonts w:hint="eastAsia" w:ascii="宋体" w:hAnsi="宋体" w:eastAsia="宋体" w:cs="宋体"/>
          <w:color w:val="000000"/>
          <w:sz w:val="24"/>
          <w:szCs w:val="24"/>
          <w:highlight w:val="none"/>
          <w:lang w:val="en-US" w:eastAsia="zh-CN"/>
        </w:rPr>
        <w:t>实施后</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真实</w:t>
      </w:r>
      <w:r>
        <w:rPr>
          <w:rFonts w:hint="eastAsia" w:ascii="宋体" w:hAnsi="宋体" w:eastAsia="宋体" w:cs="宋体"/>
          <w:color w:val="000000"/>
          <w:sz w:val="24"/>
          <w:szCs w:val="24"/>
          <w:highlight w:val="none"/>
        </w:rPr>
        <w:t>评价情况，对本项目</w:t>
      </w:r>
      <w:r>
        <w:rPr>
          <w:rFonts w:hint="eastAsia" w:ascii="宋体" w:hAnsi="宋体" w:eastAsia="宋体" w:cs="宋体"/>
          <w:color w:val="000000"/>
          <w:sz w:val="24"/>
          <w:szCs w:val="24"/>
          <w:highlight w:val="none"/>
          <w:lang w:eastAsia="zh-CN"/>
        </w:rPr>
        <w:t>开展</w:t>
      </w:r>
      <w:r>
        <w:rPr>
          <w:rFonts w:hint="eastAsia" w:ascii="宋体" w:hAnsi="宋体" w:eastAsia="宋体" w:cs="宋体"/>
          <w:color w:val="000000"/>
          <w:sz w:val="24"/>
          <w:szCs w:val="24"/>
          <w:highlight w:val="none"/>
        </w:rPr>
        <w:t>满意度问卷调查。问卷调查工作情况如下。问卷调查工作情况如下：</w:t>
      </w:r>
    </w:p>
    <w:p w14:paraId="355D206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一、</w:t>
      </w:r>
      <w:r>
        <w:rPr>
          <w:rFonts w:hint="eastAsia" w:ascii="宋体" w:hAnsi="宋体" w:eastAsia="宋体" w:cs="宋体"/>
          <w:b/>
          <w:bCs/>
          <w:color w:val="000000"/>
          <w:sz w:val="24"/>
          <w:szCs w:val="24"/>
          <w:highlight w:val="none"/>
        </w:rPr>
        <w:t>该问卷调查从202</w:t>
      </w:r>
      <w:r>
        <w:rPr>
          <w:rFonts w:hint="eastAsia" w:ascii="宋体" w:hAnsi="宋体" w:eastAsia="宋体" w:cs="宋体"/>
          <w:b/>
          <w:bCs/>
          <w:color w:val="000000"/>
          <w:sz w:val="24"/>
          <w:szCs w:val="24"/>
          <w:highlight w:val="none"/>
          <w:lang w:val="en-US" w:eastAsia="zh-CN"/>
        </w:rPr>
        <w:t>5</w:t>
      </w:r>
      <w:r>
        <w:rPr>
          <w:rFonts w:hint="eastAsia" w:ascii="宋体" w:hAnsi="宋体" w:eastAsia="宋体" w:cs="宋体"/>
          <w:b/>
          <w:bCs/>
          <w:color w:val="000000"/>
          <w:sz w:val="24"/>
          <w:szCs w:val="24"/>
          <w:highlight w:val="none"/>
        </w:rPr>
        <w:t>年</w:t>
      </w: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月</w:t>
      </w: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日开始至202</w:t>
      </w:r>
      <w:r>
        <w:rPr>
          <w:rFonts w:hint="eastAsia" w:ascii="宋体" w:hAnsi="宋体" w:eastAsia="宋体" w:cs="宋体"/>
          <w:b/>
          <w:bCs/>
          <w:color w:val="000000"/>
          <w:sz w:val="24"/>
          <w:szCs w:val="24"/>
          <w:highlight w:val="none"/>
          <w:lang w:val="en-US" w:eastAsia="zh-CN"/>
        </w:rPr>
        <w:t>5</w:t>
      </w:r>
      <w:r>
        <w:rPr>
          <w:rFonts w:hint="eastAsia" w:ascii="宋体" w:hAnsi="宋体" w:eastAsia="宋体" w:cs="宋体"/>
          <w:b/>
          <w:bCs/>
          <w:color w:val="000000"/>
          <w:sz w:val="24"/>
          <w:szCs w:val="24"/>
          <w:highlight w:val="none"/>
        </w:rPr>
        <w:t>年</w:t>
      </w: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月</w:t>
      </w:r>
      <w:r>
        <w:rPr>
          <w:rFonts w:hint="eastAsia" w:ascii="宋体" w:hAnsi="宋体" w:eastAsia="宋体" w:cs="宋体"/>
          <w:b/>
          <w:bCs/>
          <w:color w:val="000000"/>
          <w:sz w:val="24"/>
          <w:szCs w:val="24"/>
          <w:highlight w:val="none"/>
          <w:lang w:val="en-US" w:eastAsia="zh-CN"/>
        </w:rPr>
        <w:t>31</w:t>
      </w:r>
      <w:r>
        <w:rPr>
          <w:rFonts w:hint="eastAsia" w:ascii="宋体" w:hAnsi="宋体" w:eastAsia="宋体" w:cs="宋体"/>
          <w:b/>
          <w:bCs/>
          <w:color w:val="000000"/>
          <w:sz w:val="24"/>
          <w:szCs w:val="24"/>
          <w:highlight w:val="none"/>
        </w:rPr>
        <w:t>日结束，调查问卷共设置</w:t>
      </w: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道题目。</w:t>
      </w:r>
    </w:p>
    <w:p w14:paraId="32636BEC">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对象</w:t>
      </w:r>
    </w:p>
    <w:p w14:paraId="313D83C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的受益对象为</w:t>
      </w:r>
      <w:r>
        <w:rPr>
          <w:rFonts w:hint="eastAsia" w:ascii="宋体" w:hAnsi="宋体" w:eastAsia="宋体" w:cs="宋体"/>
          <w:color w:val="000000"/>
          <w:sz w:val="24"/>
          <w:szCs w:val="24"/>
          <w:highlight w:val="none"/>
          <w:lang w:val="en-US" w:eastAsia="zh-CN"/>
        </w:rPr>
        <w:t>全国+南疆专项西部计划志愿者</w:t>
      </w:r>
      <w:r>
        <w:rPr>
          <w:rFonts w:hint="eastAsia" w:ascii="宋体" w:hAnsi="宋体" w:eastAsia="宋体" w:cs="宋体"/>
          <w:color w:val="000000"/>
          <w:sz w:val="24"/>
          <w:szCs w:val="24"/>
          <w:highlight w:val="none"/>
        </w:rPr>
        <w:t>。</w:t>
      </w:r>
    </w:p>
    <w:p w14:paraId="54B6A210">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内容</w:t>
      </w:r>
    </w:p>
    <w:p w14:paraId="7AE8E71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①您对西部计划志愿者生活补助项目的实施是否满意?</w:t>
      </w:r>
    </w:p>
    <w:p w14:paraId="0073C33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②西部计划志愿者生活补助项目生活补助的发放标准是否满意。</w:t>
      </w:r>
    </w:p>
    <w:p w14:paraId="0A2BB53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③总的来说，您对目前西部计划志愿者生活补助项目实施后的整体满意程度如何？</w:t>
      </w:r>
    </w:p>
    <w:p w14:paraId="6956F7AF">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方法</w:t>
      </w:r>
    </w:p>
    <w:p w14:paraId="2214290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分层</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随机抽样相结合</w:t>
      </w:r>
      <w:r>
        <w:rPr>
          <w:rFonts w:hint="eastAsia" w:ascii="宋体" w:hAnsi="宋体" w:eastAsia="宋体" w:cs="宋体"/>
          <w:color w:val="000000"/>
          <w:sz w:val="24"/>
          <w:szCs w:val="24"/>
          <w:highlight w:val="none"/>
        </w:rPr>
        <w:t>的方式进行。在全面</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开展之前会先进行论证，依据论证结果对问卷和抽样方案再进行一次修改和调整</w:t>
      </w:r>
      <w:r>
        <w:rPr>
          <w:rFonts w:hint="eastAsia" w:ascii="宋体" w:hAnsi="宋体" w:eastAsia="宋体" w:cs="宋体"/>
          <w:color w:val="000000"/>
          <w:sz w:val="24"/>
          <w:szCs w:val="24"/>
          <w:highlight w:val="none"/>
          <w:lang w:val="en-US" w:eastAsia="zh-CN"/>
        </w:rPr>
        <w:t>之后再付诸实施</w:t>
      </w:r>
      <w:r>
        <w:rPr>
          <w:rFonts w:hint="eastAsia" w:ascii="宋体" w:hAnsi="宋体" w:eastAsia="宋体" w:cs="宋体"/>
          <w:color w:val="000000"/>
          <w:sz w:val="24"/>
          <w:szCs w:val="24"/>
          <w:highlight w:val="none"/>
        </w:rPr>
        <w:t>。</w:t>
      </w:r>
    </w:p>
    <w:p w14:paraId="71CA4C5C">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4.</w:t>
      </w:r>
      <w:r>
        <w:rPr>
          <w:rFonts w:hint="eastAsia" w:ascii="宋体" w:hAnsi="宋体" w:eastAsia="宋体" w:cs="宋体"/>
          <w:b/>
          <w:bCs/>
          <w:color w:val="000000"/>
          <w:sz w:val="24"/>
          <w:szCs w:val="24"/>
          <w:highlight w:val="none"/>
        </w:rPr>
        <w:t>抽样方式</w:t>
      </w:r>
    </w:p>
    <w:p w14:paraId="292FA43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为确保问卷</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的全面性和代表性，本次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随机</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分层抽样相结合</w:t>
      </w:r>
      <w:r>
        <w:rPr>
          <w:rFonts w:hint="eastAsia" w:ascii="宋体" w:hAnsi="宋体" w:eastAsia="宋体" w:cs="宋体"/>
          <w:color w:val="000000"/>
          <w:sz w:val="24"/>
          <w:szCs w:val="24"/>
          <w:highlight w:val="none"/>
        </w:rPr>
        <w:t>方式进行。</w:t>
      </w:r>
    </w:p>
    <w:p w14:paraId="6156A5EE">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5.问卷的发放和回收</w:t>
      </w:r>
    </w:p>
    <w:p w14:paraId="3B7BEE5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3A77E410">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6.问卷调查分析结果</w:t>
      </w:r>
    </w:p>
    <w:p w14:paraId="6CDB7FA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本次调查过程中，评价小组实际发放问卷30份，回收问卷30份，问卷回收率为100.00%，有效问卷30份，有效回收率100.00%，本次调查的整体情况如下：</w:t>
      </w:r>
    </w:p>
    <w:p w14:paraId="6E796DE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4AFFAE2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355BE4F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715E403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300296C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西部计划志愿者生活补助项目针对受益人员发放30份调查问卷，最终统计受益人群满意度为100%。</w:t>
      </w:r>
    </w:p>
    <w:p w14:paraId="38F72C71">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480" w:firstLineChars="200"/>
        <w:jc w:val="both"/>
        <w:textAlignment w:val="auto"/>
        <w:rPr>
          <w:rFonts w:hint="eastAsia" w:ascii="宋体" w:hAnsi="宋体" w:eastAsia="宋体" w:cs="宋体"/>
          <w:sz w:val="24"/>
          <w:szCs w:val="24"/>
          <w:highlight w:val="none"/>
          <w:lang w:val="en-US" w:eastAsia="zh-CN"/>
        </w:rPr>
      </w:pPr>
    </w:p>
    <w:p w14:paraId="06A59CF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中国共产主义青年团洛浦县委员会</w:t>
      </w:r>
    </w:p>
    <w:p w14:paraId="72E022D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2025年3月1日</w:t>
      </w:r>
    </w:p>
    <w:p w14:paraId="7881DF32">
      <w:pPr>
        <w:pStyle w:val="10"/>
        <w:rPr>
          <w:rFonts w:hint="eastAsia" w:ascii="宋体" w:hAnsi="宋体" w:eastAsia="宋体" w:cs="宋体"/>
          <w:sz w:val="24"/>
          <w:szCs w:val="24"/>
          <w:lang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706BD">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7C25FE86">
                <w:pPr>
                  <w:pStyle w:val="15"/>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0D5F1">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2"/>
      <w:numFmt w:val="chineseCounting"/>
      <w:suff w:val="nothing"/>
      <w:lvlText w:val="（%1）"/>
      <w:lvlJc w:val="left"/>
      <w:rPr>
        <w:rFonts w:hint="eastAsia"/>
      </w:rPr>
    </w:lvl>
  </w:abstractNum>
  <w:abstractNum w:abstractNumId="1">
    <w:nsid w:val="CF092B84"/>
    <w:multiLevelType w:val="singleLevel"/>
    <w:tmpl w:val="CF092B84"/>
    <w:lvl w:ilvl="0" w:tentative="0">
      <w:start w:val="1"/>
      <w:numFmt w:val="decimal"/>
      <w:suff w:val="nothing"/>
      <w:lvlText w:val="（%1）"/>
      <w:lvlJc w:val="left"/>
    </w:lvl>
  </w:abstractNum>
  <w:abstractNum w:abstractNumId="2">
    <w:nsid w:val="0053208E"/>
    <w:multiLevelType w:val="singleLevel"/>
    <w:tmpl w:val="0053208E"/>
    <w:lvl w:ilvl="0" w:tentative="0">
      <w:start w:val="2"/>
      <w:numFmt w:val="decimal"/>
      <w:lvlText w:val="%1."/>
      <w:lvlJc w:val="left"/>
      <w:pPr>
        <w:tabs>
          <w:tab w:val="left" w:pos="312"/>
        </w:tabs>
      </w:pPr>
    </w:lvl>
  </w:abstractNum>
  <w:abstractNum w:abstractNumId="3">
    <w:nsid w:val="59ADCABA"/>
    <w:multiLevelType w:val="singleLevel"/>
    <w:tmpl w:val="59ADCABA"/>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0FDC5356"/>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3"/>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5"/>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6"/>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2"/>
    <w:unhideWhenUsed/>
    <w:uiPriority w:val="0"/>
    <w:pPr>
      <w:ind w:firstLine="420"/>
    </w:pPr>
  </w:style>
  <w:style w:type="paragraph" w:styleId="3">
    <w:name w:val="Body Text Indent"/>
    <w:basedOn w:val="1"/>
    <w:link w:val="31"/>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7"/>
    <w:unhideWhenUsed/>
    <w:qFormat/>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9"/>
    <w:unhideWhenUsed/>
    <w:uiPriority w:val="99"/>
    <w:rPr>
      <w:rFonts w:cs="Times New Roman"/>
      <w:kern w:val="0"/>
      <w:sz w:val="18"/>
      <w:szCs w:val="18"/>
    </w:rPr>
  </w:style>
  <w:style w:type="paragraph" w:styleId="15">
    <w:name w:val="footer"/>
    <w:basedOn w:val="1"/>
    <w:link w:val="40"/>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2"/>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bCs/>
    </w:rPr>
  </w:style>
  <w:style w:type="character" w:styleId="27">
    <w:name w:val="Hyperlink"/>
    <w:unhideWhenUsed/>
    <w:uiPriority w:val="99"/>
    <w:rPr>
      <w:color w:val="0000FF"/>
      <w:u w:val="single"/>
    </w:rPr>
  </w:style>
  <w:style w:type="paragraph" w:customStyle="1" w:styleId="28">
    <w:name w:val="Comment Text"/>
    <w:basedOn w:val="1"/>
    <w:link w:val="38"/>
    <w:unhideWhenUsed/>
    <w:uiPriority w:val="99"/>
    <w:rPr>
      <w:rFonts w:cs="Times New Roman"/>
      <w:kern w:val="0"/>
      <w:sz w:val="20"/>
      <w:szCs w:val="20"/>
    </w:rPr>
  </w:style>
  <w:style w:type="paragraph" w:customStyle="1" w:styleId="29">
    <w:name w:val="Comment Subject"/>
    <w:basedOn w:val="28"/>
    <w:next w:val="28"/>
    <w:link w:val="43"/>
    <w:unhideWhenUsed/>
    <w:uiPriority w:val="99"/>
    <w:rPr>
      <w:b/>
      <w:bCs/>
    </w:rPr>
  </w:style>
  <w:style w:type="character" w:customStyle="1" w:styleId="30">
    <w:name w:val="Comment Reference"/>
    <w:unhideWhenUsed/>
    <w:uiPriority w:val="99"/>
    <w:rPr>
      <w:sz w:val="16"/>
      <w:szCs w:val="16"/>
    </w:rPr>
  </w:style>
  <w:style w:type="character" w:customStyle="1" w:styleId="31">
    <w:name w:val="正文文本缩进 Char"/>
    <w:link w:val="3"/>
    <w:semiHidden/>
    <w:uiPriority w:val="99"/>
    <w:rPr>
      <w:rFonts w:ascii="Calibri" w:hAnsi="Calibri" w:eastAsia="仿宋_GB2312" w:cs="黑体"/>
      <w:sz w:val="28"/>
    </w:rPr>
  </w:style>
  <w:style w:type="character" w:customStyle="1" w:styleId="32">
    <w:name w:val="正文首行缩进 2 Char"/>
    <w:link w:val="2"/>
    <w:uiPriority w:val="0"/>
    <w:rPr>
      <w:rFonts w:ascii="Calibri" w:hAnsi="Calibri" w:eastAsia="仿宋_GB2312" w:cs="黑体"/>
      <w:sz w:val="28"/>
    </w:rPr>
  </w:style>
  <w:style w:type="character" w:customStyle="1" w:styleId="33">
    <w:name w:val="标题 1 Char"/>
    <w:link w:val="4"/>
    <w:uiPriority w:val="9"/>
    <w:rPr>
      <w:rFonts w:ascii="Times New Roman" w:hAnsi="Times New Roman" w:eastAsia="仿宋_GB2312" w:cs="Times New Roman"/>
      <w:b/>
      <w:bCs/>
      <w:kern w:val="44"/>
      <w:sz w:val="32"/>
      <w:szCs w:val="44"/>
    </w:rPr>
  </w:style>
  <w:style w:type="character" w:customStyle="1" w:styleId="34">
    <w:name w:val="标题 2 Char"/>
    <w:link w:val="5"/>
    <w:uiPriority w:val="0"/>
    <w:rPr>
      <w:rFonts w:ascii="Cambria" w:hAnsi="Cambria" w:eastAsia="仿宋_GB2312" w:cs="Times New Roman"/>
      <w:b/>
      <w:bCs/>
      <w:kern w:val="0"/>
      <w:sz w:val="30"/>
      <w:szCs w:val="32"/>
    </w:rPr>
  </w:style>
  <w:style w:type="character" w:customStyle="1" w:styleId="35">
    <w:name w:val="标题 3 Char"/>
    <w:link w:val="6"/>
    <w:uiPriority w:val="9"/>
    <w:rPr>
      <w:rFonts w:ascii="Calibri" w:hAnsi="Calibri" w:eastAsia="仿宋_GB2312" w:cs="黑体"/>
      <w:bCs/>
      <w:sz w:val="28"/>
      <w:szCs w:val="32"/>
    </w:rPr>
  </w:style>
  <w:style w:type="character" w:customStyle="1" w:styleId="36">
    <w:name w:val="标题 4 Char"/>
    <w:link w:val="7"/>
    <w:semiHidden/>
    <w:uiPriority w:val="9"/>
    <w:rPr>
      <w:rFonts w:ascii="Cambria" w:hAnsi="Cambria" w:eastAsia="宋体" w:cs="Times New Roman"/>
      <w:b/>
      <w:bCs/>
      <w:sz w:val="28"/>
      <w:szCs w:val="28"/>
    </w:rPr>
  </w:style>
  <w:style w:type="character" w:customStyle="1" w:styleId="37">
    <w:name w:val="文档结构图 Char"/>
    <w:link w:val="9"/>
    <w:semiHidden/>
    <w:uiPriority w:val="99"/>
    <w:rPr>
      <w:rFonts w:ascii="宋体" w:hAnsi="Calibri" w:eastAsia="宋体" w:cs="黑体"/>
      <w:sz w:val="18"/>
      <w:szCs w:val="18"/>
    </w:rPr>
  </w:style>
  <w:style w:type="character" w:customStyle="1" w:styleId="38">
    <w:name w:val="批注文字 Char"/>
    <w:link w:val="28"/>
    <w:semiHidden/>
    <w:uiPriority w:val="99"/>
    <w:rPr>
      <w:rFonts w:ascii="Calibri" w:hAnsi="Calibri" w:eastAsia="仿宋_GB2312" w:cs="黑体"/>
      <w:sz w:val="20"/>
      <w:szCs w:val="20"/>
    </w:rPr>
  </w:style>
  <w:style w:type="character" w:customStyle="1" w:styleId="39">
    <w:name w:val="批注框文本 Char"/>
    <w:link w:val="14"/>
    <w:semiHidden/>
    <w:uiPriority w:val="99"/>
    <w:rPr>
      <w:rFonts w:ascii="Calibri" w:hAnsi="Calibri" w:eastAsia="仿宋_GB2312" w:cs="黑体"/>
      <w:sz w:val="18"/>
      <w:szCs w:val="18"/>
    </w:rPr>
  </w:style>
  <w:style w:type="character" w:customStyle="1" w:styleId="40">
    <w:name w:val="页脚 Char"/>
    <w:link w:val="15"/>
    <w:uiPriority w:val="99"/>
    <w:rPr>
      <w:rFonts w:ascii="Calibri" w:hAnsi="Calibri" w:eastAsia="仿宋_GB2312" w:cs="黑体"/>
      <w:sz w:val="18"/>
      <w:szCs w:val="18"/>
    </w:rPr>
  </w:style>
  <w:style w:type="character" w:customStyle="1" w:styleId="41">
    <w:name w:val="页眉 Char"/>
    <w:link w:val="16"/>
    <w:uiPriority w:val="99"/>
    <w:rPr>
      <w:rFonts w:ascii="Calibri" w:hAnsi="Calibri" w:eastAsia="仿宋_GB2312" w:cs="黑体"/>
      <w:sz w:val="18"/>
      <w:szCs w:val="18"/>
    </w:rPr>
  </w:style>
  <w:style w:type="character" w:customStyle="1" w:styleId="42">
    <w:name w:val="标题 Char"/>
    <w:link w:val="22"/>
    <w:uiPriority w:val="10"/>
    <w:rPr>
      <w:rFonts w:ascii="Cambria" w:hAnsi="Cambria"/>
      <w:b/>
      <w:bCs/>
      <w:kern w:val="2"/>
      <w:sz w:val="32"/>
      <w:szCs w:val="32"/>
    </w:rPr>
  </w:style>
  <w:style w:type="character" w:customStyle="1" w:styleId="43">
    <w:name w:val="批注主题 Char"/>
    <w:link w:val="29"/>
    <w:semiHidden/>
    <w:uiPriority w:val="99"/>
    <w:rPr>
      <w:rFonts w:ascii="Calibri" w:hAnsi="Calibri" w:eastAsia="仿宋_GB2312" w:cs="黑体"/>
      <w:b/>
      <w:bCs/>
      <w:sz w:val="20"/>
      <w:szCs w:val="20"/>
    </w:rPr>
  </w:style>
  <w:style w:type="character" w:customStyle="1" w:styleId="44">
    <w:name w:val="闻政-正文一级标题 Char"/>
    <w:link w:val="45"/>
    <w:uiPriority w:val="3"/>
    <w:rPr>
      <w:rFonts w:ascii="黑体" w:hAnsi="黑体" w:eastAsia="黑体"/>
      <w:bCs/>
      <w:sz w:val="32"/>
      <w:szCs w:val="32"/>
    </w:rPr>
  </w:style>
  <w:style w:type="paragraph" w:customStyle="1" w:styleId="45">
    <w:name w:val="闻政-正文一级标题"/>
    <w:basedOn w:val="6"/>
    <w:next w:val="46"/>
    <w:link w:val="44"/>
    <w:qFormat/>
    <w:uiPriority w:val="3"/>
    <w:pPr>
      <w:spacing w:before="120" w:after="60" w:line="500" w:lineRule="exact"/>
      <w:ind w:firstLine="0" w:firstLineChars="0"/>
      <w:outlineLvl w:val="0"/>
    </w:pPr>
    <w:rPr>
      <w:rFonts w:ascii="黑体" w:hAnsi="黑体" w:eastAsia="黑体"/>
      <w:sz w:val="32"/>
    </w:rPr>
  </w:style>
  <w:style w:type="paragraph" w:customStyle="1" w:styleId="46">
    <w:name w:val="闻政-正文段落文字"/>
    <w:basedOn w:val="1"/>
    <w:link w:val="47"/>
    <w:qFormat/>
    <w:uiPriority w:val="3"/>
    <w:pPr>
      <w:spacing w:line="500" w:lineRule="exact"/>
      <w:ind w:firstLine="200"/>
    </w:pPr>
    <w:rPr>
      <w:rFonts w:ascii="Times New Roman" w:hAnsi="Times New Roman" w:cs="Times New Roman"/>
      <w:kern w:val="0"/>
      <w:szCs w:val="28"/>
    </w:rPr>
  </w:style>
  <w:style w:type="character" w:customStyle="1" w:styleId="47">
    <w:name w:val="闻政-正文段落文字 Char"/>
    <w:link w:val="46"/>
    <w:uiPriority w:val="3"/>
    <w:rPr>
      <w:rFonts w:ascii="Times New Roman" w:hAnsi="Times New Roman" w:eastAsia="仿宋_GB2312"/>
      <w:sz w:val="28"/>
      <w:szCs w:val="28"/>
    </w:rPr>
  </w:style>
  <w:style w:type="character" w:customStyle="1" w:styleId="48">
    <w:name w:val="闻政-正文二级标题 Char"/>
    <w:link w:val="49"/>
    <w:uiPriority w:val="3"/>
    <w:rPr>
      <w:rFonts w:ascii="Times New Roman" w:hAnsi="Times New Roman" w:eastAsia="仿宋_GB2312"/>
      <w:b/>
      <w:bCs/>
      <w:sz w:val="28"/>
      <w:szCs w:val="32"/>
    </w:rPr>
  </w:style>
  <w:style w:type="paragraph" w:customStyle="1" w:styleId="49">
    <w:name w:val="闻政-正文二级标题"/>
    <w:basedOn w:val="5"/>
    <w:next w:val="46"/>
    <w:link w:val="48"/>
    <w:qFormat/>
    <w:uiPriority w:val="3"/>
    <w:pPr>
      <w:spacing w:before="120" w:after="60" w:line="500" w:lineRule="exact"/>
      <w:ind w:left="200" w:leftChars="200" w:firstLine="0" w:firstLineChars="0"/>
    </w:pPr>
    <w:rPr>
      <w:rFonts w:ascii="Times New Roman" w:hAnsi="Times New Roman"/>
      <w:sz w:val="28"/>
    </w:rPr>
  </w:style>
  <w:style w:type="character" w:customStyle="1" w:styleId="50">
    <w:name w:val="font11"/>
    <w:uiPriority w:val="0"/>
    <w:rPr>
      <w:rFonts w:hint="eastAsia" w:ascii="方正仿宋_GBK" w:hAnsi="方正仿宋_GBK" w:eastAsia="方正仿宋_GBK" w:cs="方正仿宋_GBK"/>
      <w:color w:val="000000"/>
      <w:sz w:val="24"/>
      <w:szCs w:val="24"/>
      <w:u w:val="none"/>
    </w:rPr>
  </w:style>
  <w:style w:type="character" w:customStyle="1" w:styleId="51">
    <w:name w:val="51"/>
    <w:qFormat/>
    <w:uiPriority w:val="0"/>
    <w:rPr>
      <w:b/>
      <w:bCs/>
      <w:smallCaps/>
      <w:color w:val="C0504D"/>
      <w:spacing w:val="5"/>
      <w:u w:val="single"/>
    </w:rPr>
  </w:style>
  <w:style w:type="character" w:customStyle="1" w:styleId="52">
    <w:name w:val="闻政-正文三级标题 Char"/>
    <w:link w:val="53"/>
    <w:uiPriority w:val="3"/>
    <w:rPr>
      <w:rFonts w:ascii="Times New Roman" w:hAnsi="Times New Roman" w:eastAsia="仿宋_GB2312"/>
      <w:b/>
      <w:snapToGrid w:val="0"/>
      <w:sz w:val="28"/>
      <w:szCs w:val="28"/>
    </w:rPr>
  </w:style>
  <w:style w:type="paragraph" w:customStyle="1" w:styleId="53">
    <w:name w:val="闻政-正文三级标题"/>
    <w:basedOn w:val="1"/>
    <w:next w:val="46"/>
    <w:link w:val="52"/>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4">
    <w:name w:val="font21"/>
    <w:uiPriority w:val="0"/>
    <w:rPr>
      <w:rFonts w:hint="default" w:ascii="Times New Roman" w:hAnsi="Times New Roman" w:cs="Times New Roman"/>
      <w:color w:val="000000"/>
      <w:sz w:val="24"/>
      <w:szCs w:val="24"/>
      <w:u w:val="none"/>
    </w:rPr>
  </w:style>
  <w:style w:type="character" w:customStyle="1" w:styleId="55">
    <w:name w:val="无间隔 Char"/>
    <w:link w:val="56"/>
    <w:uiPriority w:val="1"/>
    <w:rPr>
      <w:rFonts w:eastAsia="仿宋_GB2312" w:cs="黑体"/>
      <w:kern w:val="2"/>
      <w:sz w:val="28"/>
      <w:szCs w:val="22"/>
      <w:lang w:val="en-US" w:eastAsia="zh-CN" w:bidi="ar-SA"/>
    </w:rPr>
  </w:style>
  <w:style w:type="paragraph" w:styleId="56">
    <w:name w:val="No Spacing"/>
    <w:link w:val="55"/>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7">
    <w:name w:val="List Paragraph"/>
    <w:basedOn w:val="1"/>
    <w:qFormat/>
    <w:uiPriority w:val="34"/>
    <w:pPr>
      <w:ind w:firstLine="420"/>
    </w:p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9">
    <w:name w:val="font71"/>
    <w:basedOn w:val="25"/>
    <w:uiPriority w:val="0"/>
    <w:rPr>
      <w:rFonts w:hint="eastAsia" w:ascii="微软雅黑" w:hAnsi="微软雅黑" w:eastAsia="微软雅黑" w:cs="微软雅黑"/>
      <w:b/>
      <w:bCs/>
      <w:color w:val="000000"/>
      <w:sz w:val="32"/>
      <w:szCs w:val="32"/>
      <w:u w:val="none"/>
    </w:rPr>
  </w:style>
  <w:style w:type="paragraph" w:customStyle="1" w:styleId="60">
    <w:name w:val="正文首行缩进 21"/>
    <w:basedOn w:val="61"/>
    <w:qFormat/>
    <w:uiPriority w:val="0"/>
    <w:pPr>
      <w:ind w:firstLine="420" w:firstLineChars="200"/>
    </w:pPr>
  </w:style>
  <w:style w:type="paragraph" w:customStyle="1" w:styleId="61">
    <w:name w:val="正文文本缩进1"/>
    <w:basedOn w:val="1"/>
    <w:qFormat/>
    <w:uiPriority w:val="0"/>
    <w:pPr>
      <w:ind w:left="420" w:left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9F0439A2EE024782BEDD78355DE4DEEA_13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e039b3-f672-4930-b98b-c9960f88f27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10787</Words>
  <Characters>11367</Characters>
  <Lines>44</Lines>
  <Paragraphs>12</Paragraphs>
  <TotalTime>0</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2025-10-10T10:14:16Z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9F0439A2EE024782BEDD78355DE4DEEA_13</vt:lpwstr>
  </property>
  <property fmtid="{D5CDD505-2E9C-101B-9397-08002B2CF9AE}" pid="4" name="KSOTemplateDocerSaveRecord">
    <vt:lpwstr>eyJoZGlkIjoiZDE5MGZhMTJhZDM2OTQwYzkzYWVjM2FhZDUxN2Q0M2IiLCJ1c2VySWQiOiI2NTE5NDIwMjYifQ_x003D__x003D_</vt:lpwstr>
  </property>
</Properties>
</file>