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4F81B">
      <w:bookmarkStart w:id="21" w:name="_GoBack"/>
      <w:bookmarkEnd w:id="21"/>
    </w:p>
    <w:p w14:paraId="64613257">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426BDAE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rPr>
      </w:pPr>
      <w:r>
        <w:rPr>
          <w:rFonts w:hint="eastAsia" w:ascii="黑体" w:hAnsi="黑体" w:eastAsia="黑体" w:cs="黑体"/>
          <w:b/>
          <w:sz w:val="36"/>
          <w:szCs w:val="36"/>
          <w:lang w:val="en-US" w:eastAsia="zh-CN"/>
        </w:rPr>
        <w:t>和田地区洛浦县城区街道综合服务用房建设</w:t>
      </w:r>
      <w:r>
        <w:rPr>
          <w:rFonts w:hint="eastAsia" w:ascii="黑体" w:hAnsi="黑体" w:eastAsia="黑体" w:cs="黑体"/>
          <w:b/>
          <w:sz w:val="36"/>
          <w:szCs w:val="36"/>
        </w:rPr>
        <w:t>项目</w:t>
      </w:r>
    </w:p>
    <w:p w14:paraId="532636B8">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pPr>
      <w:r>
        <w:rPr>
          <w:rFonts w:hint="eastAsia" w:ascii="黑体" w:hAnsi="黑体" w:eastAsia="黑体" w:cs="黑体"/>
          <w:b/>
          <w:sz w:val="36"/>
          <w:szCs w:val="36"/>
        </w:rPr>
        <w:t>支出绩效评价报告</w:t>
      </w:r>
    </w:p>
    <w:p w14:paraId="5421CA62">
      <w:pPr>
        <w:pStyle w:val="6"/>
        <w:jc w:val="center"/>
        <w:rPr>
          <w:rFonts w:hint="eastAsia" w:ascii="宋体" w:hAnsi="宋体" w:eastAsia="宋体" w:cs="宋体"/>
          <w:b/>
          <w:bCs w:val="0"/>
          <w:lang w:eastAsia="zh-CN"/>
        </w:rPr>
      </w:pPr>
      <w:r>
        <w:rPr>
          <w:rFonts w:hint="eastAsia" w:ascii="宋体" w:hAnsi="宋体" w:eastAsia="宋体" w:cs="宋体"/>
          <w:b/>
          <w:bCs w:val="0"/>
          <w:lang w:eastAsia="zh-CN"/>
        </w:rPr>
        <w:t>（</w:t>
      </w:r>
      <w:r>
        <w:rPr>
          <w:rFonts w:hint="eastAsia" w:ascii="宋体" w:hAnsi="宋体" w:eastAsia="宋体" w:cs="宋体"/>
          <w:b/>
          <w:bCs w:val="0"/>
          <w:lang w:val="en-US" w:eastAsia="zh-CN"/>
        </w:rPr>
        <w:t>2024年度</w:t>
      </w:r>
      <w:r>
        <w:rPr>
          <w:rFonts w:hint="eastAsia" w:ascii="宋体" w:hAnsi="宋体" w:eastAsia="宋体" w:cs="宋体"/>
          <w:b/>
          <w:bCs w:val="0"/>
          <w:lang w:eastAsia="zh-CN"/>
        </w:rPr>
        <w:t>）</w:t>
      </w:r>
    </w:p>
    <w:p w14:paraId="13C3968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1F89DCEE">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3AA865D6">
      <w:pPr>
        <w:pStyle w:val="6"/>
        <w:rPr>
          <w:rFonts w:hint="eastAsia" w:eastAsia="方正仿宋_GBK" w:cs="方正仿宋_GBK"/>
          <w:b/>
          <w:kern w:val="0"/>
          <w:sz w:val="32"/>
          <w:szCs w:val="32"/>
          <w:lang w:bidi="en-US"/>
        </w:rPr>
      </w:pPr>
    </w:p>
    <w:p w14:paraId="312C0F57">
      <w:pPr>
        <w:rPr>
          <w:rFonts w:hint="eastAsia" w:eastAsia="方正仿宋_GBK" w:cs="方正仿宋_GBK"/>
          <w:b/>
          <w:kern w:val="0"/>
          <w:sz w:val="32"/>
          <w:szCs w:val="32"/>
          <w:lang w:bidi="en-US"/>
        </w:rPr>
      </w:pPr>
    </w:p>
    <w:p w14:paraId="64620343">
      <w:pPr>
        <w:pStyle w:val="6"/>
        <w:rPr>
          <w:rFonts w:hint="eastAsia"/>
        </w:rPr>
      </w:pPr>
    </w:p>
    <w:p w14:paraId="0CBE1013">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63B805DF">
      <w:pPr>
        <w:pageBreakBefore w:val="0"/>
        <w:widowControl w:val="0"/>
        <w:kinsoku/>
        <w:wordWrap/>
        <w:topLinePunct w:val="0"/>
        <w:autoSpaceDE/>
        <w:autoSpaceDN/>
        <w:bidi w:val="0"/>
        <w:spacing w:line="560" w:lineRule="exact"/>
        <w:ind w:left="0" w:leftChars="0" w:firstLine="560"/>
        <w:textAlignment w:val="auto"/>
        <w:rPr>
          <w:rFonts w:hint="eastAsia"/>
        </w:rPr>
      </w:pPr>
    </w:p>
    <w:p w14:paraId="10B8D4F4">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5ADA889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p>
    <w:p w14:paraId="50383E7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项目名称：洛浦县城区街道综合服务用房建设项目</w:t>
      </w:r>
    </w:p>
    <w:p w14:paraId="2652C14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洛浦县社区服务中心</w:t>
      </w:r>
    </w:p>
    <w:p w14:paraId="0BEB37F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洛浦县社区服务中心</w:t>
      </w:r>
      <w:r>
        <w:rPr>
          <w:rFonts w:hint="eastAsia" w:ascii="宋体" w:hAnsi="宋体" w:eastAsia="宋体" w:cs="宋体"/>
          <w:b/>
          <w:bCs/>
          <w:color w:val="000000"/>
          <w:kern w:val="0"/>
          <w:sz w:val="28"/>
          <w:szCs w:val="28"/>
          <w:highlight w:val="none"/>
          <w:lang w:bidi="en-US"/>
        </w:rPr>
        <w:t>（本级）</w:t>
      </w:r>
    </w:p>
    <w:p w14:paraId="5B25489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秦杰</w:t>
      </w:r>
    </w:p>
    <w:p w14:paraId="5BE9806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10</w:t>
      </w:r>
      <w:r>
        <w:rPr>
          <w:rFonts w:hint="eastAsia" w:ascii="宋体" w:hAnsi="宋体" w:eastAsia="宋体" w:cs="宋体"/>
          <w:b/>
          <w:bCs/>
          <w:color w:val="000000"/>
          <w:kern w:val="0"/>
          <w:sz w:val="28"/>
          <w:szCs w:val="28"/>
          <w:highlight w:val="none"/>
          <w:lang w:bidi="en-US"/>
        </w:rPr>
        <w:t>日</w:t>
      </w:r>
    </w:p>
    <w:p w14:paraId="0FB2394C">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156813A9">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503B6396">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47464BB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4F6DE943">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根据洛发改项目【2020】215号《关于对《洛浦县城区街道文体活动中心建设项目、洛浦县团结社区建设项目、洛浦县城区街道司法所建设项目合建实施方案》的批复》、《洛浦县财经委员会会议纪要》（洛财纪字【2024】1号）文件实施此项目，通过项目实施改善工作环境，提升工作人员工作积极性。</w:t>
      </w:r>
    </w:p>
    <w:p w14:paraId="46FD72B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170C06A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5025C685">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合建总改造建筑面积1700平方米，其中中央内预算资金126.7万元，支持建筑面积720平方米，其中团结社区服务用房600平方米，城区街道司法所面积120平方米；自治区专项资金200万元，支持建筑面积980平方米，全部为城区街道文体活动中心。</w:t>
      </w:r>
    </w:p>
    <w:p w14:paraId="37EF0AE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1001E12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3E73BD0F">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本项目主管部门为洛浦县社区服务中心，实施单位为洛浦县社区服务中心。</w:t>
      </w:r>
    </w:p>
    <w:p w14:paraId="497BAB1A">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298BFE03">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2024年1月-2024年12月</w:t>
      </w:r>
    </w:p>
    <w:p w14:paraId="50DD3B3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7C3BB407">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本</w:t>
      </w:r>
      <w:r>
        <w:rPr>
          <w:rFonts w:hint="eastAsia" w:ascii="宋体" w:hAnsi="宋体" w:eastAsia="宋体" w:cs="宋体"/>
          <w:kern w:val="2"/>
          <w:sz w:val="24"/>
          <w:szCs w:val="24"/>
          <w:highlight w:val="none"/>
          <w:lang w:val="en-US" w:eastAsia="zh-CN" w:bidi="ar-SA"/>
        </w:rPr>
        <w:t>项目</w:t>
      </w:r>
      <w:r>
        <w:rPr>
          <w:rFonts w:hint="default" w:ascii="宋体" w:hAnsi="宋体" w:eastAsia="宋体" w:cs="宋体"/>
          <w:kern w:val="2"/>
          <w:sz w:val="24"/>
          <w:szCs w:val="24"/>
          <w:highlight w:val="none"/>
          <w:lang w:val="en-US" w:eastAsia="zh-CN" w:bidi="ar-SA"/>
        </w:rPr>
        <w:t>于2023年12月25日前全部完工。</w:t>
      </w:r>
    </w:p>
    <w:p w14:paraId="3045E099">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本项</w:t>
      </w:r>
      <w:r>
        <w:rPr>
          <w:rFonts w:hint="eastAsia" w:ascii="宋体" w:hAnsi="宋体" w:eastAsia="宋体" w:cs="宋体"/>
          <w:kern w:val="2"/>
          <w:sz w:val="24"/>
          <w:szCs w:val="24"/>
          <w:highlight w:val="none"/>
          <w:lang w:val="en-US" w:eastAsia="zh-CN" w:bidi="ar-SA"/>
        </w:rPr>
        <w:t>目</w:t>
      </w:r>
      <w:r>
        <w:rPr>
          <w:rFonts w:hint="default" w:ascii="宋体" w:hAnsi="宋体" w:eastAsia="宋体" w:cs="宋体"/>
          <w:kern w:val="2"/>
          <w:sz w:val="24"/>
          <w:szCs w:val="24"/>
          <w:highlight w:val="none"/>
          <w:lang w:val="en-US" w:eastAsia="zh-CN" w:bidi="ar-SA"/>
        </w:rPr>
        <w:t>202</w:t>
      </w:r>
      <w:r>
        <w:rPr>
          <w:rFonts w:hint="eastAsia" w:ascii="宋体" w:hAnsi="宋体" w:eastAsia="宋体" w:cs="宋体"/>
          <w:kern w:val="2"/>
          <w:sz w:val="24"/>
          <w:szCs w:val="24"/>
          <w:highlight w:val="none"/>
          <w:lang w:val="en-US" w:eastAsia="zh-CN" w:bidi="ar-SA"/>
        </w:rPr>
        <w:t>0</w:t>
      </w:r>
      <w:r>
        <w:rPr>
          <w:rFonts w:hint="default" w:ascii="宋体" w:hAnsi="宋体" w:eastAsia="宋体" w:cs="宋体"/>
          <w:kern w:val="2"/>
          <w:sz w:val="24"/>
          <w:szCs w:val="24"/>
          <w:highlight w:val="none"/>
          <w:lang w:val="en-US" w:eastAsia="zh-CN" w:bidi="ar-SA"/>
        </w:rPr>
        <w:t>年1</w:t>
      </w:r>
      <w:r>
        <w:rPr>
          <w:rFonts w:hint="eastAsia" w:ascii="宋体" w:hAnsi="宋体" w:eastAsia="宋体" w:cs="宋体"/>
          <w:kern w:val="2"/>
          <w:sz w:val="24"/>
          <w:szCs w:val="24"/>
          <w:highlight w:val="none"/>
          <w:lang w:val="en-US" w:eastAsia="zh-CN" w:bidi="ar-SA"/>
        </w:rPr>
        <w:t>0</w:t>
      </w:r>
      <w:r>
        <w:rPr>
          <w:rFonts w:hint="default"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lang w:val="en-US" w:eastAsia="zh-CN" w:bidi="ar-SA"/>
        </w:rPr>
        <w:t>5</w:t>
      </w:r>
      <w:r>
        <w:rPr>
          <w:rFonts w:hint="default" w:ascii="宋体" w:hAnsi="宋体" w:eastAsia="宋体" w:cs="宋体"/>
          <w:kern w:val="2"/>
          <w:sz w:val="24"/>
          <w:szCs w:val="24"/>
          <w:highlight w:val="none"/>
          <w:lang w:val="en-US" w:eastAsia="zh-CN" w:bidi="ar-SA"/>
        </w:rPr>
        <w:t>日经</w:t>
      </w:r>
      <w:r>
        <w:rPr>
          <w:rFonts w:hint="eastAsia" w:ascii="宋体" w:hAnsi="宋体" w:eastAsia="宋体" w:cs="宋体"/>
          <w:kern w:val="2"/>
          <w:sz w:val="24"/>
          <w:szCs w:val="24"/>
          <w:highlight w:val="none"/>
          <w:lang w:val="en-US" w:eastAsia="zh-CN" w:bidi="ar-SA"/>
        </w:rPr>
        <w:t>洛浦县发展和改革委员会</w:t>
      </w:r>
      <w:r>
        <w:rPr>
          <w:rFonts w:hint="default" w:ascii="宋体" w:hAnsi="宋体" w:eastAsia="宋体" w:cs="宋体"/>
          <w:kern w:val="2"/>
          <w:sz w:val="24"/>
          <w:szCs w:val="24"/>
          <w:highlight w:val="none"/>
          <w:lang w:val="en-US" w:eastAsia="zh-CN" w:bidi="ar-SA"/>
        </w:rPr>
        <w:t>下达</w:t>
      </w:r>
      <w:r>
        <w:rPr>
          <w:rFonts w:hint="eastAsia" w:ascii="宋体" w:hAnsi="宋体" w:eastAsia="宋体" w:cs="宋体"/>
          <w:kern w:val="2"/>
          <w:sz w:val="24"/>
          <w:szCs w:val="24"/>
          <w:highlight w:val="none"/>
          <w:lang w:val="en-US" w:eastAsia="zh-CN" w:bidi="ar-SA"/>
        </w:rPr>
        <w:t>《关于对《洛浦县城区街道文体活动中心建设项目、洛浦县团结社区建设项目、洛浦县城区街道司法所建设项目合建实施方案》的批复》洛发改项目【2020】215号</w:t>
      </w:r>
      <w:r>
        <w:rPr>
          <w:rFonts w:hint="default" w:ascii="宋体" w:hAnsi="宋体" w:eastAsia="宋体" w:cs="宋体"/>
          <w:kern w:val="2"/>
          <w:sz w:val="24"/>
          <w:szCs w:val="24"/>
          <w:highlight w:val="none"/>
          <w:lang w:val="en-US" w:eastAsia="zh-CN" w:bidi="ar-SA"/>
        </w:rPr>
        <w:t>，由</w:t>
      </w:r>
      <w:r>
        <w:rPr>
          <w:rFonts w:hint="eastAsia" w:ascii="宋体" w:hAnsi="宋体" w:eastAsia="宋体" w:cs="宋体"/>
          <w:kern w:val="2"/>
          <w:sz w:val="24"/>
          <w:szCs w:val="24"/>
          <w:highlight w:val="none"/>
          <w:lang w:val="en-US" w:eastAsia="zh-CN" w:bidi="ar-SA"/>
        </w:rPr>
        <w:t>四川省兴发规划建筑设计有限公司和田分公司提出</w:t>
      </w:r>
      <w:r>
        <w:rPr>
          <w:rFonts w:hint="default" w:ascii="宋体" w:hAnsi="宋体" w:eastAsia="宋体" w:cs="宋体"/>
          <w:kern w:val="2"/>
          <w:sz w:val="24"/>
          <w:szCs w:val="24"/>
          <w:highlight w:val="none"/>
          <w:lang w:val="en-US" w:eastAsia="zh-CN" w:bidi="ar-SA"/>
        </w:rPr>
        <w:t>设计报告，项目</w:t>
      </w:r>
      <w:r>
        <w:rPr>
          <w:rFonts w:hint="eastAsia" w:ascii="宋体" w:hAnsi="宋体" w:eastAsia="宋体" w:cs="宋体"/>
          <w:kern w:val="2"/>
          <w:sz w:val="24"/>
          <w:szCs w:val="24"/>
          <w:highlight w:val="none"/>
          <w:lang w:val="en-US" w:eastAsia="zh-CN" w:bidi="ar-SA"/>
        </w:rPr>
        <w:t>发包</w:t>
      </w:r>
      <w:r>
        <w:rPr>
          <w:rFonts w:hint="default" w:ascii="宋体" w:hAnsi="宋体" w:eastAsia="宋体" w:cs="宋体"/>
          <w:kern w:val="2"/>
          <w:sz w:val="24"/>
          <w:szCs w:val="24"/>
          <w:highlight w:val="none"/>
          <w:lang w:val="en-US" w:eastAsia="zh-CN" w:bidi="ar-SA"/>
        </w:rPr>
        <w:t>方式确定施工单位为</w:t>
      </w:r>
      <w:r>
        <w:rPr>
          <w:rFonts w:hint="eastAsia" w:ascii="宋体" w:hAnsi="宋体" w:eastAsia="宋体" w:cs="宋体"/>
          <w:kern w:val="2"/>
          <w:sz w:val="24"/>
          <w:szCs w:val="24"/>
          <w:highlight w:val="none"/>
          <w:lang w:val="en-US" w:eastAsia="zh-CN" w:bidi="ar-SA"/>
        </w:rPr>
        <w:t>新疆天源君宇建设工程有限公司</w:t>
      </w:r>
      <w:r>
        <w:rPr>
          <w:rFonts w:hint="default" w:ascii="宋体" w:hAnsi="宋体" w:eastAsia="宋体" w:cs="宋体"/>
          <w:kern w:val="2"/>
          <w:sz w:val="24"/>
          <w:szCs w:val="24"/>
          <w:highlight w:val="none"/>
          <w:lang w:val="en-US" w:eastAsia="zh-CN" w:bidi="ar-SA"/>
        </w:rPr>
        <w:t>，并签订了施工合同，确定监理单位为</w:t>
      </w:r>
      <w:r>
        <w:rPr>
          <w:rFonts w:hint="eastAsia" w:ascii="宋体" w:hAnsi="宋体" w:eastAsia="宋体" w:cs="宋体"/>
          <w:kern w:val="2"/>
          <w:sz w:val="24"/>
          <w:szCs w:val="24"/>
          <w:highlight w:val="none"/>
          <w:lang w:val="en-US" w:eastAsia="zh-CN" w:bidi="ar-SA"/>
        </w:rPr>
        <w:t>河南畅晟工程管理有限公司</w:t>
      </w:r>
      <w:r>
        <w:rPr>
          <w:rFonts w:hint="default" w:ascii="宋体" w:hAnsi="宋体" w:eastAsia="宋体" w:cs="宋体"/>
          <w:kern w:val="2"/>
          <w:sz w:val="24"/>
          <w:szCs w:val="24"/>
          <w:highlight w:val="none"/>
          <w:lang w:val="en-US" w:eastAsia="zh-CN" w:bidi="ar-SA"/>
        </w:rPr>
        <w:t>签订监理合同。项目</w:t>
      </w:r>
      <w:r>
        <w:rPr>
          <w:rFonts w:hint="eastAsia" w:ascii="宋体" w:hAnsi="宋体" w:eastAsia="宋体" w:cs="宋体"/>
          <w:kern w:val="2"/>
          <w:sz w:val="24"/>
          <w:szCs w:val="24"/>
          <w:highlight w:val="none"/>
          <w:lang w:val="en-US" w:eastAsia="zh-CN" w:bidi="ar-SA"/>
        </w:rPr>
        <w:t>已</w:t>
      </w:r>
      <w:r>
        <w:rPr>
          <w:rFonts w:hint="default" w:ascii="宋体" w:hAnsi="宋体" w:eastAsia="宋体" w:cs="宋体"/>
          <w:kern w:val="2"/>
          <w:sz w:val="24"/>
          <w:szCs w:val="24"/>
          <w:highlight w:val="none"/>
          <w:lang w:val="en-US" w:eastAsia="zh-CN" w:bidi="ar-SA"/>
        </w:rPr>
        <w:t>进行验收，进行</w:t>
      </w:r>
      <w:r>
        <w:rPr>
          <w:rFonts w:hint="eastAsia" w:ascii="宋体" w:hAnsi="宋体" w:eastAsia="宋体" w:cs="宋体"/>
          <w:kern w:val="2"/>
          <w:sz w:val="24"/>
          <w:szCs w:val="24"/>
          <w:highlight w:val="none"/>
          <w:lang w:val="en-US" w:eastAsia="zh-CN" w:bidi="ar-SA"/>
        </w:rPr>
        <w:t>财务</w:t>
      </w:r>
      <w:r>
        <w:rPr>
          <w:rFonts w:hint="default" w:ascii="宋体" w:hAnsi="宋体" w:eastAsia="宋体" w:cs="宋体"/>
          <w:kern w:val="2"/>
          <w:sz w:val="24"/>
          <w:szCs w:val="24"/>
          <w:highlight w:val="none"/>
          <w:lang w:val="en-US" w:eastAsia="zh-CN" w:bidi="ar-SA"/>
        </w:rPr>
        <w:t>决算审计。已经开始运行使用。</w:t>
      </w:r>
    </w:p>
    <w:p w14:paraId="3DF388C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7BF458B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1D663C1E">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本项目预算安排总额为85.26万元，资金来源为自治区专项资金，其中：财政资金85.26万元，其他资金0万元，2024年实际收到预算资金85.26万元，预算资金到位率为100%。</w:t>
      </w:r>
    </w:p>
    <w:p w14:paraId="5A327C7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7305702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本项目实际支付资金</w:t>
      </w:r>
      <w:r>
        <w:rPr>
          <w:rFonts w:hint="eastAsia" w:ascii="宋体" w:hAnsi="宋体" w:eastAsia="宋体" w:cs="宋体"/>
          <w:b w:val="0"/>
          <w:bCs w:val="0"/>
          <w:color w:val="000000"/>
          <w:sz w:val="24"/>
          <w:szCs w:val="24"/>
          <w:highlight w:val="none"/>
          <w:lang w:val="en-US" w:eastAsia="zh-CN"/>
        </w:rPr>
        <w:t>85.26</w:t>
      </w:r>
      <w:r>
        <w:rPr>
          <w:rFonts w:hint="eastAsia" w:ascii="宋体" w:hAnsi="宋体" w:eastAsia="宋体" w:cs="宋体"/>
          <w:b w:val="0"/>
          <w:bCs w:val="0"/>
          <w:color w:val="000000"/>
          <w:sz w:val="24"/>
          <w:szCs w:val="24"/>
          <w:highlight w:val="none"/>
        </w:rPr>
        <w:t>万元，预算执行率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%。本项目资金主要用于支付</w:t>
      </w:r>
      <w:r>
        <w:rPr>
          <w:rFonts w:hint="eastAsia" w:ascii="宋体" w:hAnsi="宋体" w:eastAsia="宋体" w:cs="宋体"/>
          <w:b w:val="0"/>
          <w:bCs w:val="0"/>
          <w:color w:val="000000"/>
          <w:sz w:val="24"/>
          <w:szCs w:val="24"/>
          <w:highlight w:val="none"/>
          <w:lang w:eastAsia="zh-CN"/>
        </w:rPr>
        <w:t>洛浦县城区街道综合服务用房建设项目改造维修（护）费</w:t>
      </w:r>
      <w:r>
        <w:rPr>
          <w:rFonts w:hint="eastAsia" w:ascii="宋体" w:hAnsi="宋体" w:eastAsia="宋体" w:cs="宋体"/>
          <w:b w:val="0"/>
          <w:bCs w:val="0"/>
          <w:color w:val="000000"/>
          <w:sz w:val="24"/>
          <w:szCs w:val="24"/>
          <w:highlight w:val="none"/>
        </w:rPr>
        <w:t>用</w:t>
      </w:r>
      <w:r>
        <w:rPr>
          <w:rFonts w:hint="eastAsia" w:ascii="宋体" w:hAnsi="宋体" w:eastAsia="宋体" w:cs="宋体"/>
          <w:b w:val="0"/>
          <w:bCs w:val="0"/>
          <w:color w:val="000000"/>
          <w:sz w:val="24"/>
          <w:szCs w:val="24"/>
          <w:highlight w:val="none"/>
          <w:lang w:val="en-US" w:eastAsia="zh-CN"/>
        </w:rPr>
        <w:t>85.26</w:t>
      </w:r>
      <w:r>
        <w:rPr>
          <w:rFonts w:hint="eastAsia" w:ascii="宋体" w:hAnsi="宋体" w:eastAsia="宋体" w:cs="宋体"/>
          <w:b w:val="0"/>
          <w:bCs w:val="0"/>
          <w:color w:val="000000"/>
          <w:sz w:val="24"/>
          <w:szCs w:val="24"/>
          <w:highlight w:val="none"/>
        </w:rPr>
        <w:t>万元。</w:t>
      </w:r>
    </w:p>
    <w:p w14:paraId="3386FA2A">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9"/>
      <w:r>
        <w:rPr>
          <w:rFonts w:hint="eastAsia" w:ascii="宋体" w:hAnsi="宋体" w:eastAsia="宋体" w:cs="宋体"/>
          <w:sz w:val="24"/>
          <w:szCs w:val="24"/>
        </w:rPr>
        <w:t>（二）项目绩效目标</w:t>
      </w:r>
      <w:bookmarkEnd w:id="1"/>
    </w:p>
    <w:p w14:paraId="74E926B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79F1625E">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88BFE9D">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合建总改造建筑面积1700平方米，其中中央内预算资金126.7万元，支持建筑面积720平方米，其中团结社区服务用房600平方米，城区街道司法所面积120平方米；自治区专项资金200万元，支持建筑面积980平方米，全部为城区街道文体活动中心。</w:t>
      </w:r>
    </w:p>
    <w:p w14:paraId="66BB5575">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415679F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2"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5ABD941A">
      <w:pPr>
        <w:pStyle w:val="45"/>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2AD042F4">
      <w:pPr>
        <w:pStyle w:val="45"/>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2EF85D24">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指标1：保障项目数量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≤1个</w:t>
      </w:r>
      <w:r>
        <w:rPr>
          <w:rFonts w:hint="eastAsia" w:ascii="宋体" w:hAnsi="宋体" w:eastAsia="宋体" w:cs="宋体"/>
          <w:color w:val="auto"/>
          <w:sz w:val="24"/>
          <w:szCs w:val="24"/>
        </w:rPr>
        <w:t>；</w:t>
      </w:r>
    </w:p>
    <w:p w14:paraId="2F59E219">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599D49C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1A2024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指标2：资金到位率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5D53534">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w:t>
      </w:r>
      <w:r>
        <w:rPr>
          <w:rFonts w:hint="eastAsia" w:ascii="宋体" w:hAnsi="宋体" w:eastAsia="宋体" w:cs="宋体"/>
          <w:color w:val="auto"/>
          <w:sz w:val="24"/>
          <w:szCs w:val="24"/>
          <w:lang w:val="en-US" w:eastAsia="zh-CN"/>
        </w:rPr>
        <w:t>指标</w:t>
      </w:r>
      <w:r>
        <w:rPr>
          <w:rFonts w:hint="eastAsia" w:ascii="宋体" w:hAnsi="宋体" w:eastAsia="宋体" w:cs="宋体"/>
          <w:color w:val="auto"/>
          <w:sz w:val="24"/>
          <w:szCs w:val="24"/>
        </w:rPr>
        <w:t>：</w:t>
      </w:r>
    </w:p>
    <w:p w14:paraId="1381F804">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指标1：项目开始时间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2024年1月</w:t>
      </w:r>
      <w:r>
        <w:rPr>
          <w:rFonts w:hint="eastAsia" w:ascii="宋体" w:hAnsi="宋体" w:eastAsia="宋体" w:cs="宋体"/>
          <w:color w:val="auto"/>
          <w:sz w:val="24"/>
          <w:szCs w:val="24"/>
        </w:rPr>
        <w:t>；</w:t>
      </w:r>
    </w:p>
    <w:p w14:paraId="7B47797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rPr>
        <w:t>；</w:t>
      </w:r>
    </w:p>
    <w:p w14:paraId="36A1AC2D">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：资金支付及时率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012F0E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4DADE7D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2A04BF9D">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指标1：综合服务用房建设项目维修维护费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85.26万元</w:t>
      </w:r>
      <w:r>
        <w:rPr>
          <w:rFonts w:hint="eastAsia" w:ascii="宋体" w:hAnsi="宋体" w:eastAsia="宋体" w:cs="宋体"/>
          <w:color w:val="auto"/>
          <w:sz w:val="24"/>
          <w:szCs w:val="24"/>
        </w:rPr>
        <w:t>；</w:t>
      </w:r>
    </w:p>
    <w:p w14:paraId="54F36F8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2）社会成本指标：</w:t>
      </w:r>
    </w:p>
    <w:p w14:paraId="77BE0BF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该项目无社会成本指标；</w:t>
      </w:r>
    </w:p>
    <w:p w14:paraId="2C68517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3）生态成本指标;</w:t>
      </w:r>
    </w:p>
    <w:p w14:paraId="0BABEFE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该项目无生态成本指标；</w:t>
      </w:r>
    </w:p>
    <w:p w14:paraId="10080097">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23AB45E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1）经济效益指标：</w:t>
      </w:r>
    </w:p>
    <w:p w14:paraId="3AAD678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该项目无经济效益指标；</w:t>
      </w:r>
    </w:p>
    <w:p w14:paraId="54064DAC">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6B85CED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指标1：保障项目正常完工，改善工作环境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预期指标值为有效保障；</w:t>
      </w:r>
    </w:p>
    <w:p w14:paraId="6A93BD0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3）生态效益指标：</w:t>
      </w:r>
    </w:p>
    <w:p w14:paraId="6BD35BA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该项目无生态效益指标；</w:t>
      </w:r>
    </w:p>
    <w:p w14:paraId="1C496DD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6D48392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指标1：受益人员满意度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p>
    <w:p w14:paraId="4467DC7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：工作人员满意度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95%。</w:t>
      </w:r>
    </w:p>
    <w:p w14:paraId="62DC7E2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2"/>
    </w:p>
    <w:p w14:paraId="236A0E38">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3" w:name="_Toc68364661"/>
      <w:r>
        <w:rPr>
          <w:rFonts w:hint="eastAsia" w:ascii="宋体" w:hAnsi="宋体" w:eastAsia="宋体" w:cs="宋体"/>
          <w:sz w:val="24"/>
          <w:szCs w:val="24"/>
        </w:rPr>
        <w:t>（一）绩效评价目的、对象和范围</w:t>
      </w:r>
      <w:bookmarkEnd w:id="3"/>
    </w:p>
    <w:p w14:paraId="2B4C54DB">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43FA3589">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自治区财政厅《关于印发〈自治区项目支出绩效目标设置指引〉的通知》（新财预〔2022〕42号）等相关政策文件与规定，对</w:t>
      </w:r>
      <w:r>
        <w:rPr>
          <w:rFonts w:hint="eastAsia" w:ascii="宋体" w:hAnsi="宋体" w:eastAsia="宋体" w:cs="宋体"/>
          <w:color w:val="auto"/>
          <w:sz w:val="24"/>
          <w:szCs w:val="24"/>
          <w:lang w:eastAsia="zh-CN"/>
        </w:rPr>
        <w:t>洛浦县城区街道综合服务用房建设项目</w:t>
      </w:r>
      <w:r>
        <w:rPr>
          <w:rFonts w:hint="eastAsia" w:ascii="宋体" w:hAnsi="宋体" w:eastAsia="宋体" w:cs="宋体"/>
          <w:color w:val="auto"/>
          <w:sz w:val="24"/>
          <w:szCs w:val="24"/>
        </w:rPr>
        <w:t>项目开展本次部门项目支出绩效评价工作。全面了解</w:t>
      </w:r>
      <w:r>
        <w:rPr>
          <w:rFonts w:hint="eastAsia" w:ascii="宋体" w:hAnsi="宋体" w:eastAsia="宋体" w:cs="宋体"/>
          <w:color w:val="auto"/>
          <w:sz w:val="24"/>
          <w:szCs w:val="24"/>
          <w:lang w:eastAsia="zh-CN"/>
        </w:rPr>
        <w:t>洛浦县城区街道综合服务用房建设项目</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28FCA0E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53355FF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02671D6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50BB0EC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79EF90E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此</w:t>
      </w:r>
      <w:r>
        <w:rPr>
          <w:rFonts w:hint="eastAsia" w:ascii="宋体" w:hAnsi="宋体" w:eastAsia="宋体" w:cs="宋体"/>
          <w:color w:val="auto"/>
          <w:sz w:val="24"/>
          <w:szCs w:val="24"/>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lang w:eastAsia="zh-CN"/>
        </w:rPr>
        <w:t>洛浦县城区街道综合服务用房建设项目</w:t>
      </w:r>
      <w:r>
        <w:rPr>
          <w:rFonts w:hint="eastAsia" w:ascii="宋体" w:hAnsi="宋体" w:eastAsia="宋体" w:cs="宋体"/>
          <w:color w:val="auto"/>
          <w:sz w:val="24"/>
          <w:szCs w:val="24"/>
        </w:rPr>
        <w:t>项目为</w:t>
      </w:r>
      <w:r>
        <w:rPr>
          <w:rFonts w:hint="eastAsia" w:ascii="宋体" w:hAnsi="宋体" w:eastAsia="宋体" w:cs="宋体"/>
          <w:color w:val="auto"/>
          <w:sz w:val="24"/>
          <w:szCs w:val="24"/>
          <w:lang w:val="en-US" w:eastAsia="zh-CN"/>
        </w:rPr>
        <w:t>评价</w:t>
      </w:r>
      <w:r>
        <w:rPr>
          <w:rFonts w:hint="eastAsia" w:ascii="宋体" w:hAnsi="宋体" w:eastAsia="宋体" w:cs="宋体"/>
          <w:color w:val="auto"/>
          <w:sz w:val="24"/>
          <w:szCs w:val="24"/>
        </w:rPr>
        <w:t>对象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对该项目决策、</w:t>
      </w:r>
      <w:r>
        <w:rPr>
          <w:rFonts w:hint="eastAsia" w:ascii="宋体" w:hAnsi="宋体" w:eastAsia="宋体" w:cs="宋体"/>
          <w:color w:val="auto"/>
          <w:sz w:val="24"/>
          <w:szCs w:val="24"/>
          <w:lang w:val="en-US" w:eastAsia="zh-CN"/>
        </w:rPr>
        <w:t>项目资金管理、项目实施</w:t>
      </w:r>
      <w:r>
        <w:rPr>
          <w:rFonts w:hint="eastAsia" w:ascii="宋体" w:hAnsi="宋体" w:eastAsia="宋体" w:cs="宋体"/>
          <w:color w:val="auto"/>
          <w:sz w:val="24"/>
          <w:szCs w:val="24"/>
        </w:rPr>
        <w:t>过程</w:t>
      </w:r>
      <w:r>
        <w:rPr>
          <w:rFonts w:hint="eastAsia" w:ascii="宋体" w:hAnsi="宋体" w:eastAsia="宋体" w:cs="宋体"/>
          <w:color w:val="auto"/>
          <w:sz w:val="24"/>
          <w:szCs w:val="24"/>
          <w:lang w:val="en-US" w:eastAsia="zh-CN"/>
        </w:rPr>
        <w:t>管理</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以及</w:t>
      </w:r>
      <w:r>
        <w:rPr>
          <w:rFonts w:hint="eastAsia" w:ascii="宋体" w:hAnsi="宋体" w:eastAsia="宋体" w:cs="宋体"/>
          <w:color w:val="auto"/>
          <w:sz w:val="24"/>
          <w:szCs w:val="24"/>
        </w:rPr>
        <w:t>项目实施所带来的产出和效果</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内容，</w:t>
      </w:r>
      <w:r>
        <w:rPr>
          <w:rFonts w:hint="eastAsia" w:ascii="宋体" w:hAnsi="宋体" w:eastAsia="宋体" w:cs="宋体"/>
          <w:color w:val="auto"/>
          <w:sz w:val="24"/>
          <w:szCs w:val="24"/>
          <w:lang w:val="en-US" w:eastAsia="zh-CN"/>
        </w:rPr>
        <w:t>进行综合评价。</w:t>
      </w:r>
    </w:p>
    <w:p w14:paraId="5D41AA04">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4DCFF8F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绩效评价主要围绕洛浦县城区街道综合服务用房建设项目决策、项目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color w:val="auto"/>
          <w:sz w:val="24"/>
          <w:szCs w:val="24"/>
          <w:lang w:val="en-US" w:eastAsia="zh-CN"/>
        </w:rPr>
        <w:t>，覆盖预算资金支出项目的所有内容进行评价。</w:t>
      </w:r>
    </w:p>
    <w:p w14:paraId="16FF451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4"/>
    </w:p>
    <w:p w14:paraId="52FE65E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5BA368AE">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A813C1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74CB756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B1ED5C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7EB1CD53">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（4）公开透明。绩效评价结果应依法依规公开，并自觉接受社会监督。</w:t>
      </w:r>
    </w:p>
    <w:p w14:paraId="4D393279">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根据以上原则，绩效评价应遵循如下要求:</w:t>
      </w:r>
    </w:p>
    <w:p w14:paraId="7F3F1767">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26B85583">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7F3A0F09">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486AFF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142FBBDA">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06058B9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46BAC36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A4A62C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1A6C5A4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4FD3525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417706C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445A9FA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4CBA664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6D2FFF3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117EC61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59F83A5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4547AFE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64CD137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05E2C32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4D47BC6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027DE5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5D64498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5A0FB83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bookmarkStart w:id="5" w:name="_Toc68364663"/>
      <w:r>
        <w:rPr>
          <w:rFonts w:hint="eastAsia" w:ascii="宋体" w:hAnsi="宋体" w:eastAsia="宋体" w:cs="宋体"/>
          <w:b w:val="0"/>
          <w:bCs/>
          <w:sz w:val="24"/>
          <w:szCs w:val="24"/>
        </w:rPr>
        <w:t>绩效评价标准通常包括计划标准、行业标准、历史标准等，用于对绩效指标完成情况进行比较、分析、评价。本次评价主要采用了计划标准。</w:t>
      </w:r>
    </w:p>
    <w:p w14:paraId="1EFCB6C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bookmarkStart w:id="6" w:name="_Toc31464"/>
      <w:bookmarkStart w:id="7" w:name="_Toc17882"/>
      <w:r>
        <w:rPr>
          <w:rFonts w:hint="eastAsia" w:ascii="宋体" w:hAnsi="宋体" w:eastAsia="宋体" w:cs="宋体"/>
          <w:b w:val="0"/>
          <w:bCs/>
          <w:sz w:val="24"/>
          <w:szCs w:val="24"/>
        </w:rPr>
        <w:t>计划标准：指以预先制定的目标、计划、预算、定额等作为评价标准。</w:t>
      </w:r>
      <w:bookmarkEnd w:id="6"/>
      <w:bookmarkEnd w:id="7"/>
    </w:p>
    <w:p w14:paraId="3D593EF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bookmarkStart w:id="8" w:name="_Toc5633"/>
      <w:bookmarkStart w:id="9" w:name="_Toc2318"/>
      <w:r>
        <w:rPr>
          <w:rFonts w:hint="eastAsia" w:ascii="宋体" w:hAnsi="宋体" w:eastAsia="宋体" w:cs="宋体"/>
          <w:b w:val="0"/>
          <w:bCs/>
          <w:sz w:val="24"/>
          <w:szCs w:val="24"/>
        </w:rPr>
        <w:t>行业标准：指参照国家公布的行业指标数据制定的评价标准。</w:t>
      </w:r>
      <w:bookmarkEnd w:id="8"/>
      <w:bookmarkEnd w:id="9"/>
    </w:p>
    <w:p w14:paraId="4DABCE7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bookmarkStart w:id="10" w:name="_Toc16028"/>
      <w:bookmarkStart w:id="11" w:name="_Toc430"/>
      <w:r>
        <w:rPr>
          <w:rFonts w:hint="eastAsia" w:ascii="宋体" w:hAnsi="宋体" w:eastAsia="宋体" w:cs="宋体"/>
          <w:b w:val="0"/>
          <w:bCs/>
          <w:sz w:val="24"/>
          <w:szCs w:val="24"/>
        </w:rPr>
        <w:t>历史标准：指参照历史数据制定的评价标准，为体现绩效改进的原则，在可实现的条件下应当确定相对较高的评价标准。</w:t>
      </w:r>
      <w:bookmarkEnd w:id="10"/>
      <w:bookmarkEnd w:id="11"/>
    </w:p>
    <w:p w14:paraId="3079AFBC">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5"/>
    </w:p>
    <w:p w14:paraId="7EFE9DE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2" w:name="_Toc68364664"/>
      <w:r>
        <w:rPr>
          <w:rFonts w:hint="eastAsia" w:ascii="宋体" w:hAnsi="宋体" w:eastAsia="宋体" w:cs="宋体"/>
          <w:b/>
          <w:bCs/>
          <w:color w:val="000000"/>
          <w:sz w:val="24"/>
          <w:szCs w:val="24"/>
          <w:highlight w:val="none"/>
        </w:rPr>
        <w:t>1.前期准备</w:t>
      </w:r>
    </w:p>
    <w:p w14:paraId="550ADC7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907686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秦杰</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组织安排绩效评价工作</w:t>
      </w:r>
      <w:r>
        <w:rPr>
          <w:rFonts w:hint="eastAsia" w:ascii="宋体" w:hAnsi="宋体" w:eastAsia="宋体" w:cs="宋体"/>
          <w:color w:val="FF0000"/>
          <w:sz w:val="24"/>
          <w:szCs w:val="24"/>
        </w:rPr>
        <w:t>;</w:t>
      </w:r>
    </w:p>
    <w:p w14:paraId="300A24A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李雪莲</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资料整理及信息汇总工作</w:t>
      </w:r>
      <w:r>
        <w:rPr>
          <w:rFonts w:hint="eastAsia" w:ascii="宋体" w:hAnsi="宋体" w:eastAsia="宋体" w:cs="宋体"/>
          <w:sz w:val="24"/>
          <w:szCs w:val="24"/>
        </w:rPr>
        <w:t>;</w:t>
      </w:r>
    </w:p>
    <w:p w14:paraId="2190007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白胜春</w:t>
      </w:r>
      <w:r>
        <w:rPr>
          <w:rFonts w:hint="eastAsia" w:ascii="宋体" w:hAnsi="宋体" w:eastAsia="宋体" w:cs="宋体"/>
          <w:sz w:val="24"/>
          <w:szCs w:val="24"/>
          <w:lang w:eastAsia="zh-CN"/>
        </w:rPr>
        <w:t>（评价小组组员）：主要负责</w:t>
      </w:r>
      <w:r>
        <w:rPr>
          <w:rFonts w:hint="eastAsia" w:ascii="宋体" w:hAnsi="宋体" w:eastAsia="宋体" w:cs="宋体"/>
          <w:sz w:val="24"/>
          <w:szCs w:val="24"/>
          <w:lang w:val="en-US" w:eastAsia="zh-CN"/>
        </w:rPr>
        <w:t>出具项目绩效评价报告</w:t>
      </w:r>
      <w:r>
        <w:rPr>
          <w:rFonts w:hint="eastAsia" w:ascii="宋体" w:hAnsi="宋体" w:eastAsia="宋体" w:cs="宋体"/>
          <w:sz w:val="24"/>
          <w:szCs w:val="24"/>
          <w:lang w:eastAsia="zh-CN"/>
        </w:rPr>
        <w:t>。</w:t>
      </w:r>
    </w:p>
    <w:p w14:paraId="35E0025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2600A69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14AB85E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2E929AB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7CDC435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3A648F5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25F9CB2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w:t>
      </w:r>
      <w:r>
        <w:rPr>
          <w:rFonts w:hint="eastAsia" w:ascii="宋体" w:hAnsi="宋体" w:eastAsia="宋体" w:cs="宋体"/>
          <w:b/>
          <w:bCs/>
          <w:color w:val="000000"/>
          <w:sz w:val="24"/>
          <w:szCs w:val="24"/>
          <w:highlight w:val="none"/>
          <w:lang w:val="en-US" w:eastAsia="zh-CN"/>
        </w:rPr>
        <w:t>.问题整改</w:t>
      </w:r>
    </w:p>
    <w:p w14:paraId="03BB12F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DEDB63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706EE94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1F812E03">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2"/>
    </w:p>
    <w:p w14:paraId="0D10A13F">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5"/>
      <w:r>
        <w:rPr>
          <w:rFonts w:hint="eastAsia" w:ascii="宋体" w:hAnsi="宋体" w:eastAsia="宋体" w:cs="宋体"/>
          <w:sz w:val="24"/>
          <w:szCs w:val="24"/>
        </w:rPr>
        <w:t>（一）综合评价情况</w:t>
      </w:r>
      <w:bookmarkEnd w:id="13"/>
    </w:p>
    <w:p w14:paraId="60BB323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bookmarkStart w:id="14" w:name="_Toc68364666"/>
      <w:r>
        <w:rPr>
          <w:rFonts w:hint="eastAsia" w:ascii="宋体" w:hAnsi="宋体" w:eastAsia="宋体" w:cs="宋体"/>
          <w:sz w:val="24"/>
          <w:szCs w:val="24"/>
        </w:rPr>
        <w:t>通过实施</w:t>
      </w:r>
      <w:r>
        <w:rPr>
          <w:rFonts w:hint="eastAsia" w:ascii="宋体" w:hAnsi="宋体" w:eastAsia="宋体" w:cs="宋体"/>
          <w:sz w:val="24"/>
          <w:szCs w:val="24"/>
          <w:lang w:eastAsia="zh-CN"/>
        </w:rPr>
        <w:t>洛浦县城区街道综合服务用房建设</w:t>
      </w:r>
      <w:r>
        <w:rPr>
          <w:rFonts w:hint="eastAsia" w:ascii="宋体" w:hAnsi="宋体" w:eastAsia="宋体" w:cs="宋体"/>
          <w:sz w:val="24"/>
          <w:szCs w:val="24"/>
        </w:rPr>
        <w:t>项目保障</w:t>
      </w:r>
      <w:r>
        <w:rPr>
          <w:rFonts w:hint="eastAsia" w:ascii="宋体" w:hAnsi="宋体" w:eastAsia="宋体" w:cs="宋体"/>
          <w:sz w:val="24"/>
          <w:szCs w:val="24"/>
          <w:lang w:eastAsia="zh-CN"/>
        </w:rPr>
        <w:t>了</w:t>
      </w:r>
      <w:r>
        <w:rPr>
          <w:rFonts w:hint="eastAsia" w:ascii="宋体" w:hAnsi="宋体" w:eastAsia="宋体" w:cs="宋体"/>
          <w:sz w:val="24"/>
          <w:szCs w:val="24"/>
        </w:rPr>
        <w:t>项目正常完工，</w:t>
      </w:r>
      <w:r>
        <w:rPr>
          <w:rFonts w:hint="eastAsia" w:ascii="宋体" w:hAnsi="宋体" w:eastAsia="宋体" w:cs="宋体"/>
          <w:sz w:val="24"/>
          <w:szCs w:val="24"/>
          <w:lang w:eastAsia="zh-CN"/>
        </w:rPr>
        <w:t>有效</w:t>
      </w:r>
      <w:r>
        <w:rPr>
          <w:rFonts w:hint="eastAsia" w:ascii="宋体" w:hAnsi="宋体" w:eastAsia="宋体" w:cs="宋体"/>
          <w:sz w:val="24"/>
          <w:szCs w:val="24"/>
        </w:rPr>
        <w:t>改善</w:t>
      </w:r>
      <w:r>
        <w:rPr>
          <w:rFonts w:hint="eastAsia" w:ascii="宋体" w:hAnsi="宋体" w:eastAsia="宋体" w:cs="宋体"/>
          <w:sz w:val="24"/>
          <w:szCs w:val="24"/>
          <w:lang w:eastAsia="zh-CN"/>
        </w:rPr>
        <w:t>了</w:t>
      </w:r>
      <w:r>
        <w:rPr>
          <w:rFonts w:hint="eastAsia" w:ascii="宋体" w:hAnsi="宋体" w:eastAsia="宋体" w:cs="宋体"/>
          <w:sz w:val="24"/>
          <w:szCs w:val="24"/>
        </w:rPr>
        <w:t>工作环境。项目实施主要通过项目决策、项目过程、项目产出以及项目效益等方面进行评价，其中：</w:t>
      </w:r>
    </w:p>
    <w:p w14:paraId="556D925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项目决策：该项目主要通过</w:t>
      </w:r>
      <w:r>
        <w:rPr>
          <w:rFonts w:hint="eastAsia" w:ascii="宋体" w:hAnsi="宋体" w:eastAsia="宋体" w:cs="宋体"/>
          <w:sz w:val="24"/>
          <w:szCs w:val="24"/>
          <w:lang w:val="en-US" w:eastAsia="zh-CN"/>
        </w:rPr>
        <w:t>《洛浦县财经委员会会议纪要》（洛财纪字【2024】1号）文件</w:t>
      </w:r>
      <w:r>
        <w:rPr>
          <w:rFonts w:hint="eastAsia" w:ascii="宋体" w:hAnsi="宋体" w:eastAsia="宋体" w:cs="宋体"/>
          <w:sz w:val="24"/>
          <w:szCs w:val="24"/>
        </w:rPr>
        <w:t>文件立项，项目实施符合</w:t>
      </w:r>
      <w:r>
        <w:rPr>
          <w:rFonts w:hint="eastAsia" w:ascii="宋体" w:hAnsi="宋体" w:eastAsia="宋体" w:cs="宋体"/>
          <w:sz w:val="24"/>
          <w:szCs w:val="24"/>
          <w:lang w:val="en-US" w:eastAsia="zh-CN"/>
        </w:rPr>
        <w:t>《洛浦县财经委员会会议纪要》（洛财纪字【2024】1号）文件</w:t>
      </w:r>
      <w:r>
        <w:rPr>
          <w:rFonts w:hint="eastAsia" w:ascii="宋体" w:hAnsi="宋体" w:eastAsia="宋体" w:cs="宋体"/>
          <w:sz w:val="24"/>
          <w:szCs w:val="24"/>
        </w:rPr>
        <w:t>要求，项目立项依据充分，立项程序规范。</w:t>
      </w:r>
    </w:p>
    <w:p w14:paraId="2C9F2BF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项目过程：</w:t>
      </w:r>
      <w:r>
        <w:rPr>
          <w:rFonts w:hint="eastAsia" w:ascii="宋体" w:hAnsi="宋体" w:eastAsia="宋体" w:cs="宋体"/>
          <w:sz w:val="24"/>
          <w:szCs w:val="24"/>
          <w:lang w:eastAsia="zh-CN"/>
        </w:rPr>
        <w:t>洛浦县城区街道综合服务用房建设</w:t>
      </w:r>
      <w:r>
        <w:rPr>
          <w:rFonts w:hint="eastAsia" w:ascii="宋体" w:hAnsi="宋体" w:eastAsia="宋体" w:cs="宋体"/>
          <w:sz w:val="24"/>
          <w:szCs w:val="24"/>
        </w:rPr>
        <w:t>项目预算安排</w:t>
      </w:r>
      <w:r>
        <w:rPr>
          <w:rFonts w:hint="eastAsia" w:ascii="宋体" w:hAnsi="宋体" w:eastAsia="宋体" w:cs="宋体"/>
          <w:sz w:val="24"/>
          <w:szCs w:val="24"/>
          <w:lang w:val="en-US" w:eastAsia="zh-CN"/>
        </w:rPr>
        <w:t>85.26</w:t>
      </w:r>
      <w:r>
        <w:rPr>
          <w:rFonts w:hint="eastAsia" w:ascii="宋体" w:hAnsi="宋体" w:eastAsia="宋体" w:cs="宋体"/>
          <w:sz w:val="24"/>
          <w:szCs w:val="24"/>
        </w:rPr>
        <w:t>万元，实际支出</w:t>
      </w:r>
      <w:r>
        <w:rPr>
          <w:rFonts w:hint="eastAsia" w:ascii="宋体" w:hAnsi="宋体" w:eastAsia="宋体" w:cs="宋体"/>
          <w:sz w:val="24"/>
          <w:szCs w:val="24"/>
          <w:lang w:val="en-US" w:eastAsia="zh-CN"/>
        </w:rPr>
        <w:t>85.26</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100</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2F11552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项目产出：截至2024年12月31日，保障1个项目实施，综合服务用房建设项目维修维护费85.26万元，资金使用合规率达到100%，资金到位率达到100%，项目开始时间为2024年1月份，完成时间2024年1</w:t>
      </w:r>
      <w:r>
        <w:rPr>
          <w:rFonts w:hint="eastAsia" w:ascii="宋体" w:hAnsi="宋体" w:eastAsia="宋体" w:cs="宋体"/>
          <w:sz w:val="24"/>
          <w:szCs w:val="24"/>
          <w:lang w:val="en-US" w:eastAsia="zh-CN"/>
        </w:rPr>
        <w:t>2</w:t>
      </w:r>
      <w:r>
        <w:rPr>
          <w:rFonts w:hint="eastAsia" w:ascii="宋体" w:hAnsi="宋体" w:eastAsia="宋体" w:cs="宋体"/>
          <w:sz w:val="24"/>
          <w:szCs w:val="24"/>
        </w:rPr>
        <w:t>月份，资金支付率达到100%</w:t>
      </w:r>
      <w:r>
        <w:rPr>
          <w:rFonts w:hint="eastAsia" w:ascii="宋体" w:hAnsi="宋体" w:eastAsia="宋体" w:cs="宋体"/>
          <w:sz w:val="24"/>
          <w:szCs w:val="24"/>
          <w:lang w:val="en-US" w:eastAsia="zh-CN"/>
        </w:rPr>
        <w:t>。</w:t>
      </w:r>
    </w:p>
    <w:p w14:paraId="548E240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项目效益：通过项目实施，有效保障了项目正常完工，改善了工作环境，受益人员满意度达到98%，工作人员满意度达到98%</w:t>
      </w:r>
      <w:r>
        <w:rPr>
          <w:rFonts w:hint="eastAsia" w:ascii="宋体" w:hAnsi="宋体" w:eastAsia="宋体" w:cs="宋体"/>
          <w:sz w:val="24"/>
          <w:szCs w:val="24"/>
          <w:lang w:val="en-US" w:eastAsia="zh-CN"/>
        </w:rPr>
        <w:t>。</w:t>
      </w:r>
    </w:p>
    <w:p w14:paraId="6FAB2961">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013B121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sz w:val="24"/>
          <w:szCs w:val="24"/>
          <w:lang w:eastAsia="zh-CN"/>
        </w:rPr>
        <w:t>洛浦县城区街道综合服务用房建设</w:t>
      </w:r>
      <w:r>
        <w:rPr>
          <w:rFonts w:hint="eastAsia" w:ascii="宋体" w:hAnsi="宋体" w:eastAsia="宋体" w:cs="宋体"/>
          <w:sz w:val="24"/>
          <w:szCs w:val="24"/>
        </w:rPr>
        <w:t>项目项目进行客观评价，最终评分结果：评价总分</w:t>
      </w:r>
      <w:r>
        <w:rPr>
          <w:rFonts w:hint="eastAsia" w:ascii="宋体" w:hAnsi="宋体" w:eastAsia="宋体" w:cs="宋体"/>
          <w:sz w:val="24"/>
          <w:szCs w:val="24"/>
          <w:lang w:val="en-US" w:eastAsia="zh-CN"/>
        </w:rPr>
        <w:t>100</w:t>
      </w:r>
      <w:r>
        <w:rPr>
          <w:rFonts w:hint="eastAsia" w:ascii="宋体" w:hAnsi="宋体" w:eastAsia="宋体" w:cs="宋体"/>
          <w:sz w:val="24"/>
          <w:szCs w:val="24"/>
        </w:rPr>
        <w:t>分，绩效等级为“</w:t>
      </w:r>
      <w:r>
        <w:rPr>
          <w:rFonts w:hint="eastAsia" w:ascii="宋体" w:hAnsi="宋体" w:eastAsia="宋体" w:cs="宋体"/>
          <w:sz w:val="24"/>
          <w:szCs w:val="24"/>
          <w:lang w:eastAsia="zh-CN"/>
        </w:rPr>
        <w:t>优</w:t>
      </w:r>
      <w:r>
        <w:rPr>
          <w:rFonts w:hint="eastAsia" w:ascii="宋体" w:hAnsi="宋体" w:eastAsia="宋体" w:cs="宋体"/>
          <w:sz w:val="24"/>
          <w:szCs w:val="24"/>
        </w:rPr>
        <w:t>”。</w:t>
      </w:r>
      <w:bookmarkEnd w:id="14"/>
    </w:p>
    <w:p w14:paraId="3B9C7A7F">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bookmarkStart w:id="15" w:name="_Toc68364667"/>
      <w:r>
        <w:rPr>
          <w:rFonts w:hint="eastAsia" w:ascii="黑体" w:hAnsi="黑体" w:eastAsia="黑体" w:cs="黑体"/>
          <w:sz w:val="24"/>
          <w:szCs w:val="24"/>
        </w:rPr>
        <w:t>四、绩效评价指标分析</w:t>
      </w:r>
      <w:bookmarkEnd w:id="15"/>
    </w:p>
    <w:p w14:paraId="616114E7">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6" w:name="_Toc68364668"/>
      <w:r>
        <w:rPr>
          <w:rFonts w:hint="eastAsia" w:ascii="宋体" w:hAnsi="宋体" w:eastAsia="宋体" w:cs="宋体"/>
          <w:sz w:val="24"/>
          <w:szCs w:val="24"/>
        </w:rPr>
        <w:t>（一）项目决策情况</w:t>
      </w:r>
    </w:p>
    <w:p w14:paraId="20A5A99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项目决策类指标包括项目立项、绩效目标和资金投入三方面的内容，由6个三级指标构成，权重分为</w:t>
      </w:r>
      <w:r>
        <w:rPr>
          <w:rFonts w:hint="eastAsia" w:ascii="宋体" w:hAnsi="宋体" w:eastAsia="宋体" w:cs="宋体"/>
          <w:sz w:val="24"/>
          <w:szCs w:val="24"/>
          <w:lang w:val="en-US" w:eastAsia="zh-CN"/>
        </w:rPr>
        <w:t>23</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23</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592C9DE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2CDF58C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本项目立项符合</w:t>
      </w:r>
      <w:r>
        <w:rPr>
          <w:rFonts w:hint="eastAsia" w:ascii="宋体" w:hAnsi="宋体" w:eastAsia="宋体" w:cs="宋体"/>
          <w:sz w:val="24"/>
          <w:szCs w:val="24"/>
          <w:lang w:eastAsia="zh-CN"/>
        </w:rPr>
        <w:t>洛机编【</w:t>
      </w:r>
      <w:r>
        <w:rPr>
          <w:rFonts w:hint="eastAsia" w:ascii="宋体" w:hAnsi="宋体" w:eastAsia="宋体" w:cs="宋体"/>
          <w:sz w:val="24"/>
          <w:szCs w:val="24"/>
          <w:lang w:val="en-US" w:eastAsia="zh-CN"/>
        </w:rPr>
        <w:t>2008】01号《文件中关于成立洛浦县社区服务中心的通知》文件精神，</w:t>
      </w:r>
      <w:r>
        <w:rPr>
          <w:rFonts w:hint="eastAsia" w:ascii="宋体" w:hAnsi="宋体" w:eastAsia="宋体" w:cs="宋体"/>
          <w:sz w:val="24"/>
          <w:szCs w:val="24"/>
        </w:rPr>
        <w:t>符合行业发展规划和政策要求；本项目立项符合《</w:t>
      </w:r>
      <w:r>
        <w:rPr>
          <w:rFonts w:hint="eastAsia" w:ascii="宋体" w:hAnsi="宋体" w:eastAsia="宋体" w:cs="宋体"/>
          <w:sz w:val="24"/>
          <w:szCs w:val="24"/>
          <w:lang w:eastAsia="zh-CN"/>
        </w:rPr>
        <w:t>洛浦县社区服务中心</w:t>
      </w:r>
      <w:r>
        <w:rPr>
          <w:rFonts w:hint="eastAsia" w:ascii="宋体" w:hAnsi="宋体" w:eastAsia="宋体" w:cs="宋体"/>
          <w:sz w:val="24"/>
          <w:szCs w:val="24"/>
        </w:rPr>
        <w:t>单位配置内设机构和人员编制规定》中职责范围中的“全面负责辖区内文化、体育、卫生、教育宣传、宗教管理、信访接待、社会治安、经济建设、社区就业和社会保障工作以及县人民政府交办的其他工作”，属于我单位履职所需；根据《财政资金直接支付申请书》，本项目资金性质为“政府性基金预算财”功能分类为“2296003用于体育事业的彩票公益金支出”经济分类为“</w:t>
      </w:r>
      <w:r>
        <w:rPr>
          <w:rFonts w:hint="eastAsia" w:ascii="宋体" w:hAnsi="宋体" w:eastAsia="宋体" w:cs="宋体"/>
          <w:sz w:val="24"/>
          <w:szCs w:val="24"/>
          <w:lang w:val="en-US" w:eastAsia="zh-CN"/>
        </w:rPr>
        <w:t>302123维修（护）费</w:t>
      </w:r>
      <w:r>
        <w:rPr>
          <w:rFonts w:hint="eastAsia" w:ascii="宋体" w:hAnsi="宋体" w:eastAsia="宋体" w:cs="宋体"/>
          <w:sz w:val="24"/>
          <w:szCs w:val="24"/>
        </w:rPr>
        <w:t>”属于公共财政支持范围，符合中央、地方事权支出责任划分原则；经检查我单位财政应用平台指标，本项目不存在重复。</w:t>
      </w:r>
    </w:p>
    <w:p w14:paraId="36196F2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b/>
          <w:bCs/>
          <w:sz w:val="24"/>
          <w:szCs w:val="24"/>
          <w:highlight w:val="none"/>
        </w:rPr>
      </w:pPr>
      <w:r>
        <w:rPr>
          <w:rFonts w:hint="eastAsia" w:ascii="宋体" w:hAnsi="宋体" w:eastAsia="宋体" w:cs="宋体"/>
          <w:sz w:val="24"/>
          <w:szCs w:val="24"/>
        </w:rPr>
        <w:t>综上所述，本指标满分为</w:t>
      </w:r>
      <w:r>
        <w:rPr>
          <w:rFonts w:hint="eastAsia" w:ascii="宋体" w:hAnsi="宋体" w:eastAsia="宋体" w:cs="宋体"/>
          <w:sz w:val="24"/>
          <w:szCs w:val="24"/>
          <w:lang w:val="en-US" w:eastAsia="zh-CN"/>
        </w:rPr>
        <w:t>2</w:t>
      </w:r>
      <w:r>
        <w:rPr>
          <w:rFonts w:hint="eastAsia" w:ascii="宋体" w:hAnsi="宋体" w:eastAsia="宋体" w:cs="宋体"/>
          <w:sz w:val="24"/>
          <w:szCs w:val="24"/>
        </w:rPr>
        <w:t>分，根据评分标准得</w:t>
      </w:r>
      <w:r>
        <w:rPr>
          <w:rFonts w:hint="eastAsia" w:ascii="宋体" w:hAnsi="宋体" w:eastAsia="宋体" w:cs="宋体"/>
          <w:sz w:val="24"/>
          <w:szCs w:val="24"/>
          <w:lang w:val="en-US" w:eastAsia="zh-CN"/>
        </w:rPr>
        <w:t>2</w:t>
      </w:r>
      <w:r>
        <w:rPr>
          <w:rFonts w:hint="eastAsia" w:ascii="宋体" w:hAnsi="宋体" w:eastAsia="宋体" w:cs="宋体"/>
          <w:sz w:val="24"/>
          <w:szCs w:val="24"/>
        </w:rPr>
        <w:t>分，本项目立项依据充分。</w:t>
      </w:r>
    </w:p>
    <w:p w14:paraId="12E0A88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25A1C992">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本项目按照规定的程序申请设立，</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eastAsia="zh-CN"/>
        </w:rPr>
        <w:t>工程类</w:t>
      </w:r>
      <w:r>
        <w:rPr>
          <w:rFonts w:hint="eastAsia" w:ascii="宋体" w:hAnsi="宋体" w:eastAsia="宋体" w:cs="宋体"/>
          <w:color w:val="auto"/>
          <w:sz w:val="24"/>
          <w:szCs w:val="24"/>
          <w:highlight w:val="none"/>
        </w:rPr>
        <w:t>项目，属于经常性项目，项目预算金额为</w:t>
      </w:r>
      <w:r>
        <w:rPr>
          <w:rFonts w:hint="eastAsia" w:ascii="宋体" w:hAnsi="宋体" w:eastAsia="宋体" w:cs="宋体"/>
          <w:color w:val="auto"/>
          <w:sz w:val="24"/>
          <w:szCs w:val="24"/>
          <w:highlight w:val="none"/>
          <w:lang w:val="en-US" w:eastAsia="zh-CN"/>
        </w:rPr>
        <w:t>85.26</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b w:val="0"/>
          <w:bCs w:val="0"/>
          <w:color w:val="auto"/>
          <w:sz w:val="24"/>
          <w:szCs w:val="24"/>
          <w:lang w:val="en-US" w:eastAsia="zh-CN"/>
        </w:rPr>
        <w:t>四川省兴发规划建筑设计有限公司和田分公司</w:t>
      </w:r>
      <w:r>
        <w:rPr>
          <w:rFonts w:hint="eastAsia" w:ascii="宋体" w:hAnsi="宋体" w:eastAsia="宋体" w:cs="宋体"/>
          <w:color w:val="auto"/>
          <w:sz w:val="24"/>
          <w:szCs w:val="24"/>
          <w:highlight w:val="none"/>
        </w:rPr>
        <w:t>单位完成本项目可行性研究报告的编制，并经过专家论证。</w:t>
      </w:r>
    </w:p>
    <w:p w14:paraId="77D2B9A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63FF4F9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14D6779B">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w:t>
      </w:r>
      <w:r>
        <w:rPr>
          <w:rFonts w:hint="eastAsia" w:ascii="宋体" w:hAnsi="宋体" w:eastAsia="宋体" w:cs="宋体"/>
          <w:color w:val="000000"/>
          <w:sz w:val="24"/>
          <w:szCs w:val="24"/>
          <w:highlight w:val="none"/>
        </w:rPr>
        <w:t>根据《洛浦县财经委员会会议纪要》（洛财纪字【2024】1号）文件实施此项目，项目主要内容为：保障1个项目维修维护费用，通过项目实施改善工作环境，提升工作人员工作积极性。</w:t>
      </w:r>
    </w:p>
    <w:p w14:paraId="242B953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5CA7519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6B377234">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w:t>
      </w:r>
      <w:r>
        <w:rPr>
          <w:rFonts w:hint="eastAsia" w:ascii="宋体" w:hAnsi="宋体" w:eastAsia="宋体" w:cs="宋体"/>
          <w:sz w:val="24"/>
          <w:szCs w:val="24"/>
          <w:lang w:eastAsia="zh-CN"/>
        </w:rPr>
        <w:t>洛浦县城区街道综合服务用房建设</w:t>
      </w:r>
      <w:r>
        <w:rPr>
          <w:rFonts w:hint="eastAsia" w:ascii="宋体" w:hAnsi="宋体" w:eastAsia="宋体" w:cs="宋体"/>
          <w:sz w:val="24"/>
          <w:szCs w:val="24"/>
        </w:rPr>
        <w:t>项目</w:t>
      </w:r>
      <w:r>
        <w:rPr>
          <w:rFonts w:hint="eastAsia" w:ascii="宋体" w:hAnsi="宋体" w:eastAsia="宋体" w:cs="宋体"/>
          <w:color w:val="auto"/>
          <w:sz w:val="24"/>
          <w:szCs w:val="24"/>
          <w:highlight w:val="none"/>
          <w:lang w:val="en-US" w:eastAsia="zh-CN"/>
        </w:rPr>
        <w:t>支出绩效目标表》，得出如下结论：本项目已将年度绩效目标进行细化为绩效指标体系，共设置一级指标4个，二级指标6个，三级指标10个，定量指标9个，定性指标1个，指标量化率为90%，量化率达70.0%以上，将项目绩效目标细化分解为具体的绩效指标。</w:t>
      </w:r>
    </w:p>
    <w:p w14:paraId="617D94A4">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w:t>
      </w:r>
      <w:r>
        <w:rPr>
          <w:rFonts w:hint="eastAsia" w:ascii="宋体" w:hAnsi="宋体" w:eastAsia="宋体" w:cs="宋体"/>
          <w:sz w:val="24"/>
          <w:szCs w:val="24"/>
          <w:lang w:eastAsia="zh-CN"/>
        </w:rPr>
        <w:t>洛浦县城区街道综合服务用房建设</w:t>
      </w:r>
      <w:r>
        <w:rPr>
          <w:rFonts w:hint="eastAsia" w:ascii="宋体" w:hAnsi="宋体" w:eastAsia="宋体" w:cs="宋体"/>
          <w:sz w:val="24"/>
          <w:szCs w:val="24"/>
        </w:rPr>
        <w:t>项目</w:t>
      </w:r>
      <w:r>
        <w:rPr>
          <w:rFonts w:hint="eastAsia" w:ascii="宋体" w:hAnsi="宋体" w:eastAsia="宋体" w:cs="宋体"/>
          <w:color w:val="auto"/>
          <w:sz w:val="24"/>
          <w:szCs w:val="24"/>
          <w:highlight w:val="none"/>
          <w:lang w:val="en-US" w:eastAsia="zh-CN"/>
        </w:rPr>
        <w:t>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lang w:val="en-US" w:eastAsia="zh-CN"/>
        </w:rPr>
        <w:t>保障项目数量</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lang w:val="en-US" w:eastAsia="zh-CN"/>
        </w:rPr>
        <w:t xml:space="preserve">，三级指标的年度指标值与年度绩效目标中任务数一致，已设置时效指标“项目开始时间、项目完成时间、资金支付及时率”。已设置的绩效目标具备明确性、可衡量性、可实现性、相关性、时限性。 </w:t>
      </w:r>
    </w:p>
    <w:p w14:paraId="01884B7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32E10EA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72391DE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根据《洛浦县财经委员会会议纪要》（洛财纪字【2024】1号）文件实施此项目，项目主要内容为：保障1个项目维修维护费用，通过项目实施改善工作环境，提升工作人员工作积极性</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预算申请与《</w:t>
      </w:r>
      <w:r>
        <w:rPr>
          <w:rFonts w:hint="eastAsia" w:ascii="宋体" w:hAnsi="宋体" w:eastAsia="宋体" w:cs="宋体"/>
          <w:color w:val="000000"/>
          <w:sz w:val="24"/>
          <w:szCs w:val="24"/>
          <w:highlight w:val="none"/>
          <w:lang w:eastAsia="zh-CN"/>
        </w:rPr>
        <w:t>洛浦县城区街道综合服务用房建设</w:t>
      </w:r>
      <w:r>
        <w:rPr>
          <w:rFonts w:hint="eastAsia" w:ascii="宋体" w:hAnsi="宋体" w:eastAsia="宋体" w:cs="宋体"/>
          <w:color w:val="000000"/>
          <w:sz w:val="24"/>
          <w:szCs w:val="24"/>
          <w:highlight w:val="none"/>
        </w:rPr>
        <w:t>项目实施方案》中涉及的项目内容匹配</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85.26</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维修（护）</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85.26</w:t>
      </w:r>
      <w:r>
        <w:rPr>
          <w:rFonts w:hint="eastAsia" w:ascii="宋体" w:hAnsi="宋体" w:eastAsia="宋体" w:cs="宋体"/>
          <w:color w:val="000000"/>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3332BDC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2289605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2CB4FB5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w:t>
      </w:r>
      <w:r>
        <w:rPr>
          <w:rFonts w:hint="eastAsia" w:ascii="宋体" w:hAnsi="宋体" w:eastAsia="宋体" w:cs="宋体"/>
          <w:color w:val="000000"/>
          <w:sz w:val="24"/>
          <w:szCs w:val="24"/>
          <w:highlight w:val="none"/>
          <w:lang w:eastAsia="zh-CN"/>
        </w:rPr>
        <w:t>洛浦县城区街道综合服务用房建设</w:t>
      </w:r>
      <w:r>
        <w:rPr>
          <w:rFonts w:hint="eastAsia" w:ascii="宋体" w:hAnsi="宋体" w:eastAsia="宋体" w:cs="宋体"/>
          <w:color w:val="000000"/>
          <w:sz w:val="24"/>
          <w:szCs w:val="24"/>
          <w:highlight w:val="none"/>
        </w:rPr>
        <w:t>项目资金的请示》和《</w:t>
      </w:r>
      <w:r>
        <w:rPr>
          <w:rFonts w:hint="eastAsia" w:ascii="宋体" w:hAnsi="宋体" w:eastAsia="宋体" w:cs="宋体"/>
          <w:color w:val="000000"/>
          <w:sz w:val="24"/>
          <w:szCs w:val="24"/>
          <w:highlight w:val="none"/>
          <w:lang w:eastAsia="zh-CN"/>
        </w:rPr>
        <w:t>洛浦县城区街道综合服务用房建设</w:t>
      </w:r>
      <w:r>
        <w:rPr>
          <w:rFonts w:hint="eastAsia" w:ascii="宋体" w:hAnsi="宋体" w:eastAsia="宋体" w:cs="宋体"/>
          <w:color w:val="000000"/>
          <w:sz w:val="24"/>
          <w:szCs w:val="24"/>
          <w:highlight w:val="none"/>
        </w:rPr>
        <w:t>项目实施方案》为依据进行资金分配，预算资金分配依据充分。根据</w:t>
      </w:r>
      <w:r>
        <w:rPr>
          <w:rFonts w:hint="eastAsia" w:ascii="宋体" w:hAnsi="宋体" w:eastAsia="宋体" w:cs="宋体"/>
          <w:color w:val="000000"/>
          <w:sz w:val="24"/>
          <w:szCs w:val="24"/>
          <w:highlight w:val="none"/>
          <w:lang w:val="en-US" w:eastAsia="zh-CN"/>
        </w:rPr>
        <w:t>《洛浦县财经委员会会议纪要》（洛财纪字【2024】1号）文件</w:t>
      </w:r>
      <w:r>
        <w:rPr>
          <w:rFonts w:hint="eastAsia" w:ascii="宋体" w:hAnsi="宋体" w:eastAsia="宋体" w:cs="宋体"/>
          <w:color w:val="000000"/>
          <w:sz w:val="24"/>
          <w:szCs w:val="24"/>
          <w:highlight w:val="none"/>
        </w:rPr>
        <w:t>，本项目实际到位资金</w:t>
      </w:r>
      <w:r>
        <w:rPr>
          <w:rFonts w:hint="eastAsia" w:ascii="宋体" w:hAnsi="宋体" w:eastAsia="宋体" w:cs="宋体"/>
          <w:color w:val="000000"/>
          <w:sz w:val="24"/>
          <w:szCs w:val="24"/>
          <w:highlight w:val="none"/>
          <w:lang w:val="en-US" w:eastAsia="zh-CN"/>
        </w:rPr>
        <w:t>85.26</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4D39C7B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3591C7E3">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5084B67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90557C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3697853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85.26</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85.26</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85.26</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26322EA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3C19A14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2AEF660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85.26</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eastAsia="zh-CN"/>
        </w:rPr>
        <w:t>。</w:t>
      </w:r>
    </w:p>
    <w:p w14:paraId="58D3F65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06F295B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0CA5AAB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61AE0B6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CEF5AF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13BD315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22F990D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BED26D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553ABFA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洛浦县社区服务中心</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1365A98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12F3B38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洛浦县城区街道综合服务用房建设</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eastAsia="zh-CN"/>
        </w:rPr>
        <w:t>杨敬伟</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秦杰</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李雪莲</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白胜春</w:t>
      </w:r>
      <w:r>
        <w:rPr>
          <w:rFonts w:hint="eastAsia" w:ascii="宋体" w:hAnsi="宋体" w:eastAsia="宋体" w:cs="宋体"/>
          <w:color w:val="auto"/>
          <w:sz w:val="24"/>
          <w:szCs w:val="24"/>
          <w:highlight w:val="none"/>
        </w:rPr>
        <w:t>，主要负责项目监督管理、验收以及资金核拨等工作。</w:t>
      </w:r>
    </w:p>
    <w:p w14:paraId="5DBD5BE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3D0595C">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14B24FA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93A261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2E08544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保障项目数量，预期指标值</w:t>
      </w:r>
      <w:r>
        <w:rPr>
          <w:rFonts w:hint="eastAsia" w:ascii="宋体" w:hAnsi="宋体" w:eastAsia="宋体" w:cs="宋体"/>
          <w:color w:val="auto"/>
          <w:sz w:val="24"/>
          <w:szCs w:val="24"/>
          <w:highlight w:val="none"/>
          <w:lang w:val="en-US" w:eastAsia="zh-CN"/>
        </w:rPr>
        <w:t>小于等于1个</w:t>
      </w:r>
      <w:r>
        <w:rPr>
          <w:rFonts w:hint="eastAsia" w:ascii="宋体" w:hAnsi="宋体" w:eastAsia="宋体" w:cs="宋体"/>
          <w:color w:val="auto"/>
          <w:sz w:val="24"/>
          <w:szCs w:val="24"/>
          <w:highlight w:val="none"/>
        </w:rPr>
        <w:t>，实际完成值为1个，指标完成率为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0E7FC0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56BE14A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314F220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资金使用合规率，预期指标值</w:t>
      </w:r>
      <w:r>
        <w:rPr>
          <w:rFonts w:hint="eastAsia" w:ascii="宋体" w:hAnsi="宋体" w:eastAsia="宋体" w:cs="宋体"/>
          <w:color w:val="auto"/>
          <w:sz w:val="24"/>
          <w:szCs w:val="24"/>
          <w:highlight w:val="none"/>
          <w:lang w:val="en-US" w:eastAsia="zh-CN"/>
        </w:rPr>
        <w:t>大于等于100%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，与预期目标一致，根据评分标准，该指标不扣分，得5分。</w:t>
      </w:r>
    </w:p>
    <w:p w14:paraId="080D180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资金到位率，预期指标值</w:t>
      </w:r>
      <w:r>
        <w:rPr>
          <w:rFonts w:hint="eastAsia" w:ascii="宋体" w:hAnsi="宋体" w:eastAsia="宋体" w:cs="宋体"/>
          <w:color w:val="auto"/>
          <w:sz w:val="24"/>
          <w:szCs w:val="24"/>
          <w:highlight w:val="none"/>
          <w:lang w:val="en-US" w:eastAsia="zh-CN"/>
        </w:rPr>
        <w:t>大于等于100%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，与预期目标一致，根据评分标准，该指标不扣分，得5分。</w:t>
      </w:r>
    </w:p>
    <w:p w14:paraId="3417C6B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2BFC3BB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357157E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项目开始时间，预期指标值为</w:t>
      </w:r>
      <w:r>
        <w:rPr>
          <w:rFonts w:hint="eastAsia" w:ascii="宋体" w:hAnsi="宋体" w:eastAsia="宋体" w:cs="宋体"/>
          <w:color w:val="auto"/>
          <w:sz w:val="24"/>
          <w:szCs w:val="24"/>
          <w:highlight w:val="none"/>
          <w:lang w:val="en-US" w:eastAsia="zh-CN"/>
        </w:rPr>
        <w:t>2024年1月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2024年1月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1D1D20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项目完成时间，预期指标值为</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6A7DD7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资金支付及时率，预期指标值</w:t>
      </w:r>
      <w:r>
        <w:rPr>
          <w:rFonts w:hint="eastAsia" w:ascii="宋体" w:hAnsi="宋体" w:eastAsia="宋体" w:cs="宋体"/>
          <w:color w:val="auto"/>
          <w:sz w:val="24"/>
          <w:szCs w:val="24"/>
          <w:highlight w:val="none"/>
          <w:lang w:val="en-US" w:eastAsia="zh-CN"/>
        </w:rPr>
        <w:t>大于等于100%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75494DD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752FBB0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68C23F1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综合服务用房建设项目维修维护费，预期指标值</w:t>
      </w:r>
      <w:r>
        <w:rPr>
          <w:rFonts w:hint="eastAsia" w:ascii="宋体" w:hAnsi="宋体" w:eastAsia="宋体" w:cs="宋体"/>
          <w:color w:val="auto"/>
          <w:sz w:val="24"/>
          <w:szCs w:val="24"/>
          <w:highlight w:val="none"/>
          <w:lang w:val="en-US" w:eastAsia="zh-CN"/>
        </w:rPr>
        <w:t>小于等于85.26万元</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85.26万元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本年支付工程余款金额</w:t>
      </w:r>
      <w:r>
        <w:rPr>
          <w:rFonts w:hint="eastAsia" w:ascii="宋体" w:hAnsi="宋体" w:eastAsia="宋体" w:cs="宋体"/>
          <w:color w:val="auto"/>
          <w:sz w:val="24"/>
          <w:szCs w:val="24"/>
          <w:highlight w:val="none"/>
          <w:lang w:val="en-US" w:eastAsia="zh-CN"/>
        </w:rPr>
        <w:t>85.26</w:t>
      </w:r>
      <w:r>
        <w:rPr>
          <w:rFonts w:hint="eastAsia" w:ascii="宋体" w:hAnsi="宋体" w:eastAsia="宋体" w:cs="宋体"/>
          <w:color w:val="auto"/>
          <w:sz w:val="24"/>
          <w:szCs w:val="24"/>
          <w:highlight w:val="none"/>
        </w:rPr>
        <w:t>万元，项目经费都能控制绩效目标范围内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333B3C3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b w:val="0"/>
          <w:bCs/>
          <w:color w:val="000000"/>
          <w:sz w:val="24"/>
          <w:szCs w:val="24"/>
          <w:highlight w:val="none"/>
        </w:rPr>
        <w:t>合计得10分。</w:t>
      </w:r>
    </w:p>
    <w:p w14:paraId="26BF471C">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409C845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62034B5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5D8CD20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保障项目正常完工，改善工作环境，预期指标值为</w:t>
      </w:r>
      <w:r>
        <w:rPr>
          <w:rFonts w:hint="eastAsia" w:ascii="宋体" w:hAnsi="宋体" w:eastAsia="宋体" w:cs="宋体"/>
          <w:sz w:val="24"/>
          <w:szCs w:val="24"/>
          <w:highlight w:val="none"/>
          <w:lang w:val="en-US" w:eastAsia="zh-CN"/>
        </w:rPr>
        <w:t>有效保障</w:t>
      </w:r>
      <w:r>
        <w:rPr>
          <w:rFonts w:hint="eastAsia" w:ascii="宋体" w:hAnsi="宋体" w:eastAsia="宋体" w:cs="宋体"/>
          <w:sz w:val="24"/>
          <w:szCs w:val="24"/>
          <w:highlight w:val="none"/>
        </w:rPr>
        <w:t>，实际完成值为</w:t>
      </w:r>
      <w:r>
        <w:rPr>
          <w:rFonts w:hint="eastAsia" w:ascii="宋体" w:hAnsi="宋体" w:eastAsia="宋体" w:cs="宋体"/>
          <w:sz w:val="24"/>
          <w:szCs w:val="24"/>
          <w:highlight w:val="none"/>
          <w:lang w:val="en-US" w:eastAsia="zh-CN"/>
        </w:rPr>
        <w:t>有效保障</w:t>
      </w:r>
      <w:r>
        <w:rPr>
          <w:rFonts w:hint="eastAsia" w:ascii="宋体" w:hAnsi="宋体" w:eastAsia="宋体" w:cs="宋体"/>
          <w:sz w:val="24"/>
          <w:szCs w:val="24"/>
          <w:highlight w:val="none"/>
        </w:rPr>
        <w:t>，指标完成率为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，与预期指标一致，根据评分标准，该指标不扣分，得</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p w14:paraId="7CAFF7A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5FF059A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1B101BE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0A1AD4A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37186699">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sz w:val="24"/>
          <w:szCs w:val="24"/>
        </w:rPr>
      </w:pPr>
      <w:r>
        <w:rPr>
          <w:rFonts w:hint="eastAsia" w:ascii="宋体" w:hAnsi="宋体" w:eastAsia="宋体" w:cs="宋体"/>
          <w:bCs/>
          <w:sz w:val="24"/>
          <w:szCs w:val="24"/>
        </w:rPr>
        <w:t>（4）满意度指标分析</w:t>
      </w:r>
    </w:p>
    <w:p w14:paraId="2C4A14A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受益人员满意度，预期指标值大于等于95%，实际完成值为98%，指标完成率为100%，与预期目标一致，根据评分标准，该指标不扣分,得5分。</w:t>
      </w:r>
      <w:bookmarkEnd w:id="16"/>
    </w:p>
    <w:p w14:paraId="14A87AB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工作人员满意度，，预期指标值大于等于95%，实际完成值为95%，指标完成率为100%，与预期目标一致，根据评分标准，该指标不扣分,得5分。</w:t>
      </w:r>
    </w:p>
    <w:p w14:paraId="2336AEE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合计得分10分。</w:t>
      </w:r>
    </w:p>
    <w:p w14:paraId="0721EBCF">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03A0D5F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本项目年初预算资金总额为85.26万元，全年预算数为85.26万元，全年执行数为85.26万元，预算执行率为100%。</w:t>
      </w:r>
    </w:p>
    <w:p w14:paraId="1619B2A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本项目共设置三级指标数量10个，满分指标数量10个，扣分指标数量0个，经分析计算所有三级指标完成率得出，本项目总体完成率为100%。</w:t>
      </w:r>
    </w:p>
    <w:p w14:paraId="1A5B15A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综上所述本项目预算执行率与总体完成率之间无偏差。</w:t>
      </w:r>
    </w:p>
    <w:p w14:paraId="3B759972">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bookmarkStart w:id="17" w:name="_Toc68364673"/>
      <w:r>
        <w:rPr>
          <w:rFonts w:hint="eastAsia" w:ascii="黑体" w:hAnsi="黑体" w:eastAsia="黑体" w:cs="黑体"/>
          <w:b/>
          <w:bCs/>
          <w:sz w:val="24"/>
          <w:szCs w:val="24"/>
        </w:rPr>
        <w:t>六、主要经验及做法、存在的问题及原因分析</w:t>
      </w:r>
    </w:p>
    <w:p w14:paraId="53A84E4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（一）主要经验及做法</w:t>
      </w:r>
      <w:bookmarkEnd w:id="17"/>
    </w:p>
    <w:p w14:paraId="661A540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一是本项目能够严格按照《项目实施方案》执行，项目执行情况较好。</w:t>
      </w:r>
    </w:p>
    <w:p w14:paraId="12A6BB8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二是加强组织领导，本项目绩效评价工作，有主要领导亲自挂帅，分管领导具体负责，从项目到资金，均能够很好的执行。</w:t>
      </w:r>
    </w:p>
    <w:p w14:paraId="085733C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三是加强沟通协调，我单位及时向领导汇报项目建设进度，加强与施工单位的沟通，确保项目按期完工。</w:t>
      </w:r>
    </w:p>
    <w:p w14:paraId="584AA42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bookmarkStart w:id="18" w:name="_Toc68364674"/>
      <w:r>
        <w:rPr>
          <w:rFonts w:hint="eastAsia" w:ascii="宋体" w:hAnsi="宋体" w:eastAsia="宋体" w:cs="宋体"/>
          <w:b w:val="0"/>
          <w:bCs w:val="0"/>
          <w:color w:val="000000"/>
          <w:sz w:val="24"/>
          <w:szCs w:val="24"/>
          <w:highlight w:val="none"/>
          <w:lang w:val="en-US" w:eastAsia="zh-CN"/>
        </w:rPr>
        <w:t>（二）存在问题及原因分析</w:t>
      </w:r>
      <w:bookmarkEnd w:id="18"/>
    </w:p>
    <w:p w14:paraId="7655D32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一是对各项指标和指标值要进一步优化、完善，主要在细化、量化上改进；</w:t>
      </w:r>
    </w:p>
    <w:p w14:paraId="2376909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二是部门评价工作还存在自我审定的局限性，会影响评价质量，容易造成问题的疏漏，在客观性和公正性上说服力不强；</w:t>
      </w:r>
    </w:p>
    <w:p w14:paraId="35DDBF5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三是缺少带着问题去评价的意识；</w:t>
      </w:r>
    </w:p>
    <w:p w14:paraId="5EE5CB7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四是现场评价的工作量少，后续效益评价具体措施和方法较少。</w:t>
      </w:r>
    </w:p>
    <w:p w14:paraId="1E52FF5A">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lang w:val="en-US" w:eastAsia="zh-CN"/>
        </w:rPr>
      </w:pPr>
      <w:bookmarkStart w:id="19" w:name="_Toc68364675"/>
      <w:r>
        <w:rPr>
          <w:rFonts w:hint="eastAsia" w:ascii="黑体" w:hAnsi="黑体" w:eastAsia="黑体" w:cs="黑体"/>
          <w:b/>
          <w:bCs/>
          <w:sz w:val="24"/>
          <w:szCs w:val="24"/>
        </w:rPr>
        <w:t>七、有关建议</w:t>
      </w:r>
      <w:bookmarkEnd w:id="19"/>
    </w:p>
    <w:p w14:paraId="37ABF10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159F226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2.项目评价资料有待进一步完善。项目启动时同步做好档案的归纳与整理，及时整理、收集、汇总，健全档案资料。项目后续管理有待进一步加强和跟踪。</w:t>
      </w:r>
    </w:p>
    <w:p w14:paraId="3CA4119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3.通过绩效管理，发现实施中存在漏洞，以后加强管理，及时掌握与之相关的各类信息，减少成本，使资金效益最大化。</w:t>
      </w:r>
    </w:p>
    <w:p w14:paraId="6633D0B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000000"/>
          <w:sz w:val="24"/>
          <w:szCs w:val="24"/>
          <w:highlight w:val="none"/>
          <w:lang w:val="en-US" w:eastAsia="zh-CN"/>
        </w:rPr>
        <w:t>4．评价工作应从项目实施方案源头抓起，评价工作和意识应贯穿项目整个过程。</w:t>
      </w:r>
      <w:bookmarkStart w:id="20" w:name="_Toc68364676"/>
    </w:p>
    <w:p w14:paraId="613C3B65">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八、其他需要说明的问题</w:t>
      </w:r>
      <w:bookmarkEnd w:id="20"/>
    </w:p>
    <w:p w14:paraId="6CEF153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我单位对上述项目支出绩效评价报告内反映内容的真实性、完整性负责，愿接受上级部门及社会公众监督。</w:t>
      </w:r>
    </w:p>
    <w:p w14:paraId="5025F31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p>
    <w:p w14:paraId="5F0E7AB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附件1：洛浦县城区街道综合服务用房建设项目绩效评价指标体系</w:t>
      </w:r>
    </w:p>
    <w:p w14:paraId="21552E1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附件2：洛浦县城区街道综合服务用房建设项目综合得分表</w:t>
      </w:r>
    </w:p>
    <w:p w14:paraId="79E2D55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附件3：满意度调查问分析情况</w:t>
      </w:r>
    </w:p>
    <w:p w14:paraId="13CD007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7FB2D339">
      <w:pPr>
        <w:pStyle w:val="10"/>
        <w:ind w:left="0" w:leftChars="0" w:firstLine="0" w:firstLineChars="0"/>
        <w:jc w:val="both"/>
        <w:rPr>
          <w:rFonts w:hint="eastAsia" w:ascii="宋体" w:hAnsi="宋体" w:eastAsia="宋体" w:cs="宋体"/>
          <w:sz w:val="24"/>
          <w:szCs w:val="24"/>
        </w:rPr>
      </w:pPr>
    </w:p>
    <w:p w14:paraId="16F04C9F">
      <w:pPr>
        <w:pStyle w:val="10"/>
        <w:rPr>
          <w:rFonts w:hint="eastAsia" w:ascii="宋体" w:hAnsi="宋体" w:eastAsia="宋体" w:cs="宋体"/>
          <w:sz w:val="24"/>
          <w:szCs w:val="24"/>
          <w:lang w:eastAsia="zh-CN"/>
        </w:rPr>
      </w:pPr>
    </w:p>
    <w:p w14:paraId="46C7D989">
      <w:pPr>
        <w:pStyle w:val="10"/>
        <w:rPr>
          <w:rFonts w:hint="eastAsia" w:ascii="宋体" w:hAnsi="宋体" w:eastAsia="宋体" w:cs="宋体"/>
          <w:sz w:val="24"/>
          <w:szCs w:val="24"/>
          <w:lang w:eastAsia="zh-CN"/>
        </w:rPr>
      </w:pPr>
    </w:p>
    <w:p w14:paraId="524BFCD3">
      <w:pPr>
        <w:pStyle w:val="10"/>
        <w:ind w:left="0" w:leftChars="0" w:firstLine="0" w:firstLineChars="0"/>
        <w:jc w:val="both"/>
        <w:rPr>
          <w:rFonts w:hint="default" w:ascii="宋体" w:hAnsi="宋体" w:eastAsia="宋体" w:cs="宋体"/>
          <w:sz w:val="24"/>
          <w:szCs w:val="24"/>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708"/>
        <w:gridCol w:w="470"/>
        <w:gridCol w:w="717"/>
        <w:gridCol w:w="527"/>
        <w:gridCol w:w="2928"/>
        <w:gridCol w:w="1118"/>
        <w:gridCol w:w="4270"/>
        <w:gridCol w:w="952"/>
        <w:gridCol w:w="540"/>
      </w:tblGrid>
      <w:tr w14:paraId="7502D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266A09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40499C6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5" w:type="pct"/>
            <w:tcBorders>
              <w:top w:val="nil"/>
              <w:left w:val="nil"/>
              <w:bottom w:val="nil"/>
              <w:right w:val="nil"/>
            </w:tcBorders>
            <w:noWrap/>
            <w:vAlign w:val="center"/>
          </w:tcPr>
          <w:p w14:paraId="06885AA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76" w:type="pct"/>
            <w:tcBorders>
              <w:top w:val="nil"/>
              <w:left w:val="nil"/>
              <w:bottom w:val="nil"/>
              <w:right w:val="nil"/>
            </w:tcBorders>
            <w:noWrap/>
            <w:vAlign w:val="center"/>
          </w:tcPr>
          <w:p w14:paraId="26EF85D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8" w:type="pct"/>
            <w:tcBorders>
              <w:top w:val="nil"/>
              <w:left w:val="nil"/>
              <w:bottom w:val="nil"/>
              <w:right w:val="nil"/>
            </w:tcBorders>
            <w:noWrap/>
            <w:vAlign w:val="center"/>
          </w:tcPr>
          <w:p w14:paraId="2805AFC7">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347DA85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0DAA1AF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46887F4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1EB54F7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356" w:type="pct"/>
            <w:tcBorders>
              <w:top w:val="nil"/>
              <w:left w:val="nil"/>
              <w:bottom w:val="nil"/>
              <w:right w:val="nil"/>
            </w:tcBorders>
            <w:noWrap/>
            <w:vAlign w:val="center"/>
          </w:tcPr>
          <w:p w14:paraId="2602827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0D32159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7F8CE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5F4146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洛浦县城区街道综合服务用房建设项目</w:t>
            </w:r>
            <w:r>
              <w:rPr>
                <w:rStyle w:val="58"/>
                <w:rFonts w:hint="eastAsia" w:ascii="宋体" w:hAnsi="宋体" w:eastAsia="宋体" w:cs="宋体"/>
                <w:color w:val="000000"/>
                <w:sz w:val="24"/>
                <w:szCs w:val="24"/>
                <w:highlight w:val="none"/>
                <w:lang w:val="en-US" w:eastAsia="zh-CN"/>
              </w:rPr>
              <w:t>绩效评价指标体系综合评分表</w:t>
            </w:r>
          </w:p>
        </w:tc>
      </w:tr>
      <w:tr w14:paraId="0BBFE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4333F0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025995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5EFAAE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76" w:type="pct"/>
            <w:tcBorders>
              <w:top w:val="single" w:color="auto" w:sz="4" w:space="0"/>
              <w:left w:val="single" w:color="auto" w:sz="4" w:space="0"/>
              <w:bottom w:val="single" w:color="auto" w:sz="4" w:space="0"/>
              <w:right w:val="single" w:color="auto" w:sz="4" w:space="0"/>
            </w:tcBorders>
            <w:noWrap w:val="0"/>
            <w:vAlign w:val="center"/>
          </w:tcPr>
          <w:p w14:paraId="322D87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7C3AAD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6110B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41706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1F0B9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F4A60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29ECC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869C3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771A5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50097A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10F2FA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67E179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220753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A8873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C18C1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FA91E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77AF2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0F662F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34F75F5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0BC17CA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35FDF4E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75D58A7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5A5557F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AEAD5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535A2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0A02F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CAC1B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377A3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7F8F5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1C16A8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8FE75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B17DB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0D9F5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54167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A3279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1C4F0D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7A014D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0D86AE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B185F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84D5F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2F0EC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534BC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F12F6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23AF6E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51DA33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356416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8D26D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85733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3C1E7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78F46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7017A1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34E31A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25802C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22CCCB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5EF22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FD33B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11451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FD094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BB866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1EBE6A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671D1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848F4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E7C37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F67EF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271AD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5E749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43D543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5428A7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A18DC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8B51C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4E253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1E894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40A6E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B5894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473B49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31F1A4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52FC7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AF6D8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B40D8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68DBC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EE3BB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422D66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02E525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632DFD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4E06CC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D6B34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6948D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04C4E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A36CC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C906A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62F6A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ECEDE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4EDBCC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AE80D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1DEFF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B2D99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CCD3F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33FEF0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35B03D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3A4ED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82290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59B84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00023D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5CAFED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EEE41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4DD4E6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10602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055EB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BADDA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703D5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C80E7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084F8E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77FFD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0399F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4ABB7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1E3E46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B9B8B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65E777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2DB47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1E4076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14C80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5AE05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A2FC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D9EED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203B5E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AA532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B2104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65A4D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4B3CD8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1E54F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DC08C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043CB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065B81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84DD7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D53ED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22BDC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393F3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6F63CA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11F42C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2D1EF2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25D8E2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4AA82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90D47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0F5B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547E2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51920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E9932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449A2A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14E49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81BE3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5C060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49616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3987A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3D2D0A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545F38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72499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1F68A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721D4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470933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341F7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55345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536D36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1AE31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E6FF7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49F1B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7FE59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4CA20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6BCF7E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68A143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28A50B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FF8A6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7388C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bl>
    <w:tbl>
      <w:tblPr>
        <w:tblStyle w:val="23"/>
        <w:tblpPr w:leftFromText="180" w:rightFromText="180" w:vertAnchor="text" w:horzAnchor="page" w:tblpX="1701" w:tblpY="35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5"/>
        <w:gridCol w:w="527"/>
        <w:gridCol w:w="524"/>
        <w:gridCol w:w="533"/>
        <w:gridCol w:w="648"/>
        <w:gridCol w:w="533"/>
        <w:gridCol w:w="2228"/>
        <w:gridCol w:w="1513"/>
        <w:gridCol w:w="3930"/>
        <w:gridCol w:w="1280"/>
        <w:gridCol w:w="667"/>
      </w:tblGrid>
      <w:tr w14:paraId="5814F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restart"/>
            <w:tcBorders>
              <w:top w:val="single" w:color="auto" w:sz="4" w:space="0"/>
              <w:left w:val="single" w:color="auto" w:sz="4" w:space="0"/>
              <w:right w:val="single" w:color="auto" w:sz="4" w:space="0"/>
            </w:tcBorders>
            <w:noWrap w:val="0"/>
            <w:vAlign w:val="center"/>
          </w:tcPr>
          <w:p w14:paraId="423BAC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197" w:type="pct"/>
            <w:vMerge w:val="restart"/>
            <w:tcBorders>
              <w:top w:val="single" w:color="auto" w:sz="4" w:space="0"/>
              <w:left w:val="single" w:color="auto" w:sz="4" w:space="0"/>
              <w:right w:val="single" w:color="auto" w:sz="4" w:space="0"/>
            </w:tcBorders>
            <w:noWrap w:val="0"/>
            <w:vAlign w:val="center"/>
          </w:tcPr>
          <w:p w14:paraId="12A0C3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196" w:type="pct"/>
            <w:tcBorders>
              <w:top w:val="single" w:color="auto" w:sz="4" w:space="0"/>
              <w:left w:val="single" w:color="auto" w:sz="4" w:space="0"/>
              <w:right w:val="single" w:color="auto" w:sz="4" w:space="0"/>
            </w:tcBorders>
            <w:noWrap w:val="0"/>
            <w:vAlign w:val="center"/>
          </w:tcPr>
          <w:p w14:paraId="563D4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199" w:type="pct"/>
            <w:tcBorders>
              <w:top w:val="single" w:color="auto" w:sz="4" w:space="0"/>
              <w:left w:val="single" w:color="auto" w:sz="4" w:space="0"/>
              <w:right w:val="single" w:color="auto" w:sz="4" w:space="0"/>
            </w:tcBorders>
            <w:noWrap w:val="0"/>
            <w:vAlign w:val="center"/>
          </w:tcPr>
          <w:p w14:paraId="01E6F7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64A78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040983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lang w:val="en-US" w:eastAsia="zh-CN"/>
              </w:rPr>
              <w:t>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4422C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保障项目数量</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40FDA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≤1个</w:t>
            </w:r>
          </w:p>
        </w:tc>
        <w:tc>
          <w:tcPr>
            <w:tcW w:w="1468" w:type="pct"/>
            <w:tcBorders>
              <w:top w:val="single" w:color="auto" w:sz="4" w:space="0"/>
              <w:left w:val="single" w:color="auto" w:sz="4" w:space="0"/>
              <w:right w:val="single" w:color="auto" w:sz="4" w:space="0"/>
            </w:tcBorders>
            <w:noWrap w:val="0"/>
            <w:vAlign w:val="center"/>
          </w:tcPr>
          <w:p w14:paraId="4295BF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0EEF9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1个</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F1D15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2462D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0B968C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1FEDB4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0A2F93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199" w:type="pct"/>
            <w:vMerge w:val="restart"/>
            <w:tcBorders>
              <w:top w:val="single" w:color="auto" w:sz="4" w:space="0"/>
              <w:left w:val="single" w:color="auto" w:sz="4" w:space="0"/>
              <w:right w:val="single" w:color="auto" w:sz="4" w:space="0"/>
            </w:tcBorders>
            <w:noWrap w:val="0"/>
            <w:vAlign w:val="center"/>
          </w:tcPr>
          <w:p w14:paraId="5915DB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545D12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A3AC8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1BC77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资金使用</w:t>
            </w:r>
            <w:r>
              <w:rPr>
                <w:rFonts w:hint="eastAsia" w:ascii="宋体" w:hAnsi="宋体" w:eastAsia="宋体" w:cs="宋体"/>
                <w:i w:val="0"/>
                <w:iCs w:val="0"/>
                <w:color w:val="000000"/>
                <w:sz w:val="18"/>
                <w:szCs w:val="18"/>
                <w:highlight w:val="none"/>
                <w:u w:val="none"/>
              </w:rPr>
              <w:t>合规率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39AB1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100%</w:t>
            </w:r>
          </w:p>
        </w:tc>
        <w:tc>
          <w:tcPr>
            <w:tcW w:w="1468" w:type="pct"/>
            <w:vMerge w:val="restart"/>
            <w:tcBorders>
              <w:top w:val="single" w:color="auto" w:sz="4" w:space="0"/>
              <w:left w:val="single" w:color="auto" w:sz="4" w:space="0"/>
              <w:right w:val="single" w:color="auto" w:sz="4" w:space="0"/>
            </w:tcBorders>
            <w:noWrap w:val="0"/>
            <w:vAlign w:val="center"/>
          </w:tcPr>
          <w:p w14:paraId="71A9F8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612277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5DF23A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DE7E3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3B640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259F6E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vMerge w:val="continue"/>
            <w:tcBorders>
              <w:left w:val="single" w:color="auto" w:sz="4" w:space="0"/>
              <w:bottom w:val="single" w:color="auto" w:sz="4" w:space="0"/>
              <w:right w:val="single" w:color="auto" w:sz="4" w:space="0"/>
            </w:tcBorders>
            <w:noWrap w:val="0"/>
            <w:vAlign w:val="center"/>
          </w:tcPr>
          <w:p w14:paraId="6846E7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6" w:type="pct"/>
            <w:vMerge w:val="continue"/>
            <w:tcBorders>
              <w:left w:val="single" w:color="auto" w:sz="4" w:space="0"/>
              <w:bottom w:val="single" w:color="auto" w:sz="4" w:space="0"/>
              <w:right w:val="single" w:color="auto" w:sz="4" w:space="0"/>
            </w:tcBorders>
            <w:noWrap w:val="0"/>
            <w:vAlign w:val="center"/>
          </w:tcPr>
          <w:p w14:paraId="2157CB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479D4C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42" w:type="pct"/>
            <w:vMerge w:val="continue"/>
            <w:tcBorders>
              <w:left w:val="single" w:color="auto" w:sz="4" w:space="0"/>
              <w:bottom w:val="single" w:color="auto" w:sz="4" w:space="0"/>
              <w:right w:val="single" w:color="auto" w:sz="4" w:space="0"/>
            </w:tcBorders>
            <w:noWrap w:val="0"/>
            <w:vAlign w:val="center"/>
          </w:tcPr>
          <w:p w14:paraId="2A2CAC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79E3DD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22707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资金到位率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1EE29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25F7EC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49D16B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ABE13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39D2A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5213F5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29E6BB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26B39B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199" w:type="pct"/>
            <w:vMerge w:val="restart"/>
            <w:tcBorders>
              <w:top w:val="single" w:color="auto" w:sz="4" w:space="0"/>
              <w:left w:val="single" w:color="auto" w:sz="4" w:space="0"/>
              <w:right w:val="single" w:color="auto" w:sz="4" w:space="0"/>
            </w:tcBorders>
            <w:noWrap w:val="0"/>
            <w:vAlign w:val="center"/>
          </w:tcPr>
          <w:p w14:paraId="6BE5B9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534A45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57F26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79EDA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项目开始时间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F6E2C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月</w:t>
            </w:r>
          </w:p>
        </w:tc>
        <w:tc>
          <w:tcPr>
            <w:tcW w:w="1468" w:type="pct"/>
            <w:vMerge w:val="restart"/>
            <w:tcBorders>
              <w:top w:val="single" w:color="auto" w:sz="4" w:space="0"/>
              <w:left w:val="single" w:color="auto" w:sz="4" w:space="0"/>
              <w:right w:val="single" w:color="auto" w:sz="4" w:space="0"/>
            </w:tcBorders>
            <w:noWrap w:val="0"/>
            <w:vAlign w:val="center"/>
          </w:tcPr>
          <w:p w14:paraId="1644AC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1AFA3F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20F80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9A2CB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r>
      <w:tr w14:paraId="26233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16CD93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212EE6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6" w:type="pct"/>
            <w:vMerge w:val="continue"/>
            <w:tcBorders>
              <w:left w:val="single" w:color="auto" w:sz="4" w:space="0"/>
              <w:right w:val="single" w:color="auto" w:sz="4" w:space="0"/>
            </w:tcBorders>
            <w:noWrap w:val="0"/>
            <w:vAlign w:val="center"/>
          </w:tcPr>
          <w:p w14:paraId="7A1FA9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vMerge w:val="continue"/>
            <w:tcBorders>
              <w:left w:val="single" w:color="auto" w:sz="4" w:space="0"/>
              <w:right w:val="single" w:color="auto" w:sz="4" w:space="0"/>
            </w:tcBorders>
            <w:noWrap w:val="0"/>
            <w:vAlign w:val="center"/>
          </w:tcPr>
          <w:p w14:paraId="7B0FFA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42" w:type="pct"/>
            <w:vMerge w:val="continue"/>
            <w:tcBorders>
              <w:left w:val="single" w:color="auto" w:sz="4" w:space="0"/>
              <w:right w:val="single" w:color="auto" w:sz="4" w:space="0"/>
            </w:tcBorders>
            <w:noWrap w:val="0"/>
            <w:vAlign w:val="center"/>
          </w:tcPr>
          <w:p w14:paraId="7747C7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47B23A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D57B6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w:t>
            </w:r>
            <w:r>
              <w:rPr>
                <w:rFonts w:hint="eastAsia" w:ascii="宋体" w:hAnsi="宋体" w:eastAsia="宋体" w:cs="宋体"/>
                <w:i w:val="0"/>
                <w:iCs w:val="0"/>
                <w:color w:val="000000"/>
                <w:sz w:val="18"/>
                <w:szCs w:val="18"/>
                <w:highlight w:val="none"/>
                <w:u w:val="none"/>
                <w:lang w:val="en-US" w:eastAsia="zh-CN"/>
              </w:rPr>
              <w:t>成</w:t>
            </w:r>
            <w:r>
              <w:rPr>
                <w:rFonts w:hint="eastAsia" w:ascii="宋体" w:hAnsi="宋体" w:eastAsia="宋体" w:cs="宋体"/>
                <w:i w:val="0"/>
                <w:iCs w:val="0"/>
                <w:color w:val="000000"/>
                <w:sz w:val="18"/>
                <w:szCs w:val="18"/>
                <w:highlight w:val="none"/>
                <w:u w:val="none"/>
              </w:rPr>
              <w:t>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9408D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468" w:type="pct"/>
            <w:vMerge w:val="continue"/>
            <w:tcBorders>
              <w:left w:val="single" w:color="auto" w:sz="4" w:space="0"/>
              <w:right w:val="single" w:color="auto" w:sz="4" w:space="0"/>
            </w:tcBorders>
            <w:noWrap w:val="0"/>
            <w:vAlign w:val="center"/>
          </w:tcPr>
          <w:p w14:paraId="211A7F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13EC33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EE2A3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r>
      <w:tr w14:paraId="53113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6EF65F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4311A5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6C3A87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746889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357322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7B5C52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9AA91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9A6EE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4BF886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5C1B5A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1474B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r>
      <w:tr w14:paraId="4BB00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72BFD8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0FA7A5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tcBorders>
              <w:top w:val="single" w:color="auto" w:sz="4" w:space="0"/>
              <w:left w:val="single" w:color="auto" w:sz="4" w:space="0"/>
              <w:right w:val="single" w:color="auto" w:sz="4" w:space="0"/>
            </w:tcBorders>
            <w:noWrap w:val="0"/>
            <w:vAlign w:val="center"/>
          </w:tcPr>
          <w:p w14:paraId="213554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199" w:type="pct"/>
            <w:tcBorders>
              <w:top w:val="single" w:color="auto" w:sz="4" w:space="0"/>
              <w:left w:val="single" w:color="auto" w:sz="4" w:space="0"/>
              <w:right w:val="single" w:color="auto" w:sz="4" w:space="0"/>
            </w:tcBorders>
            <w:noWrap w:val="0"/>
            <w:vAlign w:val="center"/>
          </w:tcPr>
          <w:p w14:paraId="4AD563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7A7237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34D7EA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43CCEC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综合服务用房建设项目维修维护费</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12479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85.26</w:t>
            </w:r>
            <w:r>
              <w:rPr>
                <w:rFonts w:hint="eastAsia" w:ascii="宋体" w:hAnsi="宋体" w:eastAsia="宋体" w:cs="宋体"/>
                <w:i w:val="0"/>
                <w:iCs w:val="0"/>
                <w:color w:val="000000"/>
                <w:sz w:val="18"/>
                <w:szCs w:val="18"/>
                <w:highlight w:val="none"/>
                <w:u w:val="none"/>
              </w:rPr>
              <w:t>万元</w:t>
            </w:r>
          </w:p>
        </w:tc>
        <w:tc>
          <w:tcPr>
            <w:tcW w:w="1468" w:type="pct"/>
            <w:tcBorders>
              <w:top w:val="single" w:color="auto" w:sz="4" w:space="0"/>
              <w:left w:val="single" w:color="auto" w:sz="4" w:space="0"/>
              <w:right w:val="single" w:color="auto" w:sz="4" w:space="0"/>
            </w:tcBorders>
            <w:noWrap w:val="0"/>
            <w:vAlign w:val="center"/>
          </w:tcPr>
          <w:p w14:paraId="1FDA7D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5509AA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85.26</w:t>
            </w:r>
            <w:r>
              <w:rPr>
                <w:rFonts w:hint="eastAsia" w:ascii="宋体" w:hAnsi="宋体" w:eastAsia="宋体" w:cs="宋体"/>
                <w:i w:val="0"/>
                <w:iCs w:val="0"/>
                <w:color w:val="000000"/>
                <w:sz w:val="18"/>
                <w:szCs w:val="18"/>
                <w:highlight w:val="none"/>
                <w:u w:val="none"/>
              </w:rPr>
              <w:t>万元</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DE892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10</w:t>
            </w:r>
          </w:p>
        </w:tc>
      </w:tr>
      <w:tr w14:paraId="5CD3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368" w:type="pct"/>
            <w:vMerge w:val="restart"/>
            <w:tcBorders>
              <w:top w:val="single" w:color="auto" w:sz="4" w:space="0"/>
              <w:left w:val="single" w:color="auto" w:sz="4" w:space="0"/>
              <w:bottom w:val="single" w:color="auto" w:sz="4" w:space="0"/>
              <w:right w:val="single" w:color="auto" w:sz="4" w:space="0"/>
            </w:tcBorders>
            <w:noWrap w:val="0"/>
            <w:vAlign w:val="center"/>
          </w:tcPr>
          <w:p w14:paraId="7328BE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359B81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64FBC6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15EC82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08B1CE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563D7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DB5A4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保障项目正常完工，改善工作环境</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D6F83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有效</w:t>
            </w:r>
            <w:r>
              <w:rPr>
                <w:rFonts w:hint="eastAsia" w:ascii="宋体" w:hAnsi="宋体" w:eastAsia="宋体" w:cs="宋体"/>
                <w:i w:val="0"/>
                <w:iCs w:val="0"/>
                <w:color w:val="000000"/>
                <w:sz w:val="18"/>
                <w:szCs w:val="18"/>
                <w:highlight w:val="none"/>
                <w:u w:val="none"/>
                <w:lang w:val="en-US" w:eastAsia="zh-CN"/>
              </w:rPr>
              <w:t>保障</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51476A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305112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w:t>
            </w:r>
            <w:r>
              <w:rPr>
                <w:rFonts w:hint="eastAsia" w:ascii="宋体" w:hAnsi="宋体" w:eastAsia="宋体" w:cs="宋体"/>
                <w:i w:val="0"/>
                <w:iCs w:val="0"/>
                <w:color w:val="000000"/>
                <w:sz w:val="18"/>
                <w:szCs w:val="18"/>
                <w:highlight w:val="none"/>
                <w:u w:val="none"/>
                <w:lang w:val="en-US" w:eastAsia="zh-CN"/>
              </w:rPr>
              <w:t>保障</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D8098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59E7B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219D84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381943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5C6CA0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04EA27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restart"/>
            <w:tcBorders>
              <w:top w:val="single" w:color="auto" w:sz="4" w:space="0"/>
              <w:left w:val="single" w:color="auto" w:sz="4" w:space="0"/>
              <w:right w:val="single" w:color="auto" w:sz="4" w:space="0"/>
            </w:tcBorders>
            <w:noWrap w:val="0"/>
            <w:vAlign w:val="center"/>
          </w:tcPr>
          <w:p w14:paraId="1037D4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0CA3F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4F486B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w:t>
            </w:r>
            <w:r>
              <w:rPr>
                <w:rFonts w:hint="eastAsia" w:ascii="宋体" w:hAnsi="宋体" w:eastAsia="宋体" w:cs="宋体"/>
                <w:i w:val="0"/>
                <w:iCs w:val="0"/>
                <w:color w:val="000000"/>
                <w:sz w:val="18"/>
                <w:szCs w:val="18"/>
                <w:highlight w:val="none"/>
                <w:u w:val="none"/>
                <w:lang w:val="en-US" w:eastAsia="zh-CN"/>
              </w:rPr>
              <w:t>人员</w:t>
            </w:r>
            <w:r>
              <w:rPr>
                <w:rFonts w:hint="eastAsia" w:ascii="宋体" w:hAnsi="宋体" w:eastAsia="宋体" w:cs="宋体"/>
                <w:i w:val="0"/>
                <w:iCs w:val="0"/>
                <w:color w:val="000000"/>
                <w:sz w:val="18"/>
                <w:szCs w:val="18"/>
                <w:highlight w:val="none"/>
                <w:u w:val="none"/>
              </w:rPr>
              <w:t>满意度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9ECFA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468" w:type="pct"/>
            <w:vMerge w:val="restart"/>
            <w:tcBorders>
              <w:top w:val="single" w:color="auto" w:sz="4" w:space="0"/>
              <w:left w:val="single" w:color="auto" w:sz="4" w:space="0"/>
              <w:right w:val="single" w:color="auto" w:sz="4" w:space="0"/>
            </w:tcBorders>
            <w:noWrap w:val="0"/>
            <w:vAlign w:val="center"/>
          </w:tcPr>
          <w:p w14:paraId="6F5837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70A749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98</w:t>
            </w:r>
            <w:r>
              <w:rPr>
                <w:rFonts w:hint="eastAsia" w:ascii="宋体" w:hAnsi="宋体" w:eastAsia="宋体" w:cs="宋体"/>
                <w:i w:val="0"/>
                <w:iCs w:val="0"/>
                <w:color w:val="000000"/>
                <w:sz w:val="18"/>
                <w:szCs w:val="18"/>
                <w:highlight w:val="none"/>
                <w:u w:val="none"/>
              </w:rPr>
              <w:t>%</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66426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60742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368" w:type="pct"/>
            <w:vMerge w:val="continue"/>
            <w:tcBorders>
              <w:left w:val="single" w:color="auto" w:sz="4" w:space="0"/>
              <w:bottom w:val="single" w:color="auto" w:sz="4" w:space="0"/>
              <w:right w:val="single" w:color="auto" w:sz="4" w:space="0"/>
            </w:tcBorders>
            <w:noWrap w:val="0"/>
            <w:vAlign w:val="center"/>
          </w:tcPr>
          <w:p w14:paraId="4D7D85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vMerge w:val="continue"/>
            <w:tcBorders>
              <w:left w:val="single" w:color="auto" w:sz="4" w:space="0"/>
              <w:bottom w:val="single" w:color="auto" w:sz="4" w:space="0"/>
              <w:right w:val="single" w:color="auto" w:sz="4" w:space="0"/>
            </w:tcBorders>
            <w:noWrap w:val="0"/>
            <w:vAlign w:val="center"/>
          </w:tcPr>
          <w:p w14:paraId="4517CC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6" w:type="pct"/>
            <w:vMerge w:val="continue"/>
            <w:tcBorders>
              <w:left w:val="single" w:color="auto" w:sz="4" w:space="0"/>
              <w:bottom w:val="single" w:color="auto" w:sz="4" w:space="0"/>
              <w:right w:val="single" w:color="auto" w:sz="4" w:space="0"/>
            </w:tcBorders>
            <w:noWrap w:val="0"/>
            <w:vAlign w:val="center"/>
          </w:tcPr>
          <w:p w14:paraId="09D39C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7BED3B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42" w:type="pct"/>
            <w:vMerge w:val="continue"/>
            <w:tcBorders>
              <w:left w:val="single" w:color="auto" w:sz="4" w:space="0"/>
              <w:bottom w:val="single" w:color="auto" w:sz="4" w:space="0"/>
              <w:right w:val="single" w:color="auto" w:sz="4" w:space="0"/>
            </w:tcBorders>
            <w:noWrap w:val="0"/>
            <w:vAlign w:val="center"/>
          </w:tcPr>
          <w:p w14:paraId="4C35DC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768693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12682B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工作人员</w:t>
            </w:r>
            <w:r>
              <w:rPr>
                <w:rFonts w:hint="eastAsia" w:ascii="宋体" w:hAnsi="宋体" w:eastAsia="宋体" w:cs="宋体"/>
                <w:i w:val="0"/>
                <w:iCs w:val="0"/>
                <w:color w:val="000000"/>
                <w:sz w:val="18"/>
                <w:szCs w:val="18"/>
                <w:highlight w:val="none"/>
                <w:u w:val="none"/>
              </w:rPr>
              <w:t>满意度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B386A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468" w:type="pct"/>
            <w:vMerge w:val="continue"/>
            <w:tcBorders>
              <w:left w:val="single" w:color="auto" w:sz="4" w:space="0"/>
              <w:bottom w:val="single" w:color="auto" w:sz="4" w:space="0"/>
              <w:right w:val="single" w:color="auto" w:sz="4" w:space="0"/>
            </w:tcBorders>
            <w:noWrap w:val="0"/>
            <w:vAlign w:val="center"/>
          </w:tcPr>
          <w:p w14:paraId="5CF328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73EB90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98</w:t>
            </w:r>
            <w:r>
              <w:rPr>
                <w:rFonts w:hint="eastAsia" w:ascii="宋体" w:hAnsi="宋体" w:eastAsia="宋体" w:cs="宋体"/>
                <w:i w:val="0"/>
                <w:iCs w:val="0"/>
                <w:color w:val="000000"/>
                <w:sz w:val="18"/>
                <w:szCs w:val="18"/>
                <w:highlight w:val="none"/>
                <w:u w:val="none"/>
              </w:rPr>
              <w:t>%</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6A09C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59119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368" w:type="pct"/>
            <w:tcBorders>
              <w:top w:val="single" w:color="auto" w:sz="4" w:space="0"/>
              <w:left w:val="single" w:color="auto" w:sz="4" w:space="0"/>
              <w:bottom w:val="single" w:color="auto" w:sz="4" w:space="0"/>
              <w:right w:val="single" w:color="auto" w:sz="4" w:space="0"/>
            </w:tcBorders>
            <w:noWrap w:val="0"/>
            <w:vAlign w:val="center"/>
          </w:tcPr>
          <w:p w14:paraId="09E937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50B24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2A15F2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3DFB2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599E7A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BDB9C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19583E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65" w:type="pct"/>
            <w:tcBorders>
              <w:top w:val="single" w:color="auto" w:sz="4" w:space="0"/>
              <w:left w:val="single" w:color="auto" w:sz="4" w:space="0"/>
              <w:bottom w:val="single" w:color="auto" w:sz="4" w:space="0"/>
              <w:right w:val="single" w:color="auto" w:sz="4" w:space="0"/>
            </w:tcBorders>
            <w:noWrap w:val="0"/>
            <w:vAlign w:val="center"/>
          </w:tcPr>
          <w:p w14:paraId="4B2A76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1583E13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06C145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2E36FA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r>
    </w:tbl>
    <w:p w14:paraId="30ADD165">
      <w:pPr>
        <w:pStyle w:val="10"/>
        <w:ind w:left="0" w:leftChars="0" w:firstLine="0" w:firstLineChars="0"/>
        <w:jc w:val="both"/>
        <w:rPr>
          <w:rFonts w:hint="default" w:ascii="宋体" w:hAnsi="宋体" w:eastAsia="宋体" w:cs="宋体"/>
          <w:sz w:val="24"/>
          <w:szCs w:val="24"/>
          <w:lang w:val="en-US" w:eastAsia="zh-CN"/>
        </w:rPr>
      </w:pPr>
    </w:p>
    <w:p w14:paraId="1B3F743C">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23675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1493CE1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3C54B0A4">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56805668">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4A778E65">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48B1E59E">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0604BB78">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r>
      <w:tr w14:paraId="41E8D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74982E6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36"/>
                <w:szCs w:val="36"/>
                <w:highlight w:val="none"/>
                <w:u w:val="none"/>
              </w:rPr>
            </w:pPr>
            <w:r>
              <w:rPr>
                <w:rFonts w:hint="eastAsia" w:ascii="宋体" w:hAnsi="宋体" w:eastAsia="宋体" w:cs="宋体"/>
                <w:b/>
                <w:bCs/>
                <w:i w:val="0"/>
                <w:iCs w:val="0"/>
                <w:color w:val="000000"/>
                <w:kern w:val="0"/>
                <w:sz w:val="36"/>
                <w:szCs w:val="36"/>
                <w:highlight w:val="none"/>
                <w:u w:val="none"/>
                <w:lang w:val="en-US" w:eastAsia="zh-CN"/>
              </w:rPr>
              <w:t>洛浦县城区街道综合服务用房建设项目目综合得分表</w:t>
            </w:r>
          </w:p>
        </w:tc>
      </w:tr>
      <w:tr w14:paraId="710FD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C499A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6CADC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03285B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D2B9A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5C3AC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55849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合计</w:t>
            </w:r>
          </w:p>
        </w:tc>
      </w:tr>
      <w:tr w14:paraId="4F498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824C5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F7FA3C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A49D76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C0E102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FE22C2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9525CA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r>
      <w:tr w14:paraId="11402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085BC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C87B9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0F139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699A3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642AB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118D68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100.00</w:t>
            </w:r>
          </w:p>
        </w:tc>
      </w:tr>
      <w:tr w14:paraId="260E8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22D4D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FE2429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BAAD87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1FB084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31AFF2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37516D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r>
    </w:tbl>
    <w:p w14:paraId="4EA7CEC0">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1071478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2512C20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洛浦县城区街道综合服务用房建设项目</w:t>
      </w:r>
    </w:p>
    <w:p w14:paraId="201039D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09E170D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6324893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5620E14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一、该问卷调查从2025年3月1日开始至2025年3月3日结束，调查问卷共设置3道题目。</w:t>
      </w:r>
    </w:p>
    <w:p w14:paraId="1962AC71">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54803E9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社区干部、群众</w:t>
      </w:r>
      <w:r>
        <w:rPr>
          <w:rFonts w:hint="eastAsia" w:ascii="宋体" w:hAnsi="宋体" w:eastAsia="宋体" w:cs="宋体"/>
          <w:color w:val="000000"/>
          <w:sz w:val="24"/>
          <w:szCs w:val="24"/>
          <w:highlight w:val="none"/>
        </w:rPr>
        <w:t>。</w:t>
      </w:r>
    </w:p>
    <w:p w14:paraId="1AA13A8D">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2B5776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①您对洛浦县城区街道综合服务用房建设项目的资金使用合规率是否满意?</w:t>
      </w:r>
    </w:p>
    <w:p w14:paraId="3107E1F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②您对洛浦县城区街道综合服务用房建设项目的保障项目正常完工，改善工作环境是否满意？</w:t>
      </w:r>
    </w:p>
    <w:p w14:paraId="53EB995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③总的来说，您对目前洛浦县城区街道综合服务用房建设项目实施后的整体满意程度如何？</w:t>
      </w:r>
    </w:p>
    <w:p w14:paraId="536F59AF">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7E71FB7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2B08A80A">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572493E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6CB82B6C">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6991BD0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4A87A833">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1C2B78E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6B8A57E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1130EE0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2235B7D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2C5F7CD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084C229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洛浦县城区街道综合服务用房建设项目针对受益人员发放30份调查问卷，最终统计受益人群满意度为98%。</w:t>
      </w:r>
    </w:p>
    <w:p w14:paraId="38F7956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022CE88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洛浦县社区服务中心</w:t>
      </w:r>
    </w:p>
    <w:p w14:paraId="0753589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2025年3月5日</w:t>
      </w:r>
    </w:p>
    <w:p w14:paraId="5743271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C4C86">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139D03C4">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263BF">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36700D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2A58986EB0B941BF89750399102551A0_13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af97c-99e2-4196-9135-441a17eb535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10787</Words>
  <Characters>11367</Characters>
  <Lines>44</Lines>
  <Paragraphs>12</Paragraphs>
  <TotalTime>0</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2025-10-10T10:55:58Z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2A58986EB0B941BF89750399102551A0_13</vt:lpwstr>
  </property>
  <property fmtid="{D5CDD505-2E9C-101B-9397-08002B2CF9AE}" pid="4" name="KSOTemplateDocerSaveRecord">
    <vt:lpwstr>eyJoZGlkIjoiZDE5MGZhMTJhZDM2OTQwYzkzYWVjM2FhZDUxN2Q0M2IiLCJ1c2VySWQiOiI2NTE5NDIwMjYifQ_x003D__x003D_</vt:lpwstr>
  </property>
</Properties>
</file>