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C96DE">
      <w:bookmarkStart w:id="21" w:name="_GoBack"/>
      <w:bookmarkEnd w:id="21"/>
    </w:p>
    <w:p w14:paraId="1908EEED">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68D40CEF">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和田地区洛浦县2024年村级财务审计费用还款</w:t>
      </w:r>
    </w:p>
    <w:p w14:paraId="2AE230DF">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项目支出绩效评价报告</w:t>
      </w:r>
    </w:p>
    <w:p w14:paraId="044570F9">
      <w:pPr>
        <w:pStyle w:val="6"/>
        <w:ind w:left="0" w:leftChars="0" w:firstLine="0" w:firstLineChars="0"/>
        <w:jc w:val="center"/>
        <w:rPr>
          <w:rFonts w:hint="eastAsia" w:ascii="黑体" w:hAnsi="黑体" w:eastAsia="黑体" w:cs="黑体"/>
          <w:b/>
          <w:bCs w:val="0"/>
          <w:color w:val="000000"/>
          <w:sz w:val="28"/>
          <w:szCs w:val="28"/>
          <w:highlight w:val="none"/>
          <w:lang w:eastAsia="zh-CN"/>
        </w:rPr>
      </w:pPr>
      <w:r>
        <w:rPr>
          <w:rFonts w:hint="eastAsia" w:ascii="黑体" w:hAnsi="黑体" w:eastAsia="黑体" w:cs="黑体"/>
          <w:b/>
          <w:bCs w:val="0"/>
          <w:color w:val="000000"/>
          <w:sz w:val="28"/>
          <w:szCs w:val="28"/>
          <w:highlight w:val="none"/>
          <w:lang w:eastAsia="zh-CN"/>
        </w:rPr>
        <w:t>（</w:t>
      </w:r>
      <w:r>
        <w:rPr>
          <w:rFonts w:hint="eastAsia" w:ascii="黑体" w:hAnsi="黑体" w:eastAsia="黑体" w:cs="黑体"/>
          <w:b/>
          <w:bCs w:val="0"/>
          <w:color w:val="000000"/>
          <w:sz w:val="28"/>
          <w:szCs w:val="28"/>
          <w:highlight w:val="none"/>
          <w:lang w:val="en-US" w:eastAsia="zh-CN"/>
        </w:rPr>
        <w:t>2024年度</w:t>
      </w:r>
      <w:r>
        <w:rPr>
          <w:rFonts w:hint="eastAsia" w:ascii="黑体" w:hAnsi="黑体" w:eastAsia="黑体" w:cs="黑体"/>
          <w:b/>
          <w:bCs w:val="0"/>
          <w:color w:val="000000"/>
          <w:sz w:val="28"/>
          <w:szCs w:val="28"/>
          <w:highlight w:val="none"/>
          <w:lang w:eastAsia="zh-CN"/>
        </w:rPr>
        <w:t>）</w:t>
      </w:r>
    </w:p>
    <w:p w14:paraId="0540D40D">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451B53EF">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3AE00288">
      <w:pPr>
        <w:pStyle w:val="6"/>
        <w:rPr>
          <w:rFonts w:hint="eastAsia" w:eastAsia="方正仿宋_GBK" w:cs="方正仿宋_GBK"/>
          <w:b/>
          <w:kern w:val="0"/>
          <w:sz w:val="32"/>
          <w:szCs w:val="32"/>
          <w:lang w:bidi="en-US"/>
        </w:rPr>
      </w:pPr>
    </w:p>
    <w:p w14:paraId="515EC962">
      <w:pPr>
        <w:rPr>
          <w:rFonts w:hint="eastAsia" w:eastAsia="方正仿宋_GBK" w:cs="方正仿宋_GBK"/>
          <w:b/>
          <w:kern w:val="0"/>
          <w:sz w:val="32"/>
          <w:szCs w:val="32"/>
          <w:lang w:bidi="en-US"/>
        </w:rPr>
      </w:pPr>
    </w:p>
    <w:p w14:paraId="1BC8B960">
      <w:pPr>
        <w:pStyle w:val="6"/>
        <w:rPr>
          <w:rFonts w:hint="eastAsia"/>
        </w:rPr>
      </w:pPr>
    </w:p>
    <w:p w14:paraId="0F17EE26">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3D1E1CC1">
      <w:pPr>
        <w:pageBreakBefore w:val="0"/>
        <w:widowControl w:val="0"/>
        <w:kinsoku/>
        <w:wordWrap/>
        <w:topLinePunct w:val="0"/>
        <w:autoSpaceDE/>
        <w:autoSpaceDN/>
        <w:bidi w:val="0"/>
        <w:spacing w:line="560" w:lineRule="exact"/>
        <w:ind w:left="0" w:leftChars="0" w:firstLine="560"/>
        <w:textAlignment w:val="auto"/>
        <w:rPr>
          <w:rFonts w:hint="eastAsia"/>
        </w:rPr>
      </w:pPr>
    </w:p>
    <w:p w14:paraId="204EB1AF">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5DBA9FCB">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w:t>
      </w:r>
      <w:r>
        <w:rPr>
          <w:rFonts w:hint="eastAsia" w:ascii="宋体" w:hAnsi="宋体" w:eastAsia="宋体" w:cs="宋体"/>
          <w:b/>
          <w:bCs/>
          <w:color w:val="000000"/>
          <w:kern w:val="0"/>
          <w:sz w:val="28"/>
          <w:szCs w:val="28"/>
          <w:highlight w:val="none"/>
          <w:lang w:val="en-US" w:eastAsia="zh-CN" w:bidi="en-US"/>
        </w:rPr>
        <w:t>2024年村级财务审计费用还款</w:t>
      </w:r>
      <w:r>
        <w:rPr>
          <w:rFonts w:hint="eastAsia" w:ascii="宋体" w:hAnsi="宋体" w:eastAsia="宋体" w:cs="宋体"/>
          <w:b/>
          <w:bCs/>
          <w:color w:val="000000"/>
          <w:kern w:val="0"/>
          <w:sz w:val="28"/>
          <w:szCs w:val="28"/>
          <w:highlight w:val="none"/>
          <w:lang w:bidi="en-US"/>
        </w:rPr>
        <w:t>项目</w:t>
      </w:r>
    </w:p>
    <w:p w14:paraId="21EC8C17">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eastAsia="zh-CN" w:bidi="en-US"/>
        </w:rPr>
        <w:t>洛浦县审计</w:t>
      </w:r>
      <w:r>
        <w:rPr>
          <w:rFonts w:hint="eastAsia" w:ascii="宋体" w:hAnsi="宋体" w:eastAsia="宋体" w:cs="宋体"/>
          <w:b/>
          <w:bCs/>
          <w:color w:val="000000"/>
          <w:kern w:val="0"/>
          <w:sz w:val="28"/>
          <w:szCs w:val="28"/>
          <w:highlight w:val="none"/>
          <w:lang w:bidi="en-US"/>
        </w:rPr>
        <w:t>局</w:t>
      </w:r>
    </w:p>
    <w:p w14:paraId="3C786101">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eastAsia="zh-CN" w:bidi="en-US"/>
        </w:rPr>
        <w:t>洛浦县审计</w:t>
      </w:r>
      <w:r>
        <w:rPr>
          <w:rFonts w:hint="eastAsia" w:ascii="宋体" w:hAnsi="宋体" w:eastAsia="宋体" w:cs="宋体"/>
          <w:b/>
          <w:bCs/>
          <w:color w:val="000000"/>
          <w:kern w:val="0"/>
          <w:sz w:val="28"/>
          <w:szCs w:val="28"/>
          <w:highlight w:val="none"/>
          <w:lang w:bidi="en-US"/>
        </w:rPr>
        <w:t>局</w:t>
      </w:r>
    </w:p>
    <w:p w14:paraId="60E700D4">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eastAsia="zh-CN" w:bidi="en-US"/>
        </w:rPr>
        <w:t>穆开代斯</w:t>
      </w:r>
    </w:p>
    <w:p w14:paraId="64803561">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10</w:t>
      </w:r>
      <w:r>
        <w:rPr>
          <w:rFonts w:hint="eastAsia" w:ascii="宋体" w:hAnsi="宋体" w:eastAsia="宋体" w:cs="宋体"/>
          <w:b/>
          <w:bCs/>
          <w:color w:val="000000"/>
          <w:kern w:val="0"/>
          <w:sz w:val="28"/>
          <w:szCs w:val="28"/>
          <w:highlight w:val="none"/>
          <w:lang w:bidi="en-US"/>
        </w:rPr>
        <w:t>日</w:t>
      </w:r>
    </w:p>
    <w:p w14:paraId="529C0708">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4556AC9D">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lang w:val="en-US" w:eastAsia="zh-CN"/>
        </w:rPr>
        <w:t>一、</w:t>
      </w:r>
      <w:r>
        <w:rPr>
          <w:rFonts w:hint="eastAsia" w:ascii="黑体" w:hAnsi="黑体" w:eastAsia="黑体" w:cs="黑体"/>
          <w:color w:val="000000"/>
          <w:sz w:val="24"/>
          <w:szCs w:val="24"/>
          <w:highlight w:val="none"/>
        </w:rPr>
        <w:t>基本情况</w:t>
      </w:r>
    </w:p>
    <w:p w14:paraId="6B8A34F6">
      <w:pPr>
        <w:pStyle w:val="48"/>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0" w:name="_Toc68364658"/>
      <w:r>
        <w:rPr>
          <w:rFonts w:hint="eastAsia" w:ascii="宋体" w:hAnsi="宋体" w:eastAsia="宋体" w:cs="宋体"/>
          <w:color w:val="000000"/>
          <w:sz w:val="24"/>
          <w:szCs w:val="24"/>
          <w:highlight w:val="none"/>
          <w:lang w:eastAsia="zh-CN"/>
        </w:rPr>
        <w:t>（一）</w:t>
      </w:r>
      <w:r>
        <w:rPr>
          <w:rFonts w:hint="eastAsia" w:ascii="宋体" w:hAnsi="宋体" w:eastAsia="宋体" w:cs="宋体"/>
          <w:color w:val="000000"/>
          <w:sz w:val="24"/>
          <w:szCs w:val="24"/>
          <w:highlight w:val="none"/>
        </w:rPr>
        <w:t>项目概况</w:t>
      </w:r>
      <w:bookmarkEnd w:id="0"/>
    </w:p>
    <w:p w14:paraId="033BAF7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5327BCEE">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2021年我局按照县委、县政府工作安排部署及关于印发《洛浦县村级财务审计工作方案》的通知（洛纪办发【2021】19号）要求，根据村级“两委”换届的需要，</w:t>
      </w:r>
      <w:r>
        <w:rPr>
          <w:rFonts w:hint="eastAsia" w:ascii="宋体" w:hAnsi="宋体" w:eastAsia="宋体" w:cs="宋体"/>
          <w:sz w:val="24"/>
          <w:szCs w:val="24"/>
          <w:highlight w:val="none"/>
          <w:lang w:val="en-US" w:eastAsia="zh-CN"/>
        </w:rPr>
        <w:t>2021年制定方案，通过公开招投标方式聘请五家企业对洛浦县230个行政村财务收支情况进行全面审计并出具报告</w:t>
      </w:r>
      <w:r>
        <w:rPr>
          <w:rFonts w:hint="eastAsia" w:ascii="宋体" w:hAnsi="宋体" w:eastAsia="宋体" w:cs="宋体"/>
          <w:sz w:val="24"/>
          <w:szCs w:val="24"/>
          <w:highlight w:val="none"/>
        </w:rPr>
        <w:t>。</w:t>
      </w:r>
    </w:p>
    <w:p w14:paraId="16AB98F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截止2024年因资金紧缺等原因未按时支付相关企业审计费用，至2024年11月经过县财经会同意，制定分三年分期还款计划，并于2024年12月从财政解决当年还款任务65万元，并进行支付。</w:t>
      </w:r>
    </w:p>
    <w:p w14:paraId="347CDE9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6D09950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167BEEBE">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2021年聘请第三方对全县230个行政村财务手收支情况进行全面审计并出具报告，所产生的费用自2024年起，由县财政分三年化解完毕。</w:t>
      </w:r>
    </w:p>
    <w:p w14:paraId="2DC754CB">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71E3C403">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1961F6C0">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本项目主管部门为洛浦县审计局，实施单位为洛浦县审计局。</w:t>
      </w:r>
    </w:p>
    <w:p w14:paraId="271720FA">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5D01C6B6">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2024年1月-2024年12月</w:t>
      </w:r>
    </w:p>
    <w:p w14:paraId="0007F8E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45B463E8">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本</w:t>
      </w:r>
      <w:r>
        <w:rPr>
          <w:rFonts w:hint="eastAsia" w:ascii="宋体" w:hAnsi="宋体" w:eastAsia="宋体" w:cs="宋体"/>
          <w:sz w:val="24"/>
          <w:szCs w:val="24"/>
          <w:highlight w:val="none"/>
          <w:lang w:val="en-US" w:eastAsia="zh-CN"/>
        </w:rPr>
        <w:t>项目</w:t>
      </w:r>
      <w:r>
        <w:rPr>
          <w:rFonts w:hint="default" w:ascii="宋体" w:hAnsi="宋体" w:eastAsia="宋体" w:cs="宋体"/>
          <w:sz w:val="24"/>
          <w:szCs w:val="24"/>
          <w:highlight w:val="none"/>
          <w:lang w:val="en-US" w:eastAsia="zh-CN"/>
        </w:rPr>
        <w:t>于202</w:t>
      </w:r>
      <w:r>
        <w:rPr>
          <w:rFonts w:hint="eastAsia" w:ascii="宋体" w:hAnsi="宋体" w:eastAsia="宋体" w:cs="宋体"/>
          <w:sz w:val="24"/>
          <w:szCs w:val="24"/>
          <w:highlight w:val="none"/>
          <w:lang w:val="en-US" w:eastAsia="zh-CN"/>
        </w:rPr>
        <w:t>4</w:t>
      </w:r>
      <w:r>
        <w:rPr>
          <w:rFonts w:hint="default" w:ascii="宋体" w:hAnsi="宋体" w:eastAsia="宋体" w:cs="宋体"/>
          <w:sz w:val="24"/>
          <w:szCs w:val="24"/>
          <w:highlight w:val="none"/>
          <w:lang w:val="en-US" w:eastAsia="zh-CN"/>
        </w:rPr>
        <w:t>年12月</w:t>
      </w:r>
      <w:r>
        <w:rPr>
          <w:rFonts w:hint="eastAsia" w:ascii="宋体" w:hAnsi="宋体" w:eastAsia="宋体" w:cs="宋体"/>
          <w:sz w:val="24"/>
          <w:szCs w:val="24"/>
          <w:highlight w:val="none"/>
          <w:lang w:val="en-US" w:eastAsia="zh-CN"/>
        </w:rPr>
        <w:t>31</w:t>
      </w:r>
      <w:r>
        <w:rPr>
          <w:rFonts w:hint="default" w:ascii="宋体" w:hAnsi="宋体" w:eastAsia="宋体" w:cs="宋体"/>
          <w:sz w:val="24"/>
          <w:szCs w:val="24"/>
          <w:highlight w:val="none"/>
          <w:lang w:val="en-US" w:eastAsia="zh-CN"/>
        </w:rPr>
        <w:t>日前全部完工。</w:t>
      </w:r>
    </w:p>
    <w:p w14:paraId="3D68961E">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本项</w:t>
      </w:r>
      <w:r>
        <w:rPr>
          <w:rFonts w:hint="eastAsia" w:ascii="宋体" w:hAnsi="宋体" w:eastAsia="宋体" w:cs="宋体"/>
          <w:sz w:val="24"/>
          <w:szCs w:val="24"/>
          <w:highlight w:val="none"/>
          <w:lang w:val="en-US" w:eastAsia="zh-CN"/>
        </w:rPr>
        <w:t>目</w:t>
      </w:r>
      <w:r>
        <w:rPr>
          <w:rFonts w:hint="default" w:ascii="宋体" w:hAnsi="宋体" w:eastAsia="宋体" w:cs="宋体"/>
          <w:sz w:val="24"/>
          <w:szCs w:val="24"/>
          <w:highlight w:val="none"/>
          <w:lang w:val="en-US" w:eastAsia="zh-CN"/>
        </w:rPr>
        <w:t>202</w:t>
      </w:r>
      <w:r>
        <w:rPr>
          <w:rFonts w:hint="eastAsia" w:ascii="宋体" w:hAnsi="宋体" w:eastAsia="宋体" w:cs="宋体"/>
          <w:sz w:val="24"/>
          <w:szCs w:val="24"/>
          <w:highlight w:val="none"/>
          <w:lang w:val="en-US" w:eastAsia="zh-CN"/>
        </w:rPr>
        <w:t>4</w:t>
      </w:r>
      <w:r>
        <w:rPr>
          <w:rFonts w:hint="default" w:ascii="宋体" w:hAnsi="宋体" w:eastAsia="宋体" w:cs="宋体"/>
          <w:sz w:val="24"/>
          <w:szCs w:val="24"/>
          <w:highlight w:val="none"/>
          <w:lang w:val="en-US" w:eastAsia="zh-CN"/>
        </w:rPr>
        <w:t>年11月经</w:t>
      </w:r>
      <w:r>
        <w:rPr>
          <w:rFonts w:hint="eastAsia" w:ascii="宋体" w:hAnsi="宋体" w:eastAsia="宋体" w:cs="宋体"/>
          <w:sz w:val="24"/>
          <w:szCs w:val="24"/>
          <w:highlight w:val="none"/>
          <w:lang w:val="en-US" w:eastAsia="zh-CN"/>
        </w:rPr>
        <w:t>县财政会议研究同意，制定村级财务审计费用分三年还款计划。于2024年12月16日完成第一年还款任务支付工作，分别按照原计划支付新疆宏业有限责任会计师事务所30万元，中鹏会计师事务所有限公司新疆分所10万元，新疆鑫则天会计师事务所（普通合伙企业）15万元，乌鲁木齐天煜健会计师事务所10万元。</w:t>
      </w:r>
    </w:p>
    <w:p w14:paraId="7C712CE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16302D46">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3ABB4F7A">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本项目预算安排总额为</w:t>
      </w:r>
      <w:r>
        <w:rPr>
          <w:rFonts w:hint="eastAsia" w:ascii="宋体" w:hAnsi="宋体" w:eastAsia="宋体" w:cs="宋体"/>
          <w:color w:val="000000"/>
          <w:sz w:val="24"/>
          <w:szCs w:val="24"/>
          <w:highlight w:val="none"/>
          <w:lang w:val="en-US" w:eastAsia="zh-CN"/>
        </w:rPr>
        <w:t>65</w:t>
      </w:r>
      <w:r>
        <w:rPr>
          <w:rFonts w:hint="eastAsia" w:ascii="宋体" w:hAnsi="宋体" w:eastAsia="宋体" w:cs="宋体"/>
          <w:color w:val="000000"/>
          <w:sz w:val="24"/>
          <w:szCs w:val="24"/>
          <w:highlight w:val="none"/>
        </w:rPr>
        <w:t>万元，资金来源为</w:t>
      </w:r>
      <w:r>
        <w:rPr>
          <w:rFonts w:hint="eastAsia" w:ascii="宋体" w:hAnsi="宋体" w:eastAsia="宋体" w:cs="宋体"/>
          <w:color w:val="000000"/>
          <w:sz w:val="24"/>
          <w:szCs w:val="24"/>
          <w:highlight w:val="none"/>
          <w:lang w:eastAsia="zh-CN"/>
        </w:rPr>
        <w:t>财政自筹</w:t>
      </w:r>
      <w:r>
        <w:rPr>
          <w:rFonts w:hint="eastAsia" w:ascii="宋体" w:hAnsi="宋体" w:eastAsia="宋体" w:cs="宋体"/>
          <w:color w:val="000000"/>
          <w:sz w:val="24"/>
          <w:szCs w:val="24"/>
          <w:highlight w:val="none"/>
        </w:rPr>
        <w:t>，其中：财政资金</w:t>
      </w:r>
      <w:r>
        <w:rPr>
          <w:rFonts w:hint="eastAsia" w:ascii="宋体" w:hAnsi="宋体" w:eastAsia="宋体" w:cs="宋体"/>
          <w:color w:val="000000"/>
          <w:sz w:val="24"/>
          <w:szCs w:val="24"/>
          <w:highlight w:val="none"/>
          <w:lang w:val="en-US" w:eastAsia="zh-CN"/>
        </w:rPr>
        <w:t>65</w:t>
      </w:r>
      <w:r>
        <w:rPr>
          <w:rFonts w:hint="eastAsia" w:ascii="宋体" w:hAnsi="宋体" w:eastAsia="宋体" w:cs="宋体"/>
          <w:color w:val="000000"/>
          <w:sz w:val="24"/>
          <w:szCs w:val="24"/>
          <w:highlight w:val="none"/>
        </w:rPr>
        <w:t>万元，其他资金</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含自有资金、社会资金及以前年度结转结余资金）0</w:t>
      </w:r>
      <w:r>
        <w:rPr>
          <w:rFonts w:hint="eastAsia" w:ascii="宋体" w:hAnsi="宋体" w:eastAsia="宋体" w:cs="宋体"/>
          <w:color w:val="000000"/>
          <w:sz w:val="24"/>
          <w:szCs w:val="24"/>
          <w:highlight w:val="none"/>
        </w:rPr>
        <w:t>万元，202</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年实际收到预算资金</w:t>
      </w:r>
      <w:r>
        <w:rPr>
          <w:rFonts w:hint="eastAsia" w:ascii="宋体" w:hAnsi="宋体" w:eastAsia="宋体" w:cs="宋体"/>
          <w:color w:val="000000"/>
          <w:sz w:val="24"/>
          <w:szCs w:val="24"/>
          <w:highlight w:val="none"/>
          <w:lang w:val="en-US" w:eastAsia="zh-CN"/>
        </w:rPr>
        <w:t>65</w:t>
      </w:r>
      <w:r>
        <w:rPr>
          <w:rFonts w:hint="eastAsia" w:ascii="宋体" w:hAnsi="宋体" w:eastAsia="宋体" w:cs="宋体"/>
          <w:color w:val="000000"/>
          <w:sz w:val="24"/>
          <w:szCs w:val="24"/>
          <w:highlight w:val="none"/>
        </w:rPr>
        <w:t>万元，预算资金到位率为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68DAE18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388BA371">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本项目实际支付资金</w:t>
      </w:r>
      <w:r>
        <w:rPr>
          <w:rFonts w:hint="eastAsia" w:ascii="宋体" w:hAnsi="宋体" w:eastAsia="宋体" w:cs="宋体"/>
          <w:color w:val="000000"/>
          <w:sz w:val="24"/>
          <w:szCs w:val="24"/>
          <w:highlight w:val="none"/>
          <w:lang w:val="en-US" w:eastAsia="zh-CN"/>
        </w:rPr>
        <w:t>65</w:t>
      </w:r>
      <w:r>
        <w:rPr>
          <w:rFonts w:hint="eastAsia" w:ascii="宋体" w:hAnsi="宋体" w:eastAsia="宋体" w:cs="宋体"/>
          <w:color w:val="000000"/>
          <w:sz w:val="24"/>
          <w:szCs w:val="24"/>
          <w:highlight w:val="none"/>
        </w:rPr>
        <w:t>万元，预算执行率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%。本项目资金主要用于支付2024年村级财务审计费用还款</w:t>
      </w:r>
      <w:r>
        <w:rPr>
          <w:rFonts w:hint="eastAsia" w:ascii="宋体" w:hAnsi="宋体" w:eastAsia="宋体" w:cs="宋体"/>
          <w:color w:val="000000"/>
          <w:sz w:val="24"/>
          <w:szCs w:val="24"/>
          <w:highlight w:val="none"/>
          <w:lang w:val="en-US" w:eastAsia="zh-CN"/>
        </w:rPr>
        <w:t>65</w:t>
      </w:r>
      <w:r>
        <w:rPr>
          <w:rFonts w:hint="eastAsia" w:ascii="宋体" w:hAnsi="宋体" w:eastAsia="宋体" w:cs="宋体"/>
          <w:color w:val="000000"/>
          <w:sz w:val="24"/>
          <w:szCs w:val="24"/>
          <w:highlight w:val="none"/>
        </w:rPr>
        <w:t>万元。</w:t>
      </w:r>
    </w:p>
    <w:p w14:paraId="7D7033A6">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9"/>
      <w:r>
        <w:rPr>
          <w:rFonts w:hint="eastAsia" w:ascii="宋体" w:hAnsi="宋体" w:eastAsia="宋体" w:cs="宋体"/>
          <w:sz w:val="24"/>
          <w:szCs w:val="24"/>
        </w:rPr>
        <w:t>（二）项目绩效目标</w:t>
      </w:r>
      <w:bookmarkEnd w:id="1"/>
    </w:p>
    <w:p w14:paraId="799FA32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40209E04">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62AC905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通过开展村级财务收支审计，推进村集体“三资”和“小微权利”规范化管理运行，推进巩固拓展脱贫攻坚成果同乡村振兴有效衔接，推进监督向基层延伸，充分发挥审计监督的职能作用，促进管好村集体资产，提高经济效益，密切干群关系，化解农村矛盾，加强基层廉政建设，保持农村社会稳定和经济健康有序发展发挥作用。此外通过及时化解相关企业的拖欠款，优化营商环境，化解政企矛盾</w:t>
      </w:r>
      <w:r>
        <w:rPr>
          <w:rFonts w:hint="eastAsia" w:ascii="宋体" w:hAnsi="宋体" w:eastAsia="宋体" w:cs="宋体"/>
          <w:sz w:val="24"/>
          <w:szCs w:val="24"/>
        </w:rPr>
        <w:t>。</w:t>
      </w:r>
    </w:p>
    <w:p w14:paraId="2870F874">
      <w:pPr>
        <w:pStyle w:val="45"/>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031E6C43">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eastAsia="zh-CN"/>
        </w:rPr>
      </w:pPr>
      <w:bookmarkStart w:id="2" w:name="_Toc68364660"/>
      <w:r>
        <w:rPr>
          <w:rFonts w:hint="eastAsia" w:ascii="宋体" w:hAnsi="宋体" w:eastAsia="宋体" w:cs="宋体"/>
          <w:sz w:val="24"/>
          <w:szCs w:val="24"/>
          <w:lang w:val="en-US" w:eastAsia="zh-CN"/>
        </w:rPr>
        <w:t>我</w:t>
      </w:r>
      <w:r>
        <w:rPr>
          <w:rFonts w:hint="eastAsia" w:ascii="宋体" w:hAnsi="宋体" w:eastAsia="宋体" w:cs="宋体"/>
          <w:sz w:val="24"/>
          <w:szCs w:val="24"/>
          <w:lang w:eastAsia="zh-CN"/>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6BF3C40A">
      <w:pPr>
        <w:pStyle w:val="45"/>
        <w:pageBreakBefore w:val="0"/>
        <w:widowControl w:val="0"/>
        <w:numPr>
          <w:ilvl w:val="0"/>
          <w:numId w:val="2"/>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203BAFA9">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数量指标:</w:t>
      </w:r>
    </w:p>
    <w:p w14:paraId="6586EF95">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指标1：审计村数量，预期指标值</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230个；</w:t>
      </w:r>
    </w:p>
    <w:p w14:paraId="108CD9F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2）质量指标：</w:t>
      </w:r>
    </w:p>
    <w:p w14:paraId="6A8174E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指标1：资金使用合规率，预期指标值</w:t>
      </w:r>
      <w:r>
        <w:rPr>
          <w:rFonts w:hint="eastAsia" w:ascii="宋体" w:hAnsi="宋体" w:eastAsia="宋体" w:cs="宋体"/>
          <w:sz w:val="24"/>
          <w:szCs w:val="24"/>
          <w:lang w:val="en-US" w:eastAsia="zh-CN"/>
        </w:rPr>
        <w:t>=100%</w:t>
      </w:r>
      <w:r>
        <w:rPr>
          <w:rFonts w:hint="eastAsia" w:ascii="宋体" w:hAnsi="宋体" w:eastAsia="宋体" w:cs="宋体"/>
          <w:sz w:val="24"/>
          <w:szCs w:val="24"/>
          <w:lang w:eastAsia="zh-CN"/>
        </w:rPr>
        <w:t>；</w:t>
      </w:r>
    </w:p>
    <w:p w14:paraId="24E8937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3）时效</w:t>
      </w:r>
      <w:r>
        <w:rPr>
          <w:rFonts w:hint="eastAsia" w:ascii="宋体" w:hAnsi="宋体" w:eastAsia="宋体" w:cs="宋体"/>
          <w:sz w:val="24"/>
          <w:szCs w:val="24"/>
          <w:lang w:val="en-US" w:eastAsia="zh-CN"/>
        </w:rPr>
        <w:t>指标</w:t>
      </w:r>
      <w:r>
        <w:rPr>
          <w:rFonts w:hint="eastAsia" w:ascii="宋体" w:hAnsi="宋体" w:eastAsia="宋体" w:cs="宋体"/>
          <w:sz w:val="24"/>
          <w:szCs w:val="24"/>
          <w:lang w:eastAsia="zh-CN"/>
        </w:rPr>
        <w:t>：</w:t>
      </w:r>
    </w:p>
    <w:p w14:paraId="683CBAF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eastAsia="zh-CN"/>
        </w:rPr>
        <w:t>指标1：资金支付及时率，预期指标值</w:t>
      </w:r>
      <w:r>
        <w:rPr>
          <w:rFonts w:hint="eastAsia" w:ascii="宋体" w:hAnsi="宋体" w:eastAsia="宋体" w:cs="宋体"/>
          <w:sz w:val="24"/>
          <w:szCs w:val="24"/>
          <w:lang w:val="en-US" w:eastAsia="zh-CN"/>
        </w:rPr>
        <w:t>=100%</w:t>
      </w:r>
      <w:r>
        <w:rPr>
          <w:rFonts w:hint="eastAsia" w:ascii="宋体" w:hAnsi="宋体" w:eastAsia="宋体" w:cs="宋体"/>
          <w:sz w:val="24"/>
          <w:szCs w:val="24"/>
          <w:lang w:eastAsia="zh-CN"/>
        </w:rPr>
        <w:t>；</w:t>
      </w:r>
    </w:p>
    <w:p w14:paraId="1D03A67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（2）成本指标：</w:t>
      </w:r>
    </w:p>
    <w:p w14:paraId="28C92D6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1）经济成本指标</w:t>
      </w:r>
    </w:p>
    <w:p w14:paraId="736DB7A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指标1：项目总成本，预期指标值≤65万元；</w:t>
      </w:r>
    </w:p>
    <w:p w14:paraId="7F4BF853">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2）社会成本指标：</w:t>
      </w:r>
    </w:p>
    <w:p w14:paraId="3859D67D">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该项目无社会成本指标；</w:t>
      </w:r>
    </w:p>
    <w:p w14:paraId="77B8961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3）生态成本指标;</w:t>
      </w:r>
    </w:p>
    <w:p w14:paraId="17AE4D7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该项目无生态成本指标；</w:t>
      </w:r>
    </w:p>
    <w:p w14:paraId="41D20156">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（3）效益指标：</w:t>
      </w:r>
    </w:p>
    <w:p w14:paraId="01EA6A3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1）经济效益指标：</w:t>
      </w:r>
    </w:p>
    <w:p w14:paraId="0088C0B9">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该项目无经济效益指标；</w:t>
      </w:r>
    </w:p>
    <w:p w14:paraId="4AF178B3">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）社会效益指标：</w:t>
      </w:r>
    </w:p>
    <w:p w14:paraId="4543AE8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指标1：促进被审村财务规范，</w:t>
      </w:r>
      <w:r>
        <w:rPr>
          <w:rFonts w:hint="eastAsia" w:ascii="宋体" w:hAnsi="宋体" w:eastAsia="宋体" w:cs="宋体"/>
          <w:sz w:val="24"/>
          <w:szCs w:val="24"/>
          <w:lang w:val="en-US" w:eastAsia="zh-CN"/>
        </w:rPr>
        <w:t>预期指标值为有效促进</w:t>
      </w:r>
      <w:r>
        <w:rPr>
          <w:rFonts w:hint="eastAsia" w:ascii="宋体" w:hAnsi="宋体" w:eastAsia="宋体" w:cs="宋体"/>
          <w:sz w:val="24"/>
          <w:szCs w:val="24"/>
          <w:lang w:eastAsia="zh-CN"/>
        </w:rPr>
        <w:t>；</w:t>
      </w:r>
    </w:p>
    <w:p w14:paraId="76FD868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3）生态效益指标：</w:t>
      </w:r>
    </w:p>
    <w:p w14:paraId="1A469BE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该项目无生态效益指标；</w:t>
      </w:r>
    </w:p>
    <w:p w14:paraId="45E01C5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（4）服务对象满意度指标：</w:t>
      </w:r>
    </w:p>
    <w:p w14:paraId="3D1A3D2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指标1：</w:t>
      </w:r>
      <w:r>
        <w:rPr>
          <w:rFonts w:hint="eastAsia" w:ascii="宋体" w:hAnsi="宋体" w:eastAsia="宋体" w:cs="宋体"/>
          <w:sz w:val="24"/>
          <w:szCs w:val="24"/>
          <w:lang w:val="en-US" w:eastAsia="zh-CN"/>
        </w:rPr>
        <w:t>被审村满意度，</w:t>
      </w:r>
      <w:r>
        <w:rPr>
          <w:rFonts w:hint="eastAsia" w:ascii="宋体" w:hAnsi="宋体" w:eastAsia="宋体" w:cs="宋体"/>
          <w:sz w:val="24"/>
          <w:szCs w:val="24"/>
          <w:lang w:eastAsia="zh-CN"/>
        </w:rPr>
        <w:t>预期指标值</w:t>
      </w:r>
      <w:r>
        <w:rPr>
          <w:rFonts w:hint="eastAsia" w:ascii="宋体" w:hAnsi="宋体" w:eastAsia="宋体" w:cs="宋体"/>
          <w:sz w:val="24"/>
          <w:szCs w:val="24"/>
          <w:lang w:val="en-US" w:eastAsia="zh-CN"/>
        </w:rPr>
        <w:t>≥95%。</w:t>
      </w:r>
    </w:p>
    <w:p w14:paraId="6CE41EBD">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2"/>
    </w:p>
    <w:p w14:paraId="3E26EBF3">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3" w:name="_Toc68364661"/>
      <w:r>
        <w:rPr>
          <w:rFonts w:hint="eastAsia" w:ascii="宋体" w:hAnsi="宋体" w:eastAsia="宋体" w:cs="宋体"/>
          <w:sz w:val="24"/>
          <w:szCs w:val="24"/>
        </w:rPr>
        <w:t>（一）绩效评价目的、对象和范围</w:t>
      </w:r>
      <w:bookmarkEnd w:id="3"/>
    </w:p>
    <w:p w14:paraId="6EF43902">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1.绩效评价目的</w:t>
      </w:r>
    </w:p>
    <w:p w14:paraId="02B39D6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lang w:eastAsia="zh-CN"/>
        </w:rPr>
        <w:t>自治区财政厅《关于印发〈自治区项目支出绩效目标设置指引〉的通知》（新财预〔2022〕42号）等相关政策文件与规定，对2024年村级财务审计费用还款项目开展本次部门项目支出绩效评价工作。全面了解2024年村级财务审计费用还款项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lang w:eastAsia="zh-CN"/>
        </w:rPr>
        <w:t>效果</w:t>
      </w:r>
      <w:r>
        <w:rPr>
          <w:rFonts w:hint="eastAsia" w:ascii="宋体" w:hAnsi="宋体" w:eastAsia="宋体" w:cs="宋体"/>
          <w:sz w:val="24"/>
          <w:szCs w:val="24"/>
          <w:lang w:val="en-US" w:eastAsia="zh-CN"/>
        </w:rPr>
        <w:t>情况。</w:t>
      </w:r>
    </w:p>
    <w:p w14:paraId="426B8B03">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3BCB91B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6574C31A">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395E2A6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5FF62F0D">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此</w:t>
      </w:r>
      <w:r>
        <w:rPr>
          <w:rFonts w:hint="eastAsia" w:ascii="宋体" w:hAnsi="宋体" w:eastAsia="宋体" w:cs="宋体"/>
          <w:sz w:val="24"/>
          <w:szCs w:val="24"/>
          <w:lang w:eastAsia="zh-CN"/>
        </w:rPr>
        <w:t>次绩效评价遵循财政部《项目支出绩效评价管理办法》（财预〔2020〕10号）和《自治区财政支出绩效评价管理暂行办法》（新财预〔2018〕189号）等政策文件规定，以2024年村级财务审计费用还款项目为</w:t>
      </w:r>
      <w:r>
        <w:rPr>
          <w:rFonts w:hint="eastAsia" w:ascii="宋体" w:hAnsi="宋体" w:eastAsia="宋体" w:cs="宋体"/>
          <w:sz w:val="24"/>
          <w:szCs w:val="24"/>
          <w:lang w:val="en-US" w:eastAsia="zh-CN"/>
        </w:rPr>
        <w:t>评价</w:t>
      </w:r>
      <w:r>
        <w:rPr>
          <w:rFonts w:hint="eastAsia" w:ascii="宋体" w:hAnsi="宋体" w:eastAsia="宋体" w:cs="宋体"/>
          <w:sz w:val="24"/>
          <w:szCs w:val="24"/>
          <w:lang w:eastAsia="zh-CN"/>
        </w:rPr>
        <w:t>对象，对该项目决策、</w:t>
      </w:r>
      <w:r>
        <w:rPr>
          <w:rFonts w:hint="eastAsia" w:ascii="宋体" w:hAnsi="宋体" w:eastAsia="宋体" w:cs="宋体"/>
          <w:sz w:val="24"/>
          <w:szCs w:val="24"/>
          <w:lang w:val="en-US" w:eastAsia="zh-CN"/>
        </w:rPr>
        <w:t>项目资金管理、项目实施</w:t>
      </w:r>
      <w:r>
        <w:rPr>
          <w:rFonts w:hint="eastAsia" w:ascii="宋体" w:hAnsi="宋体" w:eastAsia="宋体" w:cs="宋体"/>
          <w:sz w:val="24"/>
          <w:szCs w:val="24"/>
          <w:lang w:eastAsia="zh-CN"/>
        </w:rPr>
        <w:t>过程</w:t>
      </w:r>
      <w:r>
        <w:rPr>
          <w:rFonts w:hint="eastAsia" w:ascii="宋体" w:hAnsi="宋体" w:eastAsia="宋体" w:cs="宋体"/>
          <w:sz w:val="24"/>
          <w:szCs w:val="24"/>
          <w:lang w:val="en-US" w:eastAsia="zh-CN"/>
        </w:rPr>
        <w:t>管理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以及</w:t>
      </w:r>
      <w:r>
        <w:rPr>
          <w:rFonts w:hint="eastAsia" w:ascii="宋体" w:hAnsi="宋体" w:eastAsia="宋体" w:cs="宋体"/>
          <w:sz w:val="24"/>
          <w:szCs w:val="24"/>
          <w:lang w:eastAsia="zh-CN"/>
        </w:rPr>
        <w:t>项目实施所带来的产出和效果</w:t>
      </w:r>
      <w:r>
        <w:rPr>
          <w:rFonts w:hint="eastAsia" w:ascii="宋体" w:hAnsi="宋体" w:eastAsia="宋体" w:cs="宋体"/>
          <w:sz w:val="24"/>
          <w:szCs w:val="24"/>
          <w:lang w:val="en-US" w:eastAsia="zh-CN"/>
        </w:rPr>
        <w:t>等</w:t>
      </w:r>
      <w:r>
        <w:rPr>
          <w:rFonts w:hint="eastAsia" w:ascii="宋体" w:hAnsi="宋体" w:eastAsia="宋体" w:cs="宋体"/>
          <w:sz w:val="24"/>
          <w:szCs w:val="24"/>
          <w:lang w:eastAsia="zh-CN"/>
        </w:rPr>
        <w:t>内容，</w:t>
      </w:r>
      <w:r>
        <w:rPr>
          <w:rFonts w:hint="eastAsia" w:ascii="宋体" w:hAnsi="宋体" w:eastAsia="宋体" w:cs="宋体"/>
          <w:sz w:val="24"/>
          <w:szCs w:val="24"/>
          <w:lang w:val="en-US" w:eastAsia="zh-CN"/>
        </w:rPr>
        <w:t>进行综合评价。</w:t>
      </w:r>
    </w:p>
    <w:p w14:paraId="58813B44">
      <w:pPr>
        <w:pStyle w:val="45"/>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3.绩效评价范围</w:t>
      </w:r>
    </w:p>
    <w:p w14:paraId="6133BCE5">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绩效评价主要围绕2024年村级财务审计费用还款项目决策、项目资金管理、项目实施过程管理，以及项目实施所带来的产出和效果等内容，进行综合评价。范围涵盖项目总体绩效目标、各项绩效指标完成情况以及预算执行情况</w:t>
      </w:r>
      <w:bookmarkStart w:id="4" w:name="_Toc68364662"/>
      <w:r>
        <w:rPr>
          <w:rFonts w:hint="eastAsia" w:ascii="宋体" w:hAnsi="宋体" w:eastAsia="宋体" w:cs="宋体"/>
          <w:sz w:val="24"/>
          <w:szCs w:val="24"/>
          <w:lang w:val="en-US" w:eastAsia="zh-CN"/>
        </w:rPr>
        <w:t>，覆盖预算资金支出项目的所有内容进行评价。</w:t>
      </w:r>
    </w:p>
    <w:p w14:paraId="40AF0A3D">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4"/>
    </w:p>
    <w:p w14:paraId="456AD63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1.绩效评价原则</w:t>
      </w:r>
    </w:p>
    <w:p w14:paraId="5DA0DB39">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389E8F52">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394473B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536C7D9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311A8712">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38A55C74">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根据以上原则，绩效评价应遵循如下要求:</w:t>
      </w:r>
    </w:p>
    <w:p w14:paraId="64B26268">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00C8C15F">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6901B004">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0189A13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2.绩效评价指标体系</w:t>
      </w:r>
    </w:p>
    <w:p w14:paraId="5425FBD4">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2B94B3C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3.绩效评价方法</w:t>
      </w:r>
    </w:p>
    <w:p w14:paraId="56B9B0D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6461DCB2">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6678A28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127BBD1C">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53219188">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4985FD2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1883B85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6D1B4157">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1BA43E70">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56212C1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7198074E">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6D0D5B0E">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191AA23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0B9DA914">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E13AA01">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1B8ECA2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4.绩效评价标准</w:t>
      </w:r>
    </w:p>
    <w:p w14:paraId="31D10516">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bookmarkStart w:id="5"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绩效评价标准通常包括计划标准、行业标准、历史标准等，用于对绩效指标完成情况进行比较、分析、评价。本次评价主要采用了</w:t>
      </w:r>
      <w:r>
        <w:rPr>
          <w:rFonts w:hint="eastAsia" w:ascii="宋体" w:hAnsi="宋体" w:eastAsia="宋体" w:cs="宋体"/>
          <w:color w:val="auto"/>
          <w:sz w:val="24"/>
          <w:szCs w:val="24"/>
          <w:lang w:eastAsia="zh-CN"/>
        </w:rPr>
        <w:t>计划</w:t>
      </w:r>
      <w:r>
        <w:rPr>
          <w:rFonts w:hint="eastAsia" w:ascii="宋体" w:hAnsi="宋体" w:eastAsia="宋体" w:cs="宋体"/>
          <w:color w:val="auto"/>
          <w:sz w:val="24"/>
          <w:szCs w:val="24"/>
        </w:rPr>
        <w:t>标准。</w:t>
      </w:r>
    </w:p>
    <w:p w14:paraId="34AD5CDA">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6" w:name="_Toc31464"/>
      <w:bookmarkStart w:id="7" w:name="_Toc17882"/>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6"/>
      <w:bookmarkEnd w:id="7"/>
    </w:p>
    <w:p w14:paraId="212814DD">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8" w:name="_Toc5633"/>
      <w:bookmarkStart w:id="9" w:name="_Toc2318"/>
      <w:r>
        <w:rPr>
          <w:rFonts w:hint="eastAsia" w:ascii="宋体" w:hAnsi="宋体" w:eastAsia="宋体" w:cs="宋体"/>
          <w:b/>
          <w:bCs/>
          <w:sz w:val="24"/>
          <w:szCs w:val="24"/>
        </w:rPr>
        <w:t>行业标准：</w:t>
      </w:r>
      <w:r>
        <w:rPr>
          <w:rFonts w:hint="eastAsia" w:ascii="宋体" w:hAnsi="宋体" w:eastAsia="宋体" w:cs="宋体"/>
          <w:sz w:val="24"/>
          <w:szCs w:val="24"/>
        </w:rPr>
        <w:t>指参照国家公布的行业指标数据制定的评价标准。</w:t>
      </w:r>
      <w:bookmarkEnd w:id="8"/>
      <w:bookmarkEnd w:id="9"/>
    </w:p>
    <w:p w14:paraId="2F82D040">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10" w:name="_Toc430"/>
      <w:bookmarkStart w:id="11" w:name="_Toc16028"/>
      <w:r>
        <w:rPr>
          <w:rFonts w:hint="eastAsia" w:ascii="宋体" w:hAnsi="宋体" w:eastAsia="宋体" w:cs="宋体"/>
          <w:b/>
          <w:bCs/>
          <w:sz w:val="24"/>
          <w:szCs w:val="24"/>
        </w:rPr>
        <w:t>历史标准：</w:t>
      </w:r>
      <w:r>
        <w:rPr>
          <w:rFonts w:hint="eastAsia" w:ascii="宋体" w:hAnsi="宋体" w:eastAsia="宋体" w:cs="宋体"/>
          <w:sz w:val="24"/>
          <w:szCs w:val="24"/>
        </w:rPr>
        <w:t>指参照历史数据制定的评价标准，为体现绩效改进的原则，在可实现的条件下应当确定相对较高的评价标准。</w:t>
      </w:r>
      <w:bookmarkEnd w:id="10"/>
      <w:bookmarkEnd w:id="11"/>
    </w:p>
    <w:p w14:paraId="5A3303CA">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5"/>
    </w:p>
    <w:p w14:paraId="24DA601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12" w:name="_Toc68364664"/>
      <w:r>
        <w:rPr>
          <w:rFonts w:hint="eastAsia" w:ascii="宋体" w:hAnsi="宋体" w:eastAsia="宋体" w:cs="宋体"/>
          <w:b/>
          <w:bCs/>
          <w:color w:val="000000"/>
          <w:sz w:val="24"/>
          <w:szCs w:val="24"/>
          <w:highlight w:val="none"/>
        </w:rPr>
        <w:t>1.前期准备</w:t>
      </w:r>
    </w:p>
    <w:p w14:paraId="05B892F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w:t>
      </w:r>
      <w:r>
        <w:rPr>
          <w:rFonts w:hint="eastAsia" w:ascii="宋体" w:hAnsi="宋体" w:eastAsia="宋体" w:cs="宋体"/>
          <w:color w:val="auto"/>
          <w:sz w:val="24"/>
          <w:szCs w:val="24"/>
        </w:rPr>
        <w:t>下：</w:t>
      </w:r>
    </w:p>
    <w:p w14:paraId="4F5C4A6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王质蕙（评价小组组长）</w:t>
      </w:r>
      <w:r>
        <w:rPr>
          <w:rFonts w:hint="eastAsia" w:ascii="宋体" w:hAnsi="宋体" w:eastAsia="宋体" w:cs="宋体"/>
          <w:color w:val="auto"/>
          <w:sz w:val="24"/>
          <w:szCs w:val="24"/>
        </w:rPr>
        <w:t>：主要负责</w:t>
      </w:r>
      <w:r>
        <w:rPr>
          <w:rFonts w:hint="eastAsia" w:ascii="宋体" w:hAnsi="宋体" w:eastAsia="宋体" w:cs="宋体"/>
          <w:color w:val="auto"/>
          <w:sz w:val="24"/>
          <w:szCs w:val="24"/>
          <w:lang w:val="en-US" w:eastAsia="zh-CN"/>
        </w:rPr>
        <w:t>统筹协调各项工作</w:t>
      </w:r>
      <w:r>
        <w:rPr>
          <w:rFonts w:hint="eastAsia" w:ascii="宋体" w:hAnsi="宋体" w:eastAsia="宋体" w:cs="宋体"/>
          <w:color w:val="auto"/>
          <w:sz w:val="24"/>
          <w:szCs w:val="24"/>
        </w:rPr>
        <w:t>;</w:t>
      </w:r>
    </w:p>
    <w:p w14:paraId="0D30D1B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阿不都克热木</w:t>
      </w:r>
      <w:r>
        <w:rPr>
          <w:rFonts w:hint="eastAsia" w:ascii="宋体" w:hAnsi="宋体" w:eastAsia="宋体" w:cs="宋体"/>
          <w:color w:val="auto"/>
          <w:sz w:val="24"/>
          <w:szCs w:val="24"/>
          <w:lang w:val="en-US" w:eastAsia="zh-CN"/>
        </w:rPr>
        <w:t>·麦麦提明</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val="en-US" w:eastAsia="zh-CN"/>
        </w:rPr>
        <w:t>提供相关数据</w:t>
      </w:r>
      <w:r>
        <w:rPr>
          <w:rFonts w:hint="eastAsia" w:ascii="宋体" w:hAnsi="宋体" w:eastAsia="宋体" w:cs="宋体"/>
          <w:color w:val="auto"/>
          <w:sz w:val="24"/>
          <w:szCs w:val="24"/>
        </w:rPr>
        <w:t>;</w:t>
      </w:r>
    </w:p>
    <w:p w14:paraId="1D77EF70">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穆开代斯</w:t>
      </w:r>
      <w:r>
        <w:rPr>
          <w:rFonts w:hint="eastAsia" w:ascii="宋体" w:hAnsi="宋体" w:eastAsia="宋体" w:cs="宋体"/>
          <w:color w:val="auto"/>
          <w:sz w:val="24"/>
          <w:szCs w:val="24"/>
          <w:lang w:val="en-US" w:eastAsia="zh-CN"/>
        </w:rPr>
        <w:t>·如则麦麦提</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val="en-US" w:eastAsia="zh-CN"/>
        </w:rPr>
        <w:t>报告撰写</w:t>
      </w:r>
      <w:r>
        <w:rPr>
          <w:rFonts w:hint="eastAsia" w:ascii="宋体" w:hAnsi="宋体" w:eastAsia="宋体" w:cs="宋体"/>
          <w:color w:val="auto"/>
          <w:sz w:val="24"/>
          <w:szCs w:val="24"/>
        </w:rPr>
        <w:t>。</w:t>
      </w:r>
    </w:p>
    <w:p w14:paraId="49931A6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777F9693">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74760F1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2643E93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0C66EBF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2E6F9A8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5978ED8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022E6CC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595C995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2D4C3D5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683AED73">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12"/>
    </w:p>
    <w:p w14:paraId="5C15A7EF">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5"/>
      <w:r>
        <w:rPr>
          <w:rFonts w:hint="eastAsia" w:ascii="宋体" w:hAnsi="宋体" w:eastAsia="宋体" w:cs="宋体"/>
          <w:sz w:val="24"/>
          <w:szCs w:val="24"/>
        </w:rPr>
        <w:t>（一）综合评价情况</w:t>
      </w:r>
      <w:bookmarkEnd w:id="13"/>
    </w:p>
    <w:p w14:paraId="140CE4B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bookmarkStart w:id="14" w:name="_Toc68364666"/>
      <w:r>
        <w:rPr>
          <w:rFonts w:hint="eastAsia" w:ascii="宋体" w:hAnsi="宋体" w:eastAsia="宋体" w:cs="宋体"/>
          <w:sz w:val="24"/>
          <w:szCs w:val="24"/>
        </w:rPr>
        <w:t>通过实施2024年村级财务审计费用还款项目产生促进被审村财务规范</w:t>
      </w:r>
      <w:r>
        <w:rPr>
          <w:rFonts w:hint="eastAsia" w:ascii="宋体" w:hAnsi="宋体" w:eastAsia="宋体" w:cs="宋体"/>
          <w:sz w:val="24"/>
          <w:szCs w:val="24"/>
          <w:lang w:eastAsia="zh-CN"/>
        </w:rPr>
        <w:t>、被查出问题整改率效益</w:t>
      </w:r>
      <w:r>
        <w:rPr>
          <w:rFonts w:hint="eastAsia" w:ascii="宋体" w:hAnsi="宋体" w:eastAsia="宋体" w:cs="宋体"/>
          <w:sz w:val="24"/>
          <w:szCs w:val="24"/>
        </w:rPr>
        <w:t>。项目实施主要通过项目决策、项目过程、项目产出以及项目效益等方面进行评价，其中：</w:t>
      </w:r>
    </w:p>
    <w:p w14:paraId="23E2B4A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项目决策：该项目主要</w:t>
      </w:r>
      <w:r>
        <w:rPr>
          <w:rFonts w:hint="eastAsia" w:ascii="宋体" w:hAnsi="宋体" w:eastAsia="宋体" w:cs="宋体"/>
          <w:sz w:val="24"/>
          <w:szCs w:val="24"/>
          <w:lang w:eastAsia="zh-CN"/>
        </w:rPr>
        <w:t>按照《洛浦县村级财务审计工作方案》洛纪办发【</w:t>
      </w:r>
      <w:r>
        <w:rPr>
          <w:rFonts w:hint="eastAsia" w:ascii="宋体" w:hAnsi="宋体" w:eastAsia="宋体" w:cs="宋体"/>
          <w:sz w:val="24"/>
          <w:szCs w:val="24"/>
          <w:lang w:val="en-US" w:eastAsia="zh-CN"/>
        </w:rPr>
        <w:t>2021】19号</w:t>
      </w:r>
      <w:r>
        <w:rPr>
          <w:rFonts w:hint="eastAsia" w:ascii="宋体" w:hAnsi="宋体" w:eastAsia="宋体" w:cs="宋体"/>
          <w:sz w:val="24"/>
          <w:szCs w:val="24"/>
        </w:rPr>
        <w:t>文件立项，项目实施符合</w:t>
      </w:r>
      <w:r>
        <w:rPr>
          <w:rFonts w:hint="eastAsia" w:ascii="宋体" w:hAnsi="宋体" w:eastAsia="宋体" w:cs="宋体"/>
          <w:sz w:val="24"/>
          <w:szCs w:val="24"/>
          <w:lang w:eastAsia="zh-CN"/>
        </w:rPr>
        <w:t>方案</w:t>
      </w:r>
      <w:r>
        <w:rPr>
          <w:rFonts w:hint="eastAsia" w:ascii="宋体" w:hAnsi="宋体" w:eastAsia="宋体" w:cs="宋体"/>
          <w:sz w:val="24"/>
          <w:szCs w:val="24"/>
        </w:rPr>
        <w:t>要求，项目立项依据充分，立项程序规范。</w:t>
      </w:r>
    </w:p>
    <w:p w14:paraId="59186D81">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项目过程：2024年村级财务审计费用还款项目预算安排</w:t>
      </w:r>
      <w:r>
        <w:rPr>
          <w:rFonts w:hint="eastAsia" w:ascii="宋体" w:hAnsi="宋体" w:eastAsia="宋体" w:cs="宋体"/>
          <w:sz w:val="24"/>
          <w:szCs w:val="24"/>
          <w:lang w:val="en-US" w:eastAsia="zh-CN"/>
        </w:rPr>
        <w:t>65</w:t>
      </w:r>
      <w:r>
        <w:rPr>
          <w:rFonts w:hint="eastAsia" w:ascii="宋体" w:hAnsi="宋体" w:eastAsia="宋体" w:cs="宋体"/>
          <w:sz w:val="24"/>
          <w:szCs w:val="24"/>
        </w:rPr>
        <w:t>万元，实际支出</w:t>
      </w:r>
      <w:r>
        <w:rPr>
          <w:rFonts w:hint="eastAsia" w:ascii="宋体" w:hAnsi="宋体" w:eastAsia="宋体" w:cs="宋体"/>
          <w:sz w:val="24"/>
          <w:szCs w:val="24"/>
          <w:lang w:val="en-US" w:eastAsia="zh-CN"/>
        </w:rPr>
        <w:t>65</w:t>
      </w:r>
      <w:r>
        <w:rPr>
          <w:rFonts w:hint="eastAsia" w:ascii="宋体" w:hAnsi="宋体" w:eastAsia="宋体" w:cs="宋体"/>
          <w:sz w:val="24"/>
          <w:szCs w:val="24"/>
        </w:rPr>
        <w:t>万元，预算执行率</w:t>
      </w:r>
      <w:r>
        <w:rPr>
          <w:rFonts w:hint="eastAsia" w:ascii="宋体" w:hAnsi="宋体" w:eastAsia="宋体" w:cs="宋体"/>
          <w:sz w:val="24"/>
          <w:szCs w:val="24"/>
          <w:lang w:val="en-US" w:eastAsia="zh-CN"/>
        </w:rPr>
        <w:t>100</w:t>
      </w:r>
      <w:r>
        <w:rPr>
          <w:rFonts w:hint="eastAsia" w:ascii="宋体" w:hAnsi="宋体" w:eastAsia="宋体" w:cs="宋体"/>
          <w:sz w:val="24"/>
          <w:szCs w:val="24"/>
        </w:rPr>
        <w:t>%。项目资金使用合规，项目财务管理制度健全，财务监控到位，所有资金支付均按照国库集中支付制度严格执行，现有项目管理制度执行情况良好。</w:t>
      </w:r>
    </w:p>
    <w:p w14:paraId="079DF6D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项目产出：</w:t>
      </w:r>
      <w:r>
        <w:rPr>
          <w:rFonts w:hint="eastAsia" w:ascii="宋体" w:hAnsi="宋体" w:eastAsia="宋体" w:cs="宋体"/>
          <w:sz w:val="24"/>
          <w:szCs w:val="24"/>
          <w:lang w:eastAsia="zh-CN"/>
        </w:rPr>
        <w:t>该项目</w:t>
      </w:r>
      <w:r>
        <w:rPr>
          <w:rFonts w:hint="eastAsia" w:ascii="宋体" w:hAnsi="宋体" w:eastAsia="宋体" w:cs="宋体"/>
          <w:sz w:val="24"/>
          <w:szCs w:val="24"/>
        </w:rPr>
        <w:t>审计</w:t>
      </w:r>
      <w:r>
        <w:rPr>
          <w:rFonts w:hint="eastAsia" w:ascii="宋体" w:hAnsi="宋体" w:eastAsia="宋体" w:cs="宋体"/>
          <w:sz w:val="24"/>
          <w:szCs w:val="24"/>
          <w:lang w:eastAsia="zh-CN"/>
        </w:rPr>
        <w:t>全县</w:t>
      </w:r>
      <w:r>
        <w:rPr>
          <w:rFonts w:hint="eastAsia" w:ascii="宋体" w:hAnsi="宋体" w:eastAsia="宋体" w:cs="宋体"/>
          <w:sz w:val="24"/>
          <w:szCs w:val="24"/>
        </w:rPr>
        <w:t>全县230个</w:t>
      </w:r>
      <w:r>
        <w:rPr>
          <w:rFonts w:hint="eastAsia" w:ascii="宋体" w:hAnsi="宋体" w:eastAsia="宋体" w:cs="宋体"/>
          <w:sz w:val="24"/>
          <w:szCs w:val="24"/>
          <w:lang w:eastAsia="zh-CN"/>
        </w:rPr>
        <w:t>行政</w:t>
      </w:r>
      <w:r>
        <w:rPr>
          <w:rFonts w:hint="eastAsia" w:ascii="宋体" w:hAnsi="宋体" w:eastAsia="宋体" w:cs="宋体"/>
          <w:sz w:val="24"/>
          <w:szCs w:val="24"/>
        </w:rPr>
        <w:t>村</w:t>
      </w:r>
      <w:r>
        <w:rPr>
          <w:rFonts w:hint="eastAsia" w:ascii="宋体" w:hAnsi="宋体" w:eastAsia="宋体" w:cs="宋体"/>
          <w:sz w:val="24"/>
          <w:szCs w:val="24"/>
          <w:lang w:eastAsia="zh-CN"/>
        </w:rPr>
        <w:t>财务收支情况并每村出具审计报告</w:t>
      </w:r>
      <w:r>
        <w:rPr>
          <w:rFonts w:hint="eastAsia" w:ascii="宋体" w:hAnsi="宋体" w:eastAsia="宋体" w:cs="宋体"/>
          <w:sz w:val="24"/>
          <w:szCs w:val="24"/>
          <w:lang w:val="en-US" w:eastAsia="zh-CN"/>
        </w:rPr>
        <w:t>。</w:t>
      </w:r>
    </w:p>
    <w:p w14:paraId="5B02B807">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项目效益：通过实施此项目</w:t>
      </w:r>
      <w:r>
        <w:rPr>
          <w:rFonts w:hint="eastAsia" w:ascii="宋体" w:hAnsi="宋体" w:eastAsia="宋体" w:cs="宋体"/>
          <w:sz w:val="24"/>
          <w:szCs w:val="24"/>
          <w:lang w:eastAsia="zh-CN"/>
        </w:rPr>
        <w:t>有效促进各村财务规范率，促进审计查出问题整改率</w:t>
      </w:r>
      <w:r>
        <w:rPr>
          <w:rFonts w:hint="eastAsia" w:ascii="宋体" w:hAnsi="宋体" w:eastAsia="宋体" w:cs="宋体"/>
          <w:sz w:val="24"/>
          <w:szCs w:val="24"/>
          <w:lang w:val="en-US" w:eastAsia="zh-CN"/>
        </w:rPr>
        <w:t>。</w:t>
      </w:r>
    </w:p>
    <w:p w14:paraId="2AD588A8">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05F063A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2024年村级财务审计费用还款项目进行客观评价，最终评分结果：评价总分</w:t>
      </w:r>
      <w:r>
        <w:rPr>
          <w:rFonts w:hint="eastAsia" w:ascii="宋体" w:hAnsi="宋体" w:eastAsia="宋体" w:cs="宋体"/>
          <w:sz w:val="24"/>
          <w:szCs w:val="24"/>
          <w:lang w:val="en-US" w:eastAsia="zh-CN"/>
        </w:rPr>
        <w:t>100</w:t>
      </w:r>
      <w:r>
        <w:rPr>
          <w:rFonts w:hint="eastAsia" w:ascii="宋体" w:hAnsi="宋体" w:eastAsia="宋体" w:cs="宋体"/>
          <w:sz w:val="24"/>
          <w:szCs w:val="24"/>
        </w:rPr>
        <w:t>分，绩效等级为“</w:t>
      </w:r>
      <w:r>
        <w:rPr>
          <w:rFonts w:hint="eastAsia" w:ascii="宋体" w:hAnsi="宋体" w:eastAsia="宋体" w:cs="宋体"/>
          <w:sz w:val="24"/>
          <w:szCs w:val="24"/>
          <w:lang w:eastAsia="zh-CN"/>
        </w:rPr>
        <w:t>优</w:t>
      </w:r>
      <w:r>
        <w:rPr>
          <w:rFonts w:hint="eastAsia" w:ascii="宋体" w:hAnsi="宋体" w:eastAsia="宋体" w:cs="宋体"/>
          <w:sz w:val="24"/>
          <w:szCs w:val="24"/>
        </w:rPr>
        <w:t>”。</w:t>
      </w:r>
      <w:bookmarkEnd w:id="14"/>
      <w:bookmarkStart w:id="15" w:name="_Toc68364667"/>
    </w:p>
    <w:p w14:paraId="51D6BDD3">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5"/>
    </w:p>
    <w:p w14:paraId="531082EE">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6" w:name="_Toc68364668"/>
      <w:r>
        <w:rPr>
          <w:rFonts w:hint="eastAsia" w:ascii="宋体" w:hAnsi="宋体" w:eastAsia="宋体" w:cs="宋体"/>
          <w:sz w:val="24"/>
          <w:szCs w:val="24"/>
        </w:rPr>
        <w:t>（一）项目决策情况</w:t>
      </w:r>
    </w:p>
    <w:p w14:paraId="6E2F306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项目决策类指标包括项目立项、绩效目标和资金投入三方面的内容，由6个三级指标构成，权重分为</w:t>
      </w:r>
      <w:r>
        <w:rPr>
          <w:rFonts w:hint="eastAsia" w:ascii="宋体" w:hAnsi="宋体" w:eastAsia="宋体" w:cs="宋体"/>
          <w:sz w:val="24"/>
          <w:szCs w:val="24"/>
          <w:lang w:val="en-US" w:eastAsia="zh-CN"/>
        </w:rPr>
        <w:t>23</w:t>
      </w:r>
      <w:r>
        <w:rPr>
          <w:rFonts w:hint="eastAsia" w:ascii="宋体" w:hAnsi="宋体" w:eastAsia="宋体" w:cs="宋体"/>
          <w:sz w:val="24"/>
          <w:szCs w:val="24"/>
        </w:rPr>
        <w:t>分，实际得分</w:t>
      </w:r>
      <w:r>
        <w:rPr>
          <w:rFonts w:hint="eastAsia" w:ascii="宋体" w:hAnsi="宋体" w:eastAsia="宋体" w:cs="宋体"/>
          <w:sz w:val="24"/>
          <w:szCs w:val="24"/>
          <w:lang w:val="en-US" w:eastAsia="zh-CN"/>
        </w:rPr>
        <w:t>23</w:t>
      </w:r>
      <w:r>
        <w:rPr>
          <w:rFonts w:hint="eastAsia" w:ascii="宋体" w:hAnsi="宋体" w:eastAsia="宋体" w:cs="宋体"/>
          <w:sz w:val="24"/>
          <w:szCs w:val="24"/>
        </w:rPr>
        <w:t>分，得分率为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0BDAD00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6E59B44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本项目立项符合《</w:t>
      </w:r>
      <w:r>
        <w:rPr>
          <w:rFonts w:hint="eastAsia" w:ascii="宋体" w:hAnsi="宋体" w:eastAsia="宋体" w:cs="宋体"/>
          <w:sz w:val="24"/>
          <w:szCs w:val="24"/>
          <w:lang w:eastAsia="zh-CN"/>
        </w:rPr>
        <w:t>中华人民共和国审计法</w:t>
      </w:r>
      <w:r>
        <w:rPr>
          <w:rFonts w:hint="eastAsia" w:ascii="宋体" w:hAnsi="宋体" w:eastAsia="宋体" w:cs="宋体"/>
          <w:sz w:val="24"/>
          <w:szCs w:val="24"/>
        </w:rPr>
        <w:t>》中：</w:t>
      </w:r>
      <w:r>
        <w:rPr>
          <w:rFonts w:hint="eastAsia" w:ascii="宋体" w:hAnsi="宋体" w:eastAsia="宋体" w:cs="宋体"/>
          <w:sz w:val="24"/>
          <w:szCs w:val="24"/>
          <w:lang w:eastAsia="zh-CN"/>
        </w:rPr>
        <w:t>第二条</w:t>
      </w:r>
      <w:r>
        <w:rPr>
          <w:rFonts w:hint="eastAsia" w:ascii="宋体" w:hAnsi="宋体" w:eastAsia="宋体" w:cs="宋体"/>
          <w:sz w:val="24"/>
          <w:szCs w:val="24"/>
        </w:rPr>
        <w:t>“</w:t>
      </w:r>
      <w:r>
        <w:rPr>
          <w:rFonts w:hint="eastAsia" w:ascii="宋体" w:hAnsi="宋体" w:eastAsia="宋体" w:cs="宋体"/>
          <w:sz w:val="24"/>
          <w:szCs w:val="24"/>
          <w:lang w:val="en-US" w:eastAsia="zh-CN"/>
        </w:rPr>
        <w:t>国务院各部门和地方各级人民政府及其各部门的财政收支......以及其他依照本法规定应当接受审计的财政收支、财务收支依照本法规定接受审计监督</w:t>
      </w:r>
      <w:r>
        <w:rPr>
          <w:rFonts w:hint="eastAsia" w:ascii="宋体" w:hAnsi="宋体" w:eastAsia="宋体" w:cs="宋体"/>
          <w:sz w:val="24"/>
          <w:szCs w:val="24"/>
        </w:rPr>
        <w:t>”；符合行业发展规划和政策要求；本项目立项符合《</w:t>
      </w:r>
      <w:r>
        <w:rPr>
          <w:rFonts w:hint="eastAsia" w:ascii="宋体" w:hAnsi="宋体" w:eastAsia="宋体" w:cs="宋体"/>
          <w:sz w:val="24"/>
          <w:szCs w:val="24"/>
          <w:lang w:eastAsia="zh-CN"/>
        </w:rPr>
        <w:t>洛浦县审计局</w:t>
      </w:r>
      <w:r>
        <w:rPr>
          <w:rFonts w:hint="eastAsia" w:ascii="宋体" w:hAnsi="宋体" w:eastAsia="宋体" w:cs="宋体"/>
          <w:sz w:val="24"/>
          <w:szCs w:val="24"/>
        </w:rPr>
        <w:t>单位配置内设机构和人员编制规定》中职责范围中的“</w:t>
      </w:r>
      <w:r>
        <w:rPr>
          <w:rFonts w:hint="eastAsia" w:ascii="宋体" w:hAnsi="宋体" w:eastAsia="宋体" w:cs="宋体"/>
          <w:sz w:val="24"/>
          <w:szCs w:val="24"/>
          <w:lang w:eastAsia="zh-CN"/>
        </w:rPr>
        <w:t>审计机关依照法律规定的职权和程序进行审计监督</w:t>
      </w:r>
      <w:r>
        <w:rPr>
          <w:rFonts w:hint="eastAsia" w:ascii="宋体" w:hAnsi="宋体" w:eastAsia="宋体" w:cs="宋体"/>
          <w:sz w:val="24"/>
          <w:szCs w:val="24"/>
        </w:rPr>
        <w:t>”，属于我单位履职所需；根据《财政资金直接支付申请书》，本项目资金性质为“公共财政预算”功能分类为“</w:t>
      </w:r>
      <w:r>
        <w:rPr>
          <w:rFonts w:hint="eastAsia" w:ascii="宋体" w:hAnsi="宋体" w:eastAsia="宋体" w:cs="宋体"/>
          <w:sz w:val="24"/>
          <w:szCs w:val="24"/>
          <w:lang w:eastAsia="zh-CN"/>
        </w:rPr>
        <w:t>其他审计事务支出</w:t>
      </w:r>
      <w:r>
        <w:rPr>
          <w:rFonts w:hint="eastAsia" w:ascii="宋体" w:hAnsi="宋体" w:eastAsia="宋体" w:cs="宋体"/>
          <w:sz w:val="24"/>
          <w:szCs w:val="24"/>
        </w:rPr>
        <w:t>”经济分类为“</w:t>
      </w:r>
      <w:r>
        <w:rPr>
          <w:rFonts w:hint="eastAsia" w:ascii="宋体" w:hAnsi="宋体" w:eastAsia="宋体" w:cs="宋体"/>
          <w:sz w:val="24"/>
          <w:szCs w:val="24"/>
          <w:lang w:eastAsia="zh-CN"/>
        </w:rPr>
        <w:t>委托业务费</w:t>
      </w:r>
      <w:r>
        <w:rPr>
          <w:rFonts w:hint="eastAsia" w:ascii="宋体" w:hAnsi="宋体" w:eastAsia="宋体" w:cs="宋体"/>
          <w:sz w:val="24"/>
          <w:szCs w:val="24"/>
        </w:rPr>
        <w:t>”属于公共财政支持范围，符合中央、地方事权支出责任划分原则；经检查我单位财政应用平台指标，本项目不存在重复。</w:t>
      </w:r>
    </w:p>
    <w:p w14:paraId="24DFF6B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综上所述，本指标满分为</w:t>
      </w:r>
      <w:r>
        <w:rPr>
          <w:rFonts w:hint="eastAsia" w:ascii="宋体" w:hAnsi="宋体" w:eastAsia="宋体" w:cs="宋体"/>
          <w:sz w:val="24"/>
          <w:szCs w:val="24"/>
          <w:lang w:val="en-US" w:eastAsia="zh-CN"/>
        </w:rPr>
        <w:t>2</w:t>
      </w:r>
      <w:r>
        <w:rPr>
          <w:rFonts w:hint="eastAsia" w:ascii="宋体" w:hAnsi="宋体" w:eastAsia="宋体" w:cs="宋体"/>
          <w:sz w:val="24"/>
          <w:szCs w:val="24"/>
        </w:rPr>
        <w:t>分，根据评分标准得</w:t>
      </w:r>
      <w:r>
        <w:rPr>
          <w:rFonts w:hint="eastAsia" w:ascii="宋体" w:hAnsi="宋体" w:eastAsia="宋体" w:cs="宋体"/>
          <w:sz w:val="24"/>
          <w:szCs w:val="24"/>
          <w:lang w:val="en-US" w:eastAsia="zh-CN"/>
        </w:rPr>
        <w:t>2</w:t>
      </w:r>
      <w:r>
        <w:rPr>
          <w:rFonts w:hint="eastAsia" w:ascii="宋体" w:hAnsi="宋体" w:eastAsia="宋体" w:cs="宋体"/>
          <w:sz w:val="24"/>
          <w:szCs w:val="24"/>
        </w:rPr>
        <w:t>分，本项目立项依据充分。</w:t>
      </w:r>
    </w:p>
    <w:p w14:paraId="334C1A9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5761106E">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本项目立项过程中产生的文件均符合相关要求。本项目为</w:t>
      </w:r>
      <w:r>
        <w:rPr>
          <w:rFonts w:hint="eastAsia" w:ascii="宋体" w:hAnsi="宋体" w:eastAsia="宋体" w:cs="宋体"/>
          <w:color w:val="auto"/>
          <w:sz w:val="24"/>
          <w:szCs w:val="24"/>
          <w:highlight w:val="none"/>
          <w:lang w:eastAsia="zh-CN"/>
        </w:rPr>
        <w:t>特定</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万元，不涉及事前绩效评估和风险评估。</w:t>
      </w:r>
    </w:p>
    <w:p w14:paraId="614CB66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0901A8A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b/>
          <w:bCs/>
          <w:color w:val="000000"/>
          <w:sz w:val="24"/>
          <w:szCs w:val="24"/>
          <w:highlight w:val="none"/>
          <w:lang w:val="en-US" w:eastAsia="zh-CN"/>
        </w:rPr>
        <w:t>3.绩效目标合理性</w:t>
      </w:r>
    </w:p>
    <w:p w14:paraId="56D8B0B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w:t>
      </w:r>
      <w:r>
        <w:rPr>
          <w:rFonts w:hint="eastAsia" w:ascii="宋体" w:hAnsi="宋体" w:eastAsia="宋体" w:cs="宋体"/>
          <w:color w:val="auto"/>
          <w:sz w:val="24"/>
          <w:szCs w:val="24"/>
          <w:highlight w:val="none"/>
          <w:lang w:val="en-US" w:eastAsia="zh-CN"/>
        </w:rPr>
        <w:t>2024年度清欠化解拖欠聘请第三方审计服务费65万元</w:t>
      </w:r>
      <w:r>
        <w:rPr>
          <w:rFonts w:hint="eastAsia" w:ascii="宋体" w:hAnsi="宋体" w:eastAsia="宋体" w:cs="宋体"/>
          <w:color w:val="auto"/>
          <w:sz w:val="24"/>
          <w:szCs w:val="24"/>
          <w:highlight w:val="none"/>
        </w:rPr>
        <w:t>”。</w:t>
      </w:r>
    </w:p>
    <w:p w14:paraId="7A5FD38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w:t>
      </w:r>
      <w:r>
        <w:rPr>
          <w:rFonts w:hint="eastAsia" w:ascii="宋体" w:hAnsi="宋体" w:eastAsia="宋体" w:cs="宋体"/>
          <w:color w:val="auto"/>
          <w:sz w:val="24"/>
          <w:szCs w:val="24"/>
          <w:highlight w:val="none"/>
          <w:lang w:val="en-US" w:eastAsia="zh-CN"/>
        </w:rPr>
        <w:t>清欠化解拖欠聘请第三方审计服务费65万元</w:t>
      </w:r>
      <w:r>
        <w:rPr>
          <w:rFonts w:hint="eastAsia" w:ascii="宋体" w:hAnsi="宋体" w:eastAsia="宋体" w:cs="宋体"/>
          <w:color w:val="auto"/>
          <w:sz w:val="24"/>
          <w:szCs w:val="24"/>
          <w:highlight w:val="none"/>
        </w:rPr>
        <w:t>。绩效目标与实际工作内容一致，两者具有相关性。</w:t>
      </w:r>
    </w:p>
    <w:p w14:paraId="1ED5BF4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val="en-US" w:eastAsia="zh-CN"/>
        </w:rPr>
        <w:t>全县230个行政村村级财务收支情况审计</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促进被审村财务规范率</w:t>
      </w:r>
      <w:r>
        <w:rPr>
          <w:rFonts w:hint="eastAsia" w:ascii="宋体" w:hAnsi="宋体" w:eastAsia="宋体" w:cs="宋体"/>
          <w:color w:val="auto"/>
          <w:sz w:val="24"/>
          <w:szCs w:val="24"/>
          <w:highlight w:val="none"/>
        </w:rPr>
        <w:t>效益，预期产出效益和效果是否符合正常的业绩水平。</w:t>
      </w:r>
    </w:p>
    <w:p w14:paraId="1AC34A0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65.00</w:t>
      </w:r>
      <w:r>
        <w:rPr>
          <w:rFonts w:hint="eastAsia" w:ascii="宋体" w:hAnsi="宋体" w:eastAsia="宋体" w:cs="宋体"/>
          <w:color w:val="auto"/>
          <w:sz w:val="24"/>
          <w:szCs w:val="24"/>
          <w:highlight w:val="none"/>
        </w:rPr>
        <w:t>万元，《村级财务审计费用还款项目支出绩效目标表》中预算金额为</w:t>
      </w:r>
      <w:r>
        <w:rPr>
          <w:rFonts w:hint="eastAsia" w:ascii="宋体" w:hAnsi="宋体" w:eastAsia="宋体" w:cs="宋体"/>
          <w:color w:val="auto"/>
          <w:sz w:val="24"/>
          <w:szCs w:val="24"/>
          <w:highlight w:val="none"/>
          <w:lang w:val="en-US" w:eastAsia="zh-CN"/>
        </w:rPr>
        <w:t>65.00</w:t>
      </w:r>
      <w:r>
        <w:rPr>
          <w:rFonts w:hint="eastAsia" w:ascii="宋体" w:hAnsi="宋体" w:eastAsia="宋体" w:cs="宋体"/>
          <w:color w:val="auto"/>
          <w:sz w:val="24"/>
          <w:szCs w:val="24"/>
          <w:highlight w:val="none"/>
        </w:rPr>
        <w:t>万元，预算确定的项目资金与预算确定的项目投资额相匹配。</w:t>
      </w:r>
    </w:p>
    <w:p w14:paraId="3049279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w:t>
      </w:r>
      <w:r>
        <w:rPr>
          <w:rFonts w:hint="eastAsia" w:ascii="宋体" w:hAnsi="宋体" w:eastAsia="宋体" w:cs="宋体"/>
          <w:color w:val="auto"/>
          <w:sz w:val="24"/>
          <w:szCs w:val="24"/>
          <w:highlight w:val="none"/>
          <w:lang w:eastAsia="zh-CN"/>
        </w:rPr>
        <w:t>。</w:t>
      </w:r>
    </w:p>
    <w:p w14:paraId="4BC404F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6DFC8A0A">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561AC98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经检查我单位年初设置的《村级财务审计费用还款项目支出绩效目标表》，得出如下结论：本项目已将年度绩效目标进行细化为绩效指标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个，定量指标</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个，定性指标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个，指标量化率为</w:t>
      </w:r>
      <w:r>
        <w:rPr>
          <w:rFonts w:hint="eastAsia" w:ascii="宋体" w:hAnsi="宋体" w:eastAsia="宋体" w:cs="宋体"/>
          <w:color w:val="000000"/>
          <w:sz w:val="24"/>
          <w:szCs w:val="24"/>
          <w:highlight w:val="none"/>
          <w:lang w:val="en-US" w:eastAsia="zh-CN"/>
        </w:rPr>
        <w:t>83.33</w:t>
      </w:r>
      <w:r>
        <w:rPr>
          <w:rFonts w:hint="eastAsia" w:ascii="宋体" w:hAnsi="宋体" w:eastAsia="宋体" w:cs="宋体"/>
          <w:color w:val="000000"/>
          <w:sz w:val="24"/>
          <w:szCs w:val="24"/>
          <w:highlight w:val="none"/>
        </w:rPr>
        <w:t>%，量化率达70.0%以上</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将项目绩效目标细化分解为具体的绩效指标</w:t>
      </w:r>
      <w:r>
        <w:rPr>
          <w:rFonts w:hint="eastAsia" w:ascii="宋体" w:hAnsi="宋体" w:eastAsia="宋体" w:cs="宋体"/>
          <w:color w:val="000000"/>
          <w:sz w:val="24"/>
          <w:szCs w:val="24"/>
          <w:highlight w:val="none"/>
          <w:lang w:eastAsia="zh-CN"/>
        </w:rPr>
        <w:t>。</w:t>
      </w:r>
    </w:p>
    <w:p w14:paraId="22F3F21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该《村级财务审计费用还款项目绩效目标申报表》中，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“审计村数量”</w:t>
      </w:r>
      <w:r>
        <w:rPr>
          <w:rFonts w:hint="eastAsia" w:ascii="宋体" w:hAnsi="宋体" w:eastAsia="宋体" w:cs="宋体"/>
          <w:color w:val="000000"/>
          <w:sz w:val="24"/>
          <w:szCs w:val="24"/>
          <w:highlight w:val="none"/>
        </w:rPr>
        <w:t>，三级指标的年度指标值与年度绩效目标中任务数一致，已设置时效指标“</w:t>
      </w:r>
      <w:r>
        <w:rPr>
          <w:rFonts w:hint="eastAsia" w:ascii="宋体" w:hAnsi="宋体" w:eastAsia="宋体" w:cs="宋体"/>
          <w:color w:val="000000"/>
          <w:sz w:val="24"/>
          <w:szCs w:val="24"/>
          <w:highlight w:val="none"/>
          <w:lang w:val="en-US" w:eastAsia="zh-CN"/>
        </w:rPr>
        <w:t>资金支付及时率</w:t>
      </w:r>
      <w:r>
        <w:rPr>
          <w:rFonts w:hint="eastAsia" w:ascii="宋体" w:hAnsi="宋体" w:eastAsia="宋体" w:cs="宋体"/>
          <w:color w:val="000000"/>
          <w:sz w:val="24"/>
          <w:szCs w:val="24"/>
          <w:highlight w:val="none"/>
        </w:rPr>
        <w:t>”。已设置的绩效目标具备明确性、可衡量性、可实现性、相关性、时限性。</w:t>
      </w:r>
    </w:p>
    <w:p w14:paraId="31AF30D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05935CD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550F484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聘请第三方，对全县230个行政村财务收支情况进行全面审计，预算申请与《</w:t>
      </w:r>
      <w:r>
        <w:rPr>
          <w:rFonts w:hint="eastAsia" w:ascii="宋体" w:hAnsi="宋体" w:eastAsia="宋体" w:cs="宋体"/>
          <w:color w:val="000000"/>
          <w:sz w:val="24"/>
          <w:szCs w:val="24"/>
          <w:highlight w:val="none"/>
          <w:lang w:eastAsia="zh-CN"/>
        </w:rPr>
        <w:t>洛浦县村级财务审计工作</w:t>
      </w:r>
      <w:r>
        <w:rPr>
          <w:rFonts w:hint="eastAsia" w:ascii="宋体" w:hAnsi="宋体" w:eastAsia="宋体" w:cs="宋体"/>
          <w:color w:val="000000"/>
          <w:sz w:val="24"/>
          <w:szCs w:val="24"/>
          <w:highlight w:val="none"/>
        </w:rPr>
        <w:t>方案》中涉及的项目内容匹配；</w:t>
      </w:r>
    </w:p>
    <w:p w14:paraId="5CC5BE6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65.00</w:t>
      </w:r>
      <w:r>
        <w:rPr>
          <w:rFonts w:hint="eastAsia" w:ascii="宋体" w:hAnsi="宋体" w:eastAsia="宋体" w:cs="宋体"/>
          <w:color w:val="000000"/>
          <w:sz w:val="24"/>
          <w:szCs w:val="24"/>
          <w:highlight w:val="none"/>
        </w:rPr>
        <w:t>万元，我单位在预算申请中严格按照项目实施内容及测算标准进行核算，其中：</w:t>
      </w:r>
      <w:r>
        <w:rPr>
          <w:rFonts w:hint="eastAsia" w:ascii="宋体" w:hAnsi="宋体" w:eastAsia="宋体" w:cs="宋体"/>
          <w:color w:val="000000"/>
          <w:sz w:val="24"/>
          <w:szCs w:val="24"/>
          <w:highlight w:val="none"/>
          <w:lang w:val="en-US" w:eastAsia="zh-CN"/>
        </w:rPr>
        <w:t>2024年需化解清欠费用</w:t>
      </w:r>
      <w:r>
        <w:rPr>
          <w:rFonts w:hint="eastAsia" w:ascii="宋体" w:hAnsi="宋体" w:eastAsia="宋体" w:cs="宋体"/>
          <w:color w:val="000000"/>
          <w:sz w:val="24"/>
          <w:szCs w:val="24"/>
          <w:highlight w:val="none"/>
        </w:rPr>
        <w:t>费用</w:t>
      </w:r>
      <w:r>
        <w:rPr>
          <w:rFonts w:hint="eastAsia" w:ascii="宋体" w:hAnsi="宋体" w:eastAsia="宋体" w:cs="宋体"/>
          <w:color w:val="000000"/>
          <w:sz w:val="24"/>
          <w:szCs w:val="24"/>
          <w:highlight w:val="none"/>
          <w:lang w:val="en-US" w:eastAsia="zh-CN"/>
        </w:rPr>
        <w:t>65</w:t>
      </w:r>
      <w:r>
        <w:rPr>
          <w:rFonts w:hint="eastAsia" w:ascii="宋体" w:hAnsi="宋体" w:eastAsia="宋体" w:cs="宋体"/>
          <w:color w:val="000000"/>
          <w:sz w:val="24"/>
          <w:szCs w:val="24"/>
          <w:highlight w:val="none"/>
        </w:rPr>
        <w:t>万元</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5A9E6BB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2799D70E">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141E062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本项目实际分配资金以《关于申请2024年村级财务审计费用还款项目项目资金的请示》和《</w:t>
      </w:r>
      <w:r>
        <w:rPr>
          <w:rFonts w:hint="eastAsia" w:ascii="宋体" w:hAnsi="宋体" w:eastAsia="宋体" w:cs="宋体"/>
          <w:color w:val="000000"/>
          <w:sz w:val="24"/>
          <w:szCs w:val="24"/>
          <w:highlight w:val="none"/>
          <w:lang w:eastAsia="zh-CN"/>
        </w:rPr>
        <w:t>洛浦县村级财务审计工作</w:t>
      </w:r>
      <w:r>
        <w:rPr>
          <w:rFonts w:hint="eastAsia" w:ascii="宋体" w:hAnsi="宋体" w:eastAsia="宋体" w:cs="宋体"/>
          <w:color w:val="000000"/>
          <w:sz w:val="24"/>
          <w:szCs w:val="24"/>
          <w:highlight w:val="none"/>
        </w:rPr>
        <w:t>方案》为依据进行资金分配，预算资金分配依据充分。根据</w:t>
      </w:r>
      <w:r>
        <w:rPr>
          <w:rFonts w:hint="eastAsia" w:ascii="宋体" w:hAnsi="宋体" w:eastAsia="宋体" w:cs="宋体"/>
          <w:color w:val="000000"/>
          <w:sz w:val="24"/>
          <w:szCs w:val="24"/>
          <w:highlight w:val="none"/>
          <w:lang w:eastAsia="zh-CN"/>
        </w:rPr>
        <w:t>洛财纪字</w:t>
      </w:r>
      <w:r>
        <w:rPr>
          <w:rFonts w:hint="eastAsia" w:ascii="宋体" w:hAnsi="宋体" w:eastAsia="宋体" w:cs="宋体"/>
          <w:color w:val="000000"/>
          <w:sz w:val="24"/>
          <w:szCs w:val="24"/>
          <w:highlight w:val="none"/>
        </w:rPr>
        <w:t>〔20</w:t>
      </w:r>
      <w:r>
        <w:rPr>
          <w:rFonts w:hint="eastAsia" w:ascii="宋体" w:hAnsi="宋体" w:eastAsia="宋体" w:cs="宋体"/>
          <w:color w:val="000000"/>
          <w:sz w:val="24"/>
          <w:szCs w:val="24"/>
          <w:highlight w:val="none"/>
          <w:lang w:val="en-US" w:eastAsia="zh-CN"/>
        </w:rPr>
        <w:t>24</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号，本项目实际到位资金</w:t>
      </w:r>
      <w:r>
        <w:rPr>
          <w:rFonts w:hint="eastAsia" w:ascii="宋体" w:hAnsi="宋体" w:eastAsia="宋体" w:cs="宋体"/>
          <w:color w:val="000000"/>
          <w:sz w:val="24"/>
          <w:szCs w:val="24"/>
          <w:highlight w:val="none"/>
          <w:lang w:val="en-US" w:eastAsia="zh-CN"/>
        </w:rPr>
        <w:t>65.00</w:t>
      </w:r>
      <w:r>
        <w:rPr>
          <w:rFonts w:hint="eastAsia" w:ascii="宋体" w:hAnsi="宋体" w:eastAsia="宋体" w:cs="宋体"/>
          <w:color w:val="000000"/>
          <w:sz w:val="24"/>
          <w:szCs w:val="24"/>
          <w:highlight w:val="none"/>
        </w:rPr>
        <w:t>万元，资金分配额度合理，与我单位实际需求相适应。资金分配与实际相适应</w:t>
      </w:r>
      <w:r>
        <w:rPr>
          <w:rFonts w:hint="eastAsia" w:ascii="宋体" w:hAnsi="宋体" w:eastAsia="宋体" w:cs="宋体"/>
          <w:color w:val="000000"/>
          <w:sz w:val="24"/>
          <w:szCs w:val="24"/>
          <w:highlight w:val="none"/>
          <w:lang w:eastAsia="zh-CN"/>
        </w:rPr>
        <w:t>。</w:t>
      </w:r>
    </w:p>
    <w:p w14:paraId="4B6A5DC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21E64B62">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2C6822B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413BF8F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3E65ABC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本项目预算资金为</w:t>
      </w:r>
      <w:r>
        <w:rPr>
          <w:rFonts w:hint="eastAsia" w:ascii="宋体" w:hAnsi="宋体" w:eastAsia="宋体" w:cs="宋体"/>
          <w:color w:val="000000"/>
          <w:sz w:val="24"/>
          <w:szCs w:val="24"/>
          <w:highlight w:val="none"/>
          <w:lang w:val="en-US" w:eastAsia="zh-CN"/>
        </w:rPr>
        <w:t>65.00</w:t>
      </w:r>
      <w:r>
        <w:rPr>
          <w:rFonts w:hint="eastAsia" w:ascii="宋体" w:hAnsi="宋体" w:eastAsia="宋体" w:cs="宋体"/>
          <w:color w:val="000000"/>
          <w:sz w:val="24"/>
          <w:szCs w:val="24"/>
          <w:highlight w:val="none"/>
        </w:rPr>
        <w:t>万元，其中：财政安排资金</w:t>
      </w:r>
      <w:r>
        <w:rPr>
          <w:rFonts w:hint="eastAsia" w:ascii="宋体" w:hAnsi="宋体" w:eastAsia="宋体" w:cs="宋体"/>
          <w:color w:val="000000"/>
          <w:sz w:val="24"/>
          <w:szCs w:val="24"/>
          <w:highlight w:val="none"/>
          <w:lang w:val="en-US" w:eastAsia="zh-CN"/>
        </w:rPr>
        <w:t>65.00</w:t>
      </w:r>
      <w:r>
        <w:rPr>
          <w:rFonts w:hint="eastAsia" w:ascii="宋体" w:hAnsi="宋体" w:eastAsia="宋体" w:cs="宋体"/>
          <w:color w:val="000000"/>
          <w:sz w:val="24"/>
          <w:szCs w:val="24"/>
          <w:highlight w:val="none"/>
        </w:rPr>
        <w:t>万元，其他资金</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万元，实际到位资金</w:t>
      </w:r>
      <w:r>
        <w:rPr>
          <w:rFonts w:hint="eastAsia" w:ascii="宋体" w:hAnsi="宋体" w:eastAsia="宋体" w:cs="宋体"/>
          <w:color w:val="000000"/>
          <w:sz w:val="24"/>
          <w:szCs w:val="24"/>
          <w:highlight w:val="none"/>
          <w:lang w:val="en-US" w:eastAsia="zh-CN"/>
        </w:rPr>
        <w:t>65.00</w:t>
      </w:r>
      <w:r>
        <w:rPr>
          <w:rFonts w:hint="eastAsia" w:ascii="宋体" w:hAnsi="宋体" w:eastAsia="宋体" w:cs="宋体"/>
          <w:color w:val="000000"/>
          <w:sz w:val="24"/>
          <w:szCs w:val="24"/>
          <w:highlight w:val="none"/>
        </w:rPr>
        <w:t>万元，资金到位率</w:t>
      </w:r>
      <w:r>
        <w:rPr>
          <w:rFonts w:hint="eastAsia" w:ascii="宋体" w:hAnsi="宋体" w:eastAsia="宋体" w:cs="宋体"/>
          <w:color w:val="000000"/>
          <w:sz w:val="24"/>
          <w:szCs w:val="24"/>
          <w:highlight w:val="none"/>
          <w:lang w:val="en-US" w:eastAsia="zh-CN"/>
        </w:rPr>
        <w:t>100%；通过分析可知，该项目</w:t>
      </w:r>
      <w:r>
        <w:rPr>
          <w:rFonts w:hint="eastAsia" w:ascii="宋体" w:hAnsi="宋体" w:eastAsia="宋体" w:cs="宋体"/>
          <w:color w:val="000000"/>
          <w:sz w:val="24"/>
          <w:szCs w:val="24"/>
          <w:highlight w:val="none"/>
        </w:rPr>
        <w:t>财政资金足额拨付到位，能够及时足额</w:t>
      </w:r>
      <w:r>
        <w:rPr>
          <w:rFonts w:hint="eastAsia" w:ascii="宋体" w:hAnsi="宋体" w:eastAsia="宋体" w:cs="宋体"/>
          <w:color w:val="000000"/>
          <w:sz w:val="24"/>
          <w:szCs w:val="24"/>
          <w:highlight w:val="none"/>
          <w:lang w:val="en-US" w:eastAsia="zh-CN"/>
        </w:rPr>
        <w:t>支付</w:t>
      </w:r>
      <w:r>
        <w:rPr>
          <w:rFonts w:hint="eastAsia" w:ascii="宋体" w:hAnsi="宋体" w:eastAsia="宋体" w:cs="宋体"/>
          <w:color w:val="000000"/>
          <w:sz w:val="24"/>
          <w:szCs w:val="24"/>
          <w:highlight w:val="none"/>
        </w:rPr>
        <w:t>给</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单位</w:t>
      </w:r>
      <w:r>
        <w:rPr>
          <w:rFonts w:hint="eastAsia" w:ascii="宋体" w:hAnsi="宋体" w:eastAsia="宋体" w:cs="宋体"/>
          <w:color w:val="000000"/>
          <w:sz w:val="24"/>
          <w:szCs w:val="24"/>
          <w:highlight w:val="none"/>
          <w:lang w:eastAsia="zh-CN"/>
        </w:rPr>
        <w:t>。</w:t>
      </w:r>
    </w:p>
    <w:p w14:paraId="323A377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41C6C69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3832AB5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本项目实际支出资金</w:t>
      </w:r>
      <w:r>
        <w:rPr>
          <w:rFonts w:hint="eastAsia" w:ascii="宋体" w:hAnsi="宋体" w:eastAsia="宋体" w:cs="宋体"/>
          <w:color w:val="000000"/>
          <w:sz w:val="24"/>
          <w:szCs w:val="24"/>
          <w:highlight w:val="none"/>
          <w:lang w:val="en-US" w:eastAsia="zh-CN"/>
        </w:rPr>
        <w:t>65.00</w:t>
      </w:r>
      <w:r>
        <w:rPr>
          <w:rFonts w:hint="eastAsia" w:ascii="宋体" w:hAnsi="宋体" w:eastAsia="宋体" w:cs="宋体"/>
          <w:color w:val="000000"/>
          <w:sz w:val="24"/>
          <w:szCs w:val="24"/>
          <w:highlight w:val="none"/>
        </w:rPr>
        <w:t>万元，预算执行率=（实际支出资金/实际到位资金）×100.0%=</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通过分析可知，该项目</w:t>
      </w:r>
      <w:r>
        <w:rPr>
          <w:rFonts w:hint="eastAsia" w:ascii="宋体" w:hAnsi="宋体" w:eastAsia="宋体" w:cs="宋体"/>
          <w:color w:val="000000"/>
          <w:sz w:val="24"/>
          <w:szCs w:val="24"/>
          <w:highlight w:val="none"/>
        </w:rPr>
        <w:t>预算编制较为详细，项目资金支出总体能够按照预算执行</w:t>
      </w:r>
      <w:r>
        <w:rPr>
          <w:rFonts w:hint="eastAsia" w:ascii="宋体" w:hAnsi="宋体" w:eastAsia="宋体" w:cs="宋体"/>
          <w:color w:val="000000"/>
          <w:sz w:val="24"/>
          <w:szCs w:val="24"/>
          <w:highlight w:val="none"/>
          <w:lang w:eastAsia="zh-CN"/>
        </w:rPr>
        <w:t>。</w:t>
      </w:r>
    </w:p>
    <w:p w14:paraId="750D471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73FDCEC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77D57BC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通过检查项目资金申请文件、</w:t>
      </w:r>
      <w:r>
        <w:rPr>
          <w:rFonts w:hint="eastAsia" w:ascii="宋体" w:hAnsi="宋体" w:eastAsia="宋体" w:cs="宋体"/>
          <w:color w:val="000000"/>
          <w:sz w:val="24"/>
          <w:szCs w:val="24"/>
          <w:highlight w:val="none"/>
          <w:lang w:val="en-US" w:eastAsia="zh-CN"/>
        </w:rPr>
        <w:t>国库支付凭证</w:t>
      </w:r>
      <w:r>
        <w:rPr>
          <w:rFonts w:hint="eastAsia" w:ascii="宋体" w:hAnsi="宋体" w:eastAsia="宋体" w:cs="宋体"/>
          <w:color w:val="000000"/>
          <w:sz w:val="24"/>
          <w:szCs w:val="24"/>
          <w:highlight w:val="none"/>
        </w:rPr>
        <w:t>等财务</w:t>
      </w:r>
      <w:r>
        <w:rPr>
          <w:rFonts w:hint="eastAsia" w:ascii="宋体" w:hAnsi="宋体" w:eastAsia="宋体" w:cs="宋体"/>
          <w:color w:val="000000"/>
          <w:sz w:val="24"/>
          <w:szCs w:val="24"/>
          <w:highlight w:val="none"/>
          <w:lang w:val="en-US" w:eastAsia="zh-CN"/>
        </w:rPr>
        <w:t>资料</w:t>
      </w:r>
      <w:r>
        <w:rPr>
          <w:rFonts w:hint="eastAsia" w:ascii="宋体" w:hAnsi="宋体" w:eastAsia="宋体" w:cs="宋体"/>
          <w:color w:val="000000"/>
          <w:sz w:val="24"/>
          <w:szCs w:val="24"/>
          <w:highlight w:val="none"/>
        </w:rPr>
        <w:t>，得出本项目资金支出符合国家财经法规、《政府会计制度》《</w:t>
      </w:r>
      <w:r>
        <w:rPr>
          <w:rFonts w:hint="eastAsia" w:ascii="宋体" w:hAnsi="宋体" w:eastAsia="宋体" w:cs="宋体"/>
          <w:color w:val="000000"/>
          <w:sz w:val="24"/>
          <w:szCs w:val="24"/>
          <w:highlight w:val="none"/>
          <w:lang w:eastAsia="zh-CN"/>
        </w:rPr>
        <w:t>洛浦县审计局</w:t>
      </w:r>
      <w:r>
        <w:rPr>
          <w:rFonts w:hint="eastAsia" w:ascii="宋体" w:hAnsi="宋体" w:eastAsia="宋体" w:cs="宋体"/>
          <w:color w:val="000000"/>
          <w:sz w:val="24"/>
          <w:szCs w:val="24"/>
          <w:highlight w:val="none"/>
        </w:rPr>
        <w:t>资金管理办法》，资金的拨付有完整的审批程序和手续，资金实际使用方向与预算批复用途一致，不存在截留、挤占、挪用、虚列支出的情况。</w:t>
      </w:r>
      <w:r>
        <w:rPr>
          <w:rFonts w:hint="eastAsia" w:ascii="宋体" w:hAnsi="宋体" w:eastAsia="宋体" w:cs="宋体"/>
          <w:color w:val="000000"/>
          <w:sz w:val="24"/>
          <w:szCs w:val="24"/>
          <w:highlight w:val="none"/>
          <w:lang w:val="en-US" w:eastAsia="zh-CN"/>
        </w:rPr>
        <w:t>我单位</w:t>
      </w:r>
      <w:r>
        <w:rPr>
          <w:rFonts w:hint="eastAsia" w:ascii="宋体" w:hAnsi="宋体" w:eastAsia="宋体" w:cs="宋体"/>
          <w:color w:val="000000"/>
          <w:sz w:val="24"/>
          <w:szCs w:val="24"/>
          <w:highlight w:val="none"/>
        </w:rPr>
        <w:t>制定了相关的制度和管理规定对经费使用进行规范管理，财务制度健全、执行严格</w:t>
      </w:r>
      <w:r>
        <w:rPr>
          <w:rFonts w:hint="eastAsia" w:ascii="宋体" w:hAnsi="宋体" w:eastAsia="宋体" w:cs="宋体"/>
          <w:color w:val="000000"/>
          <w:sz w:val="24"/>
          <w:szCs w:val="24"/>
          <w:highlight w:val="none"/>
          <w:lang w:eastAsia="zh-CN"/>
        </w:rPr>
        <w:t>。</w:t>
      </w:r>
    </w:p>
    <w:p w14:paraId="0013C13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5A2307FE">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5285CB8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我单位已制定《</w:t>
      </w:r>
      <w:r>
        <w:rPr>
          <w:rFonts w:hint="eastAsia" w:ascii="宋体" w:hAnsi="宋体" w:eastAsia="宋体" w:cs="宋体"/>
          <w:color w:val="000000"/>
          <w:sz w:val="24"/>
          <w:szCs w:val="24"/>
          <w:highlight w:val="none"/>
          <w:lang w:val="en-US" w:eastAsia="zh-CN"/>
        </w:rPr>
        <w:t>洛浦县审计局</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财务</w:t>
      </w:r>
      <w:r>
        <w:rPr>
          <w:rFonts w:hint="eastAsia" w:ascii="宋体" w:hAnsi="宋体" w:eastAsia="宋体" w:cs="宋体"/>
          <w:color w:val="000000"/>
          <w:sz w:val="24"/>
          <w:szCs w:val="24"/>
          <w:highlight w:val="none"/>
        </w:rPr>
        <w:t>收支业务管理制度》《政府采购业务管理制度》《合同管理制度》，</w:t>
      </w:r>
      <w:r>
        <w:rPr>
          <w:rFonts w:hint="eastAsia" w:ascii="宋体" w:hAnsi="宋体" w:eastAsia="宋体" w:cs="宋体"/>
          <w:color w:val="000000"/>
          <w:sz w:val="24"/>
          <w:szCs w:val="24"/>
          <w:highlight w:val="none"/>
          <w:lang w:val="en-US" w:eastAsia="zh-CN"/>
        </w:rPr>
        <w:t>相关</w:t>
      </w:r>
      <w:r>
        <w:rPr>
          <w:rFonts w:hint="eastAsia" w:ascii="宋体" w:hAnsi="宋体" w:eastAsia="宋体" w:cs="宋体"/>
          <w:color w:val="000000"/>
          <w:sz w:val="24"/>
          <w:szCs w:val="24"/>
          <w:highlight w:val="none"/>
        </w:rPr>
        <w:t>制度均符合行政事业单位内控管理要求，财务和业务管理制度合法、合规、完整，本项目执行符合上述制度规定。</w:t>
      </w:r>
    </w:p>
    <w:p w14:paraId="779CA87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3B29627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5835362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①该项目的实施符合</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洛浦县</w:t>
      </w:r>
      <w:r>
        <w:rPr>
          <w:rFonts w:hint="eastAsia" w:ascii="宋体" w:hAnsi="宋体" w:eastAsia="宋体" w:cs="宋体"/>
          <w:color w:val="auto"/>
          <w:sz w:val="24"/>
          <w:szCs w:val="24"/>
          <w:highlight w:val="none"/>
          <w:lang w:val="en-US" w:eastAsia="zh-CN"/>
        </w:rPr>
        <w:t>审计局</w:t>
      </w:r>
      <w:r>
        <w:rPr>
          <w:rFonts w:hint="eastAsia" w:ascii="宋体" w:hAnsi="宋体" w:eastAsia="宋体" w:cs="宋体"/>
          <w:color w:val="auto"/>
          <w:sz w:val="24"/>
          <w:szCs w:val="24"/>
          <w:highlight w:val="none"/>
        </w:rPr>
        <w:t>资金管理办法》</w:t>
      </w:r>
      <w:r>
        <w:rPr>
          <w:rFonts w:hint="eastAsia" w:ascii="宋体" w:hAnsi="宋体" w:eastAsia="宋体" w:cs="宋体"/>
          <w:color w:val="000000"/>
          <w:sz w:val="24"/>
          <w:szCs w:val="24"/>
          <w:highlight w:val="none"/>
        </w:rPr>
        <w:t>《</w:t>
      </w:r>
      <w:r>
        <w:rPr>
          <w:rFonts w:hint="eastAsia" w:ascii="宋体" w:hAnsi="宋体" w:eastAsia="宋体" w:cs="宋体"/>
          <w:color w:val="auto"/>
          <w:sz w:val="24"/>
          <w:szCs w:val="24"/>
          <w:highlight w:val="none"/>
          <w:lang w:eastAsia="zh-CN"/>
        </w:rPr>
        <w:t>洛浦县</w:t>
      </w:r>
      <w:r>
        <w:rPr>
          <w:rFonts w:hint="eastAsia" w:ascii="宋体" w:hAnsi="宋体" w:eastAsia="宋体" w:cs="宋体"/>
          <w:color w:val="auto"/>
          <w:sz w:val="24"/>
          <w:szCs w:val="24"/>
          <w:highlight w:val="none"/>
          <w:lang w:val="en-US" w:eastAsia="zh-CN"/>
        </w:rPr>
        <w:t>审计局</w:t>
      </w:r>
      <w:r>
        <w:rPr>
          <w:rFonts w:hint="eastAsia" w:ascii="宋体" w:hAnsi="宋体" w:eastAsia="宋体" w:cs="宋体"/>
          <w:color w:val="000000"/>
          <w:sz w:val="24"/>
          <w:szCs w:val="24"/>
          <w:highlight w:val="none"/>
        </w:rPr>
        <w:t>采购业务管理制度》《</w:t>
      </w:r>
      <w:r>
        <w:rPr>
          <w:rFonts w:hint="eastAsia" w:ascii="宋体" w:hAnsi="宋体" w:eastAsia="宋体" w:cs="宋体"/>
          <w:color w:val="auto"/>
          <w:sz w:val="24"/>
          <w:szCs w:val="24"/>
          <w:highlight w:val="none"/>
          <w:lang w:eastAsia="zh-CN"/>
        </w:rPr>
        <w:t>洛浦县</w:t>
      </w:r>
      <w:r>
        <w:rPr>
          <w:rFonts w:hint="eastAsia" w:ascii="宋体" w:hAnsi="宋体" w:eastAsia="宋体" w:cs="宋体"/>
          <w:color w:val="auto"/>
          <w:sz w:val="24"/>
          <w:szCs w:val="24"/>
          <w:highlight w:val="none"/>
          <w:lang w:val="en-US" w:eastAsia="zh-CN"/>
        </w:rPr>
        <w:t>审计局</w:t>
      </w:r>
      <w:r>
        <w:rPr>
          <w:rFonts w:hint="eastAsia" w:ascii="宋体" w:hAnsi="宋体" w:eastAsia="宋体" w:cs="宋体"/>
          <w:color w:val="000000"/>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2E5EB78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②经现场查证项目合同书、验收评审表、财务支付凭证等资料齐全并及时归档。</w:t>
      </w:r>
    </w:p>
    <w:p w14:paraId="4625957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③该项目是否存在调整，调整手续是否齐全，如未调整，则填“该项目实施过程中不存在调整事项”。</w:t>
      </w:r>
    </w:p>
    <w:p w14:paraId="1D4290D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2024年村级财务审计费用还款项目工作领导小组，由</w:t>
      </w:r>
      <w:r>
        <w:rPr>
          <w:rFonts w:hint="eastAsia" w:ascii="宋体" w:hAnsi="宋体" w:eastAsia="宋体" w:cs="宋体"/>
          <w:color w:val="000000"/>
          <w:sz w:val="24"/>
          <w:szCs w:val="24"/>
          <w:highlight w:val="none"/>
          <w:lang w:eastAsia="zh-CN"/>
        </w:rPr>
        <w:t>王质蕙</w:t>
      </w:r>
      <w:r>
        <w:rPr>
          <w:rFonts w:hint="eastAsia" w:ascii="宋体" w:hAnsi="宋体" w:eastAsia="宋体" w:cs="宋体"/>
          <w:color w:val="000000"/>
          <w:sz w:val="24"/>
          <w:szCs w:val="24"/>
          <w:highlight w:val="none"/>
        </w:rPr>
        <w:t>任组长，负责项目的组织工作；</w:t>
      </w:r>
      <w:r>
        <w:rPr>
          <w:rFonts w:hint="eastAsia" w:ascii="宋体" w:hAnsi="宋体" w:eastAsia="宋体" w:cs="宋体"/>
          <w:color w:val="000000"/>
          <w:sz w:val="24"/>
          <w:szCs w:val="24"/>
          <w:highlight w:val="none"/>
          <w:lang w:eastAsia="zh-CN"/>
        </w:rPr>
        <w:t>阿不都克热木</w:t>
      </w:r>
      <w:r>
        <w:rPr>
          <w:rFonts w:hint="eastAsia" w:ascii="宋体" w:hAnsi="宋体" w:eastAsia="宋体" w:cs="宋体"/>
          <w:color w:val="000000"/>
          <w:sz w:val="24"/>
          <w:szCs w:val="24"/>
          <w:highlight w:val="none"/>
          <w:lang w:val="en-US" w:eastAsia="zh-CN"/>
        </w:rPr>
        <w:t>·麦麦提明</w:t>
      </w:r>
      <w:r>
        <w:rPr>
          <w:rFonts w:hint="eastAsia" w:ascii="宋体" w:hAnsi="宋体" w:eastAsia="宋体" w:cs="宋体"/>
          <w:color w:val="000000"/>
          <w:sz w:val="24"/>
          <w:szCs w:val="24"/>
          <w:highlight w:val="none"/>
        </w:rPr>
        <w:t>任副组长，负责项目的实施工作；组员包括：</w:t>
      </w:r>
      <w:r>
        <w:rPr>
          <w:rFonts w:hint="eastAsia" w:ascii="宋体" w:hAnsi="宋体" w:eastAsia="宋体" w:cs="宋体"/>
          <w:color w:val="000000"/>
          <w:sz w:val="24"/>
          <w:szCs w:val="24"/>
          <w:highlight w:val="none"/>
          <w:lang w:eastAsia="zh-CN"/>
        </w:rPr>
        <w:t>穆开代斯</w:t>
      </w:r>
      <w:r>
        <w:rPr>
          <w:rFonts w:hint="eastAsia" w:ascii="宋体" w:hAnsi="宋体" w:eastAsia="宋体" w:cs="宋体"/>
          <w:color w:val="000000"/>
          <w:sz w:val="24"/>
          <w:szCs w:val="24"/>
          <w:highlight w:val="none"/>
          <w:lang w:val="en-US" w:eastAsia="zh-CN"/>
        </w:rPr>
        <w:t>·如则麦麦提</w:t>
      </w:r>
      <w:r>
        <w:rPr>
          <w:rFonts w:hint="eastAsia" w:ascii="宋体" w:hAnsi="宋体" w:eastAsia="宋体" w:cs="宋体"/>
          <w:color w:val="000000"/>
          <w:sz w:val="24"/>
          <w:szCs w:val="24"/>
          <w:highlight w:val="none"/>
        </w:rPr>
        <w:t>，主要负责项目监督管理、验收以及资金核拨等工作。</w:t>
      </w:r>
    </w:p>
    <w:p w14:paraId="20C187C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65FBFB1E">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4E16D93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9361DD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4361BB6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审计村数量，预期指标值</w:t>
      </w:r>
      <w:r>
        <w:rPr>
          <w:rFonts w:hint="eastAsia" w:ascii="宋体" w:hAnsi="宋体" w:eastAsia="宋体" w:cs="宋体"/>
          <w:color w:val="auto"/>
          <w:sz w:val="24"/>
          <w:szCs w:val="24"/>
          <w:highlight w:val="none"/>
          <w:lang w:val="en-US" w:eastAsia="zh-CN"/>
        </w:rPr>
        <w:t>等于230个</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230个</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09A5EA7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70900AF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2241427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资金使用合规率，预期指标值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7654143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5E4B72E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5832EFE2">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资金支付及时率，预期指标值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2B73504B">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0443662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745E5CEB">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项目总成本，预期指标值</w:t>
      </w:r>
      <w:r>
        <w:rPr>
          <w:rFonts w:hint="eastAsia" w:ascii="宋体" w:hAnsi="宋体" w:eastAsia="宋体" w:cs="宋体"/>
          <w:color w:val="auto"/>
          <w:sz w:val="24"/>
          <w:szCs w:val="24"/>
          <w:highlight w:val="none"/>
          <w:lang w:val="en-US" w:eastAsia="zh-CN"/>
        </w:rPr>
        <w:t>≤65万元</w:t>
      </w:r>
      <w:r>
        <w:rPr>
          <w:rFonts w:hint="eastAsia" w:ascii="宋体" w:hAnsi="宋体" w:eastAsia="宋体" w:cs="宋体"/>
          <w:color w:val="auto"/>
          <w:sz w:val="24"/>
          <w:szCs w:val="24"/>
          <w:highlight w:val="none"/>
        </w:rPr>
        <w:t>，实际完成值</w:t>
      </w:r>
      <w:r>
        <w:rPr>
          <w:rFonts w:hint="eastAsia" w:ascii="宋体" w:hAnsi="宋体" w:eastAsia="宋体" w:cs="宋体"/>
          <w:color w:val="auto"/>
          <w:sz w:val="24"/>
          <w:szCs w:val="24"/>
          <w:highlight w:val="none"/>
          <w:lang w:val="en-US" w:eastAsia="zh-CN"/>
        </w:rPr>
        <w:t>65万元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分。</w:t>
      </w:r>
    </w:p>
    <w:p w14:paraId="54395DF5">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合计得10分。</w:t>
      </w:r>
    </w:p>
    <w:p w14:paraId="25B8FCDE">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29AFB16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项目效益类指标包括项目效益1个方面的内容，由2个三级指标构成，权重分为2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分，实际得分2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分，得分率为100%。</w:t>
      </w:r>
    </w:p>
    <w:p w14:paraId="3C9BBBE0">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1553C4F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促进被审村财务规范</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预期指标值为</w:t>
      </w:r>
      <w:r>
        <w:rPr>
          <w:rFonts w:hint="eastAsia" w:ascii="宋体" w:hAnsi="宋体" w:eastAsia="宋体" w:cs="宋体"/>
          <w:sz w:val="24"/>
          <w:szCs w:val="24"/>
          <w:highlight w:val="none"/>
          <w:lang w:val="en-US" w:eastAsia="zh-CN"/>
        </w:rPr>
        <w:t>有效促进</w:t>
      </w:r>
      <w:r>
        <w:rPr>
          <w:rFonts w:hint="eastAsia" w:ascii="宋体" w:hAnsi="宋体" w:eastAsia="宋体" w:cs="宋体"/>
          <w:sz w:val="24"/>
          <w:szCs w:val="24"/>
          <w:highlight w:val="none"/>
        </w:rPr>
        <w:t>，实际完成值为</w:t>
      </w:r>
      <w:r>
        <w:rPr>
          <w:rFonts w:hint="eastAsia" w:ascii="宋体" w:hAnsi="宋体" w:eastAsia="宋体" w:cs="宋体"/>
          <w:sz w:val="24"/>
          <w:szCs w:val="24"/>
          <w:highlight w:val="none"/>
          <w:lang w:val="en-US" w:eastAsia="zh-CN"/>
        </w:rPr>
        <w:t>有效促进</w:t>
      </w:r>
      <w:r>
        <w:rPr>
          <w:rFonts w:hint="eastAsia" w:ascii="宋体" w:hAnsi="宋体" w:eastAsia="宋体" w:cs="宋体"/>
          <w:sz w:val="24"/>
          <w:szCs w:val="24"/>
          <w:highlight w:val="none"/>
        </w:rPr>
        <w:t>，指标完成率为</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，与预期指标一致，根据评分标准，该指标不扣分，得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5分。</w:t>
      </w:r>
    </w:p>
    <w:p w14:paraId="353905D0">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2EE463E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5788ECC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299E379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rPr>
      </w:pPr>
      <w:r>
        <w:rPr>
          <w:rFonts w:hint="eastAsia" w:ascii="宋体" w:hAnsi="宋体" w:eastAsia="宋体" w:cs="宋体"/>
          <w:b w:val="0"/>
          <w:bCs w:val="0"/>
          <w:color w:val="000000"/>
          <w:sz w:val="24"/>
          <w:szCs w:val="24"/>
          <w:highlight w:val="none"/>
          <w:lang w:val="en-US" w:eastAsia="zh-CN"/>
        </w:rPr>
        <w:t>该项目不涉及生态效益指标。</w:t>
      </w:r>
    </w:p>
    <w:p w14:paraId="39D4DFD0">
      <w:pPr>
        <w:pStyle w:val="10"/>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sz w:val="24"/>
          <w:szCs w:val="24"/>
        </w:rPr>
      </w:pPr>
      <w:r>
        <w:rPr>
          <w:rFonts w:hint="eastAsia" w:ascii="宋体" w:hAnsi="宋体" w:eastAsia="宋体" w:cs="宋体"/>
          <w:bCs/>
          <w:sz w:val="24"/>
          <w:szCs w:val="24"/>
        </w:rPr>
        <w:t>（4）满意度指标分析</w:t>
      </w:r>
    </w:p>
    <w:p w14:paraId="76F55D7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被审村满意度，预期指标值为大于等于95%，实际完成值为100%，指标完成率为100%，与预期目标一致，根据评分标准，该指标不扣分,得10分。</w:t>
      </w:r>
      <w:bookmarkEnd w:id="16"/>
    </w:p>
    <w:p w14:paraId="44206A77">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707BA970">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3F92D9F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本项目年初预算资金总额为</w:t>
      </w:r>
      <w:r>
        <w:rPr>
          <w:rFonts w:hint="eastAsia" w:ascii="宋体" w:hAnsi="宋体" w:eastAsia="宋体" w:cs="宋体"/>
          <w:b w:val="0"/>
          <w:bCs/>
          <w:color w:val="000000"/>
          <w:sz w:val="24"/>
          <w:szCs w:val="24"/>
          <w:highlight w:val="none"/>
          <w:lang w:val="en-US" w:eastAsia="zh-CN"/>
        </w:rPr>
        <w:t>65</w:t>
      </w:r>
      <w:r>
        <w:rPr>
          <w:rFonts w:hint="eastAsia" w:ascii="宋体" w:hAnsi="宋体" w:eastAsia="宋体" w:cs="宋体"/>
          <w:b w:val="0"/>
          <w:bCs/>
          <w:color w:val="000000"/>
          <w:sz w:val="24"/>
          <w:szCs w:val="24"/>
          <w:highlight w:val="none"/>
        </w:rPr>
        <w:t>万元，全年预算数为</w:t>
      </w:r>
      <w:r>
        <w:rPr>
          <w:rFonts w:hint="eastAsia" w:ascii="宋体" w:hAnsi="宋体" w:eastAsia="宋体" w:cs="宋体"/>
          <w:b w:val="0"/>
          <w:bCs/>
          <w:color w:val="000000"/>
          <w:sz w:val="24"/>
          <w:szCs w:val="24"/>
          <w:highlight w:val="none"/>
          <w:lang w:val="en-US" w:eastAsia="zh-CN"/>
        </w:rPr>
        <w:t>65</w:t>
      </w:r>
      <w:r>
        <w:rPr>
          <w:rFonts w:hint="eastAsia" w:ascii="宋体" w:hAnsi="宋体" w:eastAsia="宋体" w:cs="宋体"/>
          <w:b w:val="0"/>
          <w:bCs/>
          <w:color w:val="000000"/>
          <w:sz w:val="24"/>
          <w:szCs w:val="24"/>
          <w:highlight w:val="none"/>
        </w:rPr>
        <w:t>万元，全年执行数为</w:t>
      </w:r>
      <w:r>
        <w:rPr>
          <w:rFonts w:hint="eastAsia" w:ascii="宋体" w:hAnsi="宋体" w:eastAsia="宋体" w:cs="宋体"/>
          <w:b w:val="0"/>
          <w:bCs/>
          <w:color w:val="000000"/>
          <w:sz w:val="24"/>
          <w:szCs w:val="24"/>
          <w:highlight w:val="none"/>
          <w:lang w:val="en-US" w:eastAsia="zh-CN"/>
        </w:rPr>
        <w:t>65</w:t>
      </w:r>
      <w:r>
        <w:rPr>
          <w:rFonts w:hint="eastAsia" w:ascii="宋体" w:hAnsi="宋体" w:eastAsia="宋体" w:cs="宋体"/>
          <w:b w:val="0"/>
          <w:bCs/>
          <w:color w:val="000000"/>
          <w:sz w:val="24"/>
          <w:szCs w:val="24"/>
          <w:highlight w:val="none"/>
        </w:rPr>
        <w:t>万元，预算执行率为</w:t>
      </w:r>
      <w:r>
        <w:rPr>
          <w:rFonts w:hint="eastAsia" w:ascii="宋体" w:hAnsi="宋体" w:eastAsia="宋体" w:cs="宋体"/>
          <w:b w:val="0"/>
          <w:bCs/>
          <w:color w:val="000000"/>
          <w:sz w:val="24"/>
          <w:szCs w:val="24"/>
          <w:highlight w:val="none"/>
          <w:lang w:val="en-US" w:eastAsia="zh-CN"/>
        </w:rPr>
        <w:t>100</w:t>
      </w:r>
      <w:r>
        <w:rPr>
          <w:rFonts w:hint="eastAsia" w:ascii="宋体" w:hAnsi="宋体" w:eastAsia="宋体" w:cs="宋体"/>
          <w:b w:val="0"/>
          <w:bCs/>
          <w:color w:val="000000"/>
          <w:sz w:val="24"/>
          <w:szCs w:val="24"/>
          <w:highlight w:val="none"/>
        </w:rPr>
        <w:t>%。</w:t>
      </w:r>
    </w:p>
    <w:p w14:paraId="33D7705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本项目共设置三级指标数量</w:t>
      </w:r>
      <w:r>
        <w:rPr>
          <w:rFonts w:hint="eastAsia" w:ascii="宋体" w:hAnsi="宋体" w:eastAsia="宋体" w:cs="宋体"/>
          <w:b w:val="0"/>
          <w:bCs/>
          <w:color w:val="000000"/>
          <w:sz w:val="24"/>
          <w:szCs w:val="24"/>
          <w:highlight w:val="none"/>
          <w:lang w:val="en-US" w:eastAsia="zh-CN"/>
        </w:rPr>
        <w:t>6</w:t>
      </w:r>
      <w:r>
        <w:rPr>
          <w:rFonts w:hint="eastAsia" w:ascii="宋体" w:hAnsi="宋体" w:eastAsia="宋体" w:cs="宋体"/>
          <w:b w:val="0"/>
          <w:bCs/>
          <w:color w:val="000000"/>
          <w:sz w:val="24"/>
          <w:szCs w:val="24"/>
          <w:highlight w:val="none"/>
        </w:rPr>
        <w:t>个，满分指标数量</w:t>
      </w:r>
      <w:r>
        <w:rPr>
          <w:rFonts w:hint="eastAsia" w:ascii="宋体" w:hAnsi="宋体" w:eastAsia="宋体" w:cs="宋体"/>
          <w:b w:val="0"/>
          <w:bCs/>
          <w:color w:val="000000"/>
          <w:sz w:val="24"/>
          <w:szCs w:val="24"/>
          <w:highlight w:val="none"/>
          <w:lang w:val="en-US" w:eastAsia="zh-CN"/>
        </w:rPr>
        <w:t>6</w:t>
      </w:r>
      <w:r>
        <w:rPr>
          <w:rFonts w:hint="eastAsia" w:ascii="宋体" w:hAnsi="宋体" w:eastAsia="宋体" w:cs="宋体"/>
          <w:b w:val="0"/>
          <w:bCs/>
          <w:color w:val="000000"/>
          <w:sz w:val="24"/>
          <w:szCs w:val="24"/>
          <w:highlight w:val="none"/>
        </w:rPr>
        <w:t>个，扣分指标数量</w:t>
      </w:r>
      <w:r>
        <w:rPr>
          <w:rFonts w:hint="eastAsia" w:ascii="宋体" w:hAnsi="宋体" w:eastAsia="宋体" w:cs="宋体"/>
          <w:b w:val="0"/>
          <w:bCs/>
          <w:color w:val="000000"/>
          <w:sz w:val="24"/>
          <w:szCs w:val="24"/>
          <w:highlight w:val="none"/>
          <w:lang w:val="en-US" w:eastAsia="zh-CN"/>
        </w:rPr>
        <w:t>0</w:t>
      </w:r>
      <w:r>
        <w:rPr>
          <w:rFonts w:hint="eastAsia" w:ascii="宋体" w:hAnsi="宋体" w:eastAsia="宋体" w:cs="宋体"/>
          <w:b w:val="0"/>
          <w:bCs/>
          <w:color w:val="000000"/>
          <w:sz w:val="24"/>
          <w:szCs w:val="24"/>
          <w:highlight w:val="none"/>
        </w:rPr>
        <w:t>个，经分析计算所有三级指标完成率得出，本项目总体完成率为</w:t>
      </w:r>
      <w:r>
        <w:rPr>
          <w:rFonts w:hint="eastAsia" w:ascii="宋体" w:hAnsi="宋体" w:eastAsia="宋体" w:cs="宋体"/>
          <w:b w:val="0"/>
          <w:bCs/>
          <w:color w:val="000000"/>
          <w:sz w:val="24"/>
          <w:szCs w:val="24"/>
          <w:highlight w:val="none"/>
          <w:lang w:val="en-US" w:eastAsia="zh-CN"/>
        </w:rPr>
        <w:t>100</w:t>
      </w:r>
      <w:r>
        <w:rPr>
          <w:rFonts w:hint="eastAsia" w:ascii="宋体" w:hAnsi="宋体" w:eastAsia="宋体" w:cs="宋体"/>
          <w:b w:val="0"/>
          <w:bCs/>
          <w:color w:val="000000"/>
          <w:sz w:val="24"/>
          <w:szCs w:val="24"/>
          <w:highlight w:val="none"/>
        </w:rPr>
        <w:t>%。</w:t>
      </w:r>
    </w:p>
    <w:p w14:paraId="07F901B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综上所述本项目预算执行率与总体完成率之间</w:t>
      </w:r>
      <w:r>
        <w:rPr>
          <w:rFonts w:hint="eastAsia" w:ascii="宋体" w:hAnsi="宋体" w:eastAsia="宋体" w:cs="宋体"/>
          <w:b w:val="0"/>
          <w:bCs/>
          <w:color w:val="000000"/>
          <w:sz w:val="24"/>
          <w:szCs w:val="24"/>
          <w:highlight w:val="none"/>
          <w:lang w:val="en-US" w:eastAsia="zh-CN"/>
        </w:rPr>
        <w:t>无偏差</w:t>
      </w:r>
      <w:r>
        <w:rPr>
          <w:rFonts w:hint="eastAsia" w:ascii="宋体" w:hAnsi="宋体" w:eastAsia="宋体" w:cs="宋体"/>
          <w:b w:val="0"/>
          <w:bCs/>
          <w:color w:val="000000"/>
          <w:sz w:val="24"/>
          <w:szCs w:val="24"/>
          <w:highlight w:val="none"/>
        </w:rPr>
        <w:t>。</w:t>
      </w:r>
    </w:p>
    <w:p w14:paraId="6FBC9E65">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rPr>
      </w:pPr>
      <w:bookmarkStart w:id="17" w:name="_Toc68364673"/>
      <w:r>
        <w:rPr>
          <w:rFonts w:hint="eastAsia" w:ascii="黑体" w:hAnsi="黑体" w:eastAsia="黑体" w:cs="黑体"/>
          <w:b/>
          <w:bCs/>
          <w:sz w:val="24"/>
          <w:szCs w:val="24"/>
        </w:rPr>
        <w:t>六、主要经验及做法、存在的问题及原因分析</w:t>
      </w:r>
    </w:p>
    <w:p w14:paraId="4F90F996">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rPr>
      </w:pPr>
      <w:r>
        <w:rPr>
          <w:rFonts w:hint="eastAsia" w:ascii="宋体" w:hAnsi="宋体" w:eastAsia="宋体" w:cs="宋体"/>
          <w:sz w:val="24"/>
          <w:szCs w:val="24"/>
        </w:rPr>
        <w:t>（一）主要经验及做法</w:t>
      </w:r>
      <w:bookmarkEnd w:id="17"/>
    </w:p>
    <w:p w14:paraId="019D94B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color w:val="000000"/>
          <w:sz w:val="24"/>
          <w:szCs w:val="24"/>
          <w:highlight w:val="none"/>
        </w:rPr>
        <w:t>一是</w:t>
      </w:r>
      <w:r>
        <w:rPr>
          <w:rFonts w:hint="eastAsia" w:ascii="宋体" w:hAnsi="宋体" w:eastAsia="宋体" w:cs="宋体"/>
          <w:b w:val="0"/>
          <w:bCs/>
          <w:color w:val="000000"/>
          <w:sz w:val="24"/>
          <w:szCs w:val="24"/>
          <w:highlight w:val="none"/>
          <w:lang w:val="en-US" w:eastAsia="zh-CN"/>
        </w:rPr>
        <w:t>项目前期做好工作计划，细化实施方案，严格执行资金管理办法和财政资金管理制度，严格按照项目工作计划及实施方案稳步推进工作，项目启动时同步做好档案的归纳与整理，及时整理、收集、汇总，健全档案资料。项目后续管理有待进一步加强和跟踪。</w:t>
      </w:r>
    </w:p>
    <w:p w14:paraId="21AF623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二是</w:t>
      </w:r>
      <w:r>
        <w:rPr>
          <w:rFonts w:hint="eastAsia" w:ascii="宋体" w:hAnsi="宋体" w:eastAsia="宋体" w:cs="宋体"/>
          <w:b w:val="0"/>
          <w:bCs/>
          <w:color w:val="000000"/>
          <w:sz w:val="24"/>
          <w:szCs w:val="24"/>
          <w:highlight w:val="none"/>
          <w:lang w:val="en-US" w:eastAsia="zh-CN"/>
        </w:rPr>
        <w:t>通过预算绩效管理，发现实施中存在漏洞，以后加强管理，及时掌握与之相关的各类信息，减少成本，使资金效益最大化。</w:t>
      </w:r>
    </w:p>
    <w:p w14:paraId="2E0E8287">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yellow"/>
          <w:lang w:val="en-US" w:eastAsia="zh-CN"/>
        </w:rPr>
      </w:pPr>
      <w:bookmarkStart w:id="18" w:name="_Toc68364674"/>
      <w:r>
        <w:rPr>
          <w:rFonts w:hint="eastAsia" w:ascii="宋体" w:hAnsi="宋体" w:eastAsia="宋体" w:cs="宋体"/>
          <w:sz w:val="24"/>
          <w:szCs w:val="24"/>
        </w:rPr>
        <w:t>（二）存在问题及原因分析</w:t>
      </w:r>
      <w:bookmarkEnd w:id="18"/>
    </w:p>
    <w:p w14:paraId="7A8D611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一是对各项指标和指标值要进一步优化、完善，主要在细化、量化上改进</w:t>
      </w:r>
      <w:r>
        <w:rPr>
          <w:rFonts w:hint="eastAsia" w:ascii="宋体" w:hAnsi="宋体" w:eastAsia="宋体" w:cs="宋体"/>
          <w:color w:val="auto"/>
          <w:sz w:val="24"/>
          <w:szCs w:val="24"/>
          <w:highlight w:val="none"/>
          <w:lang w:eastAsia="zh-CN"/>
        </w:rPr>
        <w:t>；</w:t>
      </w:r>
    </w:p>
    <w:p w14:paraId="3056A84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二是</w:t>
      </w:r>
      <w:r>
        <w:rPr>
          <w:rFonts w:hint="eastAsia" w:ascii="宋体" w:hAnsi="宋体" w:eastAsia="宋体" w:cs="宋体"/>
          <w:color w:val="auto"/>
          <w:sz w:val="24"/>
          <w:szCs w:val="24"/>
          <w:highlight w:val="none"/>
          <w:lang w:val="en-US" w:eastAsia="zh-CN"/>
        </w:rPr>
        <w:t>部门</w:t>
      </w:r>
      <w:r>
        <w:rPr>
          <w:rFonts w:hint="eastAsia" w:ascii="宋体" w:hAnsi="宋体" w:eastAsia="宋体" w:cs="宋体"/>
          <w:color w:val="auto"/>
          <w:sz w:val="24"/>
          <w:szCs w:val="24"/>
          <w:highlight w:val="none"/>
        </w:rPr>
        <w:t>评价工作还存在自我审定的局限性，会影响评价质量，容易造成问题的疏漏，在客观性和公正性上说服力不强</w:t>
      </w:r>
      <w:r>
        <w:rPr>
          <w:rFonts w:hint="eastAsia" w:ascii="宋体" w:hAnsi="宋体" w:eastAsia="宋体" w:cs="宋体"/>
          <w:color w:val="auto"/>
          <w:sz w:val="24"/>
          <w:szCs w:val="24"/>
          <w:highlight w:val="none"/>
          <w:lang w:eastAsia="zh-CN"/>
        </w:rPr>
        <w:t>；</w:t>
      </w:r>
    </w:p>
    <w:p w14:paraId="7B983C6E">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sz w:val="24"/>
          <w:szCs w:val="24"/>
          <w:highlight w:val="none"/>
        </w:rPr>
      </w:pP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rPr>
        <w:t>是现场评价的工作量少，后续效益评价具体措施和方法较少。</w:t>
      </w:r>
      <w:bookmarkStart w:id="19" w:name="_Toc68364675"/>
    </w:p>
    <w:p w14:paraId="7B0AD6F1">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七、有关建议</w:t>
      </w:r>
      <w:bookmarkEnd w:id="19"/>
    </w:p>
    <w:p w14:paraId="02C391B1">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.通过绩效管理，发现实施中存在漏洞，以后加强管理，及时掌握与之相关的各类信息，减少成本，使资金效益最大化。</w:t>
      </w:r>
    </w:p>
    <w:p w14:paraId="094E34DB">
      <w:pPr>
        <w:pStyle w:val="45"/>
        <w:pageBreakBefore w:val="0"/>
        <w:widowControl w:val="0"/>
        <w:kinsoku/>
        <w:wordWrap/>
        <w:overflowPunct/>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．评价工作应从项目实施方案源头抓起，评价工作和意识应贯穿项目整个过程。</w:t>
      </w:r>
      <w:bookmarkStart w:id="20" w:name="_Toc68364676"/>
    </w:p>
    <w:p w14:paraId="341E9EA6">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八、其他需要说明的问题</w:t>
      </w:r>
      <w:bookmarkEnd w:id="20"/>
    </w:p>
    <w:p w14:paraId="59753AE0">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36CFDDD3">
      <w:pPr>
        <w:keepNext w:val="0"/>
        <w:keepLines w:val="0"/>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p>
    <w:p w14:paraId="17F15766">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附件1：</w:t>
      </w:r>
      <w:r>
        <w:rPr>
          <w:rFonts w:hint="eastAsia" w:ascii="宋体" w:hAnsi="宋体" w:eastAsia="宋体" w:cs="宋体"/>
          <w:sz w:val="24"/>
          <w:szCs w:val="24"/>
        </w:rPr>
        <w:t>2024年村级财务审计费用还款</w:t>
      </w:r>
      <w:r>
        <w:rPr>
          <w:rFonts w:hint="eastAsia" w:ascii="宋体" w:hAnsi="宋体" w:eastAsia="宋体" w:cs="宋体"/>
          <w:sz w:val="24"/>
          <w:szCs w:val="24"/>
          <w:lang w:val="en-US" w:eastAsia="zh-CN"/>
        </w:rPr>
        <w:t>项目绩效评价指标体系</w:t>
      </w:r>
    </w:p>
    <w:p w14:paraId="0AB7855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附件2：</w:t>
      </w:r>
      <w:r>
        <w:rPr>
          <w:rFonts w:hint="eastAsia" w:ascii="宋体" w:hAnsi="宋体" w:eastAsia="宋体" w:cs="宋体"/>
          <w:sz w:val="24"/>
          <w:szCs w:val="24"/>
        </w:rPr>
        <w:t>2024年村级财务审计费用还款</w:t>
      </w:r>
      <w:r>
        <w:rPr>
          <w:rFonts w:hint="eastAsia" w:ascii="宋体" w:hAnsi="宋体" w:eastAsia="宋体" w:cs="宋体"/>
          <w:sz w:val="24"/>
          <w:szCs w:val="24"/>
          <w:lang w:val="en-US" w:eastAsia="zh-CN"/>
        </w:rPr>
        <w:t>项目综合得分表</w:t>
      </w:r>
    </w:p>
    <w:p w14:paraId="3BDF2B95">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附件3：满意度调查问分析情况</w:t>
      </w:r>
    </w:p>
    <w:p w14:paraId="58B68B8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5507E796">
      <w:pPr>
        <w:pStyle w:val="10"/>
        <w:ind w:left="0" w:leftChars="0" w:firstLine="0" w:firstLineChars="0"/>
        <w:jc w:val="both"/>
        <w:rPr>
          <w:rFonts w:hint="eastAsia" w:ascii="宋体" w:hAnsi="宋体" w:eastAsia="宋体" w:cs="宋体"/>
          <w:sz w:val="24"/>
          <w:szCs w:val="24"/>
        </w:rPr>
      </w:pPr>
    </w:p>
    <w:p w14:paraId="2C0F4F21">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69"/>
        <w:gridCol w:w="722"/>
        <w:gridCol w:w="693"/>
        <w:gridCol w:w="545"/>
        <w:gridCol w:w="660"/>
        <w:gridCol w:w="545"/>
        <w:gridCol w:w="2647"/>
        <w:gridCol w:w="1115"/>
        <w:gridCol w:w="4264"/>
        <w:gridCol w:w="864"/>
        <w:gridCol w:w="644"/>
      </w:tblGrid>
      <w:tr w14:paraId="53483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50" w:type="pct"/>
            <w:tcBorders>
              <w:top w:val="nil"/>
              <w:left w:val="nil"/>
              <w:bottom w:val="nil"/>
              <w:right w:val="nil"/>
            </w:tcBorders>
            <w:noWrap/>
            <w:vAlign w:val="center"/>
          </w:tcPr>
          <w:p w14:paraId="7B9C97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附件1：</w:t>
            </w:r>
          </w:p>
        </w:tc>
        <w:tc>
          <w:tcPr>
            <w:tcW w:w="270" w:type="pct"/>
            <w:tcBorders>
              <w:top w:val="nil"/>
              <w:left w:val="nil"/>
              <w:bottom w:val="nil"/>
              <w:right w:val="nil"/>
            </w:tcBorders>
            <w:noWrap/>
            <w:vAlign w:val="center"/>
          </w:tcPr>
          <w:p w14:paraId="0E4D2F9C">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auto"/>
                <w:sz w:val="18"/>
                <w:szCs w:val="18"/>
                <w:u w:val="none"/>
              </w:rPr>
            </w:pPr>
          </w:p>
        </w:tc>
        <w:tc>
          <w:tcPr>
            <w:tcW w:w="259" w:type="pct"/>
            <w:tcBorders>
              <w:top w:val="nil"/>
              <w:left w:val="nil"/>
              <w:bottom w:val="nil"/>
              <w:right w:val="nil"/>
            </w:tcBorders>
            <w:noWrap/>
            <w:vAlign w:val="center"/>
          </w:tcPr>
          <w:p w14:paraId="75344773">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auto"/>
                <w:sz w:val="18"/>
                <w:szCs w:val="18"/>
                <w:u w:val="none"/>
              </w:rPr>
            </w:pPr>
          </w:p>
        </w:tc>
        <w:tc>
          <w:tcPr>
            <w:tcW w:w="204" w:type="pct"/>
            <w:tcBorders>
              <w:top w:val="nil"/>
              <w:left w:val="nil"/>
              <w:bottom w:val="nil"/>
              <w:right w:val="nil"/>
            </w:tcBorders>
            <w:noWrap/>
            <w:vAlign w:val="center"/>
          </w:tcPr>
          <w:p w14:paraId="6D0D8C5E">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auto"/>
                <w:sz w:val="18"/>
                <w:szCs w:val="18"/>
                <w:u w:val="none"/>
              </w:rPr>
            </w:pPr>
          </w:p>
        </w:tc>
        <w:tc>
          <w:tcPr>
            <w:tcW w:w="247" w:type="pct"/>
            <w:tcBorders>
              <w:top w:val="nil"/>
              <w:left w:val="nil"/>
              <w:bottom w:val="nil"/>
              <w:right w:val="nil"/>
            </w:tcBorders>
            <w:noWrap/>
            <w:vAlign w:val="center"/>
          </w:tcPr>
          <w:p w14:paraId="4D20E4D9">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auto"/>
                <w:sz w:val="18"/>
                <w:szCs w:val="18"/>
                <w:u w:val="none"/>
              </w:rPr>
            </w:pPr>
          </w:p>
        </w:tc>
        <w:tc>
          <w:tcPr>
            <w:tcW w:w="204" w:type="pct"/>
            <w:tcBorders>
              <w:top w:val="nil"/>
              <w:left w:val="nil"/>
              <w:bottom w:val="nil"/>
              <w:right w:val="nil"/>
            </w:tcBorders>
            <w:noWrap/>
            <w:vAlign w:val="center"/>
          </w:tcPr>
          <w:p w14:paraId="3E7DA96C">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auto"/>
                <w:sz w:val="18"/>
                <w:szCs w:val="18"/>
                <w:u w:val="none"/>
              </w:rPr>
            </w:pPr>
          </w:p>
        </w:tc>
        <w:tc>
          <w:tcPr>
            <w:tcW w:w="990" w:type="pct"/>
            <w:tcBorders>
              <w:top w:val="nil"/>
              <w:left w:val="nil"/>
              <w:bottom w:val="nil"/>
              <w:right w:val="nil"/>
            </w:tcBorders>
            <w:noWrap/>
            <w:vAlign w:val="center"/>
          </w:tcPr>
          <w:p w14:paraId="79D6C193">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auto"/>
                <w:sz w:val="18"/>
                <w:szCs w:val="18"/>
                <w:u w:val="none"/>
              </w:rPr>
            </w:pPr>
          </w:p>
        </w:tc>
        <w:tc>
          <w:tcPr>
            <w:tcW w:w="417" w:type="pct"/>
            <w:tcBorders>
              <w:top w:val="nil"/>
              <w:left w:val="nil"/>
              <w:bottom w:val="nil"/>
              <w:right w:val="nil"/>
            </w:tcBorders>
            <w:noWrap/>
            <w:vAlign w:val="center"/>
          </w:tcPr>
          <w:p w14:paraId="002DEC1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auto"/>
                <w:sz w:val="18"/>
                <w:szCs w:val="18"/>
                <w:u w:val="none"/>
              </w:rPr>
            </w:pPr>
          </w:p>
        </w:tc>
        <w:tc>
          <w:tcPr>
            <w:tcW w:w="1595" w:type="pct"/>
            <w:tcBorders>
              <w:top w:val="nil"/>
              <w:left w:val="nil"/>
              <w:bottom w:val="nil"/>
              <w:right w:val="nil"/>
            </w:tcBorders>
            <w:noWrap/>
            <w:vAlign w:val="center"/>
          </w:tcPr>
          <w:p w14:paraId="33DA7A8E">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auto"/>
                <w:sz w:val="18"/>
                <w:szCs w:val="18"/>
                <w:u w:val="none"/>
              </w:rPr>
            </w:pPr>
          </w:p>
        </w:tc>
        <w:tc>
          <w:tcPr>
            <w:tcW w:w="323" w:type="pct"/>
            <w:tcBorders>
              <w:top w:val="nil"/>
              <w:left w:val="nil"/>
              <w:bottom w:val="nil"/>
              <w:right w:val="nil"/>
            </w:tcBorders>
            <w:noWrap/>
            <w:vAlign w:val="center"/>
          </w:tcPr>
          <w:p w14:paraId="247BD7D3">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auto"/>
                <w:sz w:val="18"/>
                <w:szCs w:val="18"/>
                <w:u w:val="none"/>
              </w:rPr>
            </w:pPr>
          </w:p>
        </w:tc>
        <w:tc>
          <w:tcPr>
            <w:tcW w:w="235" w:type="pct"/>
            <w:tcBorders>
              <w:top w:val="nil"/>
              <w:left w:val="nil"/>
              <w:bottom w:val="nil"/>
              <w:right w:val="nil"/>
            </w:tcBorders>
            <w:noWrap/>
            <w:vAlign w:val="center"/>
          </w:tcPr>
          <w:p w14:paraId="489A3DFF">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auto"/>
                <w:sz w:val="18"/>
                <w:szCs w:val="18"/>
                <w:u w:val="none"/>
              </w:rPr>
            </w:pPr>
          </w:p>
        </w:tc>
      </w:tr>
      <w:tr w14:paraId="53922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1EA017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24"/>
                <w:szCs w:val="24"/>
                <w:u w:val="none"/>
                <w:lang w:val="en-US" w:eastAsia="zh-CN"/>
              </w:rPr>
              <w:t>2024年村级财务审计费用还款项目</w:t>
            </w:r>
            <w:r>
              <w:rPr>
                <w:rStyle w:val="58"/>
                <w:rFonts w:hint="eastAsia" w:ascii="宋体" w:hAnsi="宋体" w:eastAsia="宋体" w:cs="宋体"/>
                <w:color w:val="auto"/>
                <w:sz w:val="24"/>
                <w:szCs w:val="24"/>
                <w:lang w:val="en-US" w:eastAsia="zh-CN"/>
              </w:rPr>
              <w:t>绩效评价指标体系综合评分表</w:t>
            </w:r>
          </w:p>
        </w:tc>
      </w:tr>
      <w:tr w14:paraId="42B9E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50" w:type="pct"/>
            <w:tcBorders>
              <w:top w:val="single" w:color="auto" w:sz="4" w:space="0"/>
              <w:left w:val="single" w:color="auto" w:sz="4" w:space="0"/>
              <w:bottom w:val="single" w:color="auto" w:sz="4" w:space="0"/>
              <w:right w:val="single" w:color="auto" w:sz="4" w:space="0"/>
            </w:tcBorders>
            <w:noWrap w:val="0"/>
            <w:vAlign w:val="center"/>
          </w:tcPr>
          <w:p w14:paraId="5B4782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rPr>
              <w:t>一级指标</w:t>
            </w:r>
          </w:p>
        </w:tc>
        <w:tc>
          <w:tcPr>
            <w:tcW w:w="270" w:type="pct"/>
            <w:tcBorders>
              <w:top w:val="single" w:color="auto" w:sz="4" w:space="0"/>
              <w:left w:val="single" w:color="auto" w:sz="4" w:space="0"/>
              <w:bottom w:val="single" w:color="auto" w:sz="4" w:space="0"/>
              <w:right w:val="single" w:color="auto" w:sz="4" w:space="0"/>
            </w:tcBorders>
            <w:noWrap w:val="0"/>
            <w:vAlign w:val="center"/>
          </w:tcPr>
          <w:p w14:paraId="3483F8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rPr>
              <w:t>分值</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4FF592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rPr>
              <w:t>二级指标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045BD1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rPr>
              <w:t>分值</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0C448E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rPr>
              <w:t>三级指标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4F3AA2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rPr>
              <w:t>分值</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03A637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rPr>
              <w:t>指标解释</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17BCB7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rPr>
              <w:t>标杆值</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17D9CD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rPr>
              <w:t>评分标准</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2E2A3B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rPr>
              <w:t>完成值</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384381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rPr>
              <w:t>得分</w:t>
            </w:r>
          </w:p>
        </w:tc>
      </w:tr>
      <w:tr w14:paraId="1B233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6" w:hRule="atLeast"/>
        </w:trPr>
        <w:tc>
          <w:tcPr>
            <w:tcW w:w="250" w:type="pct"/>
            <w:vMerge w:val="restart"/>
            <w:tcBorders>
              <w:top w:val="single" w:color="auto" w:sz="4" w:space="0"/>
              <w:left w:val="single" w:color="auto" w:sz="4" w:space="0"/>
              <w:bottom w:val="single" w:color="auto" w:sz="4" w:space="0"/>
              <w:right w:val="single" w:color="auto" w:sz="4" w:space="0"/>
            </w:tcBorders>
            <w:noWrap w:val="0"/>
            <w:vAlign w:val="center"/>
          </w:tcPr>
          <w:p w14:paraId="4D1EDB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项目决策</w:t>
            </w:r>
          </w:p>
        </w:tc>
        <w:tc>
          <w:tcPr>
            <w:tcW w:w="270" w:type="pct"/>
            <w:vMerge w:val="restart"/>
            <w:tcBorders>
              <w:top w:val="single" w:color="auto" w:sz="4" w:space="0"/>
              <w:left w:val="single" w:color="auto" w:sz="4" w:space="0"/>
              <w:bottom w:val="single" w:color="auto" w:sz="4" w:space="0"/>
              <w:right w:val="single" w:color="auto" w:sz="4" w:space="0"/>
            </w:tcBorders>
            <w:noWrap w:val="0"/>
            <w:vAlign w:val="center"/>
          </w:tcPr>
          <w:p w14:paraId="5B00CD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23</w:t>
            </w:r>
          </w:p>
        </w:tc>
        <w:tc>
          <w:tcPr>
            <w:tcW w:w="259" w:type="pct"/>
            <w:vMerge w:val="restart"/>
            <w:tcBorders>
              <w:top w:val="single" w:color="auto" w:sz="4" w:space="0"/>
              <w:left w:val="single" w:color="auto" w:sz="4" w:space="0"/>
              <w:bottom w:val="single" w:color="auto" w:sz="4" w:space="0"/>
              <w:right w:val="single" w:color="auto" w:sz="4" w:space="0"/>
            </w:tcBorders>
            <w:noWrap w:val="0"/>
            <w:vAlign w:val="center"/>
          </w:tcPr>
          <w:p w14:paraId="7B8CFA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项目立项</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76A72E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5</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1BAF28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立项依据充分性</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590643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2</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0161D4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项目立项是否符合法律法规、相关政策、发展规划以及部门职责，用以反映和考核项目立项依据情况。</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043135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充分</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511E43E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auto"/>
                <w:kern w:val="0"/>
                <w:sz w:val="18"/>
                <w:szCs w:val="18"/>
                <w:u w:val="none"/>
                <w:lang w:val="en-US" w:eastAsia="zh-CN"/>
              </w:rPr>
            </w:pPr>
            <w:r>
              <w:rPr>
                <w:rFonts w:hint="eastAsia" w:ascii="宋体" w:hAnsi="宋体" w:eastAsia="宋体" w:cs="宋体"/>
                <w:i w:val="0"/>
                <w:iCs w:val="0"/>
                <w:color w:val="auto"/>
                <w:kern w:val="0"/>
                <w:sz w:val="18"/>
                <w:szCs w:val="18"/>
                <w:u w:val="none"/>
                <w:lang w:val="en-US" w:eastAsia="zh-CN"/>
              </w:rPr>
              <w:t>①项目立项是否符合国家法律法规、国民经济发展规划和相关政策；</w:t>
            </w:r>
          </w:p>
          <w:p w14:paraId="68E014D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②项目立项是否符合行业发展规划和政策要求；</w:t>
            </w:r>
          </w:p>
          <w:p w14:paraId="7C480A6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③项目立项是否与部门职责范围相符，属于部门履职所需；</w:t>
            </w:r>
          </w:p>
          <w:p w14:paraId="44D0648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④项目是否属于公共财政支持范围，是否符合中央、地方事权支出责任划分原则；</w:t>
            </w:r>
          </w:p>
          <w:p w14:paraId="32148E6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⑤项目是否与相关部门同类项目或部门内部相关项目重复。</w:t>
            </w:r>
          </w:p>
          <w:p w14:paraId="4A686EB5">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以上每条要素占权重分的20%，每有一条不符合，扣除对应权重分，扣完为止。</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1CA1A4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充分</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4253F6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2</w:t>
            </w:r>
          </w:p>
        </w:tc>
      </w:tr>
      <w:tr w14:paraId="44622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341BA9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70" w:type="pct"/>
            <w:vMerge w:val="continue"/>
            <w:tcBorders>
              <w:top w:val="single" w:color="auto" w:sz="4" w:space="0"/>
              <w:left w:val="single" w:color="auto" w:sz="4" w:space="0"/>
              <w:bottom w:val="single" w:color="auto" w:sz="4" w:space="0"/>
              <w:right w:val="single" w:color="auto" w:sz="4" w:space="0"/>
            </w:tcBorders>
            <w:noWrap w:val="0"/>
            <w:vAlign w:val="center"/>
          </w:tcPr>
          <w:p w14:paraId="1C9FCE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59" w:type="pct"/>
            <w:vMerge w:val="continue"/>
            <w:tcBorders>
              <w:top w:val="single" w:color="auto" w:sz="4" w:space="0"/>
              <w:left w:val="single" w:color="auto" w:sz="4" w:space="0"/>
              <w:bottom w:val="single" w:color="auto" w:sz="4" w:space="0"/>
              <w:right w:val="single" w:color="auto" w:sz="4" w:space="0"/>
            </w:tcBorders>
            <w:noWrap w:val="0"/>
            <w:vAlign w:val="center"/>
          </w:tcPr>
          <w:p w14:paraId="6AF48F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5F1DE9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47" w:type="pct"/>
            <w:tcBorders>
              <w:top w:val="single" w:color="auto" w:sz="4" w:space="0"/>
              <w:left w:val="single" w:color="auto" w:sz="4" w:space="0"/>
              <w:bottom w:val="single" w:color="auto" w:sz="4" w:space="0"/>
              <w:right w:val="single" w:color="auto" w:sz="4" w:space="0"/>
            </w:tcBorders>
            <w:noWrap w:val="0"/>
            <w:vAlign w:val="center"/>
          </w:tcPr>
          <w:p w14:paraId="3EE54A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立项程序规范性</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205AE5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3</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5FEFDC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项目申请、设立过程是否符合相关要求，用以反映和考核项目立项的规范情况。</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3E1D60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规范</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224C2A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18"/>
                <w:szCs w:val="18"/>
                <w:u w:val="none"/>
                <w:lang w:val="en-US" w:eastAsia="zh-CN"/>
              </w:rPr>
            </w:pPr>
            <w:r>
              <w:rPr>
                <w:rFonts w:hint="eastAsia" w:ascii="宋体" w:hAnsi="宋体" w:eastAsia="宋体" w:cs="宋体"/>
                <w:i w:val="0"/>
                <w:iCs w:val="0"/>
                <w:color w:val="auto"/>
                <w:kern w:val="0"/>
                <w:sz w:val="18"/>
                <w:szCs w:val="18"/>
                <w:u w:val="none"/>
                <w:lang w:val="en-US" w:eastAsia="zh-CN"/>
              </w:rPr>
              <w:t>①项目是否按照规定的程序申请设立；</w:t>
            </w:r>
          </w:p>
          <w:p w14:paraId="2F0A02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②审批文件、材料是否符合相关要求；</w:t>
            </w:r>
          </w:p>
          <w:p w14:paraId="15EE2B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③事前是否已经过必要的可行性研究、专家论证、风险评估、绩效评估、集体决策。</w:t>
            </w:r>
          </w:p>
          <w:p w14:paraId="0097BB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①②③齐全得权重分的100%，缺①扣权重分的40%，缺②扣权重分的30%，缺③扣权重分的30%。</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0A2FC5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规范</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7D56CA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3</w:t>
            </w:r>
          </w:p>
        </w:tc>
      </w:tr>
      <w:tr w14:paraId="1607C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669900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70" w:type="pct"/>
            <w:vMerge w:val="continue"/>
            <w:tcBorders>
              <w:top w:val="single" w:color="auto" w:sz="4" w:space="0"/>
              <w:left w:val="single" w:color="auto" w:sz="4" w:space="0"/>
              <w:bottom w:val="single" w:color="auto" w:sz="4" w:space="0"/>
              <w:right w:val="single" w:color="auto" w:sz="4" w:space="0"/>
            </w:tcBorders>
            <w:noWrap w:val="0"/>
            <w:vAlign w:val="center"/>
          </w:tcPr>
          <w:p w14:paraId="7320916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59" w:type="pct"/>
            <w:vMerge w:val="restart"/>
            <w:tcBorders>
              <w:top w:val="single" w:color="auto" w:sz="4" w:space="0"/>
              <w:left w:val="single" w:color="auto" w:sz="4" w:space="0"/>
              <w:bottom w:val="single" w:color="auto" w:sz="4" w:space="0"/>
              <w:right w:val="single" w:color="auto" w:sz="4" w:space="0"/>
            </w:tcBorders>
            <w:noWrap w:val="0"/>
            <w:vAlign w:val="center"/>
          </w:tcPr>
          <w:p w14:paraId="406D23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绩效目标</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15BDB1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4A6CB5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绩效目标合理性</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64CB07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5</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39F9EE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项目所设定的绩效目标是否依据充分，是否符合客观实际，用以反映和考核项目绩效目标与项目实施的相符情况。</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266484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合理</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6D57A9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18"/>
                <w:szCs w:val="18"/>
                <w:u w:val="none"/>
                <w:lang w:val="en-US" w:eastAsia="zh-CN"/>
              </w:rPr>
            </w:pPr>
            <w:r>
              <w:rPr>
                <w:rFonts w:hint="eastAsia" w:ascii="宋体" w:hAnsi="宋体" w:eastAsia="宋体" w:cs="宋体"/>
                <w:i w:val="0"/>
                <w:iCs w:val="0"/>
                <w:color w:val="auto"/>
                <w:kern w:val="0"/>
                <w:sz w:val="18"/>
                <w:szCs w:val="18"/>
                <w:u w:val="none"/>
                <w:lang w:val="en-US" w:eastAsia="zh-CN"/>
              </w:rPr>
              <w:t>①项目是否有绩效目标；</w:t>
            </w:r>
          </w:p>
          <w:p w14:paraId="4A563A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②项目绩效目标与实际工作内容是否具有相关性；</w:t>
            </w:r>
          </w:p>
          <w:p w14:paraId="0298F3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③项目预期产出效益和效果是否符合正常的业绩水平；</w:t>
            </w:r>
          </w:p>
          <w:p w14:paraId="1D9CFF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④是否与预算确定的项目投资额或资金量相匹配。</w:t>
            </w:r>
          </w:p>
          <w:p w14:paraId="73FDE6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以上每条要素各占权重的25%，每有一条不符合，扣除对应的权重分，扣完为止。</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18C231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合理</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6F6CA5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5</w:t>
            </w:r>
          </w:p>
        </w:tc>
      </w:tr>
      <w:tr w14:paraId="5F379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1A71E3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70" w:type="pct"/>
            <w:vMerge w:val="continue"/>
            <w:tcBorders>
              <w:top w:val="single" w:color="auto" w:sz="4" w:space="0"/>
              <w:left w:val="single" w:color="auto" w:sz="4" w:space="0"/>
              <w:bottom w:val="single" w:color="auto" w:sz="4" w:space="0"/>
              <w:right w:val="single" w:color="auto" w:sz="4" w:space="0"/>
            </w:tcBorders>
            <w:noWrap w:val="0"/>
            <w:vAlign w:val="center"/>
          </w:tcPr>
          <w:p w14:paraId="59D244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59" w:type="pct"/>
            <w:vMerge w:val="continue"/>
            <w:tcBorders>
              <w:top w:val="single" w:color="auto" w:sz="4" w:space="0"/>
              <w:left w:val="single" w:color="auto" w:sz="4" w:space="0"/>
              <w:bottom w:val="single" w:color="auto" w:sz="4" w:space="0"/>
              <w:right w:val="single" w:color="auto" w:sz="4" w:space="0"/>
            </w:tcBorders>
            <w:noWrap w:val="0"/>
            <w:vAlign w:val="center"/>
          </w:tcPr>
          <w:p w14:paraId="449811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72A565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47" w:type="pct"/>
            <w:tcBorders>
              <w:top w:val="single" w:color="auto" w:sz="4" w:space="0"/>
              <w:left w:val="single" w:color="auto" w:sz="4" w:space="0"/>
              <w:bottom w:val="single" w:color="auto" w:sz="4" w:space="0"/>
              <w:right w:val="single" w:color="auto" w:sz="4" w:space="0"/>
            </w:tcBorders>
            <w:noWrap w:val="0"/>
            <w:vAlign w:val="center"/>
          </w:tcPr>
          <w:p w14:paraId="36AFB7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绩效指标明确性</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639012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5</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76084D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依据绩效目标设定的绩效指标是否清晰、细化、可衡量等，用以反映和考核项目绩效目标的明细化情况。</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22F68D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明确</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696B3D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18"/>
                <w:szCs w:val="18"/>
                <w:u w:val="none"/>
                <w:lang w:val="en-US" w:eastAsia="zh-CN"/>
              </w:rPr>
            </w:pPr>
            <w:r>
              <w:rPr>
                <w:rFonts w:hint="eastAsia" w:ascii="宋体" w:hAnsi="宋体" w:eastAsia="宋体" w:cs="宋体"/>
                <w:i w:val="0"/>
                <w:iCs w:val="0"/>
                <w:color w:val="auto"/>
                <w:kern w:val="0"/>
                <w:sz w:val="18"/>
                <w:szCs w:val="18"/>
                <w:u w:val="none"/>
                <w:lang w:val="en-US" w:eastAsia="zh-CN"/>
              </w:rPr>
              <w:t>①是否将项目绩效目标细化分解为具体的绩效指标；</w:t>
            </w:r>
          </w:p>
          <w:p w14:paraId="15B60A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②是否通过清晰、可衡量的指标值予以体现；</w:t>
            </w:r>
          </w:p>
          <w:p w14:paraId="67CB9B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③是否与项目目标任务数或计划数相对应。</w:t>
            </w:r>
          </w:p>
          <w:p w14:paraId="4599AC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①②③齐全得权重分的100%，缺①扣权重分的20%，缺②扣权重分的50%，缺③扣权重分的30%。</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1B2770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明确</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73D3A3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5</w:t>
            </w:r>
          </w:p>
        </w:tc>
      </w:tr>
      <w:tr w14:paraId="63C44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1BB8D8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70" w:type="pct"/>
            <w:vMerge w:val="continue"/>
            <w:tcBorders>
              <w:top w:val="single" w:color="auto" w:sz="4" w:space="0"/>
              <w:left w:val="single" w:color="auto" w:sz="4" w:space="0"/>
              <w:bottom w:val="single" w:color="auto" w:sz="4" w:space="0"/>
              <w:right w:val="single" w:color="auto" w:sz="4" w:space="0"/>
            </w:tcBorders>
            <w:noWrap w:val="0"/>
            <w:vAlign w:val="center"/>
          </w:tcPr>
          <w:p w14:paraId="14FF7E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59" w:type="pct"/>
            <w:vMerge w:val="restart"/>
            <w:tcBorders>
              <w:top w:val="single" w:color="auto" w:sz="4" w:space="0"/>
              <w:left w:val="single" w:color="auto" w:sz="4" w:space="0"/>
              <w:bottom w:val="single" w:color="auto" w:sz="4" w:space="0"/>
              <w:right w:val="single" w:color="auto" w:sz="4" w:space="0"/>
            </w:tcBorders>
            <w:noWrap w:val="0"/>
            <w:vAlign w:val="center"/>
          </w:tcPr>
          <w:p w14:paraId="03DABA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资金投入</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54DA2C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8</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31840C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预算编制科学性</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23685D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4</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674366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项目预算编制是否经过科学论证、有明确标准，资金额度与年度目标是否相适应，用以反映和考核项目预算编制的科学性、合理性情况。</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0ADA0E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科学</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48235C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18"/>
                <w:szCs w:val="18"/>
                <w:u w:val="none"/>
                <w:lang w:val="en-US" w:eastAsia="zh-CN"/>
              </w:rPr>
            </w:pPr>
            <w:r>
              <w:rPr>
                <w:rFonts w:hint="eastAsia" w:ascii="宋体" w:hAnsi="宋体" w:eastAsia="宋体" w:cs="宋体"/>
                <w:i w:val="0"/>
                <w:iCs w:val="0"/>
                <w:color w:val="auto"/>
                <w:kern w:val="0"/>
                <w:sz w:val="18"/>
                <w:szCs w:val="18"/>
                <w:u w:val="none"/>
                <w:lang w:val="en-US" w:eastAsia="zh-CN"/>
              </w:rPr>
              <w:t>①预算编制是否经过科学论证；</w:t>
            </w:r>
          </w:p>
          <w:p w14:paraId="788603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②预算内容与项目内容是否匹配；</w:t>
            </w:r>
          </w:p>
          <w:p w14:paraId="6D1829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③预算额度测算依据是否充分，是否按照标准编制；</w:t>
            </w:r>
          </w:p>
          <w:p w14:paraId="27EC27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④预算确定的项目投资额或资金量是否与工作任务相匹配。</w:t>
            </w:r>
          </w:p>
          <w:p w14:paraId="1FCE53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以上每条要素各占权重的25%，每有一条不符合，扣除对应的权重分，扣完为止。</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0F00D4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科学</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0F2461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4</w:t>
            </w:r>
          </w:p>
        </w:tc>
      </w:tr>
      <w:tr w14:paraId="6011B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3A6A83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70" w:type="pct"/>
            <w:vMerge w:val="continue"/>
            <w:tcBorders>
              <w:top w:val="single" w:color="auto" w:sz="4" w:space="0"/>
              <w:left w:val="single" w:color="auto" w:sz="4" w:space="0"/>
              <w:bottom w:val="single" w:color="auto" w:sz="4" w:space="0"/>
              <w:right w:val="single" w:color="auto" w:sz="4" w:space="0"/>
            </w:tcBorders>
            <w:noWrap w:val="0"/>
            <w:vAlign w:val="center"/>
          </w:tcPr>
          <w:p w14:paraId="438912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59" w:type="pct"/>
            <w:vMerge w:val="continue"/>
            <w:tcBorders>
              <w:top w:val="single" w:color="auto" w:sz="4" w:space="0"/>
              <w:left w:val="single" w:color="auto" w:sz="4" w:space="0"/>
              <w:bottom w:val="single" w:color="auto" w:sz="4" w:space="0"/>
              <w:right w:val="single" w:color="auto" w:sz="4" w:space="0"/>
            </w:tcBorders>
            <w:noWrap w:val="0"/>
            <w:vAlign w:val="center"/>
          </w:tcPr>
          <w:p w14:paraId="2A8DC3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7B2D0A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47" w:type="pct"/>
            <w:tcBorders>
              <w:top w:val="single" w:color="auto" w:sz="4" w:space="0"/>
              <w:left w:val="single" w:color="auto" w:sz="4" w:space="0"/>
              <w:bottom w:val="single" w:color="auto" w:sz="4" w:space="0"/>
              <w:right w:val="single" w:color="auto" w:sz="4" w:space="0"/>
            </w:tcBorders>
            <w:noWrap w:val="0"/>
            <w:vAlign w:val="center"/>
          </w:tcPr>
          <w:p w14:paraId="333776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资金分配合理性</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763CB6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4</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3CC170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项目预算资金分配是否有测算依据，与补助单位或地方实际是否相适应，用以反映和考核项目预算资金分配的科学性、合理性情况。</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32362F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合理</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570D08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18"/>
                <w:szCs w:val="18"/>
                <w:u w:val="none"/>
                <w:lang w:val="en-US" w:eastAsia="zh-CN"/>
              </w:rPr>
            </w:pPr>
            <w:r>
              <w:rPr>
                <w:rFonts w:hint="eastAsia" w:ascii="宋体" w:hAnsi="宋体" w:eastAsia="宋体" w:cs="宋体"/>
                <w:i w:val="0"/>
                <w:iCs w:val="0"/>
                <w:color w:val="auto"/>
                <w:kern w:val="0"/>
                <w:sz w:val="18"/>
                <w:szCs w:val="18"/>
                <w:u w:val="none"/>
                <w:lang w:val="en-US" w:eastAsia="zh-CN"/>
              </w:rPr>
              <w:t>①预算资金分配依据是否充分；</w:t>
            </w:r>
          </w:p>
          <w:p w14:paraId="32B653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②资金分配额度是否合理，与项目单位或地方实际是否相适应。</w:t>
            </w:r>
          </w:p>
          <w:p w14:paraId="6ADD85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以上每条要素各占权重的50%，每有一条不符合，扣除对应的权重分，扣完为止。</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4A305A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合理</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01FF6B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4</w:t>
            </w:r>
          </w:p>
        </w:tc>
      </w:tr>
      <w:tr w14:paraId="7CB95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0" w:type="pct"/>
            <w:vMerge w:val="restart"/>
            <w:tcBorders>
              <w:top w:val="single" w:color="auto" w:sz="4" w:space="0"/>
              <w:left w:val="single" w:color="auto" w:sz="4" w:space="0"/>
              <w:bottom w:val="single" w:color="auto" w:sz="4" w:space="0"/>
              <w:right w:val="single" w:color="auto" w:sz="4" w:space="0"/>
            </w:tcBorders>
            <w:noWrap w:val="0"/>
            <w:vAlign w:val="center"/>
          </w:tcPr>
          <w:p w14:paraId="28BA37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项目过程</w:t>
            </w:r>
          </w:p>
        </w:tc>
        <w:tc>
          <w:tcPr>
            <w:tcW w:w="270" w:type="pct"/>
            <w:vMerge w:val="restart"/>
            <w:tcBorders>
              <w:top w:val="single" w:color="auto" w:sz="4" w:space="0"/>
              <w:left w:val="single" w:color="auto" w:sz="4" w:space="0"/>
              <w:bottom w:val="single" w:color="auto" w:sz="4" w:space="0"/>
              <w:right w:val="single" w:color="auto" w:sz="4" w:space="0"/>
            </w:tcBorders>
            <w:noWrap w:val="0"/>
            <w:vAlign w:val="center"/>
          </w:tcPr>
          <w:p w14:paraId="3531A3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12</w:t>
            </w:r>
          </w:p>
        </w:tc>
        <w:tc>
          <w:tcPr>
            <w:tcW w:w="259" w:type="pct"/>
            <w:vMerge w:val="restart"/>
            <w:tcBorders>
              <w:top w:val="single" w:color="auto" w:sz="4" w:space="0"/>
              <w:left w:val="single" w:color="auto" w:sz="4" w:space="0"/>
              <w:bottom w:val="single" w:color="auto" w:sz="4" w:space="0"/>
              <w:right w:val="single" w:color="auto" w:sz="4" w:space="0"/>
            </w:tcBorders>
            <w:noWrap w:val="0"/>
            <w:vAlign w:val="center"/>
          </w:tcPr>
          <w:p w14:paraId="0BED98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资金管理</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3FBE1D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6</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4C91F3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资金到位率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40069E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3BBC1A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实际到位资金与预算资金的比率，用以反映和考核资金落实情况对项目实施的总体保障程度。</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0B88B6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100%</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55091E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18"/>
                <w:szCs w:val="18"/>
                <w:u w:val="none"/>
                <w:lang w:val="en-US" w:eastAsia="zh-CN"/>
              </w:rPr>
            </w:pPr>
            <w:r>
              <w:rPr>
                <w:rFonts w:hint="eastAsia" w:ascii="宋体" w:hAnsi="宋体" w:eastAsia="宋体" w:cs="宋体"/>
                <w:i w:val="0"/>
                <w:iCs w:val="0"/>
                <w:color w:val="auto"/>
                <w:kern w:val="0"/>
                <w:sz w:val="18"/>
                <w:szCs w:val="18"/>
                <w:u w:val="none"/>
                <w:lang w:val="en-US" w:eastAsia="zh-CN"/>
              </w:rPr>
              <w:t>资金到位率=（实际到位资金/预算资金）×100%。</w:t>
            </w:r>
          </w:p>
          <w:p w14:paraId="01B08F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资金到位率=100%，得权重分满分，每降低1%，扣除5%权重分，扣完为止。</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0016A2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100%</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770F4B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1</w:t>
            </w:r>
          </w:p>
        </w:tc>
      </w:tr>
      <w:tr w14:paraId="35C4C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3689BA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70" w:type="pct"/>
            <w:vMerge w:val="continue"/>
            <w:tcBorders>
              <w:top w:val="single" w:color="auto" w:sz="4" w:space="0"/>
              <w:left w:val="single" w:color="auto" w:sz="4" w:space="0"/>
              <w:bottom w:val="single" w:color="auto" w:sz="4" w:space="0"/>
              <w:right w:val="single" w:color="auto" w:sz="4" w:space="0"/>
            </w:tcBorders>
            <w:noWrap w:val="0"/>
            <w:vAlign w:val="center"/>
          </w:tcPr>
          <w:p w14:paraId="47AE2A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59" w:type="pct"/>
            <w:vMerge w:val="continue"/>
            <w:tcBorders>
              <w:top w:val="single" w:color="auto" w:sz="4" w:space="0"/>
              <w:left w:val="single" w:color="auto" w:sz="4" w:space="0"/>
              <w:bottom w:val="single" w:color="auto" w:sz="4" w:space="0"/>
              <w:right w:val="single" w:color="auto" w:sz="4" w:space="0"/>
            </w:tcBorders>
            <w:noWrap w:val="0"/>
            <w:vAlign w:val="center"/>
          </w:tcPr>
          <w:p w14:paraId="571EBF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24627F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47" w:type="pct"/>
            <w:tcBorders>
              <w:top w:val="single" w:color="auto" w:sz="4" w:space="0"/>
              <w:left w:val="single" w:color="auto" w:sz="4" w:space="0"/>
              <w:bottom w:val="single" w:color="auto" w:sz="4" w:space="0"/>
              <w:right w:val="single" w:color="auto" w:sz="4" w:space="0"/>
            </w:tcBorders>
            <w:noWrap w:val="0"/>
            <w:vAlign w:val="center"/>
          </w:tcPr>
          <w:p w14:paraId="4475ED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预算执行率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425F3B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2</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3DE642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项目预算资金是否按照计划执行，用以反映或考核项目预算执行情况。</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2B8AF6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100%</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33467E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18"/>
                <w:szCs w:val="18"/>
                <w:u w:val="none"/>
                <w:lang w:val="en-US" w:eastAsia="zh-CN"/>
              </w:rPr>
            </w:pPr>
            <w:r>
              <w:rPr>
                <w:rFonts w:hint="eastAsia" w:ascii="宋体" w:hAnsi="宋体" w:eastAsia="宋体" w:cs="宋体"/>
                <w:i w:val="0"/>
                <w:iCs w:val="0"/>
                <w:color w:val="auto"/>
                <w:kern w:val="0"/>
                <w:sz w:val="18"/>
                <w:szCs w:val="18"/>
                <w:u w:val="none"/>
                <w:lang w:val="en-US" w:eastAsia="zh-CN"/>
              </w:rPr>
              <w:t>预算执行率=（实际支出资金/实际到位资金）×100%。</w:t>
            </w:r>
          </w:p>
          <w:p w14:paraId="230AE8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预算执行率=100%，得权重分满分；若预算执行率＜100%，得分=预算执行率*分值；若执行率≤60%，则不得分。</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1DC517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和预算执行率保持一致</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4FC52B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2</w:t>
            </w:r>
          </w:p>
        </w:tc>
      </w:tr>
      <w:tr w14:paraId="301D8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5D8480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70" w:type="pct"/>
            <w:vMerge w:val="continue"/>
            <w:tcBorders>
              <w:top w:val="single" w:color="auto" w:sz="4" w:space="0"/>
              <w:left w:val="single" w:color="auto" w:sz="4" w:space="0"/>
              <w:bottom w:val="single" w:color="auto" w:sz="4" w:space="0"/>
              <w:right w:val="single" w:color="auto" w:sz="4" w:space="0"/>
            </w:tcBorders>
            <w:noWrap w:val="0"/>
            <w:vAlign w:val="center"/>
          </w:tcPr>
          <w:p w14:paraId="0753E1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59" w:type="pct"/>
            <w:vMerge w:val="continue"/>
            <w:tcBorders>
              <w:top w:val="single" w:color="auto" w:sz="4" w:space="0"/>
              <w:left w:val="single" w:color="auto" w:sz="4" w:space="0"/>
              <w:bottom w:val="single" w:color="auto" w:sz="4" w:space="0"/>
              <w:right w:val="single" w:color="auto" w:sz="4" w:space="0"/>
            </w:tcBorders>
            <w:noWrap w:val="0"/>
            <w:vAlign w:val="center"/>
          </w:tcPr>
          <w:p w14:paraId="7C2AB5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4E19C7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47" w:type="pct"/>
            <w:tcBorders>
              <w:top w:val="single" w:color="auto" w:sz="4" w:space="0"/>
              <w:left w:val="single" w:color="auto" w:sz="4" w:space="0"/>
              <w:bottom w:val="single" w:color="auto" w:sz="4" w:space="0"/>
              <w:right w:val="single" w:color="auto" w:sz="4" w:space="0"/>
            </w:tcBorders>
            <w:noWrap w:val="0"/>
            <w:vAlign w:val="center"/>
          </w:tcPr>
          <w:p w14:paraId="01DF7F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资金使用合规性</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330334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3</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23A27C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项目资金使用是否符合相关的财务管理制度规定，用以反映和考核项目资金的规范运行情况。</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53331D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合规</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14CACD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18"/>
                <w:szCs w:val="18"/>
                <w:u w:val="none"/>
                <w:lang w:val="en-US" w:eastAsia="zh-CN"/>
              </w:rPr>
            </w:pPr>
            <w:r>
              <w:rPr>
                <w:rFonts w:hint="eastAsia" w:ascii="宋体" w:hAnsi="宋体" w:eastAsia="宋体" w:cs="宋体"/>
                <w:i w:val="0"/>
                <w:iCs w:val="0"/>
                <w:color w:val="auto"/>
                <w:kern w:val="0"/>
                <w:sz w:val="18"/>
                <w:szCs w:val="18"/>
                <w:u w:val="none"/>
                <w:lang w:val="en-US" w:eastAsia="zh-CN"/>
              </w:rPr>
              <w:t>①否符合国家财经法规和财务管理制度以及有关专项资金管理办法的规定；</w:t>
            </w:r>
          </w:p>
          <w:p w14:paraId="775A2A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②资金的拨付是否有完整的审批程序和手续；</w:t>
            </w:r>
          </w:p>
          <w:p w14:paraId="18F9E0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③是否符合项目预算批复或合同规定的用途；</w:t>
            </w:r>
          </w:p>
          <w:p w14:paraId="2AAEB9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④是否存在截留、挤占、挪用、虚列支出等情况。</w:t>
            </w:r>
          </w:p>
          <w:p w14:paraId="781F84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以上每条指标各占权重分的25%，要素①②不符合，扣除对应权重分；要素③④不符合属于重大违纪，该指标不得分。</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2DBD40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合规</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3CAE96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3</w:t>
            </w:r>
          </w:p>
        </w:tc>
      </w:tr>
      <w:tr w14:paraId="27397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1B91EA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70" w:type="pct"/>
            <w:vMerge w:val="continue"/>
            <w:tcBorders>
              <w:top w:val="single" w:color="auto" w:sz="4" w:space="0"/>
              <w:left w:val="single" w:color="auto" w:sz="4" w:space="0"/>
              <w:bottom w:val="single" w:color="auto" w:sz="4" w:space="0"/>
              <w:right w:val="single" w:color="auto" w:sz="4" w:space="0"/>
            </w:tcBorders>
            <w:noWrap w:val="0"/>
            <w:vAlign w:val="center"/>
          </w:tcPr>
          <w:p w14:paraId="774340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59" w:type="pct"/>
            <w:vMerge w:val="restart"/>
            <w:tcBorders>
              <w:top w:val="single" w:color="auto" w:sz="4" w:space="0"/>
              <w:left w:val="single" w:color="auto" w:sz="4" w:space="0"/>
              <w:bottom w:val="single" w:color="auto" w:sz="4" w:space="0"/>
              <w:right w:val="single" w:color="auto" w:sz="4" w:space="0"/>
            </w:tcBorders>
            <w:noWrap w:val="0"/>
            <w:vAlign w:val="center"/>
          </w:tcPr>
          <w:p w14:paraId="3E1465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组织实施</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7A0FCC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6</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3E24A5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管理制度健全性</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0919B1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3</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5F2F0C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项目实施单位的财务和业务管理制度是否健全，用以反映和考核财务和业务管理制度对项目顺利实施的保障情况。</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4C22C6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健全</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09764D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18"/>
                <w:szCs w:val="18"/>
                <w:u w:val="none"/>
                <w:lang w:val="en-US" w:eastAsia="zh-CN"/>
              </w:rPr>
            </w:pPr>
            <w:r>
              <w:rPr>
                <w:rFonts w:hint="eastAsia" w:ascii="宋体" w:hAnsi="宋体" w:eastAsia="宋体" w:cs="宋体"/>
                <w:i w:val="0"/>
                <w:iCs w:val="0"/>
                <w:color w:val="auto"/>
                <w:kern w:val="0"/>
                <w:sz w:val="18"/>
                <w:szCs w:val="18"/>
                <w:u w:val="none"/>
                <w:lang w:val="en-US" w:eastAsia="zh-CN"/>
              </w:rPr>
              <w:t>①是否已制定或具有相应的财务和业务管理制度；</w:t>
            </w:r>
          </w:p>
          <w:p w14:paraId="0E3A5E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②财务和业务管理制度是否合法、合规、完整。</w:t>
            </w:r>
          </w:p>
          <w:p w14:paraId="5B5B58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以上每条要素各占权重的50%，每有一条不符合，扣除对应的权重分，扣完为止。</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0E7A39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健全</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6B5523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3</w:t>
            </w:r>
          </w:p>
        </w:tc>
      </w:tr>
      <w:tr w14:paraId="2E31C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2449B8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70" w:type="pct"/>
            <w:vMerge w:val="continue"/>
            <w:tcBorders>
              <w:top w:val="single" w:color="auto" w:sz="4" w:space="0"/>
              <w:left w:val="single" w:color="auto" w:sz="4" w:space="0"/>
              <w:bottom w:val="single" w:color="auto" w:sz="4" w:space="0"/>
              <w:right w:val="single" w:color="auto" w:sz="4" w:space="0"/>
            </w:tcBorders>
            <w:noWrap w:val="0"/>
            <w:vAlign w:val="center"/>
          </w:tcPr>
          <w:p w14:paraId="639235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59" w:type="pct"/>
            <w:vMerge w:val="continue"/>
            <w:tcBorders>
              <w:top w:val="single" w:color="auto" w:sz="4" w:space="0"/>
              <w:left w:val="single" w:color="auto" w:sz="4" w:space="0"/>
              <w:bottom w:val="single" w:color="auto" w:sz="4" w:space="0"/>
              <w:right w:val="single" w:color="auto" w:sz="4" w:space="0"/>
            </w:tcBorders>
            <w:noWrap w:val="0"/>
            <w:vAlign w:val="center"/>
          </w:tcPr>
          <w:p w14:paraId="1B0BFA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2AA6E9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47" w:type="pct"/>
            <w:tcBorders>
              <w:top w:val="single" w:color="auto" w:sz="4" w:space="0"/>
              <w:left w:val="single" w:color="auto" w:sz="4" w:space="0"/>
              <w:bottom w:val="single" w:color="auto" w:sz="4" w:space="0"/>
              <w:right w:val="single" w:color="auto" w:sz="4" w:space="0"/>
            </w:tcBorders>
            <w:noWrap w:val="0"/>
            <w:vAlign w:val="center"/>
          </w:tcPr>
          <w:p w14:paraId="7F3E7E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制度执行有效性</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69C282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3</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6ACFB3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项目实施是否符合相关管理规定，用以反映和考核相关管理制度的有效执行情况。</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7CB4C0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有效</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22C1FB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18"/>
                <w:szCs w:val="18"/>
                <w:u w:val="none"/>
                <w:lang w:val="en-US" w:eastAsia="zh-CN"/>
              </w:rPr>
            </w:pPr>
            <w:r>
              <w:rPr>
                <w:rFonts w:hint="eastAsia" w:ascii="宋体" w:hAnsi="宋体" w:eastAsia="宋体" w:cs="宋体"/>
                <w:i w:val="0"/>
                <w:iCs w:val="0"/>
                <w:color w:val="auto"/>
                <w:kern w:val="0"/>
                <w:sz w:val="18"/>
                <w:szCs w:val="18"/>
                <w:u w:val="none"/>
                <w:lang w:val="en-US" w:eastAsia="zh-CN"/>
              </w:rPr>
              <w:t>①否遵守相关法律法规和相关管理规定；</w:t>
            </w:r>
          </w:p>
          <w:p w14:paraId="387FBC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②项目调整及支出调整手续是否完备；</w:t>
            </w:r>
          </w:p>
          <w:p w14:paraId="713CDD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③项目资料是否齐全并及时归档。</w:t>
            </w:r>
          </w:p>
          <w:p w14:paraId="6034FE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①②③齐全得权重分的100%，缺①扣权重分的30%，缺②扣权重分的40%，缺③扣权重分的30%。</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4F42CC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有效</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45DC11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3</w:t>
            </w:r>
          </w:p>
        </w:tc>
      </w:tr>
      <w:tr w14:paraId="5519B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0" w:type="pct"/>
            <w:vMerge w:val="restart"/>
            <w:tcBorders>
              <w:top w:val="single" w:color="auto" w:sz="4" w:space="0"/>
              <w:left w:val="single" w:color="auto" w:sz="4" w:space="0"/>
              <w:bottom w:val="single" w:color="auto" w:sz="4" w:space="0"/>
              <w:right w:val="single" w:color="auto" w:sz="4" w:space="0"/>
            </w:tcBorders>
            <w:noWrap w:val="0"/>
            <w:vAlign w:val="center"/>
          </w:tcPr>
          <w:p w14:paraId="45925E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项目产出</w:t>
            </w:r>
          </w:p>
        </w:tc>
        <w:tc>
          <w:tcPr>
            <w:tcW w:w="270" w:type="pct"/>
            <w:vMerge w:val="restart"/>
            <w:tcBorders>
              <w:top w:val="single" w:color="auto" w:sz="4" w:space="0"/>
              <w:left w:val="single" w:color="auto" w:sz="4" w:space="0"/>
              <w:bottom w:val="single" w:color="auto" w:sz="4" w:space="0"/>
              <w:right w:val="single" w:color="auto" w:sz="4" w:space="0"/>
            </w:tcBorders>
            <w:noWrap w:val="0"/>
            <w:vAlign w:val="center"/>
          </w:tcPr>
          <w:p w14:paraId="3B7394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40</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2B1FC1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产出数量</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2F8813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3332CE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实际完成率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74480F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kern w:val="0"/>
                <w:sz w:val="18"/>
                <w:szCs w:val="18"/>
                <w:u w:val="none"/>
                <w:lang w:val="en-US" w:eastAsia="zh-CN"/>
              </w:rPr>
              <w:t>10</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1CBA9C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审计村数量</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0CB632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=230个</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6D6203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实际完成率=（实际完成/预期完成）×100%。</w:t>
            </w:r>
            <w:r>
              <w:rPr>
                <w:rFonts w:hint="eastAsia" w:ascii="宋体" w:hAnsi="宋体" w:eastAsia="宋体" w:cs="宋体"/>
                <w:i w:val="0"/>
                <w:iCs w:val="0"/>
                <w:color w:val="auto"/>
                <w:kern w:val="0"/>
                <w:sz w:val="18"/>
                <w:szCs w:val="18"/>
                <w:u w:val="none"/>
                <w:lang w:val="en-US" w:eastAsia="zh-CN"/>
              </w:rPr>
              <w:br w:type="textWrapping"/>
            </w:r>
            <w:r>
              <w:rPr>
                <w:rFonts w:hint="eastAsia" w:ascii="宋体" w:hAnsi="宋体" w:eastAsia="宋体" w:cs="宋体"/>
                <w:i w:val="0"/>
                <w:iCs w:val="0"/>
                <w:color w:val="auto"/>
                <w:kern w:val="0"/>
                <w:sz w:val="18"/>
                <w:szCs w:val="18"/>
                <w:u w:val="none"/>
                <w:lang w:val="en-US" w:eastAsia="zh-CN"/>
              </w:rPr>
              <w:t>①实际完成率≥100%，且偏离程度＜20%，得满分；</w:t>
            </w:r>
            <w:r>
              <w:rPr>
                <w:rFonts w:hint="eastAsia" w:ascii="宋体" w:hAnsi="宋体" w:eastAsia="宋体" w:cs="宋体"/>
                <w:i w:val="0"/>
                <w:iCs w:val="0"/>
                <w:color w:val="auto"/>
                <w:kern w:val="0"/>
                <w:sz w:val="18"/>
                <w:szCs w:val="18"/>
                <w:u w:val="none"/>
                <w:lang w:val="en-US" w:eastAsia="zh-CN"/>
              </w:rPr>
              <w:br w:type="textWrapping"/>
            </w:r>
            <w:r>
              <w:rPr>
                <w:rFonts w:hint="eastAsia" w:ascii="宋体" w:hAnsi="宋体" w:eastAsia="宋体" w:cs="宋体"/>
                <w:i w:val="0"/>
                <w:iCs w:val="0"/>
                <w:color w:val="auto"/>
                <w:kern w:val="0"/>
                <w:sz w:val="18"/>
                <w:szCs w:val="18"/>
                <w:u w:val="none"/>
                <w:lang w:val="en-US" w:eastAsia="zh-CN"/>
              </w:rPr>
              <w:t>②实际完成率≥100%，偏离程度≥20%，得0分；</w:t>
            </w:r>
            <w:r>
              <w:rPr>
                <w:rFonts w:hint="eastAsia" w:ascii="宋体" w:hAnsi="宋体" w:eastAsia="宋体" w:cs="宋体"/>
                <w:i w:val="0"/>
                <w:iCs w:val="0"/>
                <w:color w:val="auto"/>
                <w:kern w:val="0"/>
                <w:sz w:val="18"/>
                <w:szCs w:val="18"/>
                <w:u w:val="none"/>
                <w:lang w:val="en-US" w:eastAsia="zh-CN"/>
              </w:rPr>
              <w:br w:type="textWrapping"/>
            </w:r>
            <w:r>
              <w:rPr>
                <w:rFonts w:hint="eastAsia" w:ascii="宋体" w:hAnsi="宋体" w:eastAsia="宋体" w:cs="宋体"/>
                <w:i w:val="0"/>
                <w:iCs w:val="0"/>
                <w:color w:val="auto"/>
                <w:kern w:val="0"/>
                <w:sz w:val="18"/>
                <w:szCs w:val="18"/>
                <w:u w:val="none"/>
                <w:lang w:val="en-US" w:eastAsia="zh-CN"/>
              </w:rPr>
              <w:t>③实际完成率×100%＜100%，得分=实际完成率×指标分值。</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37B6DE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kern w:val="0"/>
                <w:sz w:val="18"/>
                <w:szCs w:val="18"/>
                <w:u w:val="none"/>
                <w:lang w:val="en-US" w:eastAsia="zh-CN"/>
              </w:rPr>
              <w:t>230个</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170C9F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w:t>
            </w:r>
          </w:p>
        </w:tc>
      </w:tr>
      <w:tr w14:paraId="23639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35CE139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70" w:type="pct"/>
            <w:vMerge w:val="continue"/>
            <w:tcBorders>
              <w:top w:val="single" w:color="auto" w:sz="4" w:space="0"/>
              <w:left w:val="single" w:color="auto" w:sz="4" w:space="0"/>
              <w:bottom w:val="single" w:color="auto" w:sz="4" w:space="0"/>
              <w:right w:val="single" w:color="auto" w:sz="4" w:space="0"/>
            </w:tcBorders>
            <w:noWrap w:val="0"/>
            <w:vAlign w:val="center"/>
          </w:tcPr>
          <w:p w14:paraId="62D623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040B29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产出质量</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136B90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2DD97A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质量达标率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7271AE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kern w:val="0"/>
                <w:sz w:val="18"/>
                <w:szCs w:val="18"/>
                <w:u w:val="none"/>
                <w:lang w:val="en-US" w:eastAsia="zh-CN"/>
              </w:rPr>
              <w:t>10</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2C87AC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资金使用合规率</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547CC0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=100%</w:t>
            </w:r>
          </w:p>
        </w:tc>
        <w:tc>
          <w:tcPr>
            <w:tcW w:w="1595" w:type="pct"/>
            <w:tcBorders>
              <w:top w:val="single" w:color="auto" w:sz="4" w:space="0"/>
              <w:left w:val="single" w:color="auto" w:sz="4" w:space="0"/>
              <w:right w:val="single" w:color="auto" w:sz="4" w:space="0"/>
            </w:tcBorders>
            <w:noWrap w:val="0"/>
            <w:vAlign w:val="center"/>
          </w:tcPr>
          <w:p w14:paraId="54DE6D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若指标达到标杆值，则得100%权重分；否则，得分=（实际完成/预期完成）×100%×指标分值。</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72CC63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kern w:val="0"/>
                <w:sz w:val="18"/>
                <w:szCs w:val="18"/>
                <w:u w:val="none"/>
                <w:lang w:val="en-US" w:eastAsia="zh-CN"/>
              </w:rPr>
              <w:t>100%</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69688F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w:t>
            </w:r>
          </w:p>
        </w:tc>
      </w:tr>
      <w:tr w14:paraId="2D417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6CCE86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70" w:type="pct"/>
            <w:vMerge w:val="continue"/>
            <w:tcBorders>
              <w:top w:val="single" w:color="auto" w:sz="4" w:space="0"/>
              <w:left w:val="single" w:color="auto" w:sz="4" w:space="0"/>
              <w:bottom w:val="single" w:color="auto" w:sz="4" w:space="0"/>
              <w:right w:val="single" w:color="auto" w:sz="4" w:space="0"/>
            </w:tcBorders>
            <w:noWrap w:val="0"/>
            <w:vAlign w:val="center"/>
          </w:tcPr>
          <w:p w14:paraId="575D14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17A29B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产出时效</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292116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2E6686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完成及时率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6CE84D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kern w:val="0"/>
                <w:sz w:val="18"/>
                <w:szCs w:val="18"/>
                <w:u w:val="none"/>
                <w:lang w:val="en-US" w:eastAsia="zh-CN"/>
              </w:rPr>
              <w:t>10</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00B6A0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资金支付及时率</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3535A9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&gt;=100%</w:t>
            </w:r>
          </w:p>
        </w:tc>
        <w:tc>
          <w:tcPr>
            <w:tcW w:w="1595" w:type="pct"/>
            <w:tcBorders>
              <w:top w:val="single" w:color="auto" w:sz="4" w:space="0"/>
              <w:left w:val="single" w:color="auto" w:sz="4" w:space="0"/>
              <w:right w:val="single" w:color="auto" w:sz="4" w:space="0"/>
            </w:tcBorders>
            <w:noWrap w:val="0"/>
            <w:vAlign w:val="center"/>
          </w:tcPr>
          <w:p w14:paraId="194536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若指标完成值达到标杆值，则得100%权重分；否则，得分=（实际完成/预期完成）×100%×指标分值。</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057D98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kern w:val="0"/>
                <w:sz w:val="18"/>
                <w:szCs w:val="18"/>
                <w:u w:val="none"/>
                <w:lang w:val="en-US" w:eastAsia="zh-CN"/>
              </w:rPr>
              <w:t>100%</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10E9AA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w:t>
            </w:r>
          </w:p>
        </w:tc>
      </w:tr>
      <w:tr w14:paraId="0FEC4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76B35C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70" w:type="pct"/>
            <w:vMerge w:val="continue"/>
            <w:tcBorders>
              <w:top w:val="single" w:color="auto" w:sz="4" w:space="0"/>
              <w:left w:val="single" w:color="auto" w:sz="4" w:space="0"/>
              <w:bottom w:val="single" w:color="auto" w:sz="4" w:space="0"/>
              <w:right w:val="single" w:color="auto" w:sz="4" w:space="0"/>
            </w:tcBorders>
            <w:noWrap w:val="0"/>
            <w:vAlign w:val="center"/>
          </w:tcPr>
          <w:p w14:paraId="4F20AC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59" w:type="pct"/>
            <w:tcBorders>
              <w:top w:val="single" w:color="auto" w:sz="4" w:space="0"/>
              <w:left w:val="single" w:color="auto" w:sz="4" w:space="0"/>
              <w:bottom w:val="single" w:color="auto" w:sz="4" w:space="0"/>
              <w:right w:val="single" w:color="auto" w:sz="4" w:space="0"/>
            </w:tcBorders>
            <w:noWrap w:val="0"/>
            <w:vAlign w:val="center"/>
          </w:tcPr>
          <w:p w14:paraId="2F5EDE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产出成本</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544DDB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5D19EC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成本节约率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1CC74B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kern w:val="0"/>
                <w:sz w:val="18"/>
                <w:szCs w:val="18"/>
                <w:u w:val="none"/>
                <w:lang w:val="en-US" w:eastAsia="zh-CN"/>
              </w:rPr>
              <w:t>10</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3BF509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项目总成本</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7C374D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&lt;=65万元</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5BADD2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实际完成率=（实际支付资金数/计划应支付资金数）×100%。</w:t>
            </w:r>
            <w:r>
              <w:rPr>
                <w:rFonts w:hint="eastAsia" w:ascii="宋体" w:hAnsi="宋体" w:eastAsia="宋体" w:cs="宋体"/>
                <w:i w:val="0"/>
                <w:iCs w:val="0"/>
                <w:color w:val="auto"/>
                <w:kern w:val="0"/>
                <w:sz w:val="18"/>
                <w:szCs w:val="18"/>
                <w:u w:val="none"/>
                <w:lang w:val="en-US" w:eastAsia="zh-CN"/>
              </w:rPr>
              <w:br w:type="textWrapping"/>
            </w:r>
            <w:r>
              <w:rPr>
                <w:rFonts w:hint="eastAsia" w:ascii="宋体" w:hAnsi="宋体" w:eastAsia="宋体" w:cs="宋体"/>
                <w:i w:val="0"/>
                <w:iCs w:val="0"/>
                <w:color w:val="auto"/>
                <w:kern w:val="0"/>
                <w:sz w:val="18"/>
                <w:szCs w:val="18"/>
                <w:u w:val="none"/>
                <w:lang w:val="en-US" w:eastAsia="zh-CN"/>
              </w:rPr>
              <w:t>①实际完成率＞年度指标值，得0得分；</w:t>
            </w:r>
            <w:r>
              <w:rPr>
                <w:rFonts w:hint="eastAsia" w:ascii="宋体" w:hAnsi="宋体" w:eastAsia="宋体" w:cs="宋体"/>
                <w:i w:val="0"/>
                <w:iCs w:val="0"/>
                <w:color w:val="auto"/>
                <w:kern w:val="0"/>
                <w:sz w:val="18"/>
                <w:szCs w:val="18"/>
                <w:u w:val="none"/>
                <w:lang w:val="en-US" w:eastAsia="zh-CN"/>
              </w:rPr>
              <w:br w:type="textWrapping"/>
            </w:r>
            <w:r>
              <w:rPr>
                <w:rFonts w:hint="eastAsia" w:ascii="宋体" w:hAnsi="宋体" w:eastAsia="宋体" w:cs="宋体"/>
                <w:i w:val="0"/>
                <w:iCs w:val="0"/>
                <w:color w:val="auto"/>
                <w:kern w:val="0"/>
                <w:sz w:val="18"/>
                <w:szCs w:val="18"/>
                <w:u w:val="none"/>
                <w:lang w:val="en-US" w:eastAsia="zh-CN"/>
              </w:rPr>
              <w:t>②实际完成率≤年度指标值，且偏离程度＜20%，得满分；</w:t>
            </w:r>
            <w:r>
              <w:rPr>
                <w:rFonts w:hint="eastAsia" w:ascii="宋体" w:hAnsi="宋体" w:eastAsia="宋体" w:cs="宋体"/>
                <w:i w:val="0"/>
                <w:iCs w:val="0"/>
                <w:color w:val="auto"/>
                <w:kern w:val="0"/>
                <w:sz w:val="18"/>
                <w:szCs w:val="18"/>
                <w:u w:val="none"/>
                <w:lang w:val="en-US" w:eastAsia="zh-CN"/>
              </w:rPr>
              <w:br w:type="textWrapping"/>
            </w:r>
            <w:r>
              <w:rPr>
                <w:rFonts w:hint="eastAsia" w:ascii="宋体" w:hAnsi="宋体" w:eastAsia="宋体" w:cs="宋体"/>
                <w:i w:val="0"/>
                <w:iCs w:val="0"/>
                <w:color w:val="auto"/>
                <w:kern w:val="0"/>
                <w:sz w:val="18"/>
                <w:szCs w:val="18"/>
                <w:u w:val="none"/>
                <w:lang w:val="en-US" w:eastAsia="zh-CN"/>
              </w:rPr>
              <w:t>③实际完成率＜年度指标值，且偏离程度≥20%，得分=实际完成率×分值。</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17D955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kern w:val="0"/>
                <w:sz w:val="18"/>
                <w:szCs w:val="18"/>
                <w:u w:val="none"/>
                <w:lang w:val="en-US" w:eastAsia="zh-CN"/>
              </w:rPr>
              <w:t>65万元</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672B26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w:t>
            </w:r>
          </w:p>
        </w:tc>
      </w:tr>
      <w:tr w14:paraId="05D32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0" w:type="pct"/>
            <w:vMerge w:val="restart"/>
            <w:tcBorders>
              <w:top w:val="single" w:color="auto" w:sz="4" w:space="0"/>
              <w:left w:val="single" w:color="auto" w:sz="4" w:space="0"/>
              <w:bottom w:val="single" w:color="auto" w:sz="4" w:space="0"/>
              <w:right w:val="single" w:color="auto" w:sz="4" w:space="0"/>
            </w:tcBorders>
            <w:noWrap w:val="0"/>
            <w:vAlign w:val="center"/>
          </w:tcPr>
          <w:p w14:paraId="1B57D4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项目效益</w:t>
            </w:r>
          </w:p>
        </w:tc>
        <w:tc>
          <w:tcPr>
            <w:tcW w:w="270" w:type="pct"/>
            <w:vMerge w:val="restart"/>
            <w:tcBorders>
              <w:top w:val="single" w:color="auto" w:sz="4" w:space="0"/>
              <w:left w:val="single" w:color="auto" w:sz="4" w:space="0"/>
              <w:bottom w:val="single" w:color="auto" w:sz="4" w:space="0"/>
              <w:right w:val="single" w:color="auto" w:sz="4" w:space="0"/>
            </w:tcBorders>
            <w:noWrap w:val="0"/>
            <w:vAlign w:val="center"/>
          </w:tcPr>
          <w:p w14:paraId="5F366F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25</w:t>
            </w:r>
          </w:p>
        </w:tc>
        <w:tc>
          <w:tcPr>
            <w:tcW w:w="259" w:type="pct"/>
            <w:vMerge w:val="restart"/>
            <w:tcBorders>
              <w:top w:val="single" w:color="auto" w:sz="4" w:space="0"/>
              <w:left w:val="single" w:color="auto" w:sz="4" w:space="0"/>
              <w:bottom w:val="single" w:color="auto" w:sz="4" w:space="0"/>
              <w:right w:val="single" w:color="auto" w:sz="4" w:space="0"/>
            </w:tcBorders>
            <w:noWrap w:val="0"/>
            <w:vAlign w:val="center"/>
          </w:tcPr>
          <w:p w14:paraId="137AD2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项目效益</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388CA7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25</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223006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社会效益</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37C827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15</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04279B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促进被审村财务规范</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0A08CC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有效促进</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4CD8E5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按评判等级赋分。分为基本达成目标、部分实现目标、实现目标程度较低三个档次，并分别按照该指标对应分值区间100%-80%（含）、80%-60%（含）、60%-0%合理确定分值。</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2C5A09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kern w:val="0"/>
                <w:sz w:val="18"/>
                <w:szCs w:val="18"/>
                <w:u w:val="none"/>
                <w:lang w:val="en-US" w:eastAsia="zh-CN"/>
              </w:rPr>
              <w:t>有效促进</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4C6D5D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15</w:t>
            </w:r>
          </w:p>
        </w:tc>
      </w:tr>
      <w:tr w14:paraId="58614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2FAA95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70" w:type="pct"/>
            <w:vMerge w:val="continue"/>
            <w:tcBorders>
              <w:top w:val="single" w:color="auto" w:sz="4" w:space="0"/>
              <w:left w:val="single" w:color="auto" w:sz="4" w:space="0"/>
              <w:bottom w:val="single" w:color="auto" w:sz="4" w:space="0"/>
              <w:right w:val="single" w:color="auto" w:sz="4" w:space="0"/>
            </w:tcBorders>
            <w:noWrap w:val="0"/>
            <w:vAlign w:val="center"/>
          </w:tcPr>
          <w:p w14:paraId="2C06DBA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59" w:type="pct"/>
            <w:vMerge w:val="continue"/>
            <w:tcBorders>
              <w:top w:val="single" w:color="auto" w:sz="4" w:space="0"/>
              <w:left w:val="single" w:color="auto" w:sz="4" w:space="0"/>
              <w:bottom w:val="single" w:color="auto" w:sz="4" w:space="0"/>
              <w:right w:val="single" w:color="auto" w:sz="4" w:space="0"/>
            </w:tcBorders>
            <w:noWrap w:val="0"/>
            <w:vAlign w:val="center"/>
          </w:tcPr>
          <w:p w14:paraId="48FC38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708F1B4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47" w:type="pct"/>
            <w:tcBorders>
              <w:top w:val="single" w:color="auto" w:sz="4" w:space="0"/>
              <w:left w:val="single" w:color="auto" w:sz="4" w:space="0"/>
              <w:bottom w:val="single" w:color="auto" w:sz="4" w:space="0"/>
              <w:right w:val="single" w:color="auto" w:sz="4" w:space="0"/>
            </w:tcBorders>
            <w:noWrap w:val="0"/>
            <w:vAlign w:val="center"/>
          </w:tcPr>
          <w:p w14:paraId="65561B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服务对象满意度</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5159AA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7B0AC1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被审村满意度</w:t>
            </w:r>
          </w:p>
        </w:tc>
        <w:tc>
          <w:tcPr>
            <w:tcW w:w="417" w:type="pct"/>
            <w:tcBorders>
              <w:top w:val="single" w:color="auto" w:sz="4" w:space="0"/>
              <w:left w:val="single" w:color="auto" w:sz="4" w:space="0"/>
              <w:bottom w:val="single" w:color="auto" w:sz="4" w:space="0"/>
              <w:right w:val="single" w:color="auto" w:sz="4" w:space="0"/>
            </w:tcBorders>
            <w:noWrap w:val="0"/>
            <w:vAlign w:val="center"/>
          </w:tcPr>
          <w:p w14:paraId="2D5F5A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&gt;=95%</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3E1E9C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根据问卷调查，满意度达到标杆值，得权重分的100%；否则低于95%，得分=实际满意度*指标分值。</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358073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kern w:val="0"/>
                <w:sz w:val="18"/>
                <w:szCs w:val="18"/>
                <w:u w:val="none"/>
                <w:lang w:val="en-US" w:eastAsia="zh-CN"/>
              </w:rPr>
              <w:t>100%</w:t>
            </w:r>
          </w:p>
        </w:tc>
        <w:tc>
          <w:tcPr>
            <w:tcW w:w="235" w:type="pct"/>
            <w:tcBorders>
              <w:top w:val="single" w:color="auto" w:sz="4" w:space="0"/>
              <w:left w:val="single" w:color="auto" w:sz="4" w:space="0"/>
              <w:bottom w:val="single" w:color="auto" w:sz="4" w:space="0"/>
              <w:right w:val="single" w:color="auto" w:sz="4" w:space="0"/>
            </w:tcBorders>
            <w:noWrap w:val="0"/>
            <w:vAlign w:val="center"/>
          </w:tcPr>
          <w:p w14:paraId="545700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w:t>
            </w:r>
          </w:p>
        </w:tc>
      </w:tr>
      <w:tr w14:paraId="4D009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0" w:type="pct"/>
            <w:tcBorders>
              <w:top w:val="single" w:color="auto" w:sz="4" w:space="0"/>
              <w:left w:val="single" w:color="auto" w:sz="4" w:space="0"/>
              <w:bottom w:val="single" w:color="auto" w:sz="4" w:space="0"/>
              <w:right w:val="single" w:color="auto" w:sz="4" w:space="0"/>
            </w:tcBorders>
            <w:noWrap w:val="0"/>
            <w:vAlign w:val="center"/>
          </w:tcPr>
          <w:p w14:paraId="7F0BDF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总分</w:t>
            </w:r>
          </w:p>
        </w:tc>
        <w:tc>
          <w:tcPr>
            <w:tcW w:w="270" w:type="pct"/>
            <w:tcBorders>
              <w:top w:val="single" w:color="auto" w:sz="4" w:space="0"/>
              <w:left w:val="single" w:color="auto" w:sz="4" w:space="0"/>
              <w:bottom w:val="single" w:color="auto" w:sz="4" w:space="0"/>
              <w:right w:val="single" w:color="auto" w:sz="4" w:space="0"/>
            </w:tcBorders>
            <w:noWrap w:val="0"/>
            <w:vAlign w:val="center"/>
          </w:tcPr>
          <w:p w14:paraId="3F8B51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100</w:t>
            </w:r>
          </w:p>
        </w:tc>
        <w:tc>
          <w:tcPr>
            <w:tcW w:w="259" w:type="pct"/>
            <w:tcBorders>
              <w:top w:val="single" w:color="auto" w:sz="4" w:space="0"/>
              <w:left w:val="single" w:color="auto" w:sz="4" w:space="0"/>
              <w:bottom w:val="single" w:color="auto" w:sz="4" w:space="0"/>
              <w:right w:val="single" w:color="auto" w:sz="4" w:space="0"/>
            </w:tcBorders>
            <w:noWrap w:val="0"/>
            <w:vAlign w:val="center"/>
          </w:tcPr>
          <w:p w14:paraId="720217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04" w:type="pct"/>
            <w:tcBorders>
              <w:top w:val="single" w:color="auto" w:sz="4" w:space="0"/>
              <w:left w:val="single" w:color="auto" w:sz="4" w:space="0"/>
              <w:bottom w:val="single" w:color="auto" w:sz="4" w:space="0"/>
              <w:right w:val="single" w:color="auto" w:sz="4" w:space="0"/>
            </w:tcBorders>
            <w:noWrap w:val="0"/>
            <w:vAlign w:val="center"/>
          </w:tcPr>
          <w:p w14:paraId="7A0239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100</w:t>
            </w:r>
          </w:p>
        </w:tc>
        <w:tc>
          <w:tcPr>
            <w:tcW w:w="247" w:type="pct"/>
            <w:tcBorders>
              <w:top w:val="single" w:color="auto" w:sz="4" w:space="0"/>
              <w:left w:val="single" w:color="auto" w:sz="4" w:space="0"/>
              <w:bottom w:val="single" w:color="auto" w:sz="4" w:space="0"/>
              <w:right w:val="single" w:color="auto" w:sz="4" w:space="0"/>
            </w:tcBorders>
            <w:noWrap w:val="0"/>
            <w:vAlign w:val="center"/>
          </w:tcPr>
          <w:p w14:paraId="226232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204" w:type="pct"/>
            <w:tcBorders>
              <w:top w:val="single" w:color="auto" w:sz="4" w:space="0"/>
              <w:left w:val="single" w:color="auto" w:sz="4" w:space="0"/>
              <w:bottom w:val="single" w:color="auto" w:sz="4" w:space="0"/>
              <w:right w:val="single" w:color="auto" w:sz="4" w:space="0"/>
            </w:tcBorders>
            <w:noWrap w:val="0"/>
            <w:vAlign w:val="center"/>
          </w:tcPr>
          <w:p w14:paraId="52429D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100</w:t>
            </w:r>
          </w:p>
        </w:tc>
        <w:tc>
          <w:tcPr>
            <w:tcW w:w="990" w:type="pct"/>
            <w:tcBorders>
              <w:top w:val="single" w:color="auto" w:sz="4" w:space="0"/>
              <w:left w:val="single" w:color="auto" w:sz="4" w:space="0"/>
              <w:bottom w:val="single" w:color="auto" w:sz="4" w:space="0"/>
              <w:right w:val="single" w:color="auto" w:sz="4" w:space="0"/>
            </w:tcBorders>
            <w:noWrap w:val="0"/>
            <w:vAlign w:val="center"/>
          </w:tcPr>
          <w:p w14:paraId="6C4D93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rPr>
            </w:pPr>
          </w:p>
        </w:tc>
        <w:tc>
          <w:tcPr>
            <w:tcW w:w="417" w:type="pct"/>
            <w:tcBorders>
              <w:top w:val="single" w:color="auto" w:sz="4" w:space="0"/>
              <w:left w:val="single" w:color="auto" w:sz="4" w:space="0"/>
              <w:bottom w:val="single" w:color="auto" w:sz="4" w:space="0"/>
              <w:right w:val="single" w:color="auto" w:sz="4" w:space="0"/>
            </w:tcBorders>
            <w:noWrap w:val="0"/>
            <w:vAlign w:val="center"/>
          </w:tcPr>
          <w:p w14:paraId="3D2F52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w:t>
            </w:r>
          </w:p>
        </w:tc>
        <w:tc>
          <w:tcPr>
            <w:tcW w:w="1595" w:type="pct"/>
            <w:tcBorders>
              <w:top w:val="single" w:color="auto" w:sz="4" w:space="0"/>
              <w:left w:val="single" w:color="auto" w:sz="4" w:space="0"/>
              <w:bottom w:val="single" w:color="auto" w:sz="4" w:space="0"/>
              <w:right w:val="single" w:color="auto" w:sz="4" w:space="0"/>
            </w:tcBorders>
            <w:noWrap w:val="0"/>
            <w:vAlign w:val="center"/>
          </w:tcPr>
          <w:p w14:paraId="3724CD5A">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auto"/>
                <w:sz w:val="18"/>
                <w:szCs w:val="18"/>
                <w:u w:val="none"/>
              </w:rPr>
            </w:pPr>
          </w:p>
        </w:tc>
        <w:tc>
          <w:tcPr>
            <w:tcW w:w="323" w:type="pct"/>
            <w:tcBorders>
              <w:top w:val="single" w:color="auto" w:sz="4" w:space="0"/>
              <w:left w:val="single" w:color="auto" w:sz="4" w:space="0"/>
              <w:bottom w:val="single" w:color="auto" w:sz="4" w:space="0"/>
              <w:right w:val="single" w:color="auto" w:sz="4" w:space="0"/>
            </w:tcBorders>
            <w:noWrap w:val="0"/>
            <w:vAlign w:val="center"/>
          </w:tcPr>
          <w:p w14:paraId="589772F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18"/>
                <w:szCs w:val="18"/>
                <w:u w:val="none"/>
                <w:lang w:val="en-US" w:eastAsia="zh-CN"/>
              </w:rPr>
            </w:pPr>
          </w:p>
        </w:tc>
        <w:tc>
          <w:tcPr>
            <w:tcW w:w="235" w:type="pct"/>
            <w:tcBorders>
              <w:top w:val="single" w:color="auto" w:sz="4" w:space="0"/>
              <w:left w:val="single" w:color="auto" w:sz="4" w:space="0"/>
              <w:bottom w:val="single" w:color="auto" w:sz="4" w:space="0"/>
              <w:right w:val="single" w:color="auto" w:sz="4" w:space="0"/>
            </w:tcBorders>
            <w:noWrap w:val="0"/>
            <w:vAlign w:val="center"/>
          </w:tcPr>
          <w:p w14:paraId="4978DD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rPr>
              <w:t>100</w:t>
            </w:r>
          </w:p>
        </w:tc>
      </w:tr>
    </w:tbl>
    <w:p w14:paraId="0D9213E3">
      <w:pPr>
        <w:pStyle w:val="10"/>
        <w:rPr>
          <w:rFonts w:hint="eastAsia" w:ascii="宋体" w:hAnsi="宋体" w:eastAsia="宋体" w:cs="宋体"/>
          <w:sz w:val="24"/>
          <w:szCs w:val="24"/>
          <w:lang w:eastAsia="zh-CN"/>
        </w:rPr>
      </w:pPr>
    </w:p>
    <w:p w14:paraId="32371921">
      <w:pPr>
        <w:pStyle w:val="10"/>
        <w:rPr>
          <w:rFonts w:hint="eastAsia" w:ascii="宋体" w:hAnsi="宋体" w:eastAsia="宋体" w:cs="宋体"/>
          <w:sz w:val="24"/>
          <w:szCs w:val="24"/>
          <w:lang w:eastAsia="zh-CN"/>
        </w:rPr>
      </w:pPr>
    </w:p>
    <w:p w14:paraId="0127CB8F">
      <w:pPr>
        <w:pStyle w:val="10"/>
        <w:rPr>
          <w:rFonts w:hint="eastAsia" w:ascii="宋体" w:hAnsi="宋体" w:eastAsia="宋体" w:cs="宋体"/>
          <w:sz w:val="24"/>
          <w:szCs w:val="24"/>
          <w:lang w:eastAsia="zh-CN"/>
        </w:rPr>
      </w:pPr>
    </w:p>
    <w:p w14:paraId="7EFC11A7">
      <w:pPr>
        <w:pStyle w:val="10"/>
        <w:rPr>
          <w:rFonts w:hint="eastAsia" w:ascii="宋体" w:hAnsi="宋体" w:eastAsia="宋体" w:cs="宋体"/>
          <w:sz w:val="24"/>
          <w:szCs w:val="24"/>
          <w:lang w:eastAsia="zh-CN"/>
        </w:rPr>
      </w:pPr>
    </w:p>
    <w:p w14:paraId="4B7736D3">
      <w:pPr>
        <w:pStyle w:val="10"/>
        <w:rPr>
          <w:rFonts w:hint="eastAsia" w:ascii="宋体" w:hAnsi="宋体" w:eastAsia="宋体" w:cs="宋体"/>
          <w:sz w:val="24"/>
          <w:szCs w:val="24"/>
          <w:lang w:eastAsia="zh-CN"/>
        </w:rPr>
      </w:pPr>
    </w:p>
    <w:p w14:paraId="38A38474">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3"/>
        <w:tblW w:w="1302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2638"/>
        <w:gridCol w:w="2142"/>
      </w:tblGrid>
      <w:tr w14:paraId="34FFE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1363" w:type="dxa"/>
            <w:tcBorders>
              <w:top w:val="nil"/>
              <w:left w:val="nil"/>
              <w:bottom w:val="nil"/>
              <w:right w:val="nil"/>
            </w:tcBorders>
            <w:noWrap/>
            <w:vAlign w:val="center"/>
          </w:tcPr>
          <w:p w14:paraId="28D6F52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c>
          <w:tcPr>
            <w:tcW w:w="1778" w:type="dxa"/>
            <w:tcBorders>
              <w:top w:val="nil"/>
              <w:left w:val="nil"/>
              <w:bottom w:val="nil"/>
              <w:right w:val="nil"/>
            </w:tcBorders>
            <w:noWrap/>
            <w:vAlign w:val="center"/>
          </w:tcPr>
          <w:p w14:paraId="234011FB">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c>
          <w:tcPr>
            <w:tcW w:w="2786" w:type="dxa"/>
            <w:tcBorders>
              <w:top w:val="nil"/>
              <w:left w:val="nil"/>
              <w:bottom w:val="nil"/>
              <w:right w:val="nil"/>
            </w:tcBorders>
            <w:noWrap/>
            <w:vAlign w:val="center"/>
          </w:tcPr>
          <w:p w14:paraId="5161FBC2">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c>
          <w:tcPr>
            <w:tcW w:w="2314" w:type="dxa"/>
            <w:tcBorders>
              <w:top w:val="nil"/>
              <w:left w:val="nil"/>
              <w:bottom w:val="nil"/>
              <w:right w:val="nil"/>
            </w:tcBorders>
            <w:noWrap/>
            <w:vAlign w:val="center"/>
          </w:tcPr>
          <w:p w14:paraId="6E81999A">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c>
          <w:tcPr>
            <w:tcW w:w="2638" w:type="dxa"/>
            <w:tcBorders>
              <w:top w:val="nil"/>
              <w:left w:val="nil"/>
              <w:bottom w:val="nil"/>
              <w:right w:val="nil"/>
            </w:tcBorders>
            <w:noWrap/>
            <w:vAlign w:val="center"/>
          </w:tcPr>
          <w:p w14:paraId="0AC5B7C8">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c>
          <w:tcPr>
            <w:tcW w:w="2142" w:type="dxa"/>
            <w:tcBorders>
              <w:top w:val="nil"/>
              <w:left w:val="nil"/>
              <w:bottom w:val="nil"/>
              <w:right w:val="nil"/>
            </w:tcBorders>
            <w:noWrap/>
            <w:vAlign w:val="center"/>
          </w:tcPr>
          <w:p w14:paraId="3A9B239E">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r>
      <w:tr w14:paraId="22530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3021" w:type="dxa"/>
            <w:gridSpan w:val="6"/>
            <w:tcBorders>
              <w:top w:val="nil"/>
              <w:left w:val="nil"/>
              <w:bottom w:val="nil"/>
              <w:right w:val="nil"/>
            </w:tcBorders>
            <w:noWrap/>
            <w:vAlign w:val="center"/>
          </w:tcPr>
          <w:p w14:paraId="6BCBEB1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b/>
                <w:bCs/>
                <w:i w:val="0"/>
                <w:iCs w:val="0"/>
                <w:color w:val="000000"/>
                <w:kern w:val="0"/>
                <w:sz w:val="36"/>
                <w:szCs w:val="36"/>
                <w:highlight w:val="none"/>
                <w:u w:val="none"/>
                <w:lang w:val="en-US" w:eastAsia="zh-CN"/>
              </w:rPr>
              <w:t>2024年村级财务审计费用还款项目综合得分表</w:t>
            </w:r>
          </w:p>
        </w:tc>
      </w:tr>
      <w:tr w14:paraId="60696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DE4A7D4">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5029E66">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17CE53C">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4D3D90C">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项目产出</w:t>
            </w:r>
          </w:p>
        </w:tc>
        <w:tc>
          <w:tcPr>
            <w:tcW w:w="2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992833A">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项目效益</w:t>
            </w:r>
          </w:p>
        </w:tc>
        <w:tc>
          <w:tcPr>
            <w:tcW w:w="214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A59DC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合计</w:t>
            </w:r>
          </w:p>
        </w:tc>
      </w:tr>
      <w:tr w14:paraId="54CF4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69A7C1C">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76A7786">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3CFBBB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01C14D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40.00</w:t>
            </w:r>
          </w:p>
        </w:tc>
        <w:tc>
          <w:tcPr>
            <w:tcW w:w="2638" w:type="dxa"/>
            <w:tcBorders>
              <w:top w:val="single" w:color="auto" w:sz="4" w:space="0"/>
              <w:left w:val="single" w:color="auto" w:sz="4" w:space="0"/>
              <w:bottom w:val="single" w:color="auto" w:sz="4" w:space="0"/>
              <w:right w:val="single" w:color="auto" w:sz="4" w:space="0"/>
            </w:tcBorders>
            <w:noWrap w:val="0"/>
            <w:vAlign w:val="center"/>
          </w:tcPr>
          <w:p w14:paraId="073BA13A">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25.00</w:t>
            </w:r>
          </w:p>
        </w:tc>
        <w:tc>
          <w:tcPr>
            <w:tcW w:w="2142" w:type="dxa"/>
            <w:tcBorders>
              <w:top w:val="single" w:color="auto" w:sz="4" w:space="0"/>
              <w:left w:val="single" w:color="auto" w:sz="4" w:space="0"/>
              <w:bottom w:val="single" w:color="auto" w:sz="4" w:space="0"/>
              <w:right w:val="single" w:color="auto" w:sz="4" w:space="0"/>
            </w:tcBorders>
            <w:noWrap w:val="0"/>
            <w:vAlign w:val="center"/>
          </w:tcPr>
          <w:p w14:paraId="095C6400">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100.00</w:t>
            </w:r>
          </w:p>
        </w:tc>
      </w:tr>
      <w:tr w14:paraId="50C88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B0FA35B">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B055CB5">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AB47FE2">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2333AB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40.00</w:t>
            </w:r>
          </w:p>
        </w:tc>
        <w:tc>
          <w:tcPr>
            <w:tcW w:w="263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D1E24BA">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25.00</w:t>
            </w:r>
          </w:p>
        </w:tc>
        <w:tc>
          <w:tcPr>
            <w:tcW w:w="2142" w:type="dxa"/>
            <w:tcBorders>
              <w:top w:val="single" w:color="auto" w:sz="4" w:space="0"/>
              <w:left w:val="single" w:color="auto" w:sz="4" w:space="0"/>
              <w:bottom w:val="single" w:color="auto" w:sz="4" w:space="0"/>
              <w:right w:val="single" w:color="auto" w:sz="4" w:space="0"/>
            </w:tcBorders>
            <w:noWrap w:val="0"/>
            <w:vAlign w:val="center"/>
          </w:tcPr>
          <w:p w14:paraId="7E3BB666">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100.00</w:t>
            </w:r>
          </w:p>
        </w:tc>
      </w:tr>
      <w:tr w14:paraId="3B95D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0FF143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bCs/>
                <w:i w:val="0"/>
                <w:iCs w:val="0"/>
                <w:color w:val="000000"/>
                <w:kern w:val="0"/>
                <w:sz w:val="24"/>
                <w:szCs w:val="24"/>
                <w:highlight w:val="none"/>
                <w:u w:val="none"/>
                <w:lang w:val="en-US" w:eastAsia="zh-CN"/>
              </w:rPr>
            </w:pPr>
            <w:r>
              <w:rPr>
                <w:rFonts w:hint="eastAsia" w:ascii="宋体" w:hAnsi="宋体" w:eastAsia="宋体" w:cs="宋体"/>
                <w:b/>
                <w:bCs/>
                <w:i w:val="0"/>
                <w:iCs w:val="0"/>
                <w:color w:val="000000"/>
                <w:kern w:val="0"/>
                <w:sz w:val="24"/>
                <w:szCs w:val="24"/>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18DDD68">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C100B9C">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71F5AA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100.00%</w:t>
            </w:r>
          </w:p>
        </w:tc>
        <w:tc>
          <w:tcPr>
            <w:tcW w:w="2638" w:type="dxa"/>
            <w:tcBorders>
              <w:top w:val="single" w:color="auto" w:sz="4" w:space="0"/>
              <w:left w:val="single" w:color="auto" w:sz="4" w:space="0"/>
              <w:bottom w:val="single" w:color="auto" w:sz="4" w:space="0"/>
              <w:right w:val="single" w:color="auto" w:sz="4" w:space="0"/>
            </w:tcBorders>
            <w:noWrap w:val="0"/>
            <w:vAlign w:val="center"/>
          </w:tcPr>
          <w:p w14:paraId="3EAF946E">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100.00%</w:t>
            </w:r>
          </w:p>
        </w:tc>
        <w:tc>
          <w:tcPr>
            <w:tcW w:w="2142" w:type="dxa"/>
            <w:tcBorders>
              <w:top w:val="single" w:color="auto" w:sz="4" w:space="0"/>
              <w:left w:val="single" w:color="auto" w:sz="4" w:space="0"/>
              <w:bottom w:val="single" w:color="auto" w:sz="4" w:space="0"/>
              <w:right w:val="single" w:color="auto" w:sz="4" w:space="0"/>
            </w:tcBorders>
            <w:noWrap w:val="0"/>
            <w:vAlign w:val="center"/>
          </w:tcPr>
          <w:p w14:paraId="576D8133">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center"/>
              <w:textAlignment w:val="center"/>
              <w:rPr>
                <w:rFonts w:hint="eastAsia" w:ascii="宋体" w:hAnsi="宋体" w:eastAsia="宋体" w:cs="宋体"/>
                <w:b w:val="0"/>
                <w:bCs w:val="0"/>
                <w:i w:val="0"/>
                <w:iCs w:val="0"/>
                <w:color w:val="000000"/>
                <w:kern w:val="0"/>
                <w:sz w:val="24"/>
                <w:szCs w:val="24"/>
                <w:highlight w:val="none"/>
                <w:u w:val="none"/>
                <w:lang w:val="en-US" w:eastAsia="zh-CN"/>
              </w:rPr>
            </w:pPr>
            <w:r>
              <w:rPr>
                <w:rFonts w:hint="eastAsia" w:ascii="宋体" w:hAnsi="宋体" w:eastAsia="宋体" w:cs="宋体"/>
                <w:b w:val="0"/>
                <w:bCs w:val="0"/>
                <w:i w:val="0"/>
                <w:iCs w:val="0"/>
                <w:color w:val="000000"/>
                <w:kern w:val="0"/>
                <w:sz w:val="24"/>
                <w:szCs w:val="24"/>
                <w:highlight w:val="none"/>
                <w:u w:val="none"/>
                <w:lang w:val="en-US" w:eastAsia="zh-CN"/>
              </w:rPr>
              <w:t>100.00%</w:t>
            </w:r>
          </w:p>
        </w:tc>
      </w:tr>
    </w:tbl>
    <w:p w14:paraId="3A6DEF25">
      <w:pPr>
        <w:pStyle w:val="10"/>
        <w:ind w:left="0" w:leftChars="0" w:firstLine="0" w:firstLineChars="0"/>
        <w:jc w:val="both"/>
        <w:rPr>
          <w:rFonts w:hint="default" w:ascii="宋体" w:hAnsi="宋体" w:eastAsia="宋体" w:cs="宋体"/>
          <w:sz w:val="24"/>
          <w:szCs w:val="24"/>
          <w:lang w:val="en-US" w:eastAsia="zh-CN"/>
        </w:rPr>
      </w:pPr>
    </w:p>
    <w:p w14:paraId="639DBBAE">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2E9CA71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49B2604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2024年村级财务审计费用还款项目</w:t>
      </w:r>
    </w:p>
    <w:p w14:paraId="63AF231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342B80AB">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p>
    <w:p w14:paraId="7A2A58F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14AE81B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一、该问卷调查从2025年3月1日开始至2025年3月7日结束，调查问卷共设置3道题目。</w:t>
      </w:r>
    </w:p>
    <w:p w14:paraId="27ED180E">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17524A3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val="en-US" w:eastAsia="zh-CN"/>
        </w:rPr>
        <w:t>洛浦县各村</w:t>
      </w:r>
      <w:r>
        <w:rPr>
          <w:rFonts w:hint="eastAsia" w:ascii="宋体" w:hAnsi="宋体" w:eastAsia="宋体" w:cs="宋体"/>
          <w:color w:val="000000"/>
          <w:sz w:val="24"/>
          <w:szCs w:val="24"/>
          <w:highlight w:val="none"/>
        </w:rPr>
        <w:t>。</w:t>
      </w:r>
    </w:p>
    <w:p w14:paraId="41A1046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调查</w:t>
      </w:r>
      <w:r>
        <w:rPr>
          <w:rFonts w:hint="eastAsia" w:ascii="宋体" w:hAnsi="宋体" w:eastAsia="宋体" w:cs="宋体"/>
          <w:b/>
          <w:bCs/>
          <w:i w:val="0"/>
          <w:iCs w:val="0"/>
          <w:color w:val="auto"/>
          <w:sz w:val="24"/>
          <w:szCs w:val="24"/>
          <w:highlight w:val="none"/>
        </w:rPr>
        <w:t>内容</w:t>
      </w:r>
    </w:p>
    <w:p w14:paraId="088D83D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①您对村级财务审计费用还款项目的实施方式是否满意?</w:t>
      </w:r>
    </w:p>
    <w:p w14:paraId="58913C3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②您对村级财务审计费用还款项目促进被审村财务规范率是否满意？</w:t>
      </w:r>
    </w:p>
    <w:p w14:paraId="099B312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③总的来说，您对目前村级财务审计费用还款项目实施后的整体满意程度如何？</w:t>
      </w:r>
    </w:p>
    <w:p w14:paraId="18E8C512">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方法</w:t>
      </w:r>
    </w:p>
    <w:p w14:paraId="579E6D1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7A135B97">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抽样方式</w:t>
      </w:r>
    </w:p>
    <w:p w14:paraId="0A4FCB0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7E576B0A">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5.问卷的发放和回收</w:t>
      </w:r>
    </w:p>
    <w:p w14:paraId="3442B54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1F8CDA25">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33AA44D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487C453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2AF1F6D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15B44CF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34ABC46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1DFF6E6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村级财务审计费用还款项目针对受益人员发放30份调查问卷，最终统计受益人群满意度为100%。</w:t>
      </w:r>
    </w:p>
    <w:p w14:paraId="1EE7D8B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洛浦县审计局</w:t>
      </w:r>
    </w:p>
    <w:p w14:paraId="1CEBA47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2025年3月10日</w:t>
      </w:r>
    </w:p>
    <w:p w14:paraId="2B231562">
      <w:pPr>
        <w:pStyle w:val="10"/>
        <w:rPr>
          <w:rFonts w:hint="eastAsia" w:ascii="宋体" w:hAnsi="宋体" w:eastAsia="宋体" w:cs="宋体"/>
          <w:sz w:val="24"/>
          <w:szCs w:val="24"/>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041B9">
    <w:pPr>
      <w:pStyle w:val="15"/>
      <w:ind w:firstLine="36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75B0CD76">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2E3DD">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singleLevel"/>
    <w:tmpl w:val="0053208E"/>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53744AB8"/>
    <w:rsid w:val="7DE82DCA"/>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qFormat="1"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uiPriority w:val="0"/>
    <w:pPr>
      <w:ind w:firstLine="420"/>
    </w:pPr>
  </w:style>
  <w:style w:type="paragraph" w:styleId="3">
    <w:name w:val="Body Text Indent"/>
    <w:basedOn w:val="1"/>
    <w:link w:val="30"/>
    <w:unhideWhenUsed/>
    <w:qFormat/>
    <w:uiPriority w:val="99"/>
    <w:pPr>
      <w:spacing w:after="120"/>
      <w:ind w:left="420" w:leftChars="200"/>
    </w:pPr>
    <w:rPr>
      <w:rFonts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qFormat/>
    <w:uiPriority w:val="0"/>
    <w:rPr>
      <w:rFonts w:ascii="Calibri" w:hAnsi="Calibri" w:eastAsia="仿宋_GB2312" w:cs="黑体"/>
      <w:sz w:val="28"/>
    </w:rPr>
  </w:style>
  <w:style w:type="character" w:customStyle="1" w:styleId="32">
    <w:name w:val="标题 1 Char"/>
    <w:link w:val="4"/>
    <w:qFormat/>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闻政-正文一级标题 Char"/>
    <w:link w:val="44"/>
    <w:uiPriority w:val="3"/>
    <w:rPr>
      <w:rFonts w:ascii="黑体" w:hAnsi="黑体" w:eastAsia="黑体"/>
      <w:bCs/>
      <w:sz w:val="32"/>
      <w:szCs w:val="32"/>
    </w:rPr>
  </w:style>
  <w:style w:type="paragraph" w:customStyle="1" w:styleId="44">
    <w:name w:val="闻政-正文一级标题"/>
    <w:basedOn w:val="6"/>
    <w:next w:val="45"/>
    <w:link w:val="43"/>
    <w:qFormat/>
    <w:uiPriority w:val="3"/>
    <w:pPr>
      <w:spacing w:before="120" w:after="60" w:line="500" w:lineRule="exact"/>
      <w:ind w:firstLine="0" w:firstLineChars="0"/>
      <w:outlineLvl w:val="0"/>
    </w:pPr>
    <w:rPr>
      <w:rFonts w:ascii="黑体" w:hAnsi="黑体" w:eastAsia="黑体"/>
      <w:sz w:val="32"/>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uiPriority w:val="3"/>
    <w:rPr>
      <w:rFonts w:ascii="Times New Roman" w:hAnsi="Times New Roman" w:eastAsia="仿宋_GB2312"/>
      <w:sz w:val="28"/>
      <w:szCs w:val="28"/>
    </w:rPr>
  </w:style>
  <w:style w:type="character" w:customStyle="1" w:styleId="47">
    <w:name w:val="闻政-正文二级标题 Char"/>
    <w:link w:val="48"/>
    <w:uiPriority w:val="3"/>
    <w:rPr>
      <w:rFonts w:ascii="Times New Roman" w:hAnsi="Times New Roman" w:eastAsia="仿宋_GB2312"/>
      <w:b/>
      <w:bCs/>
      <w:sz w:val="28"/>
      <w:szCs w:val="32"/>
    </w:rPr>
  </w:style>
  <w:style w:type="paragraph" w:customStyle="1" w:styleId="48">
    <w:name w:val="闻政-正文二级标题"/>
    <w:basedOn w:val="5"/>
    <w:next w:val="45"/>
    <w:link w:val="47"/>
    <w:qFormat/>
    <w:uiPriority w:val="3"/>
    <w:pPr>
      <w:spacing w:before="120" w:after="60" w:line="500" w:lineRule="exact"/>
      <w:ind w:left="200" w:leftChars="200" w:firstLine="0" w:firstLineChars="0"/>
    </w:pPr>
    <w:rPr>
      <w:rFonts w:ascii="Times New Roman" w:hAnsi="Times New Roman"/>
      <w:sz w:val="28"/>
    </w:rPr>
  </w:style>
  <w:style w:type="character" w:customStyle="1" w:styleId="49">
    <w:name w:val="font11"/>
    <w:uiPriority w:val="0"/>
    <w:rPr>
      <w:rFonts w:hint="eastAsia" w:ascii="方正仿宋_GBK" w:hAnsi="方正仿宋_GBK" w:eastAsia="方正仿宋_GBK" w:cs="方正仿宋_GBK"/>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三级标题 Char"/>
    <w:link w:val="52"/>
    <w:uiPriority w:val="3"/>
    <w:rPr>
      <w:rFonts w:ascii="Times New Roman" w:hAnsi="Times New Roman" w:eastAsia="仿宋_GB2312"/>
      <w:b/>
      <w:snapToGrid w:val="0"/>
      <w:sz w:val="28"/>
      <w:szCs w:val="28"/>
    </w:rPr>
  </w:style>
  <w:style w:type="paragraph" w:customStyle="1" w:styleId="52">
    <w:name w:val="闻政-正文三级标题"/>
    <w:basedOn w:val="1"/>
    <w:next w:val="45"/>
    <w:link w:val="5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3">
    <w:name w:val="font21"/>
    <w:uiPriority w:val="0"/>
    <w:rPr>
      <w:rFonts w:hint="default" w:ascii="Times New Roman" w:hAnsi="Times New Roman" w:cs="Times New Roman"/>
      <w:color w:val="000000"/>
      <w:sz w:val="24"/>
      <w:szCs w:val="24"/>
      <w:u w:val="none"/>
    </w:rPr>
  </w:style>
  <w:style w:type="character" w:customStyle="1" w:styleId="54">
    <w:name w:val="无间隔 Char"/>
    <w:link w:val="55"/>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6">
    <w:name w:val="List Paragraph"/>
    <w:basedOn w:val="1"/>
    <w:qFormat/>
    <w:uiPriority w:val="34"/>
    <w:pPr>
      <w:ind w:firstLine="420"/>
    </w:p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8">
    <w:name w:val="font71"/>
    <w:basedOn w:val="25"/>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1163B602823646D5BBFF4FF32E4D3717_13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f8f25b-d17e-4adb-8dab-7ec0bd71967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3361</Words>
  <Characters>3552</Characters>
  <Lines>44</Lines>
  <Paragraphs>12</Paragraphs>
  <TotalTime>2</TotalTime>
  <ScaleCrop>false</ScaleCrop>
  <LinksUpToDate>false</LinksUpToDate>
  <CharactersWithSpaces>3552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2025-10-10T09:57:44Z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1163B602823646D5BBFF4FF32E4D3717_13</vt:lpwstr>
  </property>
  <property fmtid="{D5CDD505-2E9C-101B-9397-08002B2CF9AE}" pid="4" name="KSOTemplateDocerSaveRecord">
    <vt:lpwstr>eyJoZGlkIjoiMGIxZTI3ODM4ZmVjOGE5NDFiYmE3OTRiMjQ5OTEyNzIiLCJ1c2VySWQiOiIzNzI2MDMzNTYifQ==</vt:lpwstr>
  </property>
</Properties>
</file>