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E23CF">
      <w:bookmarkStart w:id="18" w:name="_GoBack"/>
      <w:bookmarkEnd w:id="18"/>
    </w:p>
    <w:p w14:paraId="71BE9D81">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536EE552">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和田地区洛浦县自治区第五次全国经济普查</w:t>
      </w:r>
    </w:p>
    <w:p w14:paraId="01DF5BBB">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经费项目支出绩效评价报告</w:t>
      </w:r>
    </w:p>
    <w:p w14:paraId="06A1B259">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76825DF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135E2D8F">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2CD65BDA">
      <w:pPr>
        <w:pStyle w:val="6"/>
        <w:rPr>
          <w:rFonts w:hint="eastAsia" w:eastAsia="方正仿宋_GBK" w:cs="方正仿宋_GBK"/>
          <w:b/>
          <w:color w:val="auto"/>
          <w:kern w:val="0"/>
          <w:sz w:val="32"/>
          <w:szCs w:val="32"/>
          <w:lang w:bidi="en-US"/>
        </w:rPr>
      </w:pPr>
    </w:p>
    <w:p w14:paraId="52FFCD71">
      <w:pPr>
        <w:rPr>
          <w:rFonts w:hint="eastAsia" w:eastAsia="方正仿宋_GBK" w:cs="方正仿宋_GBK"/>
          <w:b/>
          <w:color w:val="auto"/>
          <w:kern w:val="0"/>
          <w:sz w:val="32"/>
          <w:szCs w:val="32"/>
          <w:lang w:bidi="en-US"/>
        </w:rPr>
      </w:pPr>
    </w:p>
    <w:p w14:paraId="188D9E5F">
      <w:pPr>
        <w:pStyle w:val="6"/>
        <w:rPr>
          <w:rFonts w:hint="eastAsia"/>
          <w:color w:val="auto"/>
        </w:rPr>
      </w:pPr>
    </w:p>
    <w:p w14:paraId="585B131F">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1FCDF5F5">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7C4A06B5">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51C9C7C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项目名称：自治区第五次全国经济普查经费项目</w:t>
      </w:r>
    </w:p>
    <w:p w14:paraId="4614B42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项目单位：洛浦县统计局</w:t>
      </w:r>
    </w:p>
    <w:p w14:paraId="7E1747D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主管部门：洛浦县统计局</w:t>
      </w:r>
    </w:p>
    <w:p w14:paraId="3AA5440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val="en-US" w:eastAsia="zh-CN" w:bidi="en-US"/>
        </w:rPr>
        <w:t>张玉铭</w:t>
      </w:r>
    </w:p>
    <w:p w14:paraId="49EBB6E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2024</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31</w:t>
      </w:r>
      <w:r>
        <w:rPr>
          <w:rFonts w:hint="eastAsia" w:ascii="宋体" w:hAnsi="宋体" w:eastAsia="宋体" w:cs="宋体"/>
          <w:b/>
          <w:bCs/>
          <w:color w:val="000000"/>
          <w:kern w:val="0"/>
          <w:sz w:val="28"/>
          <w:szCs w:val="28"/>
          <w:highlight w:val="none"/>
          <w:lang w:bidi="en-US"/>
        </w:rPr>
        <w:t>日</w:t>
      </w:r>
    </w:p>
    <w:p w14:paraId="65B8DAE3">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lang w:bidi="en-US"/>
        </w:rPr>
      </w:pPr>
    </w:p>
    <w:p w14:paraId="4967DE88">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rPr>
      </w:pPr>
      <w:bookmarkStart w:id="0" w:name="_Toc68364657"/>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0"/>
    </w:p>
    <w:p w14:paraId="2272CCC7">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63861B1F">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1.项目背景</w:t>
      </w:r>
    </w:p>
    <w:p w14:paraId="25A34143">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根据《全国经济普查条例》经济普查所需经费，由国务院和地方各级人民政府共同负担，根据《关于下达自治区第五次全国经济普查经费的通知》（和地财行﹝2024﹞23号）及（洛财行﹝2024﹞14号）文件实施。第五次全国经济普查是我国在全面建成小康社会、实现第一个百年奋斗目标之后，向第二个百年奋斗目标进军的首次大型普查，是一项重大国情国力调查。全面清查我县第二、第三产业情况，按照第五次全国经济普查制度要求，及时完成宣传动员、部门资料整理、清查摸底、上报清查数据、审核数据等保障全经济普查工作有序开展。</w:t>
      </w:r>
    </w:p>
    <w:p w14:paraId="01C7864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42EC046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048D6895">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关于下达自治区第五次全国经济普查经费的通知-和地财行【2024】23号/洛财行【2024】14号】文件要求，2024年是第五次经济普查的正式登记阶段段，主要目标是开展普查登记、数据审核验收，开展数据事后质量抽查和评估普查数据质量实际参与人员发放补助。</w:t>
      </w:r>
    </w:p>
    <w:p w14:paraId="7749E37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52ADE3A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2C6BD6BE">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本项目主管部门为洛浦县统计局，实施单位为洛浦县洛浦县统计局。</w:t>
      </w:r>
    </w:p>
    <w:p w14:paraId="6BE3D49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36AC8609">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2024年1月-2024年6月</w:t>
      </w:r>
    </w:p>
    <w:p w14:paraId="0C55F15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427C169C">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截止到2024年12月31日，我单位已完成普查人员培训参与人数353人，任务完成数量4349个。资金已使用54.42万元。通过项目的实施，有效提高提高政府统计公信力。</w:t>
      </w:r>
    </w:p>
    <w:p w14:paraId="7E6EAC0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6C3EAAE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00C00D9A">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54.42</w:t>
      </w:r>
      <w:r>
        <w:rPr>
          <w:rFonts w:hint="eastAsia" w:ascii="宋体" w:hAnsi="宋体" w:eastAsia="宋体" w:cs="宋体"/>
          <w:color w:val="auto"/>
          <w:sz w:val="24"/>
          <w:szCs w:val="24"/>
        </w:rPr>
        <w:t>万元，资金来源为</w:t>
      </w:r>
      <w:r>
        <w:rPr>
          <w:rFonts w:hint="eastAsia" w:ascii="宋体" w:hAnsi="宋体" w:eastAsia="宋体" w:cs="宋体"/>
          <w:color w:val="auto"/>
          <w:sz w:val="24"/>
          <w:szCs w:val="24"/>
          <w:highlight w:val="none"/>
        </w:rPr>
        <w:t>部门预算</w:t>
      </w:r>
      <w:r>
        <w:rPr>
          <w:rFonts w:hint="eastAsia" w:ascii="宋体" w:hAnsi="宋体" w:eastAsia="宋体" w:cs="宋体"/>
          <w:color w:val="auto"/>
          <w:sz w:val="24"/>
          <w:szCs w:val="24"/>
          <w:highlight w:val="none"/>
          <w:lang w:val="en-US" w:eastAsia="zh-CN"/>
        </w:rPr>
        <w:t>资金</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其中：财政资金</w:t>
      </w:r>
      <w:r>
        <w:rPr>
          <w:rFonts w:hint="eastAsia" w:ascii="宋体" w:hAnsi="宋体" w:eastAsia="宋体" w:cs="宋体"/>
          <w:color w:val="auto"/>
          <w:sz w:val="24"/>
          <w:szCs w:val="24"/>
          <w:lang w:val="en-US" w:eastAsia="zh-CN"/>
        </w:rPr>
        <w:t>54.42</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val="en-US" w:eastAsia="zh-CN"/>
        </w:rPr>
        <w:t>0.00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54.42</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905817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255F5B7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54.42</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本项目资金主要用于支付普查员及普查指导员补助经费</w:t>
      </w:r>
      <w:r>
        <w:rPr>
          <w:rFonts w:hint="eastAsia" w:ascii="宋体" w:hAnsi="宋体" w:eastAsia="宋体" w:cs="宋体"/>
          <w:color w:val="auto"/>
          <w:sz w:val="24"/>
          <w:szCs w:val="24"/>
          <w:lang w:val="en-US" w:eastAsia="zh-CN"/>
        </w:rPr>
        <w:t>54.42万元</w:t>
      </w:r>
      <w:r>
        <w:rPr>
          <w:rFonts w:hint="eastAsia" w:ascii="宋体" w:hAnsi="宋体" w:eastAsia="宋体" w:cs="宋体"/>
          <w:color w:val="auto"/>
          <w:sz w:val="24"/>
          <w:szCs w:val="24"/>
        </w:rPr>
        <w:t>。</w:t>
      </w:r>
    </w:p>
    <w:p w14:paraId="13AF4704">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6924740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61D61E1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6BEA8AA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根据关于下达自治区第五次全国经济普查经费的通知-和地财行【2024】23号/洛财行【2024】14号】文件要求，2024年是第五次经济普查的正式登记阶段段，主要目标是开展普查登记、数据审核验收，开展数据事后质量抽查和评估普查数据质量实际参与人员发放补助。</w:t>
      </w:r>
    </w:p>
    <w:p w14:paraId="53B735DC">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阶段性目标</w:t>
      </w:r>
    </w:p>
    <w:p w14:paraId="796E594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AF53359">
      <w:pPr>
        <w:pStyle w:val="45"/>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16CBDE1F">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数量指标:</w:t>
      </w:r>
    </w:p>
    <w:p w14:paraId="470C682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指标1：普查人员培训参与人数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eastAsia="zh-CN"/>
        </w:rPr>
        <w:t>≥356人</w:t>
      </w:r>
      <w:r>
        <w:rPr>
          <w:rFonts w:hint="eastAsia" w:ascii="宋体" w:hAnsi="宋体" w:eastAsia="宋体" w:cs="宋体"/>
          <w:color w:val="auto"/>
          <w:sz w:val="24"/>
          <w:szCs w:val="24"/>
        </w:rPr>
        <w:t>；</w:t>
      </w:r>
    </w:p>
    <w:p w14:paraId="5D8CFADF">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指标2：任务完成数量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eastAsia="zh-CN"/>
        </w:rPr>
        <w:t>≥4349个</w:t>
      </w:r>
      <w:r>
        <w:rPr>
          <w:rFonts w:hint="eastAsia" w:ascii="宋体" w:hAnsi="宋体" w:eastAsia="宋体" w:cs="宋体"/>
          <w:color w:val="auto"/>
          <w:sz w:val="24"/>
          <w:szCs w:val="24"/>
        </w:rPr>
        <w:t>；</w:t>
      </w:r>
    </w:p>
    <w:p w14:paraId="53EFCBC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57752859">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指标1：资金使用合规率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591BB1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3）时效指标：</w:t>
      </w:r>
    </w:p>
    <w:p w14:paraId="25ACD501">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指标1：资金发放及时率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5C2FA48">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2024年6月</w:t>
      </w:r>
      <w:r>
        <w:rPr>
          <w:rFonts w:hint="eastAsia" w:ascii="宋体" w:hAnsi="宋体" w:eastAsia="宋体" w:cs="宋体"/>
          <w:color w:val="auto"/>
          <w:sz w:val="24"/>
          <w:szCs w:val="24"/>
        </w:rPr>
        <w:t>；</w:t>
      </w:r>
    </w:p>
    <w:p w14:paraId="2A89ACB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024BBAAE">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060EF25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指标1：普查员及普查指导员补助经费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eastAsia="zh-CN"/>
        </w:rPr>
        <w:t>≤54.42万元</w:t>
      </w:r>
      <w:r>
        <w:rPr>
          <w:rFonts w:hint="eastAsia" w:ascii="宋体" w:hAnsi="宋体" w:eastAsia="宋体" w:cs="宋体"/>
          <w:color w:val="auto"/>
          <w:sz w:val="24"/>
          <w:szCs w:val="24"/>
        </w:rPr>
        <w:t>；</w:t>
      </w:r>
    </w:p>
    <w:p w14:paraId="6B2497A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74769C7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6888874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6B03A28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28FF979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630A7A4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401D96E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69C3FA3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6EC7B09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指标1：普查数据提高政府统计公信力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有效提高</w:t>
      </w:r>
      <w:r>
        <w:rPr>
          <w:rFonts w:hint="eastAsia" w:ascii="宋体" w:hAnsi="宋体" w:eastAsia="宋体" w:cs="宋体"/>
          <w:color w:val="auto"/>
          <w:sz w:val="24"/>
          <w:szCs w:val="24"/>
        </w:rPr>
        <w:t>；</w:t>
      </w:r>
    </w:p>
    <w:p w14:paraId="3A661C4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1AD15B6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01550DA8">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23E997D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黑体" w:hAnsi="黑体" w:eastAsia="黑体" w:cs="黑体"/>
          <w:color w:val="auto"/>
          <w:sz w:val="24"/>
          <w:szCs w:val="24"/>
        </w:rPr>
      </w:pPr>
      <w:r>
        <w:rPr>
          <w:rFonts w:hint="eastAsia" w:ascii="宋体" w:hAnsi="宋体" w:eastAsia="宋体" w:cs="宋体"/>
          <w:color w:val="auto"/>
          <w:sz w:val="24"/>
          <w:szCs w:val="24"/>
        </w:rPr>
        <w:t>指标1：受益群众满意度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eastAsia="zh-CN"/>
        </w:rPr>
        <w:t>≥95%。</w:t>
      </w:r>
    </w:p>
    <w:p w14:paraId="2C1D0D09">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58B09579">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53014554">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1.绩效评价目的</w:t>
      </w:r>
    </w:p>
    <w:p w14:paraId="2C57B2D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自治区财政厅《关于印发〈自治区项目支出绩效目标设置指引〉的通知》（新财预〔2022〕42号）等相关政策文件与规定，对自治区第五次全国经济普查经费项目开展本次部门项目支出绩效评价工作。全面了解</w:t>
      </w:r>
      <w:r>
        <w:rPr>
          <w:rFonts w:hint="eastAsia" w:ascii="宋体" w:hAnsi="宋体" w:eastAsia="宋体" w:cs="宋体"/>
          <w:color w:val="auto"/>
          <w:sz w:val="24"/>
          <w:szCs w:val="24"/>
          <w:lang w:val="en-US" w:eastAsia="zh-CN"/>
        </w:rPr>
        <w:t>自治区第五次全国经济普查经费</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098A5E4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10BDFE6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91EDD8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2B1E3D5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66EDDA5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自治区第五次全国经济普查经费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5AB748F1">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3.绩效评价范围</w:t>
      </w:r>
    </w:p>
    <w:p w14:paraId="54AD4077">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自治区第五次全国经济普查经费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39039A2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1051098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1.绩效评价原则</w:t>
      </w:r>
    </w:p>
    <w:p w14:paraId="6F42B786">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69545CE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6030334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108E49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2818EFD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4CF5289F">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根据以上原则，绩效评价应遵循如下要求:</w:t>
      </w:r>
    </w:p>
    <w:p w14:paraId="4FC09C63">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0B2C1BCA">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780E5590">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E095F4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2.绩效评价指标体系</w:t>
      </w:r>
    </w:p>
    <w:p w14:paraId="1F170D09">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3378FFB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3.绩效评价方法</w:t>
      </w:r>
    </w:p>
    <w:p w14:paraId="5701345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5D61CF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286607F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737D7C4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1CC3AC4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0D56E3E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1BABA56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1E19FA9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1D11EFD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4FED260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7ADF7D5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1234F60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46F06DD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77737A1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C0D9EF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7F4CF30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4.绩效评价标准</w:t>
      </w:r>
    </w:p>
    <w:p w14:paraId="377BD7B5">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lang w:val="en-US" w:eastAsia="zh-CN"/>
        </w:rPr>
        <w:t>计划</w:t>
      </w:r>
      <w:r>
        <w:rPr>
          <w:rFonts w:hint="eastAsia" w:ascii="宋体" w:hAnsi="宋体" w:eastAsia="宋体" w:cs="宋体"/>
          <w:color w:val="auto"/>
          <w:sz w:val="24"/>
          <w:szCs w:val="24"/>
        </w:rPr>
        <w:t>标准。</w:t>
      </w:r>
    </w:p>
    <w:p w14:paraId="30FF8477">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7" w:name="_Toc31464"/>
      <w:bookmarkStart w:id="8" w:name="_Toc17882"/>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03BF8DC0">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29073FF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9" w:name="_Toc68364664"/>
      <w:r>
        <w:rPr>
          <w:rFonts w:hint="eastAsia" w:ascii="宋体" w:hAnsi="宋体" w:eastAsia="宋体" w:cs="宋体"/>
          <w:b/>
          <w:bCs/>
          <w:color w:val="000000"/>
          <w:sz w:val="24"/>
          <w:szCs w:val="24"/>
          <w:highlight w:val="none"/>
        </w:rPr>
        <w:t>1.前期准备</w:t>
      </w:r>
    </w:p>
    <w:p w14:paraId="7EC242E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16D05C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阿提克木</w:t>
      </w:r>
      <w:r>
        <w:rPr>
          <w:rFonts w:hint="eastAsia" w:ascii="宋体" w:hAnsi="宋体" w:eastAsia="宋体" w:cs="宋体"/>
          <w:color w:val="auto"/>
          <w:sz w:val="24"/>
          <w:szCs w:val="24"/>
          <w:highlight w:val="none"/>
          <w:lang w:val="en-US" w:eastAsia="zh-CN"/>
        </w:rPr>
        <w:t>·阿巴白克</w:t>
      </w:r>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val="en-US" w:eastAsia="zh-CN"/>
        </w:rPr>
        <w:t>绩效评价工作的整体统筹规划、协调小组内外部资源、把控评价工作的进度和质量、对评价结果进行最终审核与决策。</w:t>
      </w:r>
    </w:p>
    <w:p w14:paraId="5C1E475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阿卜力孜</w:t>
      </w:r>
      <w:r>
        <w:rPr>
          <w:rFonts w:hint="eastAsia" w:ascii="宋体" w:hAnsi="宋体" w:eastAsia="宋体" w:cs="宋体"/>
          <w:color w:val="auto"/>
          <w:sz w:val="24"/>
          <w:szCs w:val="24"/>
          <w:highlight w:val="none"/>
          <w:lang w:val="en-US" w:eastAsia="zh-CN"/>
        </w:rPr>
        <w:t>·奥斯曼</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收集与评价对象相关项目文档，财务报表，历史数据等各类基础资料</w:t>
      </w:r>
    </w:p>
    <w:p w14:paraId="40216B9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牙森</w:t>
      </w:r>
      <w:r>
        <w:rPr>
          <w:rFonts w:hint="eastAsia" w:ascii="宋体" w:hAnsi="宋体" w:eastAsia="宋体" w:cs="宋体"/>
          <w:color w:val="auto"/>
          <w:sz w:val="24"/>
          <w:szCs w:val="24"/>
          <w:highlight w:val="none"/>
          <w:lang w:val="en-US" w:eastAsia="zh-CN"/>
        </w:rPr>
        <w:t>·吾布力</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数据处理类工作，相关软件和对采集到的数据进行录入、清晰、分析等处理工作。</w:t>
      </w:r>
    </w:p>
    <w:p w14:paraId="01D5F6B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268B1EC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608EA0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3BDC0E0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3F76217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4EE479F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30AEE84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0E102DB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6193F3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18C64E0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6CA3CEFE">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9"/>
    </w:p>
    <w:p w14:paraId="61E37368">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0" w:name="_Toc68364665"/>
      <w:r>
        <w:rPr>
          <w:rFonts w:hint="eastAsia" w:ascii="宋体" w:hAnsi="宋体" w:eastAsia="宋体" w:cs="宋体"/>
          <w:color w:val="auto"/>
          <w:sz w:val="24"/>
          <w:szCs w:val="24"/>
        </w:rPr>
        <w:t>（一）综合评价情况</w:t>
      </w:r>
      <w:bookmarkEnd w:id="10"/>
    </w:p>
    <w:p w14:paraId="2F69FF5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bookmarkStart w:id="11" w:name="_Toc68364666"/>
      <w:r>
        <w:rPr>
          <w:rFonts w:hint="eastAsia" w:ascii="宋体" w:hAnsi="宋体" w:eastAsia="宋体" w:cs="宋体"/>
          <w:color w:val="auto"/>
          <w:sz w:val="24"/>
          <w:szCs w:val="24"/>
        </w:rPr>
        <w:t>通过实施自治区第五次全国经济普查经费项目有效提高政府统计公信力。项目实施主要通过项目决策、项目过程、项目产出以及项目效益等方面进行评价，其中：</w:t>
      </w:r>
    </w:p>
    <w:p w14:paraId="5E46B0B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kern w:val="2"/>
          <w:sz w:val="24"/>
          <w:szCs w:val="24"/>
          <w:lang w:val="en-US" w:eastAsia="zh-CN" w:bidi="ar-SA"/>
        </w:rPr>
        <w:t>项目决策：该项目主要通过（和地财行﹝2024﹞23号）及（洛财行﹝2024﹞14号）文件立项，项目实施符合相关政策要求，项目立项依据充分，立项程序规范。</w:t>
      </w:r>
    </w:p>
    <w:p w14:paraId="2E411AB8">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项目过程：自治区第五次全国经济普查经费项目预算安排</w:t>
      </w:r>
      <w:r>
        <w:rPr>
          <w:rFonts w:hint="eastAsia" w:ascii="宋体" w:hAnsi="宋体" w:eastAsia="宋体" w:cs="宋体"/>
          <w:color w:val="auto"/>
          <w:sz w:val="24"/>
          <w:szCs w:val="24"/>
          <w:lang w:val="en-US" w:eastAsia="zh-CN"/>
        </w:rPr>
        <w:t>54.42</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54.42</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1CA41863">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项目产出：普查人员培训参与人数</w:t>
      </w:r>
      <w:r>
        <w:rPr>
          <w:rFonts w:hint="eastAsia" w:ascii="宋体" w:hAnsi="宋体" w:eastAsia="宋体" w:cs="宋体"/>
          <w:color w:val="auto"/>
          <w:sz w:val="24"/>
          <w:szCs w:val="24"/>
          <w:lang w:val="en-US" w:eastAsia="zh-CN"/>
        </w:rPr>
        <w:t>353人，任务完成数量4349个，资金使用合规率100%，资金发放及时率100%，项目于2024年6月完成，普查员及普查指导员补助经费支出54.42万元。</w:t>
      </w:r>
    </w:p>
    <w:p w14:paraId="196E0A36">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项目效益：通过实施自治区第五次全国经济普查经费项目有效提高政府统计公信力</w:t>
      </w:r>
      <w:r>
        <w:rPr>
          <w:rFonts w:hint="eastAsia" w:ascii="宋体" w:hAnsi="宋体" w:eastAsia="宋体" w:cs="宋体"/>
          <w:color w:val="auto"/>
          <w:sz w:val="24"/>
          <w:szCs w:val="24"/>
          <w:lang w:eastAsia="zh-CN"/>
        </w:rPr>
        <w:t>。</w:t>
      </w:r>
    </w:p>
    <w:p w14:paraId="3B816208">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50D24BE4">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自治区第五次全国经济普查经费项目进行客观评价，最终评分结果：评价总分</w:t>
      </w:r>
      <w:r>
        <w:rPr>
          <w:rFonts w:hint="eastAsia" w:ascii="宋体" w:hAnsi="宋体" w:eastAsia="宋体" w:cs="宋体"/>
          <w:color w:val="auto"/>
          <w:sz w:val="24"/>
          <w:szCs w:val="24"/>
          <w:lang w:val="en-US" w:eastAsia="zh-CN"/>
        </w:rPr>
        <w:t>99.96</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val="en-US" w:eastAsia="zh-CN"/>
        </w:rPr>
        <w:t>优</w:t>
      </w:r>
      <w:r>
        <w:rPr>
          <w:rFonts w:hint="eastAsia" w:ascii="宋体" w:hAnsi="宋体" w:eastAsia="宋体" w:cs="宋体"/>
          <w:color w:val="auto"/>
          <w:sz w:val="24"/>
          <w:szCs w:val="24"/>
        </w:rPr>
        <w:t>。</w:t>
      </w:r>
      <w:bookmarkEnd w:id="11"/>
      <w:bookmarkStart w:id="12" w:name="_Toc68364667"/>
    </w:p>
    <w:p w14:paraId="40981373">
      <w:pPr>
        <w:pStyle w:val="2"/>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四、绩效评价指标分析</w:t>
      </w:r>
      <w:bookmarkEnd w:id="12"/>
    </w:p>
    <w:p w14:paraId="538A1B28">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3" w:name="_Toc68364668"/>
      <w:r>
        <w:rPr>
          <w:rFonts w:hint="eastAsia" w:ascii="宋体" w:hAnsi="宋体" w:eastAsia="宋体" w:cs="宋体"/>
          <w:color w:val="auto"/>
          <w:sz w:val="24"/>
          <w:szCs w:val="24"/>
        </w:rPr>
        <w:t>（一）项目决策情况</w:t>
      </w:r>
    </w:p>
    <w:p w14:paraId="323B1C58">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19A096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72A3A022">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本项目立项符合根据《中华人民共和国统计法》《全国人口普查条例》规定和《国务院第</w:t>
      </w:r>
      <w:r>
        <w:rPr>
          <w:rFonts w:hint="eastAsia" w:ascii="宋体" w:hAnsi="宋体" w:eastAsia="宋体" w:cs="宋体"/>
          <w:color w:val="auto"/>
          <w:sz w:val="24"/>
          <w:szCs w:val="24"/>
          <w:lang w:eastAsia="zh-CN"/>
        </w:rPr>
        <w:t>五</w:t>
      </w:r>
      <w:r>
        <w:rPr>
          <w:rFonts w:hint="eastAsia" w:ascii="宋体" w:hAnsi="宋体" w:eastAsia="宋体" w:cs="宋体"/>
          <w:color w:val="auto"/>
          <w:sz w:val="24"/>
          <w:szCs w:val="24"/>
        </w:rPr>
        <w:t>次全国</w:t>
      </w:r>
      <w:r>
        <w:rPr>
          <w:rFonts w:hint="eastAsia" w:ascii="宋体" w:hAnsi="宋体" w:eastAsia="宋体" w:cs="宋体"/>
          <w:color w:val="auto"/>
          <w:sz w:val="24"/>
          <w:szCs w:val="24"/>
          <w:lang w:eastAsia="zh-CN"/>
        </w:rPr>
        <w:t>经济</w:t>
      </w:r>
      <w:r>
        <w:rPr>
          <w:rFonts w:hint="eastAsia" w:ascii="宋体" w:hAnsi="宋体" w:eastAsia="宋体" w:cs="宋体"/>
          <w:color w:val="auto"/>
          <w:sz w:val="24"/>
          <w:szCs w:val="24"/>
        </w:rPr>
        <w:t>普查领导小组办公室财政部人力资源和社会保障部国家统计局关于做好第</w:t>
      </w:r>
      <w:r>
        <w:rPr>
          <w:rFonts w:hint="eastAsia" w:ascii="宋体" w:hAnsi="宋体" w:eastAsia="宋体" w:cs="宋体"/>
          <w:color w:val="auto"/>
          <w:sz w:val="24"/>
          <w:szCs w:val="24"/>
          <w:lang w:eastAsia="zh-CN"/>
        </w:rPr>
        <w:t>五</w:t>
      </w:r>
      <w:r>
        <w:rPr>
          <w:rFonts w:hint="eastAsia" w:ascii="宋体" w:hAnsi="宋体" w:eastAsia="宋体" w:cs="宋体"/>
          <w:color w:val="auto"/>
          <w:sz w:val="24"/>
          <w:szCs w:val="24"/>
        </w:rPr>
        <w:t>次全国人口普查经费保障工作的通知》（国人普办字〔202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号）精神</w:t>
      </w:r>
      <w:r>
        <w:rPr>
          <w:rFonts w:hint="eastAsia" w:ascii="宋体" w:hAnsi="宋体" w:eastAsia="宋体" w:cs="宋体"/>
          <w:color w:val="auto"/>
          <w:sz w:val="24"/>
          <w:szCs w:val="24"/>
          <w:lang w:eastAsia="zh-CN"/>
        </w:rPr>
        <w:t>、《关于做好自治区第五次全国经济普查“两员补助经费发放工作的通知》</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新经普办字</w:t>
      </w:r>
      <w:r>
        <w:rPr>
          <w:rFonts w:hint="eastAsia" w:ascii="宋体" w:hAnsi="宋体" w:eastAsia="宋体" w:cs="宋体"/>
          <w:color w:val="auto"/>
          <w:sz w:val="24"/>
          <w:szCs w:val="24"/>
        </w:rPr>
        <w:t>〔202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32</w:t>
      </w:r>
      <w:r>
        <w:rPr>
          <w:rFonts w:hint="eastAsia" w:ascii="宋体" w:hAnsi="宋体" w:eastAsia="宋体" w:cs="宋体"/>
          <w:color w:val="auto"/>
          <w:sz w:val="24"/>
          <w:szCs w:val="24"/>
        </w:rPr>
        <w:t>号</w:t>
      </w:r>
      <w:r>
        <w:rPr>
          <w:rFonts w:hint="eastAsia" w:ascii="宋体" w:hAnsi="宋体" w:eastAsia="宋体" w:cs="宋体"/>
          <w:color w:val="auto"/>
          <w:sz w:val="24"/>
          <w:szCs w:val="24"/>
          <w:lang w:eastAsia="zh-CN"/>
        </w:rPr>
        <w:t>）、《和田地区第五次全国经济普查“两员补贴经费分配方案》</w:t>
      </w:r>
      <w:r>
        <w:rPr>
          <w:rFonts w:hint="eastAsia" w:ascii="宋体" w:hAnsi="宋体" w:eastAsia="宋体" w:cs="宋体"/>
          <w:color w:val="auto"/>
          <w:sz w:val="24"/>
          <w:szCs w:val="24"/>
          <w:lang w:val="en-US" w:eastAsia="zh-CN"/>
        </w:rPr>
        <w:t>和主管县领导主要批示要求，发放第五次全国经济普查“两员”补助经费。</w:t>
      </w:r>
      <w:r>
        <w:rPr>
          <w:rFonts w:hint="eastAsia" w:ascii="宋体" w:hAnsi="宋体" w:eastAsia="宋体" w:cs="宋体"/>
          <w:color w:val="auto"/>
          <w:sz w:val="24"/>
          <w:szCs w:val="24"/>
        </w:rPr>
        <w:t>符合中央、地方事权支出责任划分原则；经检查我单位财政应用平台指标，本项目不存在重复。</w:t>
      </w:r>
    </w:p>
    <w:p w14:paraId="611E0178">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3A45EB4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103E2E8F">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本项目按照规定的程序申请设立，项目立项过程中产生的文件均符合相关要求。</w:t>
      </w:r>
      <w:r>
        <w:rPr>
          <w:rFonts w:hint="eastAsia" w:ascii="宋体" w:hAnsi="宋体" w:eastAsia="宋体" w:cs="宋体"/>
          <w:color w:val="auto"/>
          <w:sz w:val="24"/>
          <w:szCs w:val="24"/>
          <w:highlight w:val="none"/>
        </w:rPr>
        <w:t>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54.42</w:t>
      </w:r>
      <w:r>
        <w:rPr>
          <w:rFonts w:hint="eastAsia" w:ascii="宋体" w:hAnsi="宋体" w:eastAsia="宋体" w:cs="宋体"/>
          <w:color w:val="auto"/>
          <w:sz w:val="24"/>
          <w:szCs w:val="24"/>
          <w:highlight w:val="none"/>
        </w:rPr>
        <w:t>万元，不涉及事前绩效评估和风险评估。</w:t>
      </w:r>
    </w:p>
    <w:p w14:paraId="2973762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48DFBBA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b/>
          <w:bCs/>
          <w:color w:val="000000"/>
          <w:sz w:val="24"/>
          <w:szCs w:val="24"/>
          <w:highlight w:val="none"/>
          <w:lang w:val="en-US" w:eastAsia="zh-CN"/>
        </w:rPr>
        <w:t>3.绩效目标合理性</w:t>
      </w:r>
    </w:p>
    <w:p w14:paraId="1519C80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该项目年初设定绩效目标主要内容为：根据关于下达自治区第五次全国经济普查经费的通知-和地财行【2024】23号/洛财行【2024】14号】文件要求，2024年是第五次经济普查的正式登记阶段段，主要目标是开展普查登记、数据审核验收，开展数据事后质量抽查和评估普查数据质量实际参与人员发放补助</w:t>
      </w:r>
      <w:r>
        <w:rPr>
          <w:rFonts w:hint="eastAsia" w:ascii="宋体" w:hAnsi="宋体" w:eastAsia="宋体" w:cs="宋体"/>
          <w:color w:val="auto"/>
          <w:sz w:val="24"/>
          <w:szCs w:val="24"/>
          <w:highlight w:val="none"/>
          <w:lang w:eastAsia="zh-CN"/>
        </w:rPr>
        <w:t>。</w:t>
      </w:r>
    </w:p>
    <w:p w14:paraId="2F6E063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6F04405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19740370">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经检查我单位年初设置的《自治区第五次全国经济普查经费项目支出绩效目标表》，得出如下结论：本项目已将年度绩效目标进行细化为绩效指标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87.5</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56264F2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该《自治区第五次全国经济普查经费项目绩效目标申报表》中，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rPr>
        <w:t>普查人员培训参与人数</w:t>
      </w:r>
      <w:r>
        <w:rPr>
          <w:rFonts w:hint="eastAsia" w:ascii="宋体" w:hAnsi="宋体" w:eastAsia="宋体" w:cs="宋体"/>
          <w:color w:val="auto"/>
          <w:sz w:val="24"/>
          <w:szCs w:val="24"/>
          <w:highlight w:val="none"/>
          <w:lang w:eastAsia="zh-CN"/>
        </w:rPr>
        <w:t>≥356人</w:t>
      </w:r>
      <w:r>
        <w:rPr>
          <w:rFonts w:hint="eastAsia" w:ascii="宋体" w:hAnsi="宋体" w:eastAsia="宋体" w:cs="宋体"/>
          <w:color w:val="auto"/>
          <w:sz w:val="24"/>
          <w:szCs w:val="24"/>
          <w:highlight w:val="none"/>
        </w:rPr>
        <w:t>、任务完成数量</w:t>
      </w:r>
      <w:r>
        <w:rPr>
          <w:rFonts w:hint="eastAsia" w:ascii="宋体" w:hAnsi="宋体" w:eastAsia="宋体" w:cs="宋体"/>
          <w:color w:val="auto"/>
          <w:sz w:val="24"/>
          <w:szCs w:val="24"/>
          <w:highlight w:val="none"/>
          <w:lang w:eastAsia="zh-CN"/>
        </w:rPr>
        <w:t>≥4349个”</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资金发放及时率=100%，项目完成时间2024年6月</w:t>
      </w:r>
      <w:r>
        <w:rPr>
          <w:rFonts w:hint="eastAsia" w:ascii="宋体" w:hAnsi="宋体" w:eastAsia="宋体" w:cs="宋体"/>
          <w:color w:val="auto"/>
          <w:sz w:val="24"/>
          <w:szCs w:val="24"/>
          <w:highlight w:val="none"/>
        </w:rPr>
        <w:t>”。已设置的绩效目标具备明确性、可衡量性、可实现性、相关性、时限性。</w:t>
      </w:r>
    </w:p>
    <w:p w14:paraId="5A9C59A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09335B0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5A085F6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rPr>
        <w:t>普查人员培训参与人数</w:t>
      </w:r>
      <w:r>
        <w:rPr>
          <w:rFonts w:hint="eastAsia" w:ascii="宋体" w:hAnsi="宋体" w:eastAsia="宋体" w:cs="宋体"/>
          <w:color w:val="auto"/>
          <w:sz w:val="24"/>
          <w:szCs w:val="24"/>
          <w:highlight w:val="none"/>
          <w:lang w:val="en-US" w:eastAsia="zh-CN"/>
        </w:rPr>
        <w:t>353人，任务完成数量4349个。</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highlight w:val="none"/>
          <w:lang w:val="en-US" w:eastAsia="zh-CN"/>
        </w:rPr>
        <w:t>自治区第五次全国经济普查经费</w:t>
      </w:r>
      <w:r>
        <w:rPr>
          <w:rFonts w:hint="eastAsia" w:ascii="宋体" w:hAnsi="宋体" w:eastAsia="宋体" w:cs="宋体"/>
          <w:color w:val="auto"/>
          <w:sz w:val="24"/>
          <w:szCs w:val="24"/>
          <w:highlight w:val="none"/>
        </w:rPr>
        <w:t>项目实施方案》中涉及的项目内容匹配；</w:t>
      </w:r>
    </w:p>
    <w:p w14:paraId="6181FBD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54.42</w:t>
      </w:r>
      <w:r>
        <w:rPr>
          <w:rFonts w:hint="eastAsia" w:ascii="宋体" w:hAnsi="宋体" w:eastAsia="宋体" w:cs="宋体"/>
          <w:color w:val="auto"/>
          <w:sz w:val="24"/>
          <w:szCs w:val="24"/>
          <w:highlight w:val="none"/>
        </w:rPr>
        <w:t>万元，我单位在预算申请中严格按照项目实施内容及测算标准进行核算，其中：普查员及普查指导员补助经费</w:t>
      </w:r>
      <w:r>
        <w:rPr>
          <w:rFonts w:hint="eastAsia" w:ascii="宋体" w:hAnsi="宋体" w:eastAsia="宋体" w:cs="宋体"/>
          <w:color w:val="auto"/>
          <w:sz w:val="24"/>
          <w:szCs w:val="24"/>
          <w:highlight w:val="none"/>
          <w:lang w:val="en-US" w:eastAsia="zh-CN"/>
        </w:rPr>
        <w:t>54.42万元。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auto"/>
          <w:sz w:val="24"/>
          <w:szCs w:val="24"/>
          <w:highlight w:val="none"/>
          <w:lang w:eastAsia="zh-CN"/>
        </w:rPr>
        <w:t>。</w:t>
      </w:r>
    </w:p>
    <w:p w14:paraId="579655D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07B96D0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635329D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分配资金以《关于申请自治区第五次全国经济普查经费项目资金的请示》和《自治区第五次全国经济普查经费项目实施方案》为依据进行资金分配，预算资金分配依据充分。根据专项资金-关于下达自治区第五次全国经济普查经费的通知-和地财行【2024】23号/洛财行【2024】14号】文件要求，本项目实际到位资金</w:t>
      </w:r>
      <w:r>
        <w:rPr>
          <w:rFonts w:hint="eastAsia" w:ascii="宋体" w:hAnsi="宋体" w:eastAsia="宋体" w:cs="宋体"/>
          <w:color w:val="auto"/>
          <w:sz w:val="24"/>
          <w:szCs w:val="24"/>
          <w:highlight w:val="none"/>
          <w:lang w:val="en-US" w:eastAsia="zh-CN"/>
        </w:rPr>
        <w:t>54.42</w:t>
      </w:r>
      <w:r>
        <w:rPr>
          <w:rFonts w:hint="eastAsia" w:ascii="宋体" w:hAnsi="宋体" w:eastAsia="宋体" w:cs="宋体"/>
          <w:color w:val="auto"/>
          <w:sz w:val="24"/>
          <w:szCs w:val="24"/>
          <w:highlight w:val="none"/>
        </w:rPr>
        <w:t>万元，资金分配额度合理，与我单位实际需求相适应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资金分配与实际相适应</w:t>
      </w:r>
      <w:r>
        <w:rPr>
          <w:rFonts w:hint="eastAsia" w:ascii="宋体" w:hAnsi="宋体" w:eastAsia="宋体" w:cs="宋体"/>
          <w:color w:val="auto"/>
          <w:sz w:val="24"/>
          <w:szCs w:val="24"/>
          <w:highlight w:val="none"/>
          <w:lang w:eastAsia="zh-CN"/>
        </w:rPr>
        <w:t>。</w:t>
      </w:r>
    </w:p>
    <w:p w14:paraId="49185F0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600C81A4">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51BAEBE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402B56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49CDB8A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54.42</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54.42</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0.00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54.42</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41A0F7E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506BE77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3275C79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54.42</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54.42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54.42</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p>
    <w:p w14:paraId="61B4914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4C5C26A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04BCB9C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检查项目资金申请文件、国库支付凭证等财务资料，得出本项目资金支出符合国家财经法规、《政府会计制度》《统计局资金管理办法》《XX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w:t>
      </w:r>
    </w:p>
    <w:p w14:paraId="1E5690C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根据评分标准，该指标不扣分，得3分。</w:t>
      </w:r>
    </w:p>
    <w:p w14:paraId="61BFC71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58839A8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单位已制定《统计局资金管理办法》《统计局收支业务管理制度》《统计局政府采购业务管理制度》《统计局合同管理制度》，相关制度均符合行政事业单位内控管理要求，财务和业务管理制度合法、合规、完整，本项目执行符合上述制度规定。</w:t>
      </w:r>
    </w:p>
    <w:p w14:paraId="59D7E3F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根据评分标准，该指标不扣分，得3分。</w:t>
      </w:r>
    </w:p>
    <w:p w14:paraId="27A6C1A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18E2754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该项目的实施符合《统计局资金管理办法》《统计局管理制度》《统计局采购业务管理制度》《统计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67E869F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②经现场查证项目财务支付凭证等资料齐全并及时归档。</w:t>
      </w:r>
    </w:p>
    <w:p w14:paraId="3C2A74F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w:t>
      </w:r>
      <w:r>
        <w:rPr>
          <w:rFonts w:hint="eastAsia" w:ascii="宋体" w:hAnsi="宋体" w:eastAsia="宋体" w:cs="宋体"/>
          <w:color w:val="auto"/>
          <w:sz w:val="24"/>
          <w:szCs w:val="24"/>
          <w:highlight w:val="none"/>
          <w:lang w:eastAsia="zh-CN"/>
        </w:rPr>
        <w:t>不</w:t>
      </w:r>
      <w:r>
        <w:rPr>
          <w:rFonts w:hint="eastAsia" w:ascii="宋体" w:hAnsi="宋体" w:eastAsia="宋体" w:cs="宋体"/>
          <w:color w:val="auto"/>
          <w:sz w:val="24"/>
          <w:szCs w:val="24"/>
          <w:highlight w:val="none"/>
        </w:rPr>
        <w:t>存在调整事项。</w:t>
      </w:r>
    </w:p>
    <w:p w14:paraId="3EEA8A6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自治区第五次全国经济普查经费项目工作领导小组，由</w:t>
      </w:r>
      <w:r>
        <w:rPr>
          <w:rFonts w:hint="eastAsia" w:ascii="宋体" w:hAnsi="宋体" w:eastAsia="宋体" w:cs="宋体"/>
          <w:color w:val="auto"/>
          <w:sz w:val="24"/>
          <w:szCs w:val="24"/>
          <w:highlight w:val="none"/>
          <w:lang w:eastAsia="zh-CN"/>
        </w:rPr>
        <w:t>阿提克木</w:t>
      </w:r>
      <w:r>
        <w:rPr>
          <w:rFonts w:hint="eastAsia" w:ascii="宋体" w:hAnsi="宋体" w:eastAsia="宋体" w:cs="宋体"/>
          <w:color w:val="auto"/>
          <w:sz w:val="24"/>
          <w:szCs w:val="24"/>
          <w:highlight w:val="none"/>
          <w:lang w:val="en-US" w:eastAsia="zh-CN"/>
        </w:rPr>
        <w:t>·阿巴白克</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何秋亮</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阿卜力孜</w:t>
      </w:r>
      <w:r>
        <w:rPr>
          <w:rFonts w:hint="eastAsia" w:ascii="宋体" w:hAnsi="宋体" w:eastAsia="宋体" w:cs="宋体"/>
          <w:color w:val="auto"/>
          <w:sz w:val="24"/>
          <w:szCs w:val="24"/>
          <w:highlight w:val="none"/>
          <w:lang w:val="en-US" w:eastAsia="zh-CN"/>
        </w:rPr>
        <w:t>·奥斯曼</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牙森</w:t>
      </w:r>
      <w:r>
        <w:rPr>
          <w:rFonts w:hint="eastAsia" w:ascii="宋体" w:hAnsi="宋体" w:eastAsia="宋体" w:cs="宋体"/>
          <w:color w:val="auto"/>
          <w:sz w:val="24"/>
          <w:szCs w:val="24"/>
          <w:highlight w:val="none"/>
          <w:lang w:val="en-US" w:eastAsia="zh-CN"/>
        </w:rPr>
        <w:t>·吾不里</w:t>
      </w:r>
      <w:r>
        <w:rPr>
          <w:rFonts w:hint="eastAsia" w:ascii="宋体" w:hAnsi="宋体" w:eastAsia="宋体" w:cs="宋体"/>
          <w:color w:val="auto"/>
          <w:sz w:val="24"/>
          <w:szCs w:val="24"/>
          <w:highlight w:val="none"/>
        </w:rPr>
        <w:t>，主要负责项目监督管理、验收以及资金核拨等工作。</w:t>
      </w:r>
    </w:p>
    <w:p w14:paraId="5185A84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F086649">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A55D66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39.96</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99.90</w:t>
      </w:r>
      <w:r>
        <w:rPr>
          <w:rFonts w:hint="eastAsia" w:ascii="宋体" w:hAnsi="宋体" w:eastAsia="宋体" w:cs="宋体"/>
          <w:color w:val="auto"/>
          <w:sz w:val="24"/>
          <w:szCs w:val="24"/>
          <w:highlight w:val="none"/>
        </w:rPr>
        <w:t>%。</w:t>
      </w:r>
    </w:p>
    <w:p w14:paraId="1057583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37CD102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普查人员培训参与人数，预期指标值</w:t>
      </w:r>
      <w:r>
        <w:rPr>
          <w:rFonts w:hint="eastAsia" w:ascii="宋体" w:hAnsi="宋体" w:eastAsia="宋体" w:cs="宋体"/>
          <w:color w:val="000000"/>
          <w:sz w:val="24"/>
          <w:szCs w:val="24"/>
          <w:highlight w:val="none"/>
          <w:lang w:val="en-US" w:eastAsia="zh-CN"/>
        </w:rPr>
        <w:t>大于等于356人</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353人</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99.16%</w:t>
      </w:r>
      <w:r>
        <w:rPr>
          <w:rFonts w:hint="eastAsia" w:ascii="宋体" w:hAnsi="宋体" w:eastAsia="宋体" w:cs="宋体"/>
          <w:color w:val="000000"/>
          <w:sz w:val="24"/>
          <w:szCs w:val="24"/>
          <w:highlight w:val="none"/>
        </w:rPr>
        <w:t>，与预期目标</w:t>
      </w:r>
      <w:r>
        <w:rPr>
          <w:rFonts w:hint="eastAsia" w:ascii="宋体" w:hAnsi="宋体" w:eastAsia="宋体" w:cs="宋体"/>
          <w:color w:val="000000"/>
          <w:sz w:val="24"/>
          <w:szCs w:val="24"/>
          <w:highlight w:val="none"/>
          <w:lang w:val="en-US" w:eastAsia="zh-CN"/>
        </w:rPr>
        <w:t>不</w:t>
      </w:r>
      <w:r>
        <w:rPr>
          <w:rFonts w:hint="eastAsia" w:ascii="宋体" w:hAnsi="宋体" w:eastAsia="宋体" w:cs="宋体"/>
          <w:color w:val="000000"/>
          <w:sz w:val="24"/>
          <w:szCs w:val="24"/>
          <w:highlight w:val="none"/>
        </w:rPr>
        <w:t>一致，根据评分标准，该指标扣分，得</w:t>
      </w:r>
      <w:r>
        <w:rPr>
          <w:rFonts w:hint="eastAsia" w:ascii="宋体" w:hAnsi="宋体" w:eastAsia="宋体" w:cs="宋体"/>
          <w:color w:val="000000"/>
          <w:sz w:val="24"/>
          <w:szCs w:val="24"/>
          <w:highlight w:val="none"/>
          <w:lang w:val="en-US" w:eastAsia="zh-CN"/>
        </w:rPr>
        <w:t>4.96</w:t>
      </w:r>
      <w:r>
        <w:rPr>
          <w:rFonts w:hint="eastAsia" w:ascii="宋体" w:hAnsi="宋体" w:eastAsia="宋体" w:cs="宋体"/>
          <w:color w:val="000000"/>
          <w:sz w:val="24"/>
          <w:szCs w:val="24"/>
          <w:highlight w:val="none"/>
        </w:rPr>
        <w:t>分。</w:t>
      </w:r>
    </w:p>
    <w:p w14:paraId="32C1179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任务完成数量，预期指标值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4349个，实际完成值4349个，指标完成率为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228724D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9.96</w:t>
      </w:r>
      <w:r>
        <w:rPr>
          <w:rFonts w:hint="eastAsia" w:ascii="宋体" w:hAnsi="宋体" w:eastAsia="宋体" w:cs="宋体"/>
          <w:color w:val="000000"/>
          <w:sz w:val="24"/>
          <w:szCs w:val="24"/>
          <w:highlight w:val="none"/>
        </w:rPr>
        <w:t>分。</w:t>
      </w:r>
    </w:p>
    <w:p w14:paraId="48070CA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2264857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5D35901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0D4AE0C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474EE6A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项目完成时间，预期指标值2024年</w:t>
      </w:r>
      <w:r>
        <w:rPr>
          <w:rFonts w:hint="eastAsia" w:ascii="宋体" w:hAnsi="宋体" w:eastAsia="宋体" w:cs="宋体"/>
          <w:b w:val="0"/>
          <w:color w:val="000000"/>
          <w:sz w:val="24"/>
          <w:szCs w:val="24"/>
          <w:highlight w:val="none"/>
          <w:lang w:val="en-US" w:eastAsia="zh-CN"/>
        </w:rPr>
        <w:t>6</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6</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04E50F9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资金发放及时率，预期指标值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2EB89C9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75847FD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7F9DEBA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普查员及普查指导员补助经费，预期指标值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54.42万元，实际完成值为54.42万元，指标完成率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2012E25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合计得10分。</w:t>
      </w:r>
    </w:p>
    <w:p w14:paraId="4309F4AE">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18A933C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bookmarkEnd w:id="13"/>
    </w:p>
    <w:p w14:paraId="269354F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0655AFB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普查数据提高政府统计公信力，预期指标值为</w:t>
      </w:r>
      <w:r>
        <w:rPr>
          <w:rFonts w:hint="eastAsia" w:ascii="宋体" w:hAnsi="宋体" w:eastAsia="宋体" w:cs="宋体"/>
          <w:b w:val="0"/>
          <w:bCs w:val="0"/>
          <w:color w:val="000000"/>
          <w:sz w:val="24"/>
          <w:szCs w:val="24"/>
          <w:highlight w:val="none"/>
          <w:lang w:val="en-US" w:eastAsia="zh-CN"/>
        </w:rPr>
        <w:t>有效提高</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有效提高</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569E64B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1B17F48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18587D1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10DD0A4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05C3C91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5D63A0B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受益群众满意度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63942E3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435B3DF6">
      <w:pPr>
        <w:pStyle w:val="2"/>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66BC7478">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54.42</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54.42</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54.42</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6FE2C604">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87.5</w:t>
      </w:r>
      <w:r>
        <w:rPr>
          <w:rFonts w:hint="eastAsia" w:ascii="宋体" w:hAnsi="宋体" w:eastAsia="宋体" w:cs="宋体"/>
          <w:color w:val="auto"/>
          <w:sz w:val="24"/>
          <w:szCs w:val="24"/>
        </w:rPr>
        <w:t>%。</w:t>
      </w:r>
    </w:p>
    <w:p w14:paraId="09C470F9">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黑体" w:hAnsi="黑体" w:eastAsia="黑体" w:cs="黑体"/>
          <w:b/>
          <w:bCs/>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12.5</w:t>
      </w:r>
      <w:r>
        <w:rPr>
          <w:rFonts w:hint="eastAsia" w:ascii="宋体" w:hAnsi="宋体" w:eastAsia="宋体" w:cs="宋体"/>
          <w:color w:val="auto"/>
          <w:sz w:val="24"/>
          <w:szCs w:val="24"/>
        </w:rPr>
        <w:t>%。</w:t>
      </w:r>
      <w:bookmarkStart w:id="14" w:name="_Toc68364673"/>
    </w:p>
    <w:p w14:paraId="0F80E8E6">
      <w:pPr>
        <w:pStyle w:val="2"/>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rPr>
      </w:pPr>
      <w:r>
        <w:rPr>
          <w:rFonts w:hint="eastAsia" w:ascii="黑体" w:hAnsi="黑体" w:eastAsia="黑体" w:cs="黑体"/>
          <w:b/>
          <w:bCs/>
          <w:color w:val="auto"/>
          <w:sz w:val="24"/>
          <w:szCs w:val="24"/>
        </w:rPr>
        <w:t>六、主要经验及做法、存在的问题及原因分析</w:t>
      </w:r>
    </w:p>
    <w:p w14:paraId="22146DA4">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（一）主要经验及做法</w:t>
      </w:r>
      <w:bookmarkEnd w:id="14"/>
    </w:p>
    <w:p w14:paraId="4D94B785">
      <w:pPr>
        <w:pStyle w:val="45"/>
        <w:rPr>
          <w:rFonts w:hint="eastAsia" w:eastAsia="宋体"/>
          <w:lang w:eastAsia="zh-CN"/>
        </w:rPr>
      </w:pPr>
      <w:r>
        <w:rPr>
          <w:rFonts w:hint="eastAsia" w:ascii="宋体" w:hAnsi="宋体" w:eastAsia="宋体" w:cs="宋体"/>
          <w:color w:val="auto"/>
          <w:sz w:val="24"/>
          <w:szCs w:val="24"/>
          <w:lang w:eastAsia="zh-CN"/>
        </w:rPr>
        <w:t>资金使用规范，严格执行财务管理核算制度，加强醒目经费审批和控制，规范支出标准和范围，并严格执行，按质按量完成项目实施工作。</w:t>
      </w:r>
    </w:p>
    <w:p w14:paraId="41EA36F4">
      <w:pPr>
        <w:pStyle w:val="48"/>
        <w:pageBreakBefore w:val="0"/>
        <w:widowControl w:val="0"/>
        <w:numPr>
          <w:ilvl w:val="0"/>
          <w:numId w:val="2"/>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74"/>
      <w:r>
        <w:rPr>
          <w:rFonts w:hint="eastAsia" w:ascii="宋体" w:hAnsi="宋体" w:eastAsia="宋体" w:cs="宋体"/>
          <w:color w:val="auto"/>
          <w:sz w:val="24"/>
          <w:szCs w:val="24"/>
        </w:rPr>
        <w:t>存在问题及原因分析</w:t>
      </w:r>
      <w:bookmarkEnd w:id="15"/>
    </w:p>
    <w:p w14:paraId="6268F6DF">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bookmarkStart w:id="16" w:name="_Toc68364675"/>
      <w:r>
        <w:rPr>
          <w:rFonts w:hint="eastAsia" w:ascii="宋体" w:hAnsi="宋体" w:eastAsia="宋体" w:cs="宋体"/>
          <w:b w:val="0"/>
          <w:bCs w:val="0"/>
          <w:color w:val="auto"/>
          <w:kern w:val="0"/>
          <w:sz w:val="24"/>
          <w:szCs w:val="24"/>
          <w:lang w:val="en-US" w:eastAsia="zh-CN" w:bidi="ar-SA"/>
        </w:rPr>
        <w:t>对项目资金管理我们认为；一是严格按照和执行资金使用的相关规定；二是根据实际情况进行经费使用，保障财政资金使用效率。三是提高工作质量，效益，节约财政资金使用。</w:t>
      </w:r>
    </w:p>
    <w:p w14:paraId="3CD7D7EC">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color w:val="auto"/>
          <w:sz w:val="24"/>
          <w:szCs w:val="24"/>
        </w:rPr>
      </w:pPr>
      <w:r>
        <w:rPr>
          <w:rFonts w:hint="eastAsia" w:ascii="黑体" w:hAnsi="黑体" w:eastAsia="黑体" w:cs="黑体"/>
          <w:color w:val="auto"/>
          <w:sz w:val="24"/>
          <w:szCs w:val="24"/>
        </w:rPr>
        <w:t>七、有关建议</w:t>
      </w:r>
      <w:bookmarkEnd w:id="16"/>
    </w:p>
    <w:p w14:paraId="3A4F3E2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1.完善绩效评价工作制度</w:t>
      </w:r>
    </w:p>
    <w:p w14:paraId="5E4E268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2.加强资金管理：强化资金管理意识，加强与财政局的沟通，确保及时下达资金，合理、科学地使用资金。</w:t>
      </w:r>
    </w:p>
    <w:p w14:paraId="69E391D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none"/>
          <w:lang w:val="en-US" w:eastAsia="zh-CN"/>
        </w:rPr>
        <w:t>3.提升管理队伍素质：加强本单位工作人员的专业知识培训，提升业务能力，合理分配资金使用。</w:t>
      </w:r>
      <w:bookmarkStart w:id="17" w:name="_Toc68364676"/>
    </w:p>
    <w:p w14:paraId="0C5FDC55">
      <w:pPr>
        <w:pStyle w:val="2"/>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八、其他需要说明的问题</w:t>
      </w:r>
      <w:bookmarkEnd w:id="17"/>
    </w:p>
    <w:p w14:paraId="76D51F5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1FE518F3">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p>
    <w:p w14:paraId="681658A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附件1：自治区第五次全国经济普查经费项目绩效评价指标体系</w:t>
      </w:r>
    </w:p>
    <w:p w14:paraId="3A4520A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附件2：自治区第五次全国经济普查经费项目综合得分表</w:t>
      </w:r>
    </w:p>
    <w:p w14:paraId="0DE7BFD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附件3：满意度调查问分析情况</w:t>
      </w:r>
    </w:p>
    <w:p w14:paraId="3BBC5C4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p>
    <w:p w14:paraId="38A3115A">
      <w:pPr>
        <w:pStyle w:val="10"/>
        <w:ind w:left="0" w:leftChars="0" w:firstLine="0" w:firstLineChars="0"/>
        <w:jc w:val="both"/>
        <w:rPr>
          <w:rFonts w:hint="eastAsia" w:ascii="宋体" w:hAnsi="宋体" w:eastAsia="宋体" w:cs="宋体"/>
          <w:color w:val="auto"/>
          <w:sz w:val="24"/>
          <w:szCs w:val="24"/>
        </w:rPr>
      </w:pPr>
    </w:p>
    <w:p w14:paraId="4232CAAE">
      <w:pPr>
        <w:pStyle w:val="10"/>
        <w:ind w:left="0" w:leftChars="0" w:firstLine="0" w:firstLineChars="0"/>
        <w:jc w:val="both"/>
        <w:rPr>
          <w:rFonts w:hint="eastAsia" w:ascii="宋体" w:hAnsi="宋体" w:eastAsia="宋体" w:cs="宋体"/>
          <w:color w:val="auto"/>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2"/>
        <w:gridCol w:w="523"/>
        <w:gridCol w:w="598"/>
        <w:gridCol w:w="548"/>
        <w:gridCol w:w="1275"/>
        <w:gridCol w:w="575"/>
        <w:gridCol w:w="2935"/>
        <w:gridCol w:w="1641"/>
        <w:gridCol w:w="3253"/>
        <w:gridCol w:w="703"/>
        <w:gridCol w:w="690"/>
      </w:tblGrid>
      <w:tr w14:paraId="51FFF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429" w:type="pct"/>
            <w:gridSpan w:val="2"/>
            <w:tcBorders>
              <w:top w:val="nil"/>
              <w:left w:val="nil"/>
              <w:bottom w:val="nil"/>
              <w:right w:val="nil"/>
            </w:tcBorders>
            <w:noWrap w:val="0"/>
            <w:vAlign w:val="center"/>
          </w:tcPr>
          <w:p w14:paraId="5E6BA5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附件1：</w:t>
            </w:r>
          </w:p>
        </w:tc>
        <w:tc>
          <w:tcPr>
            <w:tcW w:w="224" w:type="pct"/>
            <w:tcBorders>
              <w:top w:val="nil"/>
              <w:left w:val="nil"/>
              <w:bottom w:val="nil"/>
              <w:right w:val="nil"/>
            </w:tcBorders>
            <w:noWrap w:val="0"/>
            <w:vAlign w:val="center"/>
          </w:tcPr>
          <w:p w14:paraId="3DFB09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p>
        </w:tc>
        <w:tc>
          <w:tcPr>
            <w:tcW w:w="205" w:type="pct"/>
            <w:tcBorders>
              <w:top w:val="nil"/>
              <w:left w:val="nil"/>
              <w:bottom w:val="nil"/>
              <w:right w:val="nil"/>
            </w:tcBorders>
            <w:noWrap w:val="0"/>
            <w:vAlign w:val="center"/>
          </w:tcPr>
          <w:p w14:paraId="49F199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p>
        </w:tc>
        <w:tc>
          <w:tcPr>
            <w:tcW w:w="477" w:type="pct"/>
            <w:tcBorders>
              <w:top w:val="nil"/>
              <w:left w:val="nil"/>
              <w:bottom w:val="nil"/>
              <w:right w:val="nil"/>
            </w:tcBorders>
            <w:noWrap w:val="0"/>
            <w:vAlign w:val="center"/>
          </w:tcPr>
          <w:p w14:paraId="10335D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p>
        </w:tc>
        <w:tc>
          <w:tcPr>
            <w:tcW w:w="215" w:type="pct"/>
            <w:tcBorders>
              <w:top w:val="nil"/>
              <w:left w:val="nil"/>
              <w:bottom w:val="nil"/>
              <w:right w:val="nil"/>
            </w:tcBorders>
            <w:noWrap w:val="0"/>
            <w:vAlign w:val="center"/>
          </w:tcPr>
          <w:p w14:paraId="05BE4D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p>
        </w:tc>
        <w:tc>
          <w:tcPr>
            <w:tcW w:w="1098" w:type="pct"/>
            <w:tcBorders>
              <w:top w:val="nil"/>
              <w:left w:val="nil"/>
              <w:bottom w:val="nil"/>
              <w:right w:val="nil"/>
            </w:tcBorders>
            <w:noWrap w:val="0"/>
            <w:vAlign w:val="center"/>
          </w:tcPr>
          <w:p w14:paraId="7177A0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p>
        </w:tc>
        <w:tc>
          <w:tcPr>
            <w:tcW w:w="614" w:type="pct"/>
            <w:tcBorders>
              <w:top w:val="nil"/>
              <w:left w:val="nil"/>
              <w:bottom w:val="nil"/>
              <w:right w:val="nil"/>
            </w:tcBorders>
            <w:noWrap w:val="0"/>
            <w:vAlign w:val="center"/>
          </w:tcPr>
          <w:p w14:paraId="0A5D9F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p>
        </w:tc>
        <w:tc>
          <w:tcPr>
            <w:tcW w:w="1217" w:type="pct"/>
            <w:tcBorders>
              <w:top w:val="nil"/>
              <w:left w:val="nil"/>
              <w:bottom w:val="nil"/>
              <w:right w:val="nil"/>
            </w:tcBorders>
            <w:noWrap w:val="0"/>
            <w:vAlign w:val="center"/>
          </w:tcPr>
          <w:p w14:paraId="69C09A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p>
        </w:tc>
        <w:tc>
          <w:tcPr>
            <w:tcW w:w="263" w:type="pct"/>
            <w:tcBorders>
              <w:top w:val="nil"/>
              <w:left w:val="nil"/>
              <w:bottom w:val="nil"/>
              <w:right w:val="nil"/>
            </w:tcBorders>
            <w:noWrap w:val="0"/>
            <w:vAlign w:val="center"/>
          </w:tcPr>
          <w:p w14:paraId="20D801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p>
        </w:tc>
        <w:tc>
          <w:tcPr>
            <w:tcW w:w="253" w:type="pct"/>
            <w:tcBorders>
              <w:top w:val="nil"/>
              <w:left w:val="nil"/>
              <w:bottom w:val="nil"/>
              <w:right w:val="nil"/>
            </w:tcBorders>
            <w:noWrap w:val="0"/>
            <w:vAlign w:val="center"/>
          </w:tcPr>
          <w:p w14:paraId="31D2AC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b/>
                <w:bCs/>
                <w:i w:val="0"/>
                <w:iCs w:val="0"/>
                <w:color w:val="auto"/>
                <w:sz w:val="21"/>
                <w:szCs w:val="21"/>
                <w:u w:val="none"/>
              </w:rPr>
            </w:pPr>
          </w:p>
        </w:tc>
      </w:tr>
      <w:tr w14:paraId="0DF3B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5000" w:type="pct"/>
            <w:gridSpan w:val="11"/>
            <w:tcBorders>
              <w:top w:val="nil"/>
              <w:left w:val="nil"/>
              <w:bottom w:val="nil"/>
              <w:right w:val="nil"/>
            </w:tcBorders>
            <w:noWrap w:val="0"/>
            <w:vAlign w:val="center"/>
          </w:tcPr>
          <w:p w14:paraId="4BD068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000000"/>
                <w:kern w:val="0"/>
                <w:sz w:val="24"/>
                <w:szCs w:val="24"/>
                <w:highlight w:val="none"/>
                <w:u w:val="none"/>
                <w:lang w:val="en-US" w:eastAsia="zh-CN"/>
              </w:rPr>
              <w:t>自治区第五次全国经济普查经费项目绩效评价指标体系综合评分表</w:t>
            </w:r>
          </w:p>
        </w:tc>
      </w:tr>
      <w:tr w14:paraId="27CC7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233" w:type="pct"/>
            <w:tcBorders>
              <w:top w:val="single" w:color="auto" w:sz="4" w:space="0"/>
              <w:left w:val="single" w:color="auto" w:sz="4" w:space="0"/>
              <w:bottom w:val="single" w:color="auto" w:sz="4" w:space="0"/>
              <w:right w:val="single" w:color="auto" w:sz="4" w:space="0"/>
            </w:tcBorders>
            <w:noWrap w:val="0"/>
            <w:vAlign w:val="center"/>
          </w:tcPr>
          <w:p w14:paraId="57771D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530249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34D528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205" w:type="pct"/>
            <w:tcBorders>
              <w:top w:val="single" w:color="auto" w:sz="4" w:space="0"/>
              <w:left w:val="single" w:color="auto" w:sz="4" w:space="0"/>
              <w:bottom w:val="single" w:color="auto" w:sz="4" w:space="0"/>
              <w:right w:val="single" w:color="auto" w:sz="4" w:space="0"/>
            </w:tcBorders>
            <w:noWrap w:val="0"/>
            <w:vAlign w:val="center"/>
          </w:tcPr>
          <w:p w14:paraId="10BD63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0F5287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2C7E73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2AD3AE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6BC63E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0E785F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27BC77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0009F3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439CA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3" w:type="pct"/>
            <w:vMerge w:val="restart"/>
            <w:tcBorders>
              <w:top w:val="single" w:color="auto" w:sz="4" w:space="0"/>
              <w:left w:val="single" w:color="auto" w:sz="4" w:space="0"/>
              <w:bottom w:val="single" w:color="auto" w:sz="4" w:space="0"/>
              <w:right w:val="single" w:color="auto" w:sz="4" w:space="0"/>
            </w:tcBorders>
            <w:noWrap w:val="0"/>
            <w:vAlign w:val="center"/>
          </w:tcPr>
          <w:p w14:paraId="362743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2701DD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48A308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205" w:type="pct"/>
            <w:vMerge w:val="restart"/>
            <w:tcBorders>
              <w:top w:val="single" w:color="auto" w:sz="4" w:space="0"/>
              <w:left w:val="single" w:color="auto" w:sz="4" w:space="0"/>
              <w:bottom w:val="single" w:color="auto" w:sz="4" w:space="0"/>
              <w:right w:val="single" w:color="auto" w:sz="4" w:space="0"/>
            </w:tcBorders>
            <w:noWrap w:val="0"/>
            <w:vAlign w:val="center"/>
          </w:tcPr>
          <w:p w14:paraId="290604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67E0E1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3AA9EC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4171E2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3B32E6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5EAAB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531EBE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723326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64BA57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2BEADA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5F8F79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098A27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75AD0A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7BA10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291C81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763906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515030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vMerge w:val="continue"/>
            <w:tcBorders>
              <w:top w:val="single" w:color="auto" w:sz="4" w:space="0"/>
              <w:left w:val="single" w:color="auto" w:sz="4" w:space="0"/>
              <w:bottom w:val="single" w:color="auto" w:sz="4" w:space="0"/>
              <w:right w:val="single" w:color="auto" w:sz="4" w:space="0"/>
            </w:tcBorders>
            <w:noWrap w:val="0"/>
            <w:vAlign w:val="center"/>
          </w:tcPr>
          <w:p w14:paraId="12F09F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05FECF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7A60A7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102254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7FC135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F5F39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651723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635963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22C0DA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14948C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41E94F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A46A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35"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29837A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0229CD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69D465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205" w:type="pct"/>
            <w:vMerge w:val="restart"/>
            <w:tcBorders>
              <w:top w:val="single" w:color="auto" w:sz="4" w:space="0"/>
              <w:left w:val="single" w:color="auto" w:sz="4" w:space="0"/>
              <w:bottom w:val="single" w:color="auto" w:sz="4" w:space="0"/>
              <w:right w:val="single" w:color="auto" w:sz="4" w:space="0"/>
            </w:tcBorders>
            <w:noWrap w:val="0"/>
            <w:vAlign w:val="center"/>
          </w:tcPr>
          <w:p w14:paraId="56141D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2DFAA8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7D2E0C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69B619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674893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F0835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45AD31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05D6E1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734B66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0A7A91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1F79AB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687C02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3FB95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0"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22AE02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6BD69F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77BE57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vMerge w:val="continue"/>
            <w:tcBorders>
              <w:top w:val="single" w:color="auto" w:sz="4" w:space="0"/>
              <w:left w:val="single" w:color="auto" w:sz="4" w:space="0"/>
              <w:bottom w:val="single" w:color="auto" w:sz="4" w:space="0"/>
              <w:right w:val="single" w:color="auto" w:sz="4" w:space="0"/>
            </w:tcBorders>
            <w:noWrap w:val="0"/>
            <w:vAlign w:val="center"/>
          </w:tcPr>
          <w:p w14:paraId="081D13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7166D4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429787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565F9D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652398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4F6ECD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17AB31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32E354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39F027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34639F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0478CA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2C5EB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1A9290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5921E6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5C0482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205" w:type="pct"/>
            <w:vMerge w:val="restart"/>
            <w:tcBorders>
              <w:top w:val="single" w:color="auto" w:sz="4" w:space="0"/>
              <w:left w:val="single" w:color="auto" w:sz="4" w:space="0"/>
              <w:bottom w:val="single" w:color="auto" w:sz="4" w:space="0"/>
              <w:right w:val="single" w:color="auto" w:sz="4" w:space="0"/>
            </w:tcBorders>
            <w:noWrap w:val="0"/>
            <w:vAlign w:val="center"/>
          </w:tcPr>
          <w:p w14:paraId="368BB2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14F11B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46B061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695A29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313A53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3E5C8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6FB064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346277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060676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294064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0A54DA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59F3A2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2201D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5"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1499AE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0A957A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2500AF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vMerge w:val="continue"/>
            <w:tcBorders>
              <w:top w:val="single" w:color="auto" w:sz="4" w:space="0"/>
              <w:left w:val="single" w:color="auto" w:sz="4" w:space="0"/>
              <w:bottom w:val="single" w:color="auto" w:sz="4" w:space="0"/>
              <w:right w:val="single" w:color="auto" w:sz="4" w:space="0"/>
            </w:tcBorders>
            <w:noWrap w:val="0"/>
            <w:vAlign w:val="center"/>
          </w:tcPr>
          <w:p w14:paraId="1147B0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3E7FC9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7F3ED0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1AC912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30BC3B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36E3FC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4B87F8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23463D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545037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348092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251AD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0" w:hRule="atLeast"/>
        </w:trPr>
        <w:tc>
          <w:tcPr>
            <w:tcW w:w="233" w:type="pct"/>
            <w:vMerge w:val="restart"/>
            <w:tcBorders>
              <w:top w:val="single" w:color="auto" w:sz="4" w:space="0"/>
              <w:left w:val="single" w:color="auto" w:sz="4" w:space="0"/>
              <w:bottom w:val="single" w:color="auto" w:sz="4" w:space="0"/>
              <w:right w:val="single" w:color="auto" w:sz="4" w:space="0"/>
            </w:tcBorders>
            <w:noWrap w:val="0"/>
            <w:vAlign w:val="center"/>
          </w:tcPr>
          <w:p w14:paraId="1AB364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33C9E0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28C248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205" w:type="pct"/>
            <w:vMerge w:val="restart"/>
            <w:tcBorders>
              <w:top w:val="single" w:color="auto" w:sz="4" w:space="0"/>
              <w:left w:val="single" w:color="auto" w:sz="4" w:space="0"/>
              <w:bottom w:val="single" w:color="auto" w:sz="4" w:space="0"/>
              <w:right w:val="single" w:color="auto" w:sz="4" w:space="0"/>
            </w:tcBorders>
            <w:noWrap w:val="0"/>
            <w:vAlign w:val="center"/>
          </w:tcPr>
          <w:p w14:paraId="56B1FD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2C4F1B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22C716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760FFD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2B4747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5A1BB6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752087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5CEE92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58A19C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56E5A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7346AC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39BB06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500852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vMerge w:val="continue"/>
            <w:tcBorders>
              <w:top w:val="single" w:color="auto" w:sz="4" w:space="0"/>
              <w:left w:val="single" w:color="auto" w:sz="4" w:space="0"/>
              <w:bottom w:val="single" w:color="auto" w:sz="4" w:space="0"/>
              <w:right w:val="single" w:color="auto" w:sz="4" w:space="0"/>
            </w:tcBorders>
            <w:noWrap w:val="0"/>
            <w:vAlign w:val="center"/>
          </w:tcPr>
          <w:p w14:paraId="6DF17D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6A0182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18B042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751F25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745C83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5DDA8C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3ECA21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39292C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0BF88E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315DB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13F571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2CF5EB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1861CC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vMerge w:val="continue"/>
            <w:tcBorders>
              <w:top w:val="single" w:color="auto" w:sz="4" w:space="0"/>
              <w:left w:val="single" w:color="auto" w:sz="4" w:space="0"/>
              <w:bottom w:val="single" w:color="auto" w:sz="4" w:space="0"/>
              <w:right w:val="single" w:color="auto" w:sz="4" w:space="0"/>
            </w:tcBorders>
            <w:noWrap w:val="0"/>
            <w:vAlign w:val="center"/>
          </w:tcPr>
          <w:p w14:paraId="1FBEDD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592AED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23D403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30F519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7B262F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5C03B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701510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7ADEF5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247F7D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41F3A4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0683D3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1A6DD3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07151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1242DD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178FF4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492796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205" w:type="pct"/>
            <w:vMerge w:val="restart"/>
            <w:tcBorders>
              <w:top w:val="single" w:color="auto" w:sz="4" w:space="0"/>
              <w:left w:val="single" w:color="auto" w:sz="4" w:space="0"/>
              <w:bottom w:val="single" w:color="auto" w:sz="4" w:space="0"/>
              <w:right w:val="single" w:color="auto" w:sz="4" w:space="0"/>
            </w:tcBorders>
            <w:noWrap w:val="0"/>
            <w:vAlign w:val="center"/>
          </w:tcPr>
          <w:p w14:paraId="7B170C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704CCA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12F2AD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4012DF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13DBAB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35A7A6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376953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768D63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2D8D4B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3D170C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36C85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1DE184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10EE3E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5AB0BF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vMerge w:val="continue"/>
            <w:tcBorders>
              <w:top w:val="single" w:color="auto" w:sz="4" w:space="0"/>
              <w:left w:val="single" w:color="auto" w:sz="4" w:space="0"/>
              <w:bottom w:val="single" w:color="auto" w:sz="4" w:space="0"/>
              <w:right w:val="single" w:color="auto" w:sz="4" w:space="0"/>
            </w:tcBorders>
            <w:noWrap w:val="0"/>
            <w:vAlign w:val="center"/>
          </w:tcPr>
          <w:p w14:paraId="66CAA0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7A5AFA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5F04FB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6B001A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586561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42CE5B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428F78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613BBA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3F736A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02D9B8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46DD76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97A0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33" w:type="pct"/>
            <w:vMerge w:val="restart"/>
            <w:tcBorders>
              <w:top w:val="single" w:color="auto" w:sz="4" w:space="0"/>
              <w:left w:val="single" w:color="auto" w:sz="4" w:space="0"/>
              <w:bottom w:val="nil"/>
              <w:right w:val="single" w:color="auto" w:sz="4" w:space="0"/>
            </w:tcBorders>
            <w:noWrap w:val="0"/>
            <w:vAlign w:val="center"/>
          </w:tcPr>
          <w:p w14:paraId="6C16CB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196" w:type="pct"/>
            <w:vMerge w:val="restart"/>
            <w:tcBorders>
              <w:top w:val="single" w:color="auto" w:sz="4" w:space="0"/>
              <w:left w:val="single" w:color="auto" w:sz="4" w:space="0"/>
              <w:bottom w:val="nil"/>
              <w:right w:val="single" w:color="auto" w:sz="4" w:space="0"/>
            </w:tcBorders>
            <w:noWrap w:val="0"/>
            <w:vAlign w:val="center"/>
          </w:tcPr>
          <w:p w14:paraId="160B25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0E1945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205" w:type="pct"/>
            <w:vMerge w:val="restart"/>
            <w:tcBorders>
              <w:top w:val="single" w:color="auto" w:sz="4" w:space="0"/>
              <w:left w:val="single" w:color="auto" w:sz="4" w:space="0"/>
              <w:bottom w:val="single" w:color="auto" w:sz="4" w:space="0"/>
              <w:right w:val="single" w:color="auto" w:sz="4" w:space="0"/>
            </w:tcBorders>
            <w:noWrap w:val="0"/>
            <w:vAlign w:val="center"/>
          </w:tcPr>
          <w:p w14:paraId="2FC747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477" w:type="pct"/>
            <w:vMerge w:val="restart"/>
            <w:tcBorders>
              <w:top w:val="single" w:color="auto" w:sz="4" w:space="0"/>
              <w:left w:val="single" w:color="auto" w:sz="4" w:space="0"/>
              <w:bottom w:val="single" w:color="auto" w:sz="4" w:space="0"/>
              <w:right w:val="single" w:color="auto" w:sz="4" w:space="0"/>
            </w:tcBorders>
            <w:noWrap w:val="0"/>
            <w:vAlign w:val="center"/>
          </w:tcPr>
          <w:p w14:paraId="0EA098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324215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3CB3AE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普查人员培训参与人数</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260A0E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≥356人</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9AFDE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4CD29D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353人</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360CBA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4.96</w:t>
            </w:r>
          </w:p>
        </w:tc>
      </w:tr>
      <w:tr w14:paraId="5EFF8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0" w:hRule="atLeast"/>
        </w:trPr>
        <w:tc>
          <w:tcPr>
            <w:tcW w:w="233" w:type="pct"/>
            <w:vMerge w:val="continue"/>
            <w:tcBorders>
              <w:top w:val="single" w:color="auto" w:sz="4" w:space="0"/>
              <w:left w:val="single" w:color="auto" w:sz="4" w:space="0"/>
              <w:bottom w:val="nil"/>
              <w:right w:val="single" w:color="auto" w:sz="4" w:space="0"/>
            </w:tcBorders>
            <w:noWrap w:val="0"/>
            <w:vAlign w:val="center"/>
          </w:tcPr>
          <w:p w14:paraId="4B8A37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nil"/>
              <w:right w:val="single" w:color="auto" w:sz="4" w:space="0"/>
            </w:tcBorders>
            <w:noWrap w:val="0"/>
            <w:vAlign w:val="center"/>
          </w:tcPr>
          <w:p w14:paraId="7C95C2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1283AB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vMerge w:val="continue"/>
            <w:tcBorders>
              <w:top w:val="single" w:color="auto" w:sz="4" w:space="0"/>
              <w:left w:val="single" w:color="auto" w:sz="4" w:space="0"/>
              <w:bottom w:val="single" w:color="auto" w:sz="4" w:space="0"/>
              <w:right w:val="single" w:color="auto" w:sz="4" w:space="0"/>
            </w:tcBorders>
            <w:noWrap w:val="0"/>
            <w:vAlign w:val="center"/>
          </w:tcPr>
          <w:p w14:paraId="64A66F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vMerge w:val="continue"/>
            <w:tcBorders>
              <w:top w:val="single" w:color="auto" w:sz="4" w:space="0"/>
              <w:left w:val="single" w:color="auto" w:sz="4" w:space="0"/>
              <w:bottom w:val="single" w:color="auto" w:sz="4" w:space="0"/>
              <w:right w:val="single" w:color="auto" w:sz="4" w:space="0"/>
            </w:tcBorders>
            <w:noWrap w:val="0"/>
            <w:vAlign w:val="center"/>
          </w:tcPr>
          <w:p w14:paraId="1E3355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5" w:type="pct"/>
            <w:tcBorders>
              <w:top w:val="single" w:color="auto" w:sz="4" w:space="0"/>
              <w:left w:val="single" w:color="auto" w:sz="4" w:space="0"/>
              <w:bottom w:val="single" w:color="auto" w:sz="4" w:space="0"/>
              <w:right w:val="single" w:color="auto" w:sz="4" w:space="0"/>
            </w:tcBorders>
            <w:noWrap w:val="0"/>
            <w:vAlign w:val="center"/>
          </w:tcPr>
          <w:p w14:paraId="66A14D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48911C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任务完成数量</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378B19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≥4349个</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486BDA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77D7B2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4349个</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0BA247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5A6C3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3" w:type="pct"/>
            <w:vMerge w:val="continue"/>
            <w:tcBorders>
              <w:top w:val="single" w:color="auto" w:sz="4" w:space="0"/>
              <w:left w:val="single" w:color="auto" w:sz="4" w:space="0"/>
              <w:bottom w:val="nil"/>
              <w:right w:val="single" w:color="auto" w:sz="4" w:space="0"/>
            </w:tcBorders>
            <w:noWrap w:val="0"/>
            <w:vAlign w:val="center"/>
          </w:tcPr>
          <w:p w14:paraId="302C07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nil"/>
              <w:right w:val="single" w:color="auto" w:sz="4" w:space="0"/>
            </w:tcBorders>
            <w:noWrap w:val="0"/>
            <w:vAlign w:val="center"/>
          </w:tcPr>
          <w:p w14:paraId="303B01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69C618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205" w:type="pct"/>
            <w:tcBorders>
              <w:top w:val="single" w:color="auto" w:sz="4" w:space="0"/>
              <w:left w:val="single" w:color="auto" w:sz="4" w:space="0"/>
              <w:bottom w:val="single" w:color="auto" w:sz="4" w:space="0"/>
              <w:right w:val="single" w:color="auto" w:sz="4" w:space="0"/>
            </w:tcBorders>
            <w:noWrap w:val="0"/>
            <w:vAlign w:val="center"/>
          </w:tcPr>
          <w:p w14:paraId="221B49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586DD8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3BBDEA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2EC24B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2E9CAD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56081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15B672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388D07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6FC18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3" w:type="pct"/>
            <w:vMerge w:val="continue"/>
            <w:tcBorders>
              <w:top w:val="single" w:color="auto" w:sz="4" w:space="0"/>
              <w:left w:val="single" w:color="auto" w:sz="4" w:space="0"/>
              <w:bottom w:val="nil"/>
              <w:right w:val="single" w:color="auto" w:sz="4" w:space="0"/>
            </w:tcBorders>
            <w:noWrap w:val="0"/>
            <w:vAlign w:val="center"/>
          </w:tcPr>
          <w:p w14:paraId="1173C8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nil"/>
              <w:right w:val="single" w:color="auto" w:sz="4" w:space="0"/>
            </w:tcBorders>
            <w:noWrap w:val="0"/>
            <w:vAlign w:val="center"/>
          </w:tcPr>
          <w:p w14:paraId="773E26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7084CF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205" w:type="pct"/>
            <w:vMerge w:val="restart"/>
            <w:tcBorders>
              <w:top w:val="single" w:color="auto" w:sz="4" w:space="0"/>
              <w:left w:val="single" w:color="auto" w:sz="4" w:space="0"/>
              <w:bottom w:val="single" w:color="auto" w:sz="4" w:space="0"/>
              <w:right w:val="single" w:color="auto" w:sz="4" w:space="0"/>
            </w:tcBorders>
            <w:noWrap w:val="0"/>
            <w:vAlign w:val="center"/>
          </w:tcPr>
          <w:p w14:paraId="02FC59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477" w:type="pct"/>
            <w:vMerge w:val="restart"/>
            <w:tcBorders>
              <w:top w:val="single" w:color="auto" w:sz="4" w:space="0"/>
              <w:left w:val="single" w:color="auto" w:sz="4" w:space="0"/>
              <w:bottom w:val="single" w:color="auto" w:sz="4" w:space="0"/>
              <w:right w:val="single" w:color="auto" w:sz="4" w:space="0"/>
            </w:tcBorders>
            <w:noWrap w:val="0"/>
            <w:vAlign w:val="center"/>
          </w:tcPr>
          <w:p w14:paraId="43E1AE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073C27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0F6007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资金发放及时率</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7F40A4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35252C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3E6863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3D9272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5F109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3" w:type="pct"/>
            <w:vMerge w:val="continue"/>
            <w:tcBorders>
              <w:top w:val="single" w:color="auto" w:sz="4" w:space="0"/>
              <w:left w:val="single" w:color="auto" w:sz="4" w:space="0"/>
              <w:bottom w:val="nil"/>
              <w:right w:val="single" w:color="auto" w:sz="4" w:space="0"/>
            </w:tcBorders>
            <w:noWrap w:val="0"/>
            <w:vAlign w:val="center"/>
          </w:tcPr>
          <w:p w14:paraId="6FB4B9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nil"/>
              <w:right w:val="single" w:color="auto" w:sz="4" w:space="0"/>
            </w:tcBorders>
            <w:noWrap w:val="0"/>
            <w:vAlign w:val="center"/>
          </w:tcPr>
          <w:p w14:paraId="66E847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4E4E3F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vMerge w:val="continue"/>
            <w:tcBorders>
              <w:top w:val="single" w:color="auto" w:sz="4" w:space="0"/>
              <w:left w:val="single" w:color="auto" w:sz="4" w:space="0"/>
              <w:bottom w:val="single" w:color="auto" w:sz="4" w:space="0"/>
              <w:right w:val="single" w:color="auto" w:sz="4" w:space="0"/>
            </w:tcBorders>
            <w:noWrap w:val="0"/>
            <w:vAlign w:val="center"/>
          </w:tcPr>
          <w:p w14:paraId="663088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vMerge w:val="continue"/>
            <w:tcBorders>
              <w:top w:val="single" w:color="auto" w:sz="4" w:space="0"/>
              <w:left w:val="single" w:color="auto" w:sz="4" w:space="0"/>
              <w:bottom w:val="single" w:color="auto" w:sz="4" w:space="0"/>
              <w:right w:val="single" w:color="auto" w:sz="4" w:space="0"/>
            </w:tcBorders>
            <w:noWrap w:val="0"/>
            <w:vAlign w:val="center"/>
          </w:tcPr>
          <w:p w14:paraId="2E691C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5" w:type="pct"/>
            <w:tcBorders>
              <w:top w:val="single" w:color="auto" w:sz="4" w:space="0"/>
              <w:left w:val="single" w:color="auto" w:sz="4" w:space="0"/>
              <w:bottom w:val="single" w:color="auto" w:sz="4" w:space="0"/>
              <w:right w:val="single" w:color="auto" w:sz="4" w:space="0"/>
            </w:tcBorders>
            <w:noWrap w:val="0"/>
            <w:vAlign w:val="center"/>
          </w:tcPr>
          <w:p w14:paraId="75852C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381D20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307B5D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2024年6月</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59C0EC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444EEC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2024年6月</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411AF8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D4D2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atLeast"/>
        </w:trPr>
        <w:tc>
          <w:tcPr>
            <w:tcW w:w="233" w:type="pct"/>
            <w:vMerge w:val="continue"/>
            <w:tcBorders>
              <w:top w:val="single" w:color="auto" w:sz="4" w:space="0"/>
              <w:left w:val="single" w:color="auto" w:sz="4" w:space="0"/>
              <w:bottom w:val="nil"/>
              <w:right w:val="single" w:color="auto" w:sz="4" w:space="0"/>
            </w:tcBorders>
            <w:noWrap w:val="0"/>
            <w:vAlign w:val="center"/>
          </w:tcPr>
          <w:p w14:paraId="1EA814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nil"/>
              <w:right w:val="single" w:color="auto" w:sz="4" w:space="0"/>
            </w:tcBorders>
            <w:noWrap w:val="0"/>
            <w:vAlign w:val="center"/>
          </w:tcPr>
          <w:p w14:paraId="44710D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7565AA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205" w:type="pct"/>
            <w:tcBorders>
              <w:top w:val="single" w:color="auto" w:sz="4" w:space="0"/>
              <w:left w:val="single" w:color="auto" w:sz="4" w:space="0"/>
              <w:bottom w:val="single" w:color="auto" w:sz="4" w:space="0"/>
              <w:right w:val="single" w:color="auto" w:sz="4" w:space="0"/>
            </w:tcBorders>
            <w:noWrap w:val="0"/>
            <w:vAlign w:val="center"/>
          </w:tcPr>
          <w:p w14:paraId="633844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25063C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6E5D6B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0222DE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普查员及普查指导员补助经费</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52A46F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≤54.42万元</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CB7C6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38D064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54.42万元</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0CFFA3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1A846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3" w:type="pct"/>
            <w:vMerge w:val="restart"/>
            <w:tcBorders>
              <w:top w:val="single" w:color="auto" w:sz="4" w:space="0"/>
              <w:left w:val="single" w:color="auto" w:sz="4" w:space="0"/>
              <w:bottom w:val="single" w:color="auto" w:sz="4" w:space="0"/>
              <w:right w:val="single" w:color="auto" w:sz="4" w:space="0"/>
            </w:tcBorders>
            <w:noWrap w:val="0"/>
            <w:vAlign w:val="center"/>
          </w:tcPr>
          <w:p w14:paraId="770144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418752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224" w:type="pct"/>
            <w:vMerge w:val="restart"/>
            <w:tcBorders>
              <w:top w:val="single" w:color="auto" w:sz="4" w:space="0"/>
              <w:left w:val="single" w:color="auto" w:sz="4" w:space="0"/>
              <w:bottom w:val="single" w:color="auto" w:sz="4" w:space="0"/>
              <w:right w:val="single" w:color="auto" w:sz="4" w:space="0"/>
            </w:tcBorders>
            <w:noWrap w:val="0"/>
            <w:vAlign w:val="center"/>
          </w:tcPr>
          <w:p w14:paraId="3A9416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205" w:type="pct"/>
            <w:vMerge w:val="restart"/>
            <w:tcBorders>
              <w:top w:val="single" w:color="auto" w:sz="4" w:space="0"/>
              <w:left w:val="single" w:color="auto" w:sz="4" w:space="0"/>
              <w:bottom w:val="single" w:color="auto" w:sz="4" w:space="0"/>
              <w:right w:val="single" w:color="auto" w:sz="4" w:space="0"/>
            </w:tcBorders>
            <w:noWrap w:val="0"/>
            <w:vAlign w:val="center"/>
          </w:tcPr>
          <w:p w14:paraId="2822F0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1D8526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2FB55B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0C634D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普查数据提高政府统计公信力</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2B8626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有效提高</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553856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3479A4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有效提高</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6F05D9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246CE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3" w:type="pct"/>
            <w:vMerge w:val="continue"/>
            <w:tcBorders>
              <w:top w:val="single" w:color="auto" w:sz="4" w:space="0"/>
              <w:left w:val="single" w:color="auto" w:sz="4" w:space="0"/>
              <w:bottom w:val="single" w:color="auto" w:sz="4" w:space="0"/>
              <w:right w:val="single" w:color="auto" w:sz="4" w:space="0"/>
            </w:tcBorders>
            <w:noWrap w:val="0"/>
            <w:vAlign w:val="center"/>
          </w:tcPr>
          <w:p w14:paraId="747C33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663BCE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24" w:type="pct"/>
            <w:vMerge w:val="continue"/>
            <w:tcBorders>
              <w:top w:val="single" w:color="auto" w:sz="4" w:space="0"/>
              <w:left w:val="single" w:color="auto" w:sz="4" w:space="0"/>
              <w:bottom w:val="single" w:color="auto" w:sz="4" w:space="0"/>
              <w:right w:val="single" w:color="auto" w:sz="4" w:space="0"/>
            </w:tcBorders>
            <w:noWrap w:val="0"/>
            <w:vAlign w:val="center"/>
          </w:tcPr>
          <w:p w14:paraId="5F287B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vMerge w:val="continue"/>
            <w:tcBorders>
              <w:top w:val="single" w:color="auto" w:sz="4" w:space="0"/>
              <w:left w:val="single" w:color="auto" w:sz="4" w:space="0"/>
              <w:bottom w:val="single" w:color="auto" w:sz="4" w:space="0"/>
              <w:right w:val="single" w:color="auto" w:sz="4" w:space="0"/>
            </w:tcBorders>
            <w:noWrap w:val="0"/>
            <w:vAlign w:val="center"/>
          </w:tcPr>
          <w:p w14:paraId="094F9C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34A68E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7BCBA6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20E2A2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受益群众满意度</w:t>
            </w:r>
          </w:p>
        </w:tc>
        <w:tc>
          <w:tcPr>
            <w:tcW w:w="614" w:type="pct"/>
            <w:tcBorders>
              <w:top w:val="single" w:color="auto" w:sz="4" w:space="0"/>
              <w:left w:val="single" w:color="auto" w:sz="4" w:space="0"/>
              <w:bottom w:val="single" w:color="auto" w:sz="4" w:space="0"/>
              <w:right w:val="single" w:color="auto" w:sz="4" w:space="0"/>
            </w:tcBorders>
            <w:noWrap w:val="0"/>
            <w:vAlign w:val="center"/>
          </w:tcPr>
          <w:p w14:paraId="74509D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4C68AD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263" w:type="pct"/>
            <w:tcBorders>
              <w:top w:val="single" w:color="auto" w:sz="4" w:space="0"/>
              <w:left w:val="single" w:color="auto" w:sz="4" w:space="0"/>
              <w:bottom w:val="single" w:color="auto" w:sz="4" w:space="0"/>
              <w:right w:val="single" w:color="auto" w:sz="4" w:space="0"/>
            </w:tcBorders>
            <w:noWrap w:val="0"/>
            <w:vAlign w:val="center"/>
          </w:tcPr>
          <w:p w14:paraId="38B96B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53" w:type="pct"/>
            <w:tcBorders>
              <w:top w:val="single" w:color="auto" w:sz="4" w:space="0"/>
              <w:left w:val="single" w:color="auto" w:sz="4" w:space="0"/>
              <w:bottom w:val="single" w:color="auto" w:sz="4" w:space="0"/>
              <w:right w:val="single" w:color="auto" w:sz="4" w:space="0"/>
            </w:tcBorders>
            <w:noWrap w:val="0"/>
            <w:vAlign w:val="center"/>
          </w:tcPr>
          <w:p w14:paraId="67F537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15903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3" w:type="pct"/>
            <w:tcBorders>
              <w:top w:val="single" w:color="auto" w:sz="4" w:space="0"/>
              <w:left w:val="single" w:color="auto" w:sz="4" w:space="0"/>
              <w:bottom w:val="single" w:color="auto" w:sz="4" w:space="0"/>
              <w:right w:val="single" w:color="auto" w:sz="4" w:space="0"/>
            </w:tcBorders>
            <w:noWrap w:val="0"/>
            <w:vAlign w:val="center"/>
          </w:tcPr>
          <w:p w14:paraId="754CE4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55BCF4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1794CB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05" w:type="pct"/>
            <w:tcBorders>
              <w:top w:val="single" w:color="auto" w:sz="4" w:space="0"/>
              <w:left w:val="single" w:color="auto" w:sz="4" w:space="0"/>
              <w:bottom w:val="single" w:color="auto" w:sz="4" w:space="0"/>
              <w:right w:val="single" w:color="auto" w:sz="4" w:space="0"/>
            </w:tcBorders>
            <w:noWrap w:val="0"/>
            <w:vAlign w:val="center"/>
          </w:tcPr>
          <w:p w14:paraId="5FEEB7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2AE22A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5" w:type="pct"/>
            <w:tcBorders>
              <w:top w:val="single" w:color="auto" w:sz="4" w:space="0"/>
              <w:left w:val="single" w:color="auto" w:sz="4" w:space="0"/>
              <w:bottom w:val="single" w:color="auto" w:sz="4" w:space="0"/>
              <w:right w:val="single" w:color="auto" w:sz="4" w:space="0"/>
            </w:tcBorders>
            <w:noWrap w:val="0"/>
            <w:vAlign w:val="center"/>
          </w:tcPr>
          <w:p w14:paraId="6D2F61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098" w:type="pct"/>
            <w:tcBorders>
              <w:top w:val="single" w:color="auto" w:sz="4" w:space="0"/>
              <w:left w:val="single" w:color="auto" w:sz="4" w:space="0"/>
              <w:bottom w:val="single" w:color="auto" w:sz="4" w:space="0"/>
              <w:right w:val="single" w:color="auto" w:sz="4" w:space="0"/>
            </w:tcBorders>
            <w:noWrap w:val="0"/>
            <w:vAlign w:val="center"/>
          </w:tcPr>
          <w:p w14:paraId="594D5A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4" w:type="pct"/>
            <w:tcBorders>
              <w:top w:val="single" w:color="auto" w:sz="4" w:space="0"/>
              <w:left w:val="single" w:color="auto" w:sz="4" w:space="0"/>
              <w:bottom w:val="single" w:color="auto" w:sz="4" w:space="0"/>
              <w:right w:val="single" w:color="auto" w:sz="4" w:space="0"/>
            </w:tcBorders>
            <w:noWrap w:val="0"/>
            <w:vAlign w:val="center"/>
          </w:tcPr>
          <w:p w14:paraId="6346ED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3398D1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63" w:type="pct"/>
            <w:tcBorders>
              <w:top w:val="single" w:color="auto" w:sz="4" w:space="0"/>
              <w:left w:val="single" w:color="auto" w:sz="4" w:space="0"/>
              <w:bottom w:val="single" w:color="auto" w:sz="4" w:space="0"/>
              <w:right w:val="single" w:color="auto" w:sz="4" w:space="0"/>
            </w:tcBorders>
            <w:noWrap w:val="0"/>
            <w:vAlign w:val="center"/>
          </w:tcPr>
          <w:p w14:paraId="053750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53" w:type="pct"/>
            <w:tcBorders>
              <w:top w:val="single" w:color="auto" w:sz="4" w:space="0"/>
              <w:left w:val="single" w:color="auto" w:sz="4" w:space="0"/>
              <w:bottom w:val="single" w:color="auto" w:sz="4" w:space="0"/>
              <w:right w:val="single" w:color="auto" w:sz="4" w:space="0"/>
            </w:tcBorders>
            <w:noWrap w:val="0"/>
            <w:vAlign w:val="center"/>
          </w:tcPr>
          <w:p w14:paraId="138645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99.96</w:t>
            </w:r>
          </w:p>
        </w:tc>
      </w:tr>
    </w:tbl>
    <w:p w14:paraId="3AC49442">
      <w:pPr>
        <w:pStyle w:val="10"/>
        <w:rPr>
          <w:rFonts w:hint="eastAsia" w:ascii="宋体" w:hAnsi="宋体" w:eastAsia="宋体" w:cs="宋体"/>
          <w:color w:val="auto"/>
          <w:sz w:val="24"/>
          <w:szCs w:val="24"/>
          <w:lang w:eastAsia="zh-CN"/>
        </w:rPr>
      </w:pPr>
    </w:p>
    <w:p w14:paraId="136ADF56">
      <w:pPr>
        <w:pStyle w:val="10"/>
        <w:rPr>
          <w:rFonts w:hint="eastAsia" w:ascii="宋体" w:hAnsi="宋体" w:eastAsia="宋体" w:cs="宋体"/>
          <w:color w:val="auto"/>
          <w:sz w:val="24"/>
          <w:szCs w:val="24"/>
          <w:lang w:eastAsia="zh-CN"/>
        </w:rPr>
      </w:pPr>
    </w:p>
    <w:p w14:paraId="4538B7D2">
      <w:pPr>
        <w:pStyle w:val="10"/>
        <w:rPr>
          <w:rFonts w:hint="eastAsia" w:ascii="宋体" w:hAnsi="宋体" w:eastAsia="宋体" w:cs="宋体"/>
          <w:color w:val="auto"/>
          <w:sz w:val="24"/>
          <w:szCs w:val="24"/>
          <w:lang w:eastAsia="zh-CN"/>
        </w:rPr>
      </w:pPr>
    </w:p>
    <w:p w14:paraId="65920384">
      <w:pPr>
        <w:pStyle w:val="10"/>
        <w:rPr>
          <w:rFonts w:hint="eastAsia" w:ascii="宋体" w:hAnsi="宋体" w:eastAsia="宋体" w:cs="宋体"/>
          <w:color w:val="auto"/>
          <w:sz w:val="24"/>
          <w:szCs w:val="24"/>
          <w:lang w:eastAsia="zh-CN"/>
        </w:rPr>
      </w:pPr>
    </w:p>
    <w:p w14:paraId="074EFEF2">
      <w:pPr>
        <w:pStyle w:val="10"/>
        <w:rPr>
          <w:rFonts w:hint="eastAsia" w:ascii="宋体" w:hAnsi="宋体" w:eastAsia="宋体" w:cs="宋体"/>
          <w:color w:val="auto"/>
          <w:sz w:val="24"/>
          <w:szCs w:val="24"/>
          <w:lang w:eastAsia="zh-CN"/>
        </w:rPr>
      </w:pPr>
    </w:p>
    <w:p w14:paraId="4B687F0B">
      <w:pPr>
        <w:pStyle w:val="10"/>
        <w:rPr>
          <w:rFonts w:hint="eastAsia" w:ascii="宋体" w:hAnsi="宋体" w:eastAsia="宋体" w:cs="宋体"/>
          <w:color w:val="auto"/>
          <w:sz w:val="24"/>
          <w:szCs w:val="24"/>
          <w:lang w:eastAsia="zh-CN"/>
        </w:rPr>
      </w:pPr>
    </w:p>
    <w:p w14:paraId="44FFE55D">
      <w:pPr>
        <w:pStyle w:val="10"/>
        <w:rPr>
          <w:rFonts w:hint="eastAsia" w:ascii="宋体" w:hAnsi="宋体" w:eastAsia="宋体" w:cs="宋体"/>
          <w:color w:val="auto"/>
          <w:sz w:val="24"/>
          <w:szCs w:val="24"/>
          <w:lang w:eastAsia="zh-CN"/>
        </w:rPr>
      </w:pPr>
    </w:p>
    <w:p w14:paraId="7C88561F">
      <w:pPr>
        <w:pStyle w:val="10"/>
        <w:rPr>
          <w:rFonts w:hint="eastAsia" w:ascii="宋体" w:hAnsi="宋体" w:eastAsia="宋体" w:cs="宋体"/>
          <w:color w:val="auto"/>
          <w:sz w:val="24"/>
          <w:szCs w:val="24"/>
          <w:lang w:eastAsia="zh-CN"/>
        </w:rPr>
      </w:pPr>
    </w:p>
    <w:p w14:paraId="0C1AD7D2">
      <w:pPr>
        <w:pStyle w:val="10"/>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27"/>
        <w:gridCol w:w="2227"/>
        <w:gridCol w:w="2227"/>
        <w:gridCol w:w="2227"/>
        <w:gridCol w:w="2227"/>
        <w:gridCol w:w="2233"/>
      </w:tblGrid>
      <w:tr w14:paraId="61BD4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5000" w:type="pct"/>
            <w:gridSpan w:val="6"/>
            <w:tcBorders>
              <w:top w:val="nil"/>
              <w:left w:val="nil"/>
              <w:bottom w:val="nil"/>
              <w:right w:val="nil"/>
            </w:tcBorders>
            <w:noWrap/>
            <w:vAlign w:val="center"/>
          </w:tcPr>
          <w:p w14:paraId="7100DD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自治区第五次全国经济普查经费项目综合得分表</w:t>
            </w:r>
          </w:p>
        </w:tc>
      </w:tr>
      <w:tr w14:paraId="7F552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33" w:type="pct"/>
            <w:tcBorders>
              <w:top w:val="single" w:color="auto" w:sz="4" w:space="0"/>
              <w:left w:val="single" w:color="auto" w:sz="4" w:space="0"/>
              <w:bottom w:val="single" w:color="auto" w:sz="4" w:space="0"/>
              <w:right w:val="single" w:color="auto" w:sz="4" w:space="0"/>
            </w:tcBorders>
            <w:noWrap w:val="0"/>
            <w:vAlign w:val="center"/>
          </w:tcPr>
          <w:p w14:paraId="02C675A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37EF56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73B22B3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2CA5460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4B450C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397E11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63AD1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33" w:type="pct"/>
            <w:tcBorders>
              <w:top w:val="single" w:color="auto" w:sz="4" w:space="0"/>
              <w:left w:val="single" w:color="auto" w:sz="4" w:space="0"/>
              <w:bottom w:val="single" w:color="auto" w:sz="4" w:space="0"/>
              <w:right w:val="single" w:color="auto" w:sz="4" w:space="0"/>
            </w:tcBorders>
            <w:noWrap w:val="0"/>
            <w:vAlign w:val="center"/>
          </w:tcPr>
          <w:p w14:paraId="31DB35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38237D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4BB212C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38E98A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7A4F47F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10CC51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235B8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33" w:type="pct"/>
            <w:tcBorders>
              <w:top w:val="single" w:color="auto" w:sz="4" w:space="0"/>
              <w:left w:val="single" w:color="auto" w:sz="4" w:space="0"/>
              <w:bottom w:val="single" w:color="auto" w:sz="4" w:space="0"/>
              <w:right w:val="single" w:color="auto" w:sz="4" w:space="0"/>
            </w:tcBorders>
            <w:noWrap w:val="0"/>
            <w:vAlign w:val="center"/>
          </w:tcPr>
          <w:p w14:paraId="123477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5AEE20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7FC7D8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2CD0FD9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39.96</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3BBC0C0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49AFBD7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99.96</w:t>
            </w:r>
          </w:p>
        </w:tc>
      </w:tr>
      <w:tr w14:paraId="3A0B0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33" w:type="pct"/>
            <w:tcBorders>
              <w:top w:val="single" w:color="auto" w:sz="4" w:space="0"/>
              <w:left w:val="single" w:color="auto" w:sz="4" w:space="0"/>
              <w:bottom w:val="single" w:color="auto" w:sz="4" w:space="0"/>
              <w:right w:val="single" w:color="auto" w:sz="4" w:space="0"/>
            </w:tcBorders>
            <w:noWrap w:val="0"/>
            <w:vAlign w:val="center"/>
          </w:tcPr>
          <w:p w14:paraId="58781B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7441C7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036778E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4B2102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99.90%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3D90AA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833" w:type="pct"/>
            <w:tcBorders>
              <w:top w:val="single" w:color="auto" w:sz="4" w:space="0"/>
              <w:left w:val="single" w:color="auto" w:sz="4" w:space="0"/>
              <w:bottom w:val="single" w:color="auto" w:sz="4" w:space="0"/>
              <w:right w:val="single" w:color="auto" w:sz="4" w:space="0"/>
            </w:tcBorders>
            <w:noWrap w:val="0"/>
            <w:vAlign w:val="center"/>
          </w:tcPr>
          <w:p w14:paraId="0AC7DF0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99.96%</w:t>
            </w:r>
          </w:p>
        </w:tc>
      </w:tr>
    </w:tbl>
    <w:p w14:paraId="55715F40">
      <w:pPr>
        <w:pStyle w:val="10"/>
        <w:ind w:left="0" w:leftChars="0" w:firstLine="0" w:firstLineChars="0"/>
        <w:jc w:val="both"/>
        <w:rPr>
          <w:rFonts w:hint="default" w:ascii="宋体" w:hAnsi="宋体" w:eastAsia="宋体" w:cs="宋体"/>
          <w:color w:val="auto"/>
          <w:sz w:val="24"/>
          <w:szCs w:val="24"/>
          <w:lang w:val="en-US" w:eastAsia="zh-CN"/>
        </w:rPr>
      </w:pPr>
    </w:p>
    <w:p w14:paraId="439E8818">
      <w:pPr>
        <w:pStyle w:val="10"/>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63F418C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3B910A7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自治区第五次全国经济普查经费满意度调查</w:t>
      </w:r>
    </w:p>
    <w:p w14:paraId="2095B11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问卷分析报告</w:t>
      </w:r>
    </w:p>
    <w:p w14:paraId="5A6E3F9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p>
    <w:p w14:paraId="33F28BD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60A150D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25</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04C4B8EF">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298206A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val="en-US" w:eastAsia="zh-CN"/>
        </w:rPr>
        <w:t>指导员和调查员</w:t>
      </w:r>
      <w:r>
        <w:rPr>
          <w:rFonts w:hint="eastAsia" w:ascii="宋体" w:hAnsi="宋体" w:eastAsia="宋体" w:cs="宋体"/>
          <w:color w:val="000000"/>
          <w:sz w:val="24"/>
          <w:szCs w:val="24"/>
          <w:highlight w:val="none"/>
        </w:rPr>
        <w:t>。</w:t>
      </w:r>
    </w:p>
    <w:p w14:paraId="44D2B94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22FFD7B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①您对自治区第五次全国经济普查经费项目的实施是否满意?</w:t>
      </w:r>
    </w:p>
    <w:p w14:paraId="0E52E0F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②您认为项目的实施对提高政府公信力的程度如何？</w:t>
      </w:r>
    </w:p>
    <w:p w14:paraId="1C34CE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③总的来说，您对目前人口抽样调查项目项目实施后的整体满意程度如何？</w:t>
      </w:r>
    </w:p>
    <w:p w14:paraId="0C8A9093">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348882F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2192F872">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42624A5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24E4EC4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077FE2B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1A9F9F76">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6312A6A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3B8F9E0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第一个问题：该项统计有效问卷数量30份，选择非常满意的人数为30人。选择满意的人数为0人，选择不满意的人数0人。</w:t>
      </w:r>
    </w:p>
    <w:p w14:paraId="621A8A2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第二个问题：该项统计有效问卷数量30份，选择有效提高的人数为30人。选择提高的人数为0人，选择无效果的人数0人。</w:t>
      </w:r>
    </w:p>
    <w:p w14:paraId="0C3066F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第三个问题：该项统计有效问卷数量30份，选择非常满意的人数为30人。选择满意的人数为0人，选择不满意的人数0人。</w:t>
      </w:r>
    </w:p>
    <w:p w14:paraId="1432695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4863C8A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自治区第五次全国经济普查经费项目针对受益人员发放10份调查问卷，最终统计受益人群满意度为100%。</w:t>
      </w:r>
    </w:p>
    <w:p w14:paraId="1A697C6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3D0A037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洛浦县统计局</w:t>
      </w:r>
    </w:p>
    <w:p w14:paraId="5653BFC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2025年2月19日</w:t>
      </w:r>
    </w:p>
    <w:p w14:paraId="05223046">
      <w:pPr>
        <w:pStyle w:val="10"/>
        <w:keepNext w:val="0"/>
        <w:keepLines w:val="0"/>
        <w:pageBreakBefore w:val="0"/>
        <w:widowControl w:val="0"/>
        <w:kinsoku/>
        <w:wordWrap/>
        <w:overflowPunct/>
        <w:topLinePunct w:val="0"/>
        <w:autoSpaceDE/>
        <w:autoSpaceDN/>
        <w:bidi w:val="0"/>
        <w:adjustRightInd/>
        <w:snapToGrid/>
        <w:spacing w:before="0" w:after="0"/>
        <w:ind w:leftChars="0" w:firstLine="480" w:firstLineChars="200"/>
        <w:textAlignment w:val="auto"/>
        <w:rPr>
          <w:rFonts w:hint="eastAsia" w:ascii="宋体" w:hAnsi="宋体" w:eastAsia="宋体" w:cs="宋体"/>
          <w:color w:val="auto"/>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E0707">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8C3BD">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suff w:val="nothing"/>
      <w:lvlText w:val="（%1）"/>
      <w:lvlJc w:val="left"/>
      <w:rPr>
        <w:rFonts w:hint="eastAsia"/>
      </w:rPr>
    </w:lvl>
  </w:abstractNum>
  <w:abstractNum w:abstractNumId="1">
    <w:nsid w:val="0053208E"/>
    <w:multiLevelType w:val="singleLevel"/>
    <w:tmpl w:val="0053208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643A7C6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0"/>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2"/>
    <w:unhideWhenUsed/>
    <w:uiPriority w:val="0"/>
    <w:pPr>
      <w:ind w:firstLine="420"/>
    </w:pPr>
  </w:style>
  <w:style w:type="paragraph" w:styleId="4">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1 Char"/>
    <w:link w:val="2"/>
    <w:uiPriority w:val="9"/>
    <w:rPr>
      <w:rFonts w:ascii="Times New Roman" w:hAnsi="Times New Roman" w:eastAsia="仿宋_GB2312" w:cs="Times New Roman"/>
      <w:b/>
      <w:bCs/>
      <w:kern w:val="44"/>
      <w:sz w:val="32"/>
      <w:szCs w:val="44"/>
    </w:rPr>
  </w:style>
  <w:style w:type="character" w:customStyle="1" w:styleId="31">
    <w:name w:val="正文文本缩进 Char"/>
    <w:link w:val="4"/>
    <w:semiHidden/>
    <w:uiPriority w:val="99"/>
    <w:rPr>
      <w:rFonts w:ascii="Calibri" w:hAnsi="Calibri" w:eastAsia="仿宋_GB2312" w:cs="黑体"/>
      <w:sz w:val="28"/>
    </w:rPr>
  </w:style>
  <w:style w:type="character" w:customStyle="1" w:styleId="32">
    <w:name w:val="正文首行缩进 2 Char"/>
    <w:link w:val="3"/>
    <w:uiPriority w:val="0"/>
    <w:rPr>
      <w:rFonts w:ascii="Calibri" w:hAnsi="Calibri" w:eastAsia="仿宋_GB2312" w:cs="黑体"/>
      <w:sz w:val="28"/>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465531B9A48A43E6B6ED89D9DECC638D_13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e93fb802-1f83-40a8-83b4-cda164cd7b2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10787</Words>
  <Characters>11367</Characters>
  <Lines>44</Lines>
  <Paragraphs>12</Paragraphs>
  <TotalTime>1</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2025-10-10T09:30:21Z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465531B9A48A43E6B6ED89D9DECC638D_13</vt:lpwstr>
  </property>
  <property fmtid="{D5CDD505-2E9C-101B-9397-08002B2CF9AE}" pid="4" name="KSOTemplateDocerSaveRecord">
    <vt:lpwstr>eyJoZGlkIjoiZDE5MGZhMTJhZDM2OTQwYzkzYWVjM2FhZDUxN2Q0M2IiLCJ1c2VySWQiOiI2NTE5NDIwMjYifQ_x003D__x003D_</vt:lpwstr>
  </property>
</Properties>
</file>