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4CE17">
      <w:bookmarkStart w:id="18" w:name="_GoBack"/>
      <w:bookmarkEnd w:id="18"/>
    </w:p>
    <w:p w14:paraId="15C9C666">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64B6156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和田地区洛浦县软件正版化三年授权使用费项目</w:t>
      </w:r>
    </w:p>
    <w:p w14:paraId="1845E2D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pPr>
      <w:r>
        <w:rPr>
          <w:rFonts w:hint="eastAsia" w:ascii="黑体" w:hAnsi="黑体" w:eastAsia="黑体" w:cs="黑体"/>
          <w:b/>
          <w:sz w:val="36"/>
          <w:szCs w:val="36"/>
          <w:lang w:val="en-US" w:eastAsia="zh-CN"/>
        </w:rPr>
        <w:t>支出绩效评价报告</w:t>
      </w:r>
    </w:p>
    <w:p w14:paraId="10963E32">
      <w:pPr>
        <w:pStyle w:val="6"/>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2024年度</w:t>
      </w:r>
      <w:r>
        <w:rPr>
          <w:rFonts w:hint="eastAsia" w:ascii="宋体" w:hAnsi="宋体" w:eastAsia="宋体" w:cs="宋体"/>
          <w:sz w:val="24"/>
          <w:szCs w:val="24"/>
          <w:lang w:eastAsia="zh-CN"/>
        </w:rPr>
        <w:t>）</w:t>
      </w:r>
    </w:p>
    <w:p w14:paraId="5DD946BE">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0445C661">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4138335">
      <w:pPr>
        <w:pStyle w:val="6"/>
        <w:rPr>
          <w:rFonts w:hint="eastAsia" w:eastAsia="方正仿宋_GBK" w:cs="方正仿宋_GBK"/>
          <w:b/>
          <w:kern w:val="0"/>
          <w:sz w:val="32"/>
          <w:szCs w:val="32"/>
          <w:lang w:bidi="en-US"/>
        </w:rPr>
      </w:pPr>
    </w:p>
    <w:p w14:paraId="16D4EFD0">
      <w:pPr>
        <w:rPr>
          <w:rFonts w:hint="eastAsia" w:eastAsia="方正仿宋_GBK" w:cs="方正仿宋_GBK"/>
          <w:b/>
          <w:kern w:val="0"/>
          <w:sz w:val="32"/>
          <w:szCs w:val="32"/>
          <w:lang w:bidi="en-US"/>
        </w:rPr>
      </w:pPr>
    </w:p>
    <w:p w14:paraId="6EED52F7">
      <w:pPr>
        <w:pStyle w:val="6"/>
        <w:rPr>
          <w:rFonts w:hint="eastAsia"/>
        </w:rPr>
      </w:pPr>
    </w:p>
    <w:p w14:paraId="09665CC7">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5DE8C095">
      <w:pPr>
        <w:pageBreakBefore w:val="0"/>
        <w:widowControl w:val="0"/>
        <w:kinsoku/>
        <w:wordWrap/>
        <w:topLinePunct w:val="0"/>
        <w:autoSpaceDE/>
        <w:autoSpaceDN/>
        <w:bidi w:val="0"/>
        <w:spacing w:line="560" w:lineRule="exact"/>
        <w:ind w:left="0" w:leftChars="0" w:firstLine="560"/>
        <w:textAlignment w:val="auto"/>
        <w:rPr>
          <w:rFonts w:hint="eastAsia"/>
        </w:rPr>
      </w:pPr>
    </w:p>
    <w:p w14:paraId="3806888E">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7403B57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val="en-US" w:eastAsia="zh-CN" w:bidi="en-US"/>
        </w:rPr>
      </w:pPr>
      <w:r>
        <w:rPr>
          <w:rFonts w:hint="eastAsia" w:ascii="宋体" w:hAnsi="宋体" w:eastAsia="宋体" w:cs="宋体"/>
          <w:kern w:val="0"/>
          <w:sz w:val="28"/>
          <w:szCs w:val="28"/>
          <w:lang w:bidi="en-US"/>
        </w:rPr>
        <w:t>项目名称：</w:t>
      </w:r>
      <w:r>
        <w:rPr>
          <w:rFonts w:hint="eastAsia" w:ascii="宋体" w:hAnsi="宋体" w:eastAsia="宋体" w:cs="宋体"/>
          <w:kern w:val="0"/>
          <w:sz w:val="28"/>
          <w:szCs w:val="28"/>
          <w:lang w:val="en-US" w:eastAsia="zh-CN" w:bidi="en-US"/>
        </w:rPr>
        <w:t>软件正版化三年授权使用费项目</w:t>
      </w:r>
    </w:p>
    <w:p w14:paraId="64F6073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FF0000"/>
          <w:kern w:val="0"/>
          <w:sz w:val="28"/>
          <w:szCs w:val="28"/>
          <w:lang w:val="en-US" w:eastAsia="zh-CN" w:bidi="en-US"/>
        </w:rPr>
      </w:pPr>
      <w:r>
        <w:rPr>
          <w:rFonts w:hint="eastAsia" w:ascii="宋体" w:hAnsi="宋体" w:eastAsia="宋体" w:cs="宋体"/>
          <w:kern w:val="0"/>
          <w:sz w:val="28"/>
          <w:szCs w:val="28"/>
          <w:lang w:bidi="en-US"/>
        </w:rPr>
        <w:t>项目单位：</w:t>
      </w:r>
      <w:r>
        <w:rPr>
          <w:rFonts w:hint="eastAsia" w:ascii="宋体" w:hAnsi="宋体" w:eastAsia="宋体" w:cs="宋体"/>
          <w:kern w:val="0"/>
          <w:sz w:val="28"/>
          <w:szCs w:val="28"/>
          <w:lang w:eastAsia="zh-CN" w:bidi="en-US"/>
        </w:rPr>
        <w:t>中共洛浦县委宣传部</w:t>
      </w:r>
    </w:p>
    <w:p w14:paraId="2EF0CAB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eastAsia="zh-CN" w:bidi="en-US"/>
        </w:rPr>
      </w:pPr>
      <w:r>
        <w:rPr>
          <w:rFonts w:hint="eastAsia" w:ascii="宋体" w:hAnsi="宋体" w:eastAsia="宋体" w:cs="宋体"/>
          <w:kern w:val="0"/>
          <w:sz w:val="28"/>
          <w:szCs w:val="28"/>
          <w:lang w:bidi="en-US"/>
        </w:rPr>
        <w:t>主管部门：</w:t>
      </w:r>
      <w:r>
        <w:rPr>
          <w:rFonts w:hint="eastAsia" w:ascii="宋体" w:hAnsi="宋体" w:eastAsia="宋体" w:cs="宋体"/>
          <w:kern w:val="0"/>
          <w:sz w:val="28"/>
          <w:szCs w:val="28"/>
          <w:lang w:eastAsia="zh-CN" w:bidi="en-US"/>
        </w:rPr>
        <w:t>中共洛浦县委宣传部</w:t>
      </w:r>
    </w:p>
    <w:p w14:paraId="31EEA29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val="en-US" w:eastAsia="zh-CN" w:bidi="en-US"/>
        </w:rPr>
      </w:pPr>
      <w:r>
        <w:rPr>
          <w:rFonts w:hint="eastAsia" w:ascii="宋体" w:hAnsi="宋体" w:eastAsia="宋体" w:cs="宋体"/>
          <w:kern w:val="0"/>
          <w:sz w:val="28"/>
          <w:szCs w:val="28"/>
          <w:lang w:bidi="en-US"/>
        </w:rPr>
        <w:t>项目负责人：</w:t>
      </w:r>
      <w:r>
        <w:rPr>
          <w:rFonts w:hint="eastAsia" w:ascii="宋体" w:hAnsi="宋体" w:eastAsia="宋体" w:cs="宋体"/>
          <w:kern w:val="0"/>
          <w:sz w:val="28"/>
          <w:szCs w:val="28"/>
          <w:lang w:eastAsia="zh-CN" w:bidi="en-US"/>
        </w:rPr>
        <w:t>吾尔古丽</w:t>
      </w:r>
      <w:r>
        <w:rPr>
          <w:rFonts w:hint="eastAsia" w:ascii="宋体" w:hAnsi="宋体" w:eastAsia="宋体" w:cs="宋体"/>
          <w:kern w:val="0"/>
          <w:sz w:val="28"/>
          <w:szCs w:val="28"/>
          <w:lang w:val="en-US" w:eastAsia="zh-CN" w:bidi="en-US"/>
        </w:rPr>
        <w:t>·吐送尼亚孜</w:t>
      </w:r>
    </w:p>
    <w:p w14:paraId="7BDFCA6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填报时间：</w:t>
      </w:r>
      <w:r>
        <w:rPr>
          <w:rFonts w:hint="eastAsia" w:ascii="宋体" w:hAnsi="宋体" w:eastAsia="宋体" w:cs="宋体"/>
          <w:kern w:val="0"/>
          <w:sz w:val="28"/>
          <w:szCs w:val="28"/>
          <w:lang w:val="en-US" w:eastAsia="zh-CN" w:bidi="en-US"/>
        </w:rPr>
        <w:t>2025</w:t>
      </w:r>
      <w:r>
        <w:rPr>
          <w:rFonts w:hint="eastAsia" w:ascii="宋体" w:hAnsi="宋体" w:eastAsia="宋体" w:cs="宋体"/>
          <w:kern w:val="0"/>
          <w:sz w:val="28"/>
          <w:szCs w:val="28"/>
          <w:lang w:bidi="en-US"/>
        </w:rPr>
        <w:t>年</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月</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日</w:t>
      </w:r>
    </w:p>
    <w:p w14:paraId="790820A5">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2C1BF397">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17A6237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7733D56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rPr>
        <w:t>1. 项目</w:t>
      </w:r>
      <w:r>
        <w:rPr>
          <w:rFonts w:hint="eastAsia" w:ascii="宋体" w:hAnsi="宋体" w:eastAsia="宋体" w:cs="宋体"/>
          <w:b/>
          <w:bCs/>
          <w:sz w:val="24"/>
          <w:szCs w:val="24"/>
          <w:lang w:eastAsia="zh-CN"/>
        </w:rPr>
        <w:t>背景</w:t>
      </w:r>
    </w:p>
    <w:p w14:paraId="35929B07">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知识产权保护日益重要以及信息安全需求不断提升的大环境下，为响应国家推进软件正版化工作的号召，确保行政事业单位办公软件合规、安全，本单位开展软件正版化使用服务费项目，保障各单位各项工作依靠正版化软件顺利开展。</w:t>
      </w:r>
    </w:p>
    <w:p w14:paraId="4B05FE2E">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2.主要内容及实施情况</w:t>
      </w:r>
    </w:p>
    <w:p w14:paraId="32B269B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3A96D508">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软件正版化三年授权使用单位数量66家，规范软件使用管理，推动各级党政机关和企事业单位软件正版化工作规范化、标准化，降低软件使用管理安全风险，防范信息系统和基础设施建设信息安全风险。</w:t>
      </w:r>
    </w:p>
    <w:p w14:paraId="51C565FF">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2.实施情况</w:t>
      </w:r>
    </w:p>
    <w:p w14:paraId="17613888">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（1）项目实施主体</w:t>
      </w:r>
    </w:p>
    <w:p w14:paraId="4EF006DE">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color w:val="auto"/>
          <w:sz w:val="24"/>
          <w:szCs w:val="24"/>
          <w:lang w:val="en-US" w:eastAsia="zh-CN"/>
        </w:rPr>
        <w:t>本项目主管部门为中共洛浦县委宣传部，实施单位为中共洛浦县委宣传部。</w:t>
      </w:r>
    </w:p>
    <w:p w14:paraId="10D281D6">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000000"/>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color w:val="000000"/>
          <w:sz w:val="24"/>
          <w:szCs w:val="24"/>
          <w:lang w:val="en-US" w:eastAsia="zh-CN"/>
        </w:rPr>
        <w:t>2024年1月-2024年12月</w:t>
      </w:r>
    </w:p>
    <w:p w14:paraId="59C12483">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（3）项目实施情况</w:t>
      </w:r>
    </w:p>
    <w:p w14:paraId="4D4F260B">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本</w:t>
      </w:r>
      <w:r>
        <w:rPr>
          <w:rFonts w:hint="eastAsia" w:ascii="宋体" w:hAnsi="宋体" w:eastAsia="宋体" w:cs="宋体"/>
          <w:b w:val="0"/>
          <w:bCs w:val="0"/>
          <w:color w:val="auto"/>
          <w:sz w:val="24"/>
          <w:szCs w:val="24"/>
          <w:lang w:val="en-US" w:eastAsia="zh-CN"/>
        </w:rPr>
        <w:t>项目</w:t>
      </w:r>
      <w:r>
        <w:rPr>
          <w:rFonts w:hint="default" w:ascii="宋体" w:hAnsi="宋体" w:eastAsia="宋体" w:cs="宋体"/>
          <w:b w:val="0"/>
          <w:bCs w:val="0"/>
          <w:color w:val="auto"/>
          <w:sz w:val="24"/>
          <w:szCs w:val="24"/>
          <w:lang w:val="en-US" w:eastAsia="zh-CN"/>
        </w:rPr>
        <w:t>于202</w:t>
      </w: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年12月25日前全部完工。</w:t>
      </w:r>
    </w:p>
    <w:p w14:paraId="3DECE883">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截止至自评节点，该项目已完成软件正版化三年授权使用单位数量66家的安装和使用，产生费用58.05万元，资金使用合规率达到100%，资金支付及时率达到100%，通过项目的实施，规范了66家单位软件使用管理，推动了各级党政机关和企事业单位软件正版化工作规范化、标准化，降低软件使用管理安全风险，防范信息系统和基础设施建设信息安全风险。</w:t>
      </w:r>
    </w:p>
    <w:p w14:paraId="73503CB3">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4820D831">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3F86DCD8">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65</w:t>
      </w:r>
      <w:r>
        <w:rPr>
          <w:rFonts w:hint="eastAsia" w:ascii="宋体" w:hAnsi="宋体" w:eastAsia="宋体" w:cs="宋体"/>
          <w:color w:val="auto"/>
          <w:sz w:val="24"/>
          <w:szCs w:val="24"/>
        </w:rPr>
        <w:t>万元，资金来源为</w:t>
      </w:r>
      <w:r>
        <w:rPr>
          <w:rFonts w:hint="eastAsia" w:ascii="宋体" w:hAnsi="宋体" w:eastAsia="宋体" w:cs="宋体"/>
          <w:color w:val="auto"/>
          <w:sz w:val="24"/>
          <w:szCs w:val="24"/>
          <w:lang w:eastAsia="zh-CN"/>
        </w:rPr>
        <w:t>县财政资金</w:t>
      </w:r>
      <w:r>
        <w:rPr>
          <w:rFonts w:hint="eastAsia" w:ascii="宋体" w:hAnsi="宋体" w:eastAsia="宋体" w:cs="宋体"/>
          <w:color w:val="auto"/>
          <w:sz w:val="24"/>
          <w:szCs w:val="24"/>
        </w:rPr>
        <w:t>，其中：财政资金</w:t>
      </w:r>
      <w:r>
        <w:rPr>
          <w:rFonts w:hint="eastAsia" w:ascii="宋体" w:hAnsi="宋体" w:eastAsia="宋体" w:cs="宋体"/>
          <w:color w:val="auto"/>
          <w:sz w:val="24"/>
          <w:szCs w:val="24"/>
          <w:lang w:val="en-US" w:eastAsia="zh-CN"/>
        </w:rPr>
        <w:t>65</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65</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58E0892">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3DA07CC5">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58.05</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89.31</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,结转资金6.95万元，我单位主要用于支付软件正版化后期质保金</w:t>
      </w:r>
      <w:r>
        <w:rPr>
          <w:rFonts w:hint="eastAsia" w:ascii="宋体" w:hAnsi="宋体" w:eastAsia="宋体" w:cs="宋体"/>
          <w:color w:val="auto"/>
          <w:sz w:val="24"/>
          <w:szCs w:val="24"/>
        </w:rPr>
        <w:t>。本项目资金主要用于</w:t>
      </w:r>
      <w:r>
        <w:rPr>
          <w:rFonts w:hint="eastAsia" w:ascii="宋体" w:hAnsi="宋体" w:eastAsia="宋体" w:cs="宋体"/>
          <w:color w:val="auto"/>
          <w:sz w:val="24"/>
          <w:szCs w:val="24"/>
          <w:lang w:eastAsia="zh-CN"/>
        </w:rPr>
        <w:t>支付软件正版化安装预付款</w:t>
      </w:r>
      <w:r>
        <w:rPr>
          <w:rFonts w:hint="eastAsia" w:ascii="宋体" w:hAnsi="宋体" w:eastAsia="宋体" w:cs="宋体"/>
          <w:color w:val="auto"/>
          <w:sz w:val="24"/>
          <w:szCs w:val="24"/>
          <w:lang w:val="en-US" w:eastAsia="zh-CN"/>
        </w:rPr>
        <w:t>19.35万元，支付安装进度款38.7万元</w:t>
      </w:r>
      <w:r>
        <w:rPr>
          <w:rFonts w:hint="eastAsia" w:ascii="宋体" w:hAnsi="宋体" w:eastAsia="宋体" w:cs="宋体"/>
          <w:color w:val="auto"/>
          <w:sz w:val="24"/>
          <w:szCs w:val="24"/>
        </w:rPr>
        <w:t>。</w:t>
      </w:r>
    </w:p>
    <w:p w14:paraId="4A2DCA7C">
      <w:pPr>
        <w:pStyle w:val="49"/>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700A0908">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10F43BA6">
      <w:pPr>
        <w:pStyle w:val="46"/>
        <w:pageBreakBefore w:val="0"/>
        <w:widowControl w:val="0"/>
        <w:numPr>
          <w:ilvl w:val="0"/>
          <w:numId w:val="2"/>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rPr>
        <w:t>总</w:t>
      </w:r>
      <w:r>
        <w:rPr>
          <w:rFonts w:hint="eastAsia" w:ascii="宋体" w:hAnsi="宋体" w:eastAsia="宋体" w:cs="宋体"/>
          <w:b/>
          <w:bCs/>
          <w:sz w:val="24"/>
          <w:szCs w:val="24"/>
          <w:lang w:val="en-US" w:eastAsia="zh-CN"/>
        </w:rPr>
        <w:t>体目标</w:t>
      </w:r>
    </w:p>
    <w:p w14:paraId="109D99F0">
      <w:pPr>
        <w:pStyle w:val="57"/>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根据《国务院政府机关使用正版软件管理办法》文件实施此项目，项目主要内容为：软件正版化三年授权使用单位数量66家，规范软件使用管理，推动各级党政机关和企事业单位软件正版化工作规范化、标准化，降低软件使用管理安全风险，防范信息系统和基础设施建设信息安全风险。</w:t>
      </w:r>
    </w:p>
    <w:p w14:paraId="2FB9DB18">
      <w:pPr>
        <w:pStyle w:val="46"/>
        <w:pageBreakBefore w:val="0"/>
        <w:widowControl w:val="0"/>
        <w:numPr>
          <w:ilvl w:val="0"/>
          <w:numId w:val="3"/>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30FAE08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3E847191">
      <w:pPr>
        <w:pStyle w:val="46"/>
        <w:pageBreakBefore w:val="0"/>
        <w:widowControl w:val="0"/>
        <w:numPr>
          <w:ilvl w:val="0"/>
          <w:numId w:val="4"/>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48CCB8EB">
      <w:pPr>
        <w:pStyle w:val="46"/>
        <w:pageBreakBefore w:val="0"/>
        <w:widowControl w:val="0"/>
        <w:numPr>
          <w:ilvl w:val="0"/>
          <w:numId w:val="5"/>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524163E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使用单位数量，</w:t>
      </w:r>
      <w:r>
        <w:rPr>
          <w:rFonts w:hint="eastAsia" w:ascii="宋体" w:hAnsi="宋体" w:eastAsia="宋体" w:cs="宋体"/>
          <w:color w:val="auto"/>
          <w:sz w:val="24"/>
          <w:szCs w:val="24"/>
          <w:lang w:val="en-US" w:eastAsia="zh-CN"/>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66家</w:t>
      </w:r>
      <w:r>
        <w:rPr>
          <w:rFonts w:hint="eastAsia" w:ascii="宋体" w:hAnsi="宋体" w:eastAsia="宋体" w:cs="宋体"/>
          <w:color w:val="auto"/>
          <w:sz w:val="24"/>
          <w:szCs w:val="24"/>
          <w:lang w:eastAsia="zh-CN"/>
        </w:rPr>
        <w:t>；</w:t>
      </w:r>
    </w:p>
    <w:p w14:paraId="10934FE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33BF7AD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资金使用合规率，</w:t>
      </w:r>
      <w:r>
        <w:rPr>
          <w:rFonts w:hint="eastAsia" w:ascii="宋体" w:hAnsi="宋体" w:eastAsia="宋体" w:cs="宋体"/>
          <w:color w:val="auto"/>
          <w:sz w:val="24"/>
          <w:szCs w:val="24"/>
          <w:lang w:val="en-US" w:eastAsia="zh-CN"/>
        </w:rPr>
        <w:t>预期指标值为=100%；</w:t>
      </w:r>
    </w:p>
    <w:p w14:paraId="1EE50F6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3E67A83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指标1：资金拨付及时率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预期指标值为=100%</w:t>
      </w:r>
      <w:r>
        <w:rPr>
          <w:rFonts w:hint="eastAsia" w:ascii="宋体" w:hAnsi="宋体" w:eastAsia="宋体" w:cs="宋体"/>
          <w:color w:val="auto"/>
          <w:sz w:val="24"/>
          <w:szCs w:val="24"/>
        </w:rPr>
        <w:t>；</w:t>
      </w:r>
    </w:p>
    <w:p w14:paraId="13A0CB6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预期指标值为2024年12月；</w:t>
      </w:r>
    </w:p>
    <w:p w14:paraId="17FBC24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6A7417E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0F90F62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指标1：购买软件正版化三年授权使用费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65万元</w:t>
      </w:r>
      <w:r>
        <w:rPr>
          <w:rFonts w:hint="eastAsia" w:ascii="宋体" w:hAnsi="宋体" w:eastAsia="宋体" w:cs="宋体"/>
          <w:color w:val="auto"/>
          <w:sz w:val="24"/>
          <w:szCs w:val="24"/>
        </w:rPr>
        <w:t>；</w:t>
      </w:r>
    </w:p>
    <w:p w14:paraId="098956F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4EFE1E8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6AB4FF2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48B6643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该项目无生态效益指标；</w:t>
      </w:r>
    </w:p>
    <w:p w14:paraId="0EDD2C2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1D87F99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220112B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该项目无经济效益指标；</w:t>
      </w:r>
    </w:p>
    <w:p w14:paraId="5B744ED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01D667C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指标1：降低软件使用管理安全风险</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预期指标值为</w:t>
      </w:r>
      <w:r>
        <w:rPr>
          <w:rFonts w:hint="eastAsia" w:ascii="宋体" w:hAnsi="宋体" w:eastAsia="宋体" w:cs="宋体"/>
          <w:color w:val="auto"/>
          <w:sz w:val="24"/>
          <w:szCs w:val="24"/>
        </w:rPr>
        <w:t>效果显著；</w:t>
      </w:r>
    </w:p>
    <w:p w14:paraId="097E909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74A5682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该项目无生态效益指标；</w:t>
      </w:r>
    </w:p>
    <w:p w14:paraId="45FB137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17778DF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000000"/>
          <w:sz w:val="24"/>
          <w:szCs w:val="24"/>
        </w:rPr>
        <w:t>指标1：使用单位满意度</w:t>
      </w:r>
      <w:r>
        <w:rPr>
          <w:rFonts w:hint="eastAsia" w:ascii="宋体" w:hAnsi="宋体" w:eastAsia="宋体" w:cs="宋体"/>
          <w:color w:val="000000"/>
          <w:sz w:val="24"/>
          <w:szCs w:val="24"/>
          <w:lang w:eastAsia="zh-CN"/>
        </w:rPr>
        <w:t>，</w:t>
      </w:r>
      <w:r>
        <w:rPr>
          <w:rFonts w:hint="eastAsia" w:ascii="宋体" w:hAnsi="宋体" w:eastAsia="宋体" w:cs="宋体"/>
          <w:color w:val="auto"/>
          <w:sz w:val="24"/>
          <w:szCs w:val="24"/>
          <w:lang w:val="en-US" w:eastAsia="zh-CN"/>
        </w:rPr>
        <w:t>预期指标值为</w:t>
      </w:r>
      <w:r>
        <w:rPr>
          <w:rFonts w:hint="eastAsia" w:ascii="宋体" w:hAnsi="宋体" w:eastAsia="宋体" w:cs="宋体"/>
          <w:color w:val="000000"/>
          <w:sz w:val="24"/>
          <w:szCs w:val="24"/>
        </w:rPr>
        <w:t>≥9</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w:t>
      </w:r>
    </w:p>
    <w:p w14:paraId="693FAB3C">
      <w:pPr>
        <w:pStyle w:val="2"/>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25A4BF60">
      <w:pPr>
        <w:pStyle w:val="49"/>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42FE70B6">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rPr>
        <w:t>1. 绩效评价</w:t>
      </w:r>
      <w:r>
        <w:rPr>
          <w:rFonts w:hint="eastAsia" w:ascii="宋体" w:hAnsi="宋体" w:eastAsia="宋体" w:cs="宋体"/>
          <w:b/>
          <w:bCs/>
          <w:sz w:val="24"/>
          <w:szCs w:val="24"/>
          <w:lang w:eastAsia="zh-CN"/>
        </w:rPr>
        <w:t>目的</w:t>
      </w:r>
    </w:p>
    <w:p w14:paraId="566C4CAE">
      <w:pPr>
        <w:pStyle w:val="5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本次绩效评价遵循财政部《项目支出绩效评价管理办法》（财预〔2020〕10号）《自治区财政支出绩效评价管理暂行办法》（新财预〔2018〕189号）及自治区财政厅《关于印发〈自治区项目支出绩效目标设置指引〉的通知》（新财预〔2022〕42号）等相关政策文件与规定，对软件正版化三年授权使用费项目开展本次部门项目支出绩效评价工作。全面了解软件正版化三年授权使用费项目预算编制合理性、资金使用合规性、项目管理的规范性、项目目标的实现情况、服务对象的满意度等项目实施前期、过程及实施效果情况。</w:t>
      </w:r>
    </w:p>
    <w:p w14:paraId="76D8C8F0">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12AB2429">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1878D9B5">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同时，通过部门项目支出绩效评价，可促进本单位发现预算项目管理中的问题、总结经验、改进工作，以提高财政预算资金使用的效率及效益。</w:t>
      </w:r>
    </w:p>
    <w:p w14:paraId="0E80057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04BF18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次绩效评价遵循财政部《项目支出绩效评价管理办法》（财预〔2020〕10号）和《自治区财政支出绩效评价管理暂行办法》（新财预〔2018〕189号）等政策文件规定，以软件正版化三年授权使用费项目为评价对象，对该项目决策、项目资金管理、项目实施过程管理，以及项目实施所带来的产出和效果等内容，进行综合评价。</w:t>
      </w:r>
    </w:p>
    <w:p w14:paraId="13CC1B80">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7CC1A76A">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color w:val="auto"/>
          <w:sz w:val="24"/>
          <w:szCs w:val="24"/>
          <w:highlight w:val="none"/>
        </w:rPr>
        <w:t>软件正版化三年授权使用费</w:t>
      </w:r>
      <w:r>
        <w:rPr>
          <w:rFonts w:hint="eastAsia" w:ascii="宋体" w:hAnsi="宋体" w:eastAsia="宋体" w:cs="宋体"/>
          <w:sz w:val="24"/>
          <w:szCs w:val="24"/>
          <w:lang w:val="en-US" w:eastAsia="zh-CN"/>
        </w:rPr>
        <w:t>项目</w:t>
      </w:r>
      <w:r>
        <w:rPr>
          <w:rFonts w:hint="eastAsia" w:ascii="宋体" w:hAnsi="宋体" w:eastAsia="宋体" w:cs="宋体"/>
          <w:sz w:val="24"/>
          <w:szCs w:val="24"/>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379D2BF9">
      <w:pPr>
        <w:pStyle w:val="49"/>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5E5A6E3C">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0BDE46D6">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69033310">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3A7D549F">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5AD7939">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5F5D25B4">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52A1CCB8">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0CF5C3DD">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3D71F536">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6ECB8780">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FC43DE6">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6CA89A33">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4D11A878">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748EB81B">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8BC0BE3">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3F72D051">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663FA48E">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3B5F5A0F">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6362E70F">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7F1A4E68">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40856EBA">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4CF3E3C6">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4A65CDB7">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0AB86F9B">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60E0BE09">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00BA5623">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55FA6390">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A5B59FF">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5E6C90D8">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68D71F7D">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w:t>
      </w:r>
      <w:r>
        <w:rPr>
          <w:rFonts w:hint="eastAsia" w:ascii="宋体" w:hAnsi="宋体" w:eastAsia="宋体" w:cs="宋体"/>
          <w:sz w:val="24"/>
          <w:szCs w:val="24"/>
          <w:lang w:eastAsia="zh-CN"/>
        </w:rPr>
        <w:t>计划</w:t>
      </w:r>
      <w:r>
        <w:rPr>
          <w:rFonts w:hint="eastAsia" w:ascii="宋体" w:hAnsi="宋体" w:eastAsia="宋体" w:cs="宋体"/>
          <w:sz w:val="24"/>
          <w:szCs w:val="24"/>
        </w:rPr>
        <w:t>标准。</w:t>
      </w:r>
    </w:p>
    <w:p w14:paraId="2330FB96">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bookmarkStart w:id="7" w:name="_Toc31464"/>
      <w:bookmarkStart w:id="8"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5AA564F3">
      <w:pPr>
        <w:pStyle w:val="49"/>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63A98C9D">
      <w:pPr>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3ED1C55A">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单位于2025年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日，确定绩效评价工作小组，正式开始前期准备工作，</w:t>
      </w:r>
      <w:r>
        <w:rPr>
          <w:rFonts w:hint="eastAsia" w:ascii="宋体" w:hAnsi="宋体" w:eastAsia="宋体" w:cs="宋体"/>
          <w:sz w:val="24"/>
          <w:szCs w:val="24"/>
        </w:rPr>
        <w:t>通过对评价对象前期调研，确定了评价的目的、方法以及评价的原则，根据项目的内容和特征制定了评价指标体系及评价标准。绩效评价工作小组人员名单及分工如下：</w:t>
      </w:r>
    </w:p>
    <w:p w14:paraId="68608E9F">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王和志</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全面负责评价小组的运作，制定评价计划和方案，把控整体进度和方向，与项目相关方沟通协调。对评价结果负责</w:t>
      </w:r>
      <w:r>
        <w:rPr>
          <w:rFonts w:hint="eastAsia" w:ascii="宋体" w:hAnsi="宋体" w:eastAsia="宋体" w:cs="宋体"/>
          <w:sz w:val="24"/>
          <w:szCs w:val="24"/>
        </w:rPr>
        <w:t>;</w:t>
      </w:r>
    </w:p>
    <w:p w14:paraId="7F4DBA06">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吾尔古丽</w:t>
      </w:r>
      <w:r>
        <w:rPr>
          <w:rFonts w:hint="eastAsia" w:ascii="宋体" w:hAnsi="宋体" w:eastAsia="宋体" w:cs="宋体"/>
          <w:sz w:val="24"/>
          <w:szCs w:val="24"/>
          <w:lang w:val="en-US" w:eastAsia="zh-CN"/>
        </w:rPr>
        <w:t>·吐送尼亚孜</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对项目的业务流程进行梳理和评估，分析业务流程的合理性、效率和效果。识别业务流程中存在的问题和改进点，提高优化业务流程的建议</w:t>
      </w:r>
      <w:r>
        <w:rPr>
          <w:rFonts w:hint="eastAsia" w:ascii="宋体" w:hAnsi="宋体" w:eastAsia="宋体" w:cs="宋体"/>
          <w:sz w:val="24"/>
          <w:szCs w:val="24"/>
        </w:rPr>
        <w:t>;</w:t>
      </w:r>
    </w:p>
    <w:p w14:paraId="5F52B872">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lang w:eastAsia="zh-CN"/>
        </w:rPr>
        <w:t>刘丽</w:t>
      </w:r>
      <w:r>
        <w:rPr>
          <w:rFonts w:hint="eastAsia" w:ascii="宋体" w:hAnsi="宋体" w:eastAsia="宋体" w:cs="宋体"/>
          <w:sz w:val="24"/>
          <w:szCs w:val="24"/>
        </w:rPr>
        <w:t>（评价小组组员）：主要负责</w:t>
      </w:r>
      <w:r>
        <w:rPr>
          <w:rFonts w:hint="eastAsia" w:ascii="宋体" w:hAnsi="宋体" w:eastAsia="宋体" w:cs="宋体"/>
          <w:sz w:val="24"/>
          <w:szCs w:val="24"/>
          <w:lang w:eastAsia="zh-CN"/>
        </w:rPr>
        <w:t>负责项目的预算执行情况，提供财务方面的评价意见和建议，根据评价小组的工作成果，撰写项目绩效评价报告。</w:t>
      </w:r>
    </w:p>
    <w:p w14:paraId="02EC3B51">
      <w:pPr>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2.组织实施</w:t>
      </w:r>
    </w:p>
    <w:p w14:paraId="57239093">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年2月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lang w:eastAsia="zh-CN"/>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lang w:eastAsia="zh-CN"/>
        </w:rPr>
        <w:t>日，评价工作进入实施阶段。在数据采集方面，评价</w:t>
      </w:r>
      <w:r>
        <w:rPr>
          <w:rFonts w:hint="eastAsia" w:ascii="宋体" w:hAnsi="宋体" w:eastAsia="宋体" w:cs="宋体"/>
          <w:sz w:val="24"/>
          <w:szCs w:val="24"/>
        </w:rPr>
        <w:t>小组整理单位前期提交的资料，与项目实施负责人沟通，了解资金的内容、操作流程、管理机制、资金使用方向等情况并采集信息，了解项目设置背景及资金使用等情况。</w:t>
      </w:r>
    </w:p>
    <w:p w14:paraId="098DC3A5">
      <w:pPr>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3.分析评价</w:t>
      </w:r>
    </w:p>
    <w:p w14:paraId="42D39150">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2025年3月</w:t>
      </w:r>
      <w:r>
        <w:rPr>
          <w:rFonts w:hint="eastAsia" w:ascii="宋体" w:hAnsi="宋体" w:eastAsia="宋体" w:cs="宋体"/>
          <w:sz w:val="24"/>
          <w:szCs w:val="24"/>
          <w:lang w:val="en-US" w:eastAsia="zh-CN"/>
        </w:rPr>
        <w:t>1</w:t>
      </w:r>
      <w:r>
        <w:rPr>
          <w:rFonts w:hint="eastAsia" w:ascii="宋体" w:hAnsi="宋体" w:eastAsia="宋体" w:cs="宋体"/>
          <w:sz w:val="24"/>
          <w:szCs w:val="24"/>
        </w:rPr>
        <w:t>日-4月1</w:t>
      </w:r>
      <w:r>
        <w:rPr>
          <w:rFonts w:hint="eastAsia" w:ascii="宋体" w:hAnsi="宋体" w:eastAsia="宋体" w:cs="宋体"/>
          <w:sz w:val="24"/>
          <w:szCs w:val="24"/>
          <w:lang w:val="en-US" w:eastAsia="zh-CN"/>
        </w:rPr>
        <w:t>5</w:t>
      </w:r>
      <w:r>
        <w:rPr>
          <w:rFonts w:hint="eastAsia" w:ascii="宋体" w:hAnsi="宋体" w:eastAsia="宋体" w:cs="宋体"/>
          <w:sz w:val="24"/>
          <w:szCs w:val="24"/>
        </w:rPr>
        <w:t>日，评价小组按照绩效评价的原则和规范，对取得的资料进行审查核实，对采集的数据进行分析，按照绩效评价指标评分表逐项进行打分、分析、汇总各方评价结果。</w:t>
      </w:r>
    </w:p>
    <w:p w14:paraId="58EBADAA">
      <w:pPr>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4.撰写与提交评价报告</w:t>
      </w:r>
    </w:p>
    <w:p w14:paraId="52F8D81A">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2025年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月1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lang w:eastAsia="zh-CN"/>
        </w:rPr>
        <w:t>日评价小组撰写绩效评价报告，按照新疆维吾尔自治区财政绩效管理信息系统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2CB448F7">
      <w:pPr>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5.问题整改</w:t>
      </w:r>
    </w:p>
    <w:p w14:paraId="003505F4">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7BBCFDF4">
      <w:pPr>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6.档案整理</w:t>
      </w:r>
    </w:p>
    <w:p w14:paraId="21454A1B">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5D390744">
      <w:pPr>
        <w:pStyle w:val="2"/>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sz w:val="24"/>
          <w:szCs w:val="24"/>
        </w:rPr>
      </w:pPr>
    </w:p>
    <w:p w14:paraId="09D704DC">
      <w:pPr>
        <w:pStyle w:val="2"/>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0F5587B4">
      <w:pPr>
        <w:pStyle w:val="49"/>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032B8B3B">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FF0000"/>
          <w:sz w:val="24"/>
          <w:szCs w:val="24"/>
        </w:rPr>
      </w:pPr>
      <w:bookmarkStart w:id="11" w:name="_Toc68364666"/>
      <w:r>
        <w:rPr>
          <w:rFonts w:hint="eastAsia" w:ascii="宋体" w:hAnsi="宋体" w:eastAsia="宋体" w:cs="宋体"/>
          <w:sz w:val="24"/>
          <w:szCs w:val="24"/>
          <w:lang w:val="en-US" w:eastAsia="zh-CN"/>
        </w:rPr>
        <w:t>通过实施</w:t>
      </w:r>
      <w:r>
        <w:rPr>
          <w:rFonts w:hint="eastAsia" w:ascii="宋体" w:hAnsi="宋体" w:eastAsia="宋体" w:cs="宋体"/>
          <w:color w:val="auto"/>
          <w:sz w:val="24"/>
          <w:szCs w:val="24"/>
          <w:highlight w:val="none"/>
        </w:rPr>
        <w:t>软件正版化三年授权使用费</w:t>
      </w:r>
      <w:r>
        <w:rPr>
          <w:rFonts w:hint="eastAsia" w:ascii="宋体" w:hAnsi="宋体" w:eastAsia="宋体" w:cs="宋体"/>
          <w:sz w:val="24"/>
          <w:szCs w:val="24"/>
          <w:lang w:val="en-US" w:eastAsia="zh-CN"/>
        </w:rPr>
        <w:t>项目产生通过项目在资金使用、目标达成、效果实现等方面表现出色，全面完成软件正版化目标，信息安全防护与办公效率得到显著提升，员工满意度较高。</w:t>
      </w:r>
      <w:r>
        <w:rPr>
          <w:rFonts w:hint="eastAsia" w:ascii="宋体" w:hAnsi="宋体" w:eastAsia="宋体" w:cs="宋体"/>
          <w:sz w:val="24"/>
          <w:szCs w:val="24"/>
        </w:rPr>
        <w:t>项目实施主要通过项目决策、项目过程、项目产出以及项目效益等方面进行评价，其中：</w:t>
      </w:r>
    </w:p>
    <w:p w14:paraId="22951E45">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项目决策：该项目主要通过根据《国务院政府机关使用正版软件管理办法》文件立项，项目实施符合《国务院政府机关使用正版软件管理办法》文件要求，项目立项依据充分，立项程序规范。 </w:t>
      </w:r>
    </w:p>
    <w:p w14:paraId="49E78101">
      <w:pPr>
        <w:pStyle w:val="5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项目过程：软件正版化三年授权使用费项目预算安排 65万元，实际支出58.05万元，预算执行率90%。项目资金使</w:t>
      </w:r>
      <w:r>
        <w:rPr>
          <w:rFonts w:hint="eastAsia" w:ascii="宋体" w:hAnsi="宋体" w:eastAsia="宋体" w:cs="宋体"/>
          <w:sz w:val="24"/>
          <w:szCs w:val="24"/>
        </w:rPr>
        <w:t>用合规，项目财务管理制度健全，财务监控到位，所有资金支付均按照国库集中支付制度严格执行，现有项目管理制度执行情况良好。</w:t>
      </w:r>
    </w:p>
    <w:p w14:paraId="4264AB59">
      <w:pPr>
        <w:pStyle w:val="57"/>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w:t>
      </w:r>
      <w:r>
        <w:rPr>
          <w:rFonts w:hint="eastAsia" w:ascii="宋体" w:hAnsi="宋体" w:eastAsia="宋体" w:cs="宋体"/>
          <w:sz w:val="24"/>
          <w:szCs w:val="24"/>
          <w:lang w:eastAsia="zh-CN"/>
        </w:rPr>
        <w:t>该项目实际完成</w:t>
      </w:r>
      <w:r>
        <w:rPr>
          <w:rFonts w:hint="eastAsia" w:ascii="宋体" w:hAnsi="宋体" w:eastAsia="宋体" w:cs="宋体"/>
          <w:sz w:val="24"/>
          <w:szCs w:val="24"/>
          <w:lang w:val="en-US" w:eastAsia="zh-CN"/>
        </w:rPr>
        <w:t>66家单位的安装调试工作，完成率达到100%。</w:t>
      </w:r>
    </w:p>
    <w:p w14:paraId="346DEA90">
      <w:pPr>
        <w:pStyle w:val="57"/>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w:t>
      </w:r>
      <w:r>
        <w:rPr>
          <w:rFonts w:hint="eastAsia" w:ascii="宋体" w:hAnsi="宋体" w:eastAsia="宋体" w:cs="宋体"/>
          <w:kern w:val="2"/>
          <w:sz w:val="24"/>
          <w:szCs w:val="24"/>
          <w:lang w:val="en-US" w:eastAsia="zh-CN" w:bidi="ar-SA"/>
        </w:rPr>
        <w:t>推动各级党政机关和企事业单位软件正版化工作规范化、标准化，降低软件使用管理安全风险，防范信息系统和基础设施建设信息安全风险。</w:t>
      </w:r>
    </w:p>
    <w:p w14:paraId="4877E09C">
      <w:pPr>
        <w:pStyle w:val="49"/>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022FFBA3">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黑体" w:hAnsi="黑体" w:eastAsia="黑体" w:cs="黑体"/>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软件正版化三年授权使用费项</w:t>
      </w:r>
      <w:r>
        <w:rPr>
          <w:rFonts w:hint="eastAsia" w:ascii="宋体" w:hAnsi="宋体" w:eastAsia="宋体" w:cs="宋体"/>
          <w:color w:val="000000"/>
          <w:sz w:val="24"/>
          <w:szCs w:val="24"/>
        </w:rPr>
        <w:t>目</w:t>
      </w:r>
      <w:r>
        <w:rPr>
          <w:rFonts w:hint="eastAsia" w:ascii="宋体" w:hAnsi="宋体" w:eastAsia="宋体" w:cs="宋体"/>
          <w:color w:val="333333"/>
          <w:sz w:val="24"/>
          <w:szCs w:val="24"/>
        </w:rPr>
        <w:t>进行客观评价，最终评分结果：评价总</w:t>
      </w:r>
      <w:r>
        <w:rPr>
          <w:rFonts w:hint="eastAsia" w:ascii="宋体" w:hAnsi="宋体" w:eastAsia="宋体" w:cs="宋体"/>
          <w:color w:val="000000"/>
          <w:sz w:val="24"/>
          <w:szCs w:val="24"/>
        </w:rPr>
        <w:t>分</w:t>
      </w:r>
      <w:r>
        <w:rPr>
          <w:rFonts w:hint="eastAsia" w:ascii="宋体" w:hAnsi="宋体" w:eastAsia="宋体" w:cs="宋体"/>
          <w:color w:val="000000"/>
          <w:sz w:val="24"/>
          <w:szCs w:val="24"/>
          <w:lang w:val="en-US" w:eastAsia="zh-CN"/>
        </w:rPr>
        <w:t>97.29</w:t>
      </w:r>
      <w:r>
        <w:rPr>
          <w:rFonts w:hint="eastAsia" w:ascii="宋体" w:hAnsi="宋体" w:eastAsia="宋体" w:cs="宋体"/>
          <w:color w:val="000000"/>
          <w:sz w:val="24"/>
          <w:szCs w:val="24"/>
        </w:rPr>
        <w:t>分</w:t>
      </w:r>
      <w:r>
        <w:rPr>
          <w:rFonts w:hint="eastAsia" w:ascii="宋体" w:hAnsi="宋体" w:eastAsia="宋体" w:cs="宋体"/>
          <w:color w:val="333333"/>
          <w:sz w:val="24"/>
          <w:szCs w:val="24"/>
        </w:rPr>
        <w:t>，绩效等级为“</w:t>
      </w:r>
      <w:r>
        <w:rPr>
          <w:rFonts w:hint="eastAsia" w:ascii="宋体" w:hAnsi="宋体" w:eastAsia="宋体" w:cs="宋体"/>
          <w:color w:val="333333"/>
          <w:sz w:val="24"/>
          <w:szCs w:val="24"/>
          <w:lang w:eastAsia="zh-CN"/>
        </w:rPr>
        <w:t>优</w:t>
      </w:r>
      <w:r>
        <w:rPr>
          <w:rFonts w:hint="eastAsia" w:ascii="宋体" w:hAnsi="宋体" w:eastAsia="宋体" w:cs="宋体"/>
          <w:color w:val="333333"/>
          <w:sz w:val="24"/>
          <w:szCs w:val="24"/>
        </w:rPr>
        <w:t>”。</w:t>
      </w:r>
      <w:bookmarkEnd w:id="11"/>
      <w:bookmarkStart w:id="12" w:name="_Toc68364667"/>
    </w:p>
    <w:p w14:paraId="6E1D4653">
      <w:pPr>
        <w:pStyle w:val="2"/>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sz w:val="24"/>
          <w:szCs w:val="24"/>
        </w:rPr>
      </w:pPr>
    </w:p>
    <w:p w14:paraId="40F9772D">
      <w:pPr>
        <w:pStyle w:val="2"/>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2"/>
    </w:p>
    <w:p w14:paraId="08C82AF5">
      <w:pPr>
        <w:pStyle w:val="49"/>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44006954">
      <w:pPr>
        <w:keepNext w:val="0"/>
        <w:keepLines w:val="0"/>
        <w:pageBreakBefore w:val="0"/>
        <w:widowControl w:val="0"/>
        <w:kinsoku/>
        <w:wordWrap/>
        <w:overflowPunct w:val="0"/>
        <w:topLinePunct w:val="0"/>
        <w:autoSpaceDE/>
        <w:autoSpaceDN/>
        <w:bidi w:val="0"/>
        <w:adjustRightInd/>
        <w:snapToGrid/>
        <w:spacing w:line="360" w:lineRule="auto"/>
        <w:ind w:left="0" w:leftChars="0" w:right="0" w:firstLine="480" w:firstLineChars="200"/>
        <w:contextualSpacing/>
        <w:jc w:val="both"/>
        <w:textAlignment w:val="auto"/>
        <w:rPr>
          <w:rFonts w:hint="eastAsia" w:ascii="宋体" w:hAnsi="宋体" w:eastAsia="宋体" w:cs="宋体"/>
          <w:color w:val="FF0000"/>
          <w:sz w:val="24"/>
          <w:szCs w:val="24"/>
        </w:rPr>
      </w:pPr>
      <w:r>
        <w:rPr>
          <w:rFonts w:hint="eastAsia" w:ascii="宋体" w:hAnsi="宋体" w:eastAsia="宋体" w:cs="宋体"/>
          <w:sz w:val="24"/>
          <w:szCs w:val="24"/>
        </w:rPr>
        <w:t>项目决策类指标包括项目立项、绩效目标和资金投入三方面的内容，由</w:t>
      </w:r>
      <w:r>
        <w:rPr>
          <w:rFonts w:hint="eastAsia" w:ascii="宋体" w:hAnsi="宋体" w:eastAsia="宋体" w:cs="宋体"/>
          <w:sz w:val="24"/>
          <w:szCs w:val="24"/>
          <w:lang w:val="en-US" w:eastAsia="zh-CN"/>
        </w:rPr>
        <w:t>6</w:t>
      </w:r>
      <w:r>
        <w:rPr>
          <w:rFonts w:hint="eastAsia" w:ascii="宋体" w:hAnsi="宋体" w:eastAsia="宋体" w:cs="宋体"/>
          <w:sz w:val="24"/>
          <w:szCs w:val="24"/>
        </w:rPr>
        <w:t>个三级指标构成，权重分</w:t>
      </w:r>
      <w:r>
        <w:rPr>
          <w:rFonts w:hint="eastAsia" w:ascii="宋体" w:hAnsi="宋体" w:eastAsia="宋体" w:cs="宋体"/>
          <w:sz w:val="24"/>
          <w:szCs w:val="24"/>
          <w:highlight w:val="none"/>
        </w:rPr>
        <w:t>为</w:t>
      </w: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分</w:t>
      </w:r>
      <w:r>
        <w:rPr>
          <w:rFonts w:hint="eastAsia" w:ascii="宋体" w:hAnsi="宋体" w:eastAsia="宋体" w:cs="宋体"/>
          <w:sz w:val="24"/>
          <w:szCs w:val="24"/>
        </w:rPr>
        <w:t>，实际得分</w:t>
      </w:r>
      <w:r>
        <w:rPr>
          <w:rFonts w:hint="eastAsia" w:ascii="宋体" w:hAnsi="宋体" w:eastAsia="宋体" w:cs="宋体"/>
          <w:sz w:val="24"/>
          <w:szCs w:val="24"/>
          <w:lang w:val="en-US" w:eastAsia="zh-CN"/>
        </w:rPr>
        <w:t>23</w:t>
      </w:r>
      <w:r>
        <w:rPr>
          <w:rFonts w:hint="eastAsia" w:ascii="宋体" w:hAnsi="宋体" w:eastAsia="宋体" w:cs="宋体"/>
          <w:sz w:val="24"/>
          <w:szCs w:val="24"/>
        </w:rPr>
        <w:t>分，得分率为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259D274A">
      <w:pPr>
        <w:keepNext w:val="0"/>
        <w:keepLines w:val="0"/>
        <w:pageBreakBefore w:val="0"/>
        <w:widowControl w:val="0"/>
        <w:numPr>
          <w:ilvl w:val="0"/>
          <w:numId w:val="6"/>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1A5D4018">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本项目立项符合</w:t>
      </w:r>
      <w:r>
        <w:rPr>
          <w:rFonts w:hint="eastAsia" w:ascii="宋体" w:hAnsi="宋体" w:eastAsia="宋体" w:cs="宋体"/>
          <w:color w:val="000000"/>
          <w:sz w:val="24"/>
          <w:szCs w:val="24"/>
          <w:lang w:eastAsia="zh-CN"/>
        </w:rPr>
        <w:t>财政部</w:t>
      </w:r>
      <w:r>
        <w:rPr>
          <w:rFonts w:hint="eastAsia" w:ascii="宋体" w:hAnsi="宋体" w:eastAsia="宋体" w:cs="宋体"/>
          <w:color w:val="000000"/>
          <w:sz w:val="24"/>
          <w:szCs w:val="24"/>
        </w:rPr>
        <w:t>颁发的《国务院政府机关使用正版软件管理办法》中：“</w:t>
      </w:r>
      <w:r>
        <w:rPr>
          <w:rFonts w:hint="eastAsia" w:ascii="宋体" w:hAnsi="宋体" w:eastAsia="宋体" w:cs="宋体"/>
          <w:color w:val="000000"/>
          <w:sz w:val="24"/>
          <w:szCs w:val="24"/>
          <w:lang w:eastAsia="zh-CN"/>
        </w:rPr>
        <w:t>考核方式</w:t>
      </w:r>
      <w:r>
        <w:rPr>
          <w:rFonts w:hint="eastAsia" w:ascii="宋体" w:hAnsi="宋体" w:eastAsia="宋体" w:cs="宋体"/>
          <w:color w:val="000000"/>
          <w:sz w:val="24"/>
          <w:szCs w:val="24"/>
        </w:rPr>
        <w:t>”；本项目立项符合</w:t>
      </w:r>
      <w:r>
        <w:rPr>
          <w:rFonts w:hint="eastAsia" w:ascii="宋体" w:hAnsi="宋体" w:eastAsia="宋体" w:cs="宋体"/>
          <w:color w:val="000000"/>
          <w:sz w:val="24"/>
          <w:szCs w:val="24"/>
          <w:lang w:eastAsia="zh-CN"/>
        </w:rPr>
        <w:t>《国务院政府机关使用正版软件管理办法》</w:t>
      </w:r>
      <w:r>
        <w:rPr>
          <w:rFonts w:hint="eastAsia" w:ascii="宋体" w:hAnsi="宋体" w:eastAsia="宋体" w:cs="宋体"/>
          <w:color w:val="000000"/>
          <w:sz w:val="24"/>
          <w:szCs w:val="24"/>
        </w:rPr>
        <w:t>中：“</w:t>
      </w:r>
      <w:r>
        <w:rPr>
          <w:rFonts w:hint="eastAsia" w:ascii="宋体" w:hAnsi="宋体" w:eastAsia="宋体" w:cs="宋体"/>
          <w:color w:val="000000"/>
          <w:sz w:val="24"/>
          <w:szCs w:val="24"/>
          <w:lang w:eastAsia="zh-CN"/>
        </w:rPr>
        <w:t>考核方式</w:t>
      </w:r>
      <w:r>
        <w:rPr>
          <w:rFonts w:hint="eastAsia" w:ascii="宋体" w:hAnsi="宋体" w:eastAsia="宋体" w:cs="宋体"/>
          <w:color w:val="000000"/>
          <w:sz w:val="24"/>
          <w:szCs w:val="24"/>
        </w:rPr>
        <w:t>”内容，符合行业发展规划和政策要求；根据《财政资金直接支付申请书》</w:t>
      </w:r>
      <w:r>
        <w:rPr>
          <w:rFonts w:hint="eastAsia" w:ascii="宋体" w:hAnsi="宋体" w:eastAsia="宋体" w:cs="宋体"/>
          <w:color w:val="000000"/>
          <w:sz w:val="24"/>
          <w:szCs w:val="24"/>
          <w:lang w:eastAsia="zh-CN"/>
        </w:rPr>
        <w:t>，本</w:t>
      </w:r>
      <w:r>
        <w:rPr>
          <w:rFonts w:hint="eastAsia" w:ascii="宋体" w:hAnsi="宋体" w:eastAsia="宋体" w:cs="宋体"/>
          <w:color w:val="000000"/>
          <w:sz w:val="24"/>
          <w:szCs w:val="24"/>
        </w:rPr>
        <w:t>项目资金性质为“公共财政预算”功能分类为“</w:t>
      </w:r>
      <w:r>
        <w:rPr>
          <w:rFonts w:hint="eastAsia" w:ascii="宋体" w:hAnsi="宋体" w:eastAsia="宋体" w:cs="宋体"/>
          <w:color w:val="000000"/>
          <w:sz w:val="24"/>
          <w:szCs w:val="24"/>
          <w:lang w:val="en-US" w:eastAsia="zh-CN"/>
        </w:rPr>
        <w:t>2013399</w:t>
      </w:r>
      <w:r>
        <w:rPr>
          <w:rFonts w:hint="eastAsia" w:ascii="宋体" w:hAnsi="宋体" w:eastAsia="宋体" w:cs="宋体"/>
          <w:color w:val="000000"/>
          <w:sz w:val="24"/>
          <w:szCs w:val="24"/>
        </w:rPr>
        <w:t>”经济分类为“</w:t>
      </w:r>
      <w:r>
        <w:rPr>
          <w:rFonts w:hint="eastAsia" w:ascii="宋体" w:hAnsi="宋体" w:eastAsia="宋体" w:cs="宋体"/>
          <w:color w:val="000000"/>
          <w:sz w:val="24"/>
          <w:szCs w:val="24"/>
          <w:lang w:val="en-US" w:eastAsia="zh-CN"/>
        </w:rPr>
        <w:t>50205委托业务费</w:t>
      </w:r>
      <w:r>
        <w:rPr>
          <w:rFonts w:hint="eastAsia" w:ascii="宋体" w:hAnsi="宋体" w:eastAsia="宋体" w:cs="宋体"/>
          <w:color w:val="000000"/>
          <w:sz w:val="24"/>
          <w:szCs w:val="24"/>
        </w:rPr>
        <w:t>”属于公</w:t>
      </w:r>
      <w:r>
        <w:rPr>
          <w:rFonts w:hint="eastAsia" w:ascii="宋体" w:hAnsi="宋体" w:eastAsia="宋体" w:cs="宋体"/>
          <w:color w:val="000000"/>
          <w:sz w:val="24"/>
          <w:szCs w:val="24"/>
          <w:highlight w:val="none"/>
        </w:rPr>
        <w:t>共财政支持范围，符合中央、地方事权支出责任划分原则；经检查我单位财政应用平台指标，本项目不存在重复。</w:t>
      </w:r>
    </w:p>
    <w:p w14:paraId="5EDD904A">
      <w:pPr>
        <w:keepNext w:val="0"/>
        <w:keepLines w:val="0"/>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综上所述，</w:t>
      </w:r>
      <w:r>
        <w:rPr>
          <w:rFonts w:hint="eastAsia" w:ascii="宋体" w:hAnsi="宋体" w:eastAsia="宋体" w:cs="宋体"/>
          <w:color w:val="000000"/>
          <w:sz w:val="24"/>
          <w:szCs w:val="24"/>
          <w:highlight w:val="none"/>
        </w:rPr>
        <w:t>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r>
        <w:rPr>
          <w:rFonts w:hint="eastAsia" w:ascii="宋体" w:hAnsi="宋体" w:eastAsia="宋体" w:cs="宋体"/>
          <w:sz w:val="24"/>
          <w:szCs w:val="24"/>
          <w:highlight w:val="none"/>
        </w:rPr>
        <w:t>。</w:t>
      </w:r>
    </w:p>
    <w:p w14:paraId="016847EC">
      <w:pPr>
        <w:keepNext w:val="0"/>
        <w:keepLines w:val="0"/>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415C7859">
      <w:pPr>
        <w:pStyle w:val="5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本项目软件正版化三年授权使用费</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万元，不涉及事前绩效评估和风险评估。</w:t>
      </w:r>
    </w:p>
    <w:p w14:paraId="255B0843">
      <w:pPr>
        <w:keepNext w:val="0"/>
        <w:keepLines w:val="0"/>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sz w:val="24"/>
          <w:szCs w:val="24"/>
        </w:rPr>
        <w:t>（3）绩效目标合理性</w:t>
      </w:r>
      <w:r>
        <w:rPr>
          <w:rFonts w:hint="eastAsia" w:ascii="宋体" w:hAnsi="宋体" w:eastAsia="宋体" w:cs="宋体"/>
          <w:sz w:val="24"/>
          <w:szCs w:val="24"/>
        </w:rPr>
        <w:t>：</w:t>
      </w:r>
    </w:p>
    <w:p w14:paraId="19490631">
      <w:pPr>
        <w:pStyle w:val="57"/>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①该项目已设置年度绩效目标，具体内容为“根据</w:t>
      </w:r>
      <w:r>
        <w:rPr>
          <w:rFonts w:hint="eastAsia" w:ascii="宋体" w:hAnsi="宋体" w:eastAsia="宋体" w:cs="宋体"/>
          <w:color w:val="000000"/>
          <w:sz w:val="24"/>
          <w:szCs w:val="24"/>
        </w:rPr>
        <w:t>《国务院政府机关使用正版软件管理办法》</w:t>
      </w:r>
      <w:r>
        <w:rPr>
          <w:rFonts w:hint="eastAsia" w:ascii="宋体" w:hAnsi="宋体" w:eastAsia="宋体" w:cs="宋体"/>
          <w:color w:val="auto"/>
          <w:sz w:val="24"/>
          <w:szCs w:val="24"/>
        </w:rPr>
        <w:t>文件实施此项目，本项目主要实施内容为：</w:t>
      </w:r>
      <w:r>
        <w:rPr>
          <w:rFonts w:hint="eastAsia" w:ascii="宋体" w:hAnsi="宋体" w:eastAsia="宋体" w:cs="宋体"/>
          <w:color w:val="auto"/>
          <w:kern w:val="2"/>
          <w:sz w:val="24"/>
          <w:szCs w:val="24"/>
          <w:lang w:val="en-US" w:eastAsia="zh-CN" w:bidi="ar-SA"/>
        </w:rPr>
        <w:t>软件正版化三年授权使用单位数量66家，规范软件使用管理。</w:t>
      </w:r>
    </w:p>
    <w:p w14:paraId="7EC1E66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②该项目实际工作内容为：</w:t>
      </w:r>
      <w:r>
        <w:rPr>
          <w:rFonts w:hint="eastAsia" w:ascii="宋体" w:hAnsi="宋体" w:eastAsia="宋体" w:cs="宋体"/>
          <w:color w:val="auto"/>
          <w:kern w:val="2"/>
          <w:sz w:val="24"/>
          <w:szCs w:val="24"/>
          <w:lang w:val="en-US" w:eastAsia="zh-CN" w:bidi="ar-SA"/>
        </w:rPr>
        <w:t>软件正版化三年授权使用单位数量66家，规范软件使用管理。</w:t>
      </w:r>
      <w:r>
        <w:rPr>
          <w:rFonts w:hint="eastAsia" w:ascii="宋体" w:hAnsi="宋体" w:eastAsia="宋体" w:cs="宋体"/>
          <w:color w:val="auto"/>
          <w:sz w:val="24"/>
          <w:szCs w:val="24"/>
          <w:highlight w:val="none"/>
        </w:rPr>
        <w:t>绩效目标与实际工作内容一致，两者具有相关性。</w:t>
      </w:r>
    </w:p>
    <w:p w14:paraId="05AF64A2">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rPr>
        <w:t>③该项目按照绩效目标完成</w:t>
      </w:r>
      <w:r>
        <w:rPr>
          <w:rFonts w:hint="eastAsia" w:ascii="宋体" w:hAnsi="宋体" w:eastAsia="宋体" w:cs="宋体"/>
          <w:color w:val="auto"/>
          <w:kern w:val="2"/>
          <w:sz w:val="24"/>
          <w:szCs w:val="24"/>
          <w:lang w:val="en-US" w:eastAsia="zh-CN" w:bidi="ar-SA"/>
        </w:rPr>
        <w:t>软件正版化三年授权使用单位数量66家，规范软件使用管理。</w:t>
      </w:r>
      <w:r>
        <w:rPr>
          <w:rFonts w:hint="eastAsia" w:ascii="宋体" w:hAnsi="宋体" w:eastAsia="宋体" w:cs="宋体"/>
          <w:sz w:val="24"/>
          <w:szCs w:val="24"/>
          <w:lang w:val="en-US" w:eastAsia="zh-CN"/>
        </w:rPr>
        <w:t>通过项目的实施，规范了66家单位软件使用管理，推动了各级党政机关和企事业单位软件正版化工作规范化、标准化，降低软件使用管理安全风险，防范信息系统和基础设施建设信息安全风险。预期产出效益和效果是否符合正常的业绩水平。</w:t>
      </w:r>
    </w:p>
    <w:p w14:paraId="5106CEAD">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④该项目批复的预算金额为65万元，《项目支出绩效目标表》中预算金额为65万元，预算确定的项目资金与预算确定的项目投资额相匹配。</w:t>
      </w:r>
    </w:p>
    <w:p w14:paraId="42F480DF">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制定了实施方案，明确了总体思路及目标、并对任务进行了详细分解，对目标进行了细化，根据评分标准，该指标不扣分，得3分。</w:t>
      </w:r>
    </w:p>
    <w:p w14:paraId="145C9CF4">
      <w:pPr>
        <w:pageBreakBefore w:val="0"/>
        <w:widowControl w:val="0"/>
        <w:numPr>
          <w:ilvl w:val="0"/>
          <w:numId w:val="7"/>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1D4FBCDF">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经检查我单位年初设置的《项目支出绩效目标表》，得出如下结论：本项目已将年度</w:t>
      </w:r>
      <w:r>
        <w:rPr>
          <w:rFonts w:hint="eastAsia" w:ascii="宋体" w:hAnsi="宋体" w:eastAsia="宋体" w:cs="宋体"/>
          <w:sz w:val="24"/>
          <w:szCs w:val="24"/>
          <w:highlight w:val="none"/>
          <w:lang w:val="en-US" w:eastAsia="zh-CN"/>
        </w:rPr>
        <w:t>绩效目标进行细化为绩效指标体系，共设置一级指标4个，二级指标6个，三级指标7个，定量指标6个，定性指标1个，指标量化率为85.71%，量化率达70%以上，将项目绩效目标细化分解为具体的绩效指标。</w:t>
      </w:r>
    </w:p>
    <w:p w14:paraId="076306E9">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该《项目绩效目标申报表》中，数量指标指标值为使用单位数量≥</w:t>
      </w:r>
      <w:r>
        <w:rPr>
          <w:rFonts w:hint="eastAsia" w:ascii="宋体" w:hAnsi="宋体" w:eastAsia="宋体" w:cs="宋体"/>
          <w:color w:val="auto"/>
          <w:sz w:val="24"/>
          <w:szCs w:val="24"/>
          <w:highlight w:val="none"/>
          <w:lang w:val="en-US" w:eastAsia="zh-CN"/>
        </w:rPr>
        <w:t>66家</w:t>
      </w:r>
      <w:r>
        <w:rPr>
          <w:rFonts w:hint="eastAsia" w:ascii="宋体" w:hAnsi="宋体" w:eastAsia="宋体" w:cs="宋体"/>
          <w:color w:val="auto"/>
          <w:sz w:val="24"/>
          <w:szCs w:val="24"/>
          <w:highlight w:val="none"/>
        </w:rPr>
        <w:t>，三级指标的年度指标值与年度绩效目标中任务数一致（或不完全一致），已设置时效指标“</w:t>
      </w:r>
      <w:r>
        <w:rPr>
          <w:rFonts w:hint="eastAsia" w:ascii="宋体" w:hAnsi="宋体" w:eastAsia="宋体" w:cs="宋体"/>
          <w:color w:val="auto"/>
          <w:sz w:val="24"/>
          <w:szCs w:val="24"/>
          <w:highlight w:val="none"/>
          <w:lang w:val="en-US" w:eastAsia="zh-CN"/>
        </w:rPr>
        <w:t>资金拨付及时率=100%、项目完成时间2024年12月</w:t>
      </w:r>
      <w:r>
        <w:rPr>
          <w:rFonts w:hint="eastAsia" w:ascii="宋体" w:hAnsi="宋体" w:eastAsia="宋体" w:cs="宋体"/>
          <w:color w:val="auto"/>
          <w:sz w:val="24"/>
          <w:szCs w:val="24"/>
          <w:highlight w:val="none"/>
        </w:rPr>
        <w:t>”。已设置的绩效目标具备明确性、可衡量性、可实现性、相关性、时限性。根据评分标准，该指标不扣分，得2分。</w:t>
      </w:r>
    </w:p>
    <w:p w14:paraId="053794B4">
      <w:pPr>
        <w:pageBreakBefore w:val="0"/>
        <w:widowControl w:val="0"/>
        <w:numPr>
          <w:ilvl w:val="0"/>
          <w:numId w:val="0"/>
        </w:numPr>
        <w:kinsoku/>
        <w:wordWrap/>
        <w:topLinePunct w:val="0"/>
        <w:autoSpaceDE/>
        <w:autoSpaceDN/>
        <w:bidi w:val="0"/>
        <w:adjustRightInd/>
        <w:snapToGrid/>
        <w:spacing w:line="360" w:lineRule="auto"/>
        <w:ind w:left="560" w:leftChars="200" w:right="0" w:right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预算编制科学性：</w:t>
      </w:r>
    </w:p>
    <w:p w14:paraId="2A4CC4A2">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本项目软件正版化三年授权使用费</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，即预算编制较科学且经过论证；</w:t>
      </w:r>
    </w:p>
    <w:p w14:paraId="78D78A92">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软件正版化三年授权使用单位数量66家，规范软件使用管理，预算申请与《软件正版化三年授权使用</w:t>
      </w:r>
      <w:r>
        <w:rPr>
          <w:rFonts w:hint="eastAsia" w:ascii="宋体" w:hAnsi="宋体" w:eastAsia="宋体" w:cs="宋体"/>
          <w:color w:val="auto"/>
          <w:sz w:val="24"/>
          <w:szCs w:val="24"/>
          <w:highlight w:val="none"/>
          <w:lang w:eastAsia="zh-CN"/>
        </w:rPr>
        <w:t>费</w:t>
      </w:r>
      <w:r>
        <w:rPr>
          <w:rFonts w:hint="eastAsia" w:ascii="宋体" w:hAnsi="宋体" w:eastAsia="宋体" w:cs="宋体"/>
          <w:color w:val="auto"/>
          <w:sz w:val="24"/>
          <w:szCs w:val="24"/>
          <w:highlight w:val="none"/>
        </w:rPr>
        <w:t>项目实施方案》中涉及的项目内容匹配；</w:t>
      </w:r>
    </w:p>
    <w:p w14:paraId="5AC6E66B">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元，我单位在预算申请中严格按照项目实施内容及测算标准进行核算，其中：</w:t>
      </w:r>
      <w:r>
        <w:rPr>
          <w:rFonts w:hint="eastAsia" w:ascii="宋体" w:hAnsi="宋体" w:eastAsia="宋体" w:cs="宋体"/>
          <w:color w:val="auto"/>
          <w:sz w:val="24"/>
          <w:szCs w:val="24"/>
          <w:highlight w:val="none"/>
          <w:lang w:eastAsia="zh-CN"/>
        </w:rPr>
        <w:t>软件正版化安装预付款</w:t>
      </w:r>
      <w:r>
        <w:rPr>
          <w:rFonts w:hint="eastAsia" w:ascii="宋体" w:hAnsi="宋体" w:eastAsia="宋体" w:cs="宋体"/>
          <w:color w:val="auto"/>
          <w:sz w:val="24"/>
          <w:szCs w:val="24"/>
          <w:highlight w:val="none"/>
          <w:lang w:val="en-US" w:eastAsia="zh-CN"/>
        </w:rPr>
        <w:t>19.35万元、软件正版化安装进度款38.7万元，剩余软件正版化服务费质保金</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。预算确定资金量与实际工作任务相匹配。本项目预算额度测算依据充分，严格按照标准编制，预算确定资金量与实际工作任务相匹配；根据评分标准，该指标不扣分，得3分。</w:t>
      </w:r>
    </w:p>
    <w:p w14:paraId="51A97990">
      <w:pPr>
        <w:pageBreakBefore w:val="0"/>
        <w:widowControl w:val="0"/>
        <w:numPr>
          <w:ilvl w:val="0"/>
          <w:numId w:val="0"/>
        </w:numPr>
        <w:kinsoku/>
        <w:wordWrap/>
        <w:topLinePunct w:val="0"/>
        <w:autoSpaceDE/>
        <w:autoSpaceDN/>
        <w:bidi w:val="0"/>
        <w:adjustRightInd/>
        <w:snapToGrid/>
        <w:spacing w:line="360" w:lineRule="auto"/>
        <w:ind w:left="560" w:leftChars="200" w:right="0" w:right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资金分配合理性：</w:t>
      </w:r>
    </w:p>
    <w:p w14:paraId="1DB0D203">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项目实际分配资金以《关于申请软件正版化三年授权使用</w:t>
      </w:r>
      <w:r>
        <w:rPr>
          <w:rFonts w:hint="eastAsia" w:ascii="宋体" w:hAnsi="宋体" w:eastAsia="宋体" w:cs="宋体"/>
          <w:color w:val="auto"/>
          <w:sz w:val="24"/>
          <w:szCs w:val="24"/>
          <w:highlight w:val="none"/>
          <w:lang w:eastAsia="zh-CN"/>
        </w:rPr>
        <w:t>费</w:t>
      </w:r>
      <w:r>
        <w:rPr>
          <w:rFonts w:hint="eastAsia" w:ascii="宋体" w:hAnsi="宋体" w:eastAsia="宋体" w:cs="宋体"/>
          <w:color w:val="auto"/>
          <w:sz w:val="24"/>
          <w:szCs w:val="24"/>
          <w:highlight w:val="none"/>
        </w:rPr>
        <w:t>项目资金的请示》和《软件正版化三年授权使用</w:t>
      </w:r>
      <w:r>
        <w:rPr>
          <w:rFonts w:hint="eastAsia" w:ascii="宋体" w:hAnsi="宋体" w:eastAsia="宋体" w:cs="宋体"/>
          <w:color w:val="auto"/>
          <w:sz w:val="24"/>
          <w:szCs w:val="24"/>
          <w:highlight w:val="none"/>
          <w:lang w:eastAsia="zh-CN"/>
        </w:rPr>
        <w:t>费</w:t>
      </w:r>
      <w:r>
        <w:rPr>
          <w:rFonts w:hint="eastAsia" w:ascii="宋体" w:hAnsi="宋体" w:eastAsia="宋体" w:cs="宋体"/>
          <w:color w:val="auto"/>
          <w:sz w:val="24"/>
          <w:szCs w:val="24"/>
          <w:highlight w:val="none"/>
        </w:rPr>
        <w:t>项目实施方案》为依据进行资金分配，预算资金分配依据充分。根据国务院政府机关使用正版软件管理办法》，本项目实际到位资金</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万元，资金分配额度合理，与我单位实际需求相适应。资金分配与实际相适应，根据评分标准，该指标不扣分，得2分。</w:t>
      </w:r>
    </w:p>
    <w:p w14:paraId="6F62405C">
      <w:pPr>
        <w:pStyle w:val="49"/>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0404A0BD">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11.79</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98.25</w:t>
      </w:r>
      <w:r>
        <w:rPr>
          <w:rFonts w:hint="eastAsia" w:ascii="宋体" w:hAnsi="宋体" w:eastAsia="宋体" w:cs="宋体"/>
          <w:color w:val="auto"/>
          <w:sz w:val="24"/>
          <w:szCs w:val="24"/>
          <w:highlight w:val="none"/>
        </w:rPr>
        <w:t>%。</w:t>
      </w:r>
    </w:p>
    <w:p w14:paraId="4E13E5BD">
      <w:pPr>
        <w:pageBreakBefore w:val="0"/>
        <w:widowControl w:val="0"/>
        <w:numPr>
          <w:ilvl w:val="0"/>
          <w:numId w:val="0"/>
        </w:numPr>
        <w:kinsoku/>
        <w:wordWrap/>
        <w:topLinePunct w:val="0"/>
        <w:autoSpaceDE/>
        <w:autoSpaceDN/>
        <w:bidi w:val="0"/>
        <w:adjustRightInd/>
        <w:snapToGrid/>
        <w:spacing w:line="360" w:lineRule="auto"/>
        <w:ind w:left="560" w:leftChars="200" w:right="0" w:right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资金到位率：</w:t>
      </w:r>
    </w:p>
    <w:p w14:paraId="0FE18000">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根据评分标准，该指标不扣分，得3分。   </w:t>
      </w:r>
    </w:p>
    <w:p w14:paraId="639C680B">
      <w:pPr>
        <w:pageBreakBefore w:val="0"/>
        <w:widowControl w:val="0"/>
        <w:numPr>
          <w:ilvl w:val="0"/>
          <w:numId w:val="0"/>
        </w:numPr>
        <w:kinsoku/>
        <w:wordWrap/>
        <w:topLinePunct w:val="0"/>
        <w:autoSpaceDE/>
        <w:autoSpaceDN/>
        <w:bidi w:val="0"/>
        <w:adjustRightInd/>
        <w:snapToGrid/>
        <w:spacing w:line="360" w:lineRule="auto"/>
        <w:ind w:left="560" w:leftChars="200" w:right="0" w:right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预算执行率：</w:t>
      </w:r>
    </w:p>
    <w:p w14:paraId="2845120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58.05</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58.05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89.31%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预算编制较为详细，项目资金支出总体能够按照预算执行，根据评分标准，该指标不扣分，得3分。</w:t>
      </w:r>
    </w:p>
    <w:p w14:paraId="6A61364F">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资金使用合规性：</w:t>
      </w:r>
    </w:p>
    <w:p w14:paraId="552EF7DA">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制定了相关的制度和管理规定对经费使用进行规范管理，财务制度健全、执行严格，根据评分标准，该指标不扣分，得4分。</w:t>
      </w:r>
    </w:p>
    <w:p w14:paraId="070B9FC9">
      <w:pPr>
        <w:pageBreakBefore w:val="0"/>
        <w:widowControl w:val="0"/>
        <w:numPr>
          <w:ilvl w:val="0"/>
          <w:numId w:val="0"/>
        </w:numPr>
        <w:kinsoku/>
        <w:wordWrap/>
        <w:topLinePunct w:val="0"/>
        <w:autoSpaceDE/>
        <w:autoSpaceDN/>
        <w:bidi w:val="0"/>
        <w:adjustRightInd/>
        <w:snapToGrid/>
        <w:spacing w:line="360" w:lineRule="auto"/>
        <w:ind w:left="560" w:leftChars="200" w:right="0" w:right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管理制度健全性：</w:t>
      </w:r>
    </w:p>
    <w:p w14:paraId="4535B0ED">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制度均符合行政事业单位内控管理要求，财务和业务管理制度合法、合规、完整，本项目执行符合上述制度规定。根据评分标准，该指标不扣分，得5分。</w:t>
      </w:r>
    </w:p>
    <w:p w14:paraId="40B88461">
      <w:pPr>
        <w:pageBreakBefore w:val="0"/>
        <w:widowControl w:val="0"/>
        <w:numPr>
          <w:ilvl w:val="0"/>
          <w:numId w:val="6"/>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制度执行有效性：</w:t>
      </w:r>
    </w:p>
    <w:p w14:paraId="3F21C7DA">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15E57ADB">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03E51CF7">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③该项目实施过程中不存在调整事项。</w:t>
      </w:r>
    </w:p>
    <w:p w14:paraId="23666310">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val="en-US" w:eastAsia="zh-CN"/>
        </w:rPr>
        <w:t>软件正版化三年服务费</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eastAsia="zh-CN"/>
        </w:rPr>
        <w:t>王和志</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吾尔古丽</w:t>
      </w:r>
      <w:r>
        <w:rPr>
          <w:rFonts w:hint="eastAsia" w:ascii="宋体" w:hAnsi="宋体" w:eastAsia="宋体" w:cs="宋体"/>
          <w:color w:val="auto"/>
          <w:sz w:val="24"/>
          <w:szCs w:val="24"/>
          <w:highlight w:val="none"/>
          <w:lang w:val="en-US" w:eastAsia="zh-CN"/>
        </w:rPr>
        <w:t>·吐送尼亚孜</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陈小康</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刘丽</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65DF40EC">
      <w:pPr>
        <w:pStyle w:val="49"/>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DD32249">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37.5</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93.75</w:t>
      </w:r>
      <w:r>
        <w:rPr>
          <w:rFonts w:hint="eastAsia" w:ascii="宋体" w:hAnsi="宋体" w:eastAsia="宋体" w:cs="宋体"/>
          <w:color w:val="auto"/>
          <w:sz w:val="24"/>
          <w:szCs w:val="24"/>
          <w:highlight w:val="none"/>
        </w:rPr>
        <w:t>%。</w:t>
      </w:r>
    </w:p>
    <w:p w14:paraId="44EEC0BE">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）对于“产出数量”</w:t>
      </w:r>
    </w:p>
    <w:p w14:paraId="2C51D3DF">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使用单位数量</w:t>
      </w:r>
      <w:r>
        <w:rPr>
          <w:rFonts w:hint="eastAsia" w:ascii="宋体" w:hAnsi="宋体" w:eastAsia="宋体" w:cs="宋体"/>
          <w:color w:val="auto"/>
          <w:sz w:val="24"/>
          <w:szCs w:val="24"/>
          <w:highlight w:val="none"/>
          <w:lang w:val="en-US" w:eastAsia="zh-CN"/>
        </w:rPr>
        <w:t>指标，预期指标值为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66家</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66家</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w:t>
      </w:r>
      <w:r>
        <w:rPr>
          <w:rFonts w:hint="eastAsia" w:ascii="宋体" w:hAnsi="宋体" w:eastAsia="宋体" w:cs="宋体"/>
          <w:color w:val="auto"/>
          <w:sz w:val="24"/>
          <w:szCs w:val="24"/>
          <w:highlight w:val="none"/>
          <w:lang w:eastAsia="zh-CN"/>
        </w:rPr>
        <w:t>不</w:t>
      </w:r>
      <w:r>
        <w:rPr>
          <w:rFonts w:hint="eastAsia" w:ascii="宋体" w:hAnsi="宋体" w:eastAsia="宋体" w:cs="宋体"/>
          <w:color w:val="auto"/>
          <w:sz w:val="24"/>
          <w:szCs w:val="24"/>
          <w:highlight w:val="none"/>
        </w:rPr>
        <w:t>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996B91A">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BA3B8B4">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lang w:eastAsia="zh-CN"/>
        </w:rPr>
        <w:t>）对于“产出质量”：</w:t>
      </w:r>
    </w:p>
    <w:p w14:paraId="61C32D9F">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5F3386E">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655E7E50">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对于“产出时效”：</w:t>
      </w:r>
    </w:p>
    <w:p w14:paraId="111FE048">
      <w:pPr>
        <w:pStyle w:val="10"/>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w:t>
      </w:r>
      <w:r>
        <w:rPr>
          <w:rFonts w:hint="eastAsia" w:ascii="宋体" w:hAnsi="宋体" w:eastAsia="宋体" w:cs="宋体"/>
          <w:b w:val="0"/>
          <w:color w:val="auto"/>
          <w:kern w:val="2"/>
          <w:sz w:val="24"/>
          <w:szCs w:val="24"/>
          <w:highlight w:val="none"/>
          <w:lang w:val="en-US" w:eastAsia="zh-CN" w:bidi="ar-SA"/>
        </w:rPr>
        <w:t>指标</w:t>
      </w:r>
      <w:r>
        <w:rPr>
          <w:rFonts w:hint="eastAsia" w:ascii="宋体" w:hAnsi="宋体" w:eastAsia="宋体" w:cs="宋体"/>
          <w:b w:val="0"/>
          <w:color w:val="auto"/>
          <w:sz w:val="24"/>
          <w:szCs w:val="24"/>
          <w:highlight w:val="none"/>
        </w:rPr>
        <w:t>，预期指标值为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24C1238F">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资金支付及时率指标，预期指标值为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ED823AB">
      <w:pPr>
        <w:pStyle w:val="10"/>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5CB79C7F">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6696156D">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购买软件正版化三年授权使用费指标，预期指标值为≤</w:t>
      </w:r>
      <w:r>
        <w:rPr>
          <w:rFonts w:hint="eastAsia" w:ascii="宋体" w:hAnsi="宋体" w:eastAsia="宋体" w:cs="宋体"/>
          <w:color w:val="auto"/>
          <w:sz w:val="24"/>
          <w:szCs w:val="24"/>
          <w:highlight w:val="none"/>
          <w:lang w:val="en-US" w:eastAsia="zh-CN"/>
        </w:rPr>
        <w:t>65万元</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58.05万元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89.31%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本年支付</w:t>
      </w:r>
      <w:r>
        <w:rPr>
          <w:rFonts w:hint="eastAsia" w:ascii="宋体" w:hAnsi="宋体" w:eastAsia="宋体" w:cs="宋体"/>
          <w:color w:val="auto"/>
          <w:sz w:val="24"/>
          <w:szCs w:val="24"/>
          <w:highlight w:val="none"/>
          <w:lang w:eastAsia="zh-CN"/>
        </w:rPr>
        <w:t>放映员补贴</w:t>
      </w:r>
      <w:r>
        <w:rPr>
          <w:rFonts w:hint="eastAsia" w:ascii="宋体" w:hAnsi="宋体" w:eastAsia="宋体" w:cs="宋体"/>
          <w:color w:val="auto"/>
          <w:sz w:val="24"/>
          <w:szCs w:val="24"/>
          <w:highlight w:val="none"/>
          <w:lang w:val="en-US" w:eastAsia="zh-CN"/>
        </w:rPr>
        <w:t>58.05万元（其中包括社保）</w:t>
      </w:r>
      <w:r>
        <w:rPr>
          <w:rFonts w:hint="eastAsia" w:ascii="宋体" w:hAnsi="宋体" w:eastAsia="宋体" w:cs="宋体"/>
          <w:color w:val="auto"/>
          <w:sz w:val="24"/>
          <w:szCs w:val="24"/>
          <w:highlight w:val="none"/>
        </w:rPr>
        <w:t>，项目经费都能控制绩效目标范围内，根据评分标准，该指标扣</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7.5</w:t>
      </w:r>
      <w:r>
        <w:rPr>
          <w:rFonts w:hint="eastAsia" w:ascii="宋体" w:hAnsi="宋体" w:eastAsia="宋体" w:cs="宋体"/>
          <w:color w:val="auto"/>
          <w:sz w:val="24"/>
          <w:szCs w:val="24"/>
          <w:highlight w:val="none"/>
        </w:rPr>
        <w:t>分。</w:t>
      </w:r>
    </w:p>
    <w:p w14:paraId="578EF2E9">
      <w:pPr>
        <w:pStyle w:val="10"/>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7.5</w:t>
      </w:r>
      <w:r>
        <w:rPr>
          <w:rFonts w:hint="eastAsia" w:ascii="宋体" w:hAnsi="宋体" w:eastAsia="宋体" w:cs="宋体"/>
          <w:b w:val="0"/>
          <w:bCs/>
          <w:color w:val="auto"/>
          <w:sz w:val="24"/>
          <w:szCs w:val="24"/>
          <w:highlight w:val="none"/>
        </w:rPr>
        <w:t>分。</w:t>
      </w:r>
    </w:p>
    <w:p w14:paraId="7A3450EC">
      <w:pPr>
        <w:pStyle w:val="49"/>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3384E652">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个方面的内容，由2个三级指标构成，权重分为</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分，得分率为100%。</w:t>
      </w:r>
    </w:p>
    <w:p w14:paraId="4DF5B089">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5A6AC277">
      <w:pPr>
        <w:pStyle w:val="10"/>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降低软件使用管理安全风险指标，预期指标值为效果显著，实际完成值为效果显著，指标完成率为100%，与预期指标一致，根据评分标准，该指标不扣分，得15分。</w:t>
      </w:r>
    </w:p>
    <w:p w14:paraId="05E96747">
      <w:pPr>
        <w:pStyle w:val="10"/>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2</w:t>
      </w:r>
      <w:r>
        <w:rPr>
          <w:rFonts w:hint="eastAsia" w:ascii="宋体" w:hAnsi="宋体" w:eastAsia="宋体" w:cs="宋体"/>
          <w:bCs/>
          <w:sz w:val="24"/>
          <w:szCs w:val="24"/>
        </w:rPr>
        <w:t>）满意度指标分析</w:t>
      </w:r>
      <w:bookmarkEnd w:id="13"/>
    </w:p>
    <w:p w14:paraId="22E9E6E3">
      <w:pPr>
        <w:pStyle w:val="2"/>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对于满意度指标：使用单位满意度，预期指标值为95%，实际完成值为≥95%，指标完成率为100%，与预期目标一致，根据评分标准，该指标不扣分,得10分。</w:t>
      </w:r>
    </w:p>
    <w:p w14:paraId="3E3BC97F">
      <w:pPr>
        <w:pStyle w:val="2"/>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sz w:val="24"/>
          <w:szCs w:val="24"/>
        </w:rPr>
      </w:pPr>
    </w:p>
    <w:p w14:paraId="141228F0">
      <w:pPr>
        <w:pStyle w:val="2"/>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56846F91">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val="en-US" w:eastAsia="zh-CN"/>
        </w:rPr>
        <w:t>65</w:t>
      </w:r>
      <w:r>
        <w:rPr>
          <w:rFonts w:hint="eastAsia" w:ascii="宋体" w:hAnsi="宋体" w:eastAsia="宋体" w:cs="宋体"/>
          <w:sz w:val="24"/>
          <w:szCs w:val="24"/>
        </w:rPr>
        <w:t>万元，全年预算数为</w:t>
      </w:r>
      <w:r>
        <w:rPr>
          <w:rFonts w:hint="eastAsia" w:ascii="宋体" w:hAnsi="宋体" w:eastAsia="宋体" w:cs="宋体"/>
          <w:sz w:val="24"/>
          <w:szCs w:val="24"/>
          <w:lang w:val="en-US" w:eastAsia="zh-CN"/>
        </w:rPr>
        <w:t>65</w:t>
      </w:r>
      <w:r>
        <w:rPr>
          <w:rFonts w:hint="eastAsia" w:ascii="宋体" w:hAnsi="宋体" w:eastAsia="宋体" w:cs="宋体"/>
          <w:sz w:val="24"/>
          <w:szCs w:val="24"/>
        </w:rPr>
        <w:t>万元，全年执行数为</w:t>
      </w:r>
      <w:r>
        <w:rPr>
          <w:rFonts w:hint="eastAsia" w:ascii="宋体" w:hAnsi="宋体" w:eastAsia="宋体" w:cs="宋体"/>
          <w:sz w:val="24"/>
          <w:szCs w:val="24"/>
          <w:lang w:val="en-US" w:eastAsia="zh-CN"/>
        </w:rPr>
        <w:t>58.05</w:t>
      </w:r>
      <w:r>
        <w:rPr>
          <w:rFonts w:hint="eastAsia" w:ascii="宋体" w:hAnsi="宋体" w:eastAsia="宋体" w:cs="宋体"/>
          <w:sz w:val="24"/>
          <w:szCs w:val="24"/>
        </w:rPr>
        <w:t>万元，预算执行率为</w:t>
      </w:r>
      <w:r>
        <w:rPr>
          <w:rFonts w:hint="eastAsia" w:ascii="宋体" w:hAnsi="宋体" w:eastAsia="宋体" w:cs="宋体"/>
          <w:sz w:val="24"/>
          <w:szCs w:val="24"/>
          <w:lang w:val="en-US" w:eastAsia="zh-CN"/>
        </w:rPr>
        <w:t>89.31</w:t>
      </w:r>
      <w:r>
        <w:rPr>
          <w:rFonts w:hint="eastAsia" w:ascii="宋体" w:hAnsi="宋体" w:eastAsia="宋体" w:cs="宋体"/>
          <w:sz w:val="24"/>
          <w:szCs w:val="24"/>
        </w:rPr>
        <w:t>%。</w:t>
      </w:r>
    </w:p>
    <w:p w14:paraId="3AEDE4EA">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7</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6</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1</w:t>
      </w:r>
      <w:r>
        <w:rPr>
          <w:rFonts w:hint="eastAsia" w:ascii="宋体" w:hAnsi="宋体" w:eastAsia="宋体" w:cs="宋体"/>
          <w:sz w:val="24"/>
          <w:szCs w:val="24"/>
        </w:rPr>
        <w:t>个，经分析计算所有三级指标完成率得出，本项目总体完成率为</w:t>
      </w:r>
      <w:r>
        <w:rPr>
          <w:rFonts w:hint="eastAsia" w:ascii="宋体" w:hAnsi="宋体" w:eastAsia="宋体" w:cs="宋体"/>
          <w:sz w:val="24"/>
          <w:szCs w:val="24"/>
          <w:lang w:val="en-US" w:eastAsia="zh-CN"/>
        </w:rPr>
        <w:t>98.57</w:t>
      </w:r>
      <w:r>
        <w:rPr>
          <w:rFonts w:hint="eastAsia" w:ascii="宋体" w:hAnsi="宋体" w:eastAsia="宋体" w:cs="宋体"/>
          <w:sz w:val="24"/>
          <w:szCs w:val="24"/>
        </w:rPr>
        <w:t>%。</w:t>
      </w:r>
    </w:p>
    <w:p w14:paraId="41E996A5">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val="en-US" w:eastAsia="zh-CN"/>
        </w:rPr>
        <w:t>9.26</w:t>
      </w:r>
      <w:r>
        <w:rPr>
          <w:rFonts w:hint="eastAsia" w:ascii="宋体" w:hAnsi="宋体" w:eastAsia="宋体" w:cs="宋体"/>
          <w:sz w:val="24"/>
          <w:szCs w:val="24"/>
        </w:rPr>
        <w:t>%。</w:t>
      </w:r>
      <w:bookmarkStart w:id="14" w:name="_Toc68364673"/>
    </w:p>
    <w:p w14:paraId="21498FB7">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黑体" w:hAnsi="黑体" w:eastAsia="黑体" w:cs="黑体"/>
          <w:b/>
          <w:bCs/>
          <w:kern w:val="44"/>
          <w:sz w:val="24"/>
          <w:szCs w:val="24"/>
          <w:lang w:val="en-US" w:eastAsia="zh-CN" w:bidi="ar-SA"/>
        </w:rPr>
      </w:pPr>
    </w:p>
    <w:p w14:paraId="356511BA">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黑体" w:hAnsi="黑体" w:eastAsia="黑体" w:cs="黑体"/>
          <w:b/>
          <w:bCs/>
          <w:kern w:val="44"/>
          <w:sz w:val="24"/>
          <w:szCs w:val="24"/>
          <w:lang w:val="en-US" w:eastAsia="zh-CN" w:bidi="ar-SA"/>
        </w:rPr>
      </w:pPr>
      <w:r>
        <w:rPr>
          <w:rFonts w:hint="eastAsia" w:ascii="黑体" w:hAnsi="黑体" w:eastAsia="黑体" w:cs="黑体"/>
          <w:b/>
          <w:bCs/>
          <w:kern w:val="44"/>
          <w:sz w:val="24"/>
          <w:szCs w:val="24"/>
          <w:lang w:val="en-US" w:eastAsia="zh-CN" w:bidi="ar-SA"/>
        </w:rPr>
        <w:t>六、主要经验及做法、存在的问题及原因分析</w:t>
      </w:r>
    </w:p>
    <w:p w14:paraId="1B744307">
      <w:pPr>
        <w:pStyle w:val="49"/>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（一）主要经验及做法</w:t>
      </w:r>
      <w:bookmarkEnd w:id="14"/>
    </w:p>
    <w:p w14:paraId="134BE04E">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一是本项目能够严格按照《项目实施方案》执行，项目执行情况较好。</w:t>
      </w:r>
    </w:p>
    <w:p w14:paraId="2A0F2E62">
      <w:pPr>
        <w:pStyle w:val="46"/>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二是加强组织领导，本项目绩效评价工作，有主要领导亲自挂帅，分管领导具体负责，从项目到资金，均能够很好的执行。</w:t>
      </w:r>
    </w:p>
    <w:p w14:paraId="6EEBE4D8">
      <w:pPr>
        <w:pStyle w:val="49"/>
        <w:pageBreakBefore w:val="0"/>
        <w:widowControl w:val="0"/>
        <w:numPr>
          <w:ilvl w:val="0"/>
          <w:numId w:val="8"/>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bookmarkStart w:id="15" w:name="_Toc68364674"/>
      <w:r>
        <w:rPr>
          <w:rFonts w:hint="eastAsia" w:ascii="宋体" w:hAnsi="宋体" w:eastAsia="宋体" w:cs="宋体"/>
          <w:sz w:val="24"/>
          <w:szCs w:val="24"/>
        </w:rPr>
        <w:t>存在问题及原因分析</w:t>
      </w:r>
      <w:bookmarkEnd w:id="15"/>
    </w:p>
    <w:p w14:paraId="2BD22805">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1.项目资金管理环节：</w:t>
      </w:r>
    </w:p>
    <w:p w14:paraId="3CCAA590">
      <w:pPr>
        <w:pStyle w:val="46"/>
        <w:pageBreakBefore w:val="0"/>
        <w:widowControl w:val="0"/>
        <w:numPr>
          <w:ilvl w:val="0"/>
          <w:numId w:val="0"/>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黑体" w:hAnsi="黑体" w:eastAsia="黑体" w:cs="黑体"/>
          <w:sz w:val="24"/>
          <w:szCs w:val="24"/>
        </w:rPr>
      </w:pPr>
      <w:r>
        <w:rPr>
          <w:rFonts w:hint="eastAsia" w:ascii="宋体" w:hAnsi="宋体" w:eastAsia="宋体" w:cs="宋体"/>
          <w:b w:val="0"/>
          <w:color w:val="000000"/>
          <w:kern w:val="2"/>
          <w:sz w:val="24"/>
          <w:szCs w:val="24"/>
          <w:highlight w:val="none"/>
          <w:lang w:val="en-US" w:eastAsia="zh-CN" w:bidi="ar-SA"/>
        </w:rPr>
        <w:t>缺乏有效的资金监控机制，无法实时掌握资金流向和使用情况；</w:t>
      </w:r>
      <w:bookmarkStart w:id="16" w:name="_Toc68364675"/>
    </w:p>
    <w:p w14:paraId="326C9F6E">
      <w:pPr>
        <w:pStyle w:val="2"/>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黑体" w:cs="宋体"/>
          <w:b w:val="0"/>
          <w:bCs w:val="0"/>
          <w:color w:val="FF0000"/>
          <w:sz w:val="24"/>
          <w:szCs w:val="24"/>
          <w:lang w:eastAsia="zh-CN"/>
        </w:rPr>
      </w:pPr>
      <w:r>
        <w:rPr>
          <w:rFonts w:hint="eastAsia" w:ascii="黑体" w:hAnsi="黑体" w:eastAsia="黑体" w:cs="黑体"/>
          <w:sz w:val="24"/>
          <w:szCs w:val="24"/>
        </w:rPr>
        <w:t>七、有关</w:t>
      </w:r>
      <w:bookmarkEnd w:id="16"/>
      <w:r>
        <w:rPr>
          <w:rFonts w:hint="eastAsia" w:ascii="黑体" w:hAnsi="黑体" w:eastAsia="黑体" w:cs="黑体"/>
          <w:sz w:val="24"/>
          <w:szCs w:val="24"/>
          <w:lang w:eastAsia="zh-CN"/>
        </w:rPr>
        <w:t>建议</w:t>
      </w:r>
    </w:p>
    <w:p w14:paraId="7CDE5C5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bookmarkStart w:id="17" w:name="_Toc68364676"/>
      <w:r>
        <w:rPr>
          <w:rFonts w:hint="eastAsia" w:ascii="宋体" w:hAnsi="宋体" w:eastAsia="宋体" w:cs="宋体"/>
          <w:color w:val="auto"/>
          <w:sz w:val="24"/>
          <w:szCs w:val="24"/>
          <w:highlight w:val="none"/>
          <w:lang w:val="en-US" w:eastAsia="zh-CN"/>
        </w:rPr>
        <w:t>1.完善绩效评价工作制度</w:t>
      </w:r>
    </w:p>
    <w:p w14:paraId="4879E12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2.加强资金管理：强化资金管理意识，加强与财政局的沟通，确保及时下达资金，合理、科学地使用资金。</w:t>
      </w:r>
    </w:p>
    <w:p w14:paraId="19459D9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3.提升管理队伍素质：加强本单位工作人员的专业知识培训，提升业务能力，合理分配资金使用。</w:t>
      </w:r>
    </w:p>
    <w:p w14:paraId="428F1D37">
      <w:pPr>
        <w:pStyle w:val="2"/>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p>
    <w:p w14:paraId="4154BA3E">
      <w:pPr>
        <w:pStyle w:val="2"/>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八、其他需要说明的问题</w:t>
      </w:r>
      <w:bookmarkEnd w:id="17"/>
    </w:p>
    <w:p w14:paraId="0EDFA18C">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29F1C920">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附件1：软件正版化三年授权使用费项目绩效评价指标体系</w:t>
      </w:r>
    </w:p>
    <w:p w14:paraId="7C3CB75B">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附件2：软件正版化三年授权使用费项目综合得分表</w:t>
      </w:r>
    </w:p>
    <w:p w14:paraId="42985DB2">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附件3：满意度调查问分析情况</w:t>
      </w:r>
    </w:p>
    <w:p w14:paraId="2D362631">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p>
    <w:p w14:paraId="41DD80D9">
      <w:pPr>
        <w:pStyle w:val="10"/>
        <w:ind w:left="0" w:leftChars="0" w:firstLine="0" w:firstLineChars="0"/>
        <w:jc w:val="both"/>
        <w:rPr>
          <w:rFonts w:hint="eastAsia" w:ascii="宋体" w:hAnsi="宋体" w:eastAsia="宋体" w:cs="宋体"/>
          <w:sz w:val="24"/>
          <w:szCs w:val="24"/>
        </w:rPr>
      </w:pPr>
    </w:p>
    <w:p w14:paraId="68093ECD">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4"/>
        <w:tblW w:w="5236" w:type="pct"/>
        <w:tblInd w:w="-1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1"/>
        <w:gridCol w:w="616"/>
        <w:gridCol w:w="815"/>
        <w:gridCol w:w="566"/>
        <w:gridCol w:w="764"/>
        <w:gridCol w:w="734"/>
        <w:gridCol w:w="2133"/>
        <w:gridCol w:w="1098"/>
        <w:gridCol w:w="4664"/>
        <w:gridCol w:w="848"/>
        <w:gridCol w:w="930"/>
      </w:tblGrid>
      <w:tr w14:paraId="406E9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17" w:type="pct"/>
            <w:gridSpan w:val="2"/>
            <w:tcBorders>
              <w:top w:val="nil"/>
              <w:left w:val="nil"/>
              <w:bottom w:val="nil"/>
              <w:right w:val="nil"/>
            </w:tcBorders>
            <w:noWrap/>
            <w:vAlign w:val="center"/>
          </w:tcPr>
          <w:p w14:paraId="562F9EDE">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附件1：</w:t>
            </w:r>
          </w:p>
        </w:tc>
        <w:tc>
          <w:tcPr>
            <w:tcW w:w="291" w:type="pct"/>
            <w:tcBorders>
              <w:top w:val="nil"/>
              <w:left w:val="nil"/>
              <w:bottom w:val="nil"/>
              <w:right w:val="nil"/>
            </w:tcBorders>
            <w:noWrap/>
            <w:vAlign w:val="center"/>
          </w:tcPr>
          <w:p w14:paraId="3AC7B2E4">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202" w:type="pct"/>
            <w:tcBorders>
              <w:top w:val="nil"/>
              <w:left w:val="nil"/>
              <w:bottom w:val="nil"/>
              <w:right w:val="nil"/>
            </w:tcBorders>
            <w:noWrap/>
            <w:vAlign w:val="center"/>
          </w:tcPr>
          <w:p w14:paraId="1F8DBE2E">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273" w:type="pct"/>
            <w:tcBorders>
              <w:top w:val="nil"/>
              <w:left w:val="nil"/>
              <w:bottom w:val="nil"/>
              <w:right w:val="nil"/>
            </w:tcBorders>
            <w:noWrap/>
            <w:vAlign w:val="center"/>
          </w:tcPr>
          <w:p w14:paraId="6D244DDF">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262" w:type="pct"/>
            <w:tcBorders>
              <w:top w:val="nil"/>
              <w:left w:val="nil"/>
              <w:bottom w:val="nil"/>
              <w:right w:val="nil"/>
            </w:tcBorders>
            <w:noWrap/>
            <w:vAlign w:val="center"/>
          </w:tcPr>
          <w:p w14:paraId="5414E157">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762" w:type="pct"/>
            <w:tcBorders>
              <w:top w:val="nil"/>
              <w:left w:val="nil"/>
              <w:bottom w:val="nil"/>
              <w:right w:val="nil"/>
            </w:tcBorders>
            <w:noWrap/>
            <w:vAlign w:val="center"/>
          </w:tcPr>
          <w:p w14:paraId="55378FDB">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eastAsia" w:ascii="宋体" w:hAnsi="宋体" w:eastAsia="宋体" w:cs="宋体"/>
                <w:i w:val="0"/>
                <w:iCs w:val="0"/>
                <w:color w:val="000000"/>
                <w:sz w:val="21"/>
                <w:szCs w:val="21"/>
                <w:u w:val="none"/>
              </w:rPr>
            </w:pPr>
          </w:p>
        </w:tc>
        <w:tc>
          <w:tcPr>
            <w:tcW w:w="392" w:type="pct"/>
            <w:tcBorders>
              <w:top w:val="nil"/>
              <w:left w:val="nil"/>
              <w:bottom w:val="nil"/>
              <w:right w:val="nil"/>
            </w:tcBorders>
            <w:noWrap/>
            <w:vAlign w:val="center"/>
          </w:tcPr>
          <w:p w14:paraId="52D00EF6">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1666" w:type="pct"/>
            <w:tcBorders>
              <w:top w:val="nil"/>
              <w:left w:val="nil"/>
              <w:bottom w:val="nil"/>
              <w:right w:val="nil"/>
            </w:tcBorders>
            <w:noWrap/>
            <w:vAlign w:val="center"/>
          </w:tcPr>
          <w:p w14:paraId="142D0BB2">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303" w:type="pct"/>
            <w:tcBorders>
              <w:top w:val="nil"/>
              <w:left w:val="nil"/>
              <w:bottom w:val="nil"/>
              <w:right w:val="nil"/>
            </w:tcBorders>
            <w:noWrap/>
            <w:vAlign w:val="center"/>
          </w:tcPr>
          <w:p w14:paraId="7317881D">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327" w:type="pct"/>
            <w:tcBorders>
              <w:top w:val="nil"/>
              <w:left w:val="nil"/>
              <w:bottom w:val="nil"/>
              <w:right w:val="nil"/>
            </w:tcBorders>
            <w:noWrap/>
            <w:vAlign w:val="center"/>
          </w:tcPr>
          <w:p w14:paraId="51199325">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r>
      <w:tr w14:paraId="0F738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116531D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FF0000"/>
                <w:sz w:val="21"/>
                <w:szCs w:val="21"/>
                <w:u w:val="none"/>
              </w:rPr>
            </w:pPr>
            <w:r>
              <w:rPr>
                <w:rStyle w:val="59"/>
                <w:rFonts w:hint="eastAsia" w:ascii="宋体" w:hAnsi="宋体" w:eastAsia="宋体" w:cs="宋体"/>
                <w:i w:val="0"/>
                <w:iCs w:val="0"/>
                <w:sz w:val="21"/>
                <w:szCs w:val="21"/>
                <w:lang w:val="en-US" w:eastAsia="zh-CN"/>
              </w:rPr>
              <w:t>软件正版化三年授权使用费项目绩</w:t>
            </w:r>
            <w:r>
              <w:rPr>
                <w:rStyle w:val="59"/>
                <w:rFonts w:hint="eastAsia" w:ascii="宋体" w:hAnsi="宋体" w:eastAsia="宋体" w:cs="宋体"/>
                <w:sz w:val="21"/>
                <w:szCs w:val="21"/>
                <w:lang w:val="en-US" w:eastAsia="zh-CN"/>
              </w:rPr>
              <w:t>效评价指标体系综合评分表</w:t>
            </w:r>
          </w:p>
        </w:tc>
      </w:tr>
      <w:tr w14:paraId="502AF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97" w:type="pct"/>
            <w:tcBorders>
              <w:top w:val="single" w:color="auto" w:sz="4" w:space="0"/>
              <w:left w:val="single" w:color="auto" w:sz="4" w:space="0"/>
              <w:bottom w:val="single" w:color="auto" w:sz="4" w:space="0"/>
              <w:right w:val="single" w:color="auto" w:sz="4" w:space="0"/>
            </w:tcBorders>
            <w:noWrap w:val="0"/>
            <w:vAlign w:val="center"/>
          </w:tcPr>
          <w:p w14:paraId="05FF8B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220" w:type="pct"/>
            <w:tcBorders>
              <w:top w:val="single" w:color="auto" w:sz="4" w:space="0"/>
              <w:left w:val="single" w:color="auto" w:sz="4" w:space="0"/>
              <w:bottom w:val="single" w:color="auto" w:sz="4" w:space="0"/>
              <w:right w:val="single" w:color="auto" w:sz="4" w:space="0"/>
            </w:tcBorders>
            <w:noWrap w:val="0"/>
            <w:vAlign w:val="center"/>
          </w:tcPr>
          <w:p w14:paraId="42861E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91" w:type="pct"/>
            <w:tcBorders>
              <w:top w:val="single" w:color="auto" w:sz="4" w:space="0"/>
              <w:left w:val="single" w:color="auto" w:sz="4" w:space="0"/>
              <w:bottom w:val="single" w:color="auto" w:sz="4" w:space="0"/>
              <w:right w:val="single" w:color="auto" w:sz="4" w:space="0"/>
            </w:tcBorders>
            <w:noWrap w:val="0"/>
            <w:vAlign w:val="center"/>
          </w:tcPr>
          <w:p w14:paraId="4650EE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202" w:type="pct"/>
            <w:tcBorders>
              <w:top w:val="single" w:color="auto" w:sz="4" w:space="0"/>
              <w:left w:val="single" w:color="auto" w:sz="4" w:space="0"/>
              <w:bottom w:val="single" w:color="auto" w:sz="4" w:space="0"/>
              <w:right w:val="single" w:color="auto" w:sz="4" w:space="0"/>
            </w:tcBorders>
            <w:noWrap w:val="0"/>
            <w:vAlign w:val="center"/>
          </w:tcPr>
          <w:p w14:paraId="45BCBE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519D66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3B07FA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1A1639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3AFD2A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50FCF8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673081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13C904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6ED00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8" w:hRule="atLeast"/>
        </w:trPr>
        <w:tc>
          <w:tcPr>
            <w:tcW w:w="297" w:type="pct"/>
            <w:vMerge w:val="restart"/>
            <w:tcBorders>
              <w:top w:val="single" w:color="auto" w:sz="4" w:space="0"/>
              <w:left w:val="single" w:color="auto" w:sz="4" w:space="0"/>
              <w:bottom w:val="single" w:color="auto" w:sz="4" w:space="0"/>
              <w:right w:val="single" w:color="auto" w:sz="4" w:space="0"/>
            </w:tcBorders>
            <w:noWrap w:val="0"/>
            <w:vAlign w:val="center"/>
          </w:tcPr>
          <w:p w14:paraId="23ACED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220" w:type="pct"/>
            <w:vMerge w:val="restart"/>
            <w:tcBorders>
              <w:top w:val="single" w:color="auto" w:sz="4" w:space="0"/>
              <w:left w:val="single" w:color="auto" w:sz="4" w:space="0"/>
              <w:bottom w:val="single" w:color="auto" w:sz="4" w:space="0"/>
              <w:right w:val="single" w:color="auto" w:sz="4" w:space="0"/>
            </w:tcBorders>
            <w:noWrap w:val="0"/>
            <w:vAlign w:val="center"/>
          </w:tcPr>
          <w:p w14:paraId="6AB80B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291" w:type="pct"/>
            <w:vMerge w:val="restart"/>
            <w:tcBorders>
              <w:top w:val="single" w:color="auto" w:sz="4" w:space="0"/>
              <w:left w:val="single" w:color="auto" w:sz="4" w:space="0"/>
              <w:bottom w:val="single" w:color="auto" w:sz="4" w:space="0"/>
              <w:right w:val="single" w:color="auto" w:sz="4" w:space="0"/>
            </w:tcBorders>
            <w:noWrap w:val="0"/>
            <w:vAlign w:val="center"/>
          </w:tcPr>
          <w:p w14:paraId="118A18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202" w:type="pct"/>
            <w:vMerge w:val="restart"/>
            <w:tcBorders>
              <w:top w:val="single" w:color="auto" w:sz="4" w:space="0"/>
              <w:left w:val="single" w:color="auto" w:sz="4" w:space="0"/>
              <w:bottom w:val="single" w:color="auto" w:sz="4" w:space="0"/>
              <w:right w:val="single" w:color="auto" w:sz="4" w:space="0"/>
            </w:tcBorders>
            <w:noWrap w:val="0"/>
            <w:vAlign w:val="center"/>
          </w:tcPr>
          <w:p w14:paraId="1329DA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6E8AE5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0E4B6E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21AB40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5779EE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6F9E2D8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0A54C16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4C697B5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7A31896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7BD1D57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354A402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635215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549D5D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4855D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1D2E45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634FA2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continue"/>
            <w:tcBorders>
              <w:top w:val="single" w:color="auto" w:sz="4" w:space="0"/>
              <w:left w:val="single" w:color="auto" w:sz="4" w:space="0"/>
              <w:bottom w:val="single" w:color="auto" w:sz="4" w:space="0"/>
              <w:right w:val="single" w:color="auto" w:sz="4" w:space="0"/>
            </w:tcBorders>
            <w:noWrap w:val="0"/>
            <w:vAlign w:val="center"/>
          </w:tcPr>
          <w:p w14:paraId="706EF0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2" w:type="pct"/>
            <w:vMerge w:val="continue"/>
            <w:tcBorders>
              <w:top w:val="single" w:color="auto" w:sz="4" w:space="0"/>
              <w:left w:val="single" w:color="auto" w:sz="4" w:space="0"/>
              <w:bottom w:val="single" w:color="auto" w:sz="4" w:space="0"/>
              <w:right w:val="single" w:color="auto" w:sz="4" w:space="0"/>
            </w:tcBorders>
            <w:noWrap w:val="0"/>
            <w:vAlign w:val="center"/>
          </w:tcPr>
          <w:p w14:paraId="42331D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14:paraId="4CB498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6CBB47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6F2E1D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48E738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15D6B7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24391C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1C64E5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4BD3F5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410C43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13E5E7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43A2A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2"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27E27F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78414C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restart"/>
            <w:tcBorders>
              <w:top w:val="single" w:color="auto" w:sz="4" w:space="0"/>
              <w:left w:val="single" w:color="auto" w:sz="4" w:space="0"/>
              <w:bottom w:val="single" w:color="auto" w:sz="4" w:space="0"/>
              <w:right w:val="single" w:color="auto" w:sz="4" w:space="0"/>
            </w:tcBorders>
            <w:noWrap w:val="0"/>
            <w:vAlign w:val="center"/>
          </w:tcPr>
          <w:p w14:paraId="6320A6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202" w:type="pct"/>
            <w:vMerge w:val="restart"/>
            <w:tcBorders>
              <w:top w:val="single" w:color="auto" w:sz="4" w:space="0"/>
              <w:left w:val="single" w:color="auto" w:sz="4" w:space="0"/>
              <w:bottom w:val="single" w:color="auto" w:sz="4" w:space="0"/>
              <w:right w:val="single" w:color="auto" w:sz="4" w:space="0"/>
            </w:tcBorders>
            <w:noWrap w:val="0"/>
            <w:vAlign w:val="center"/>
          </w:tcPr>
          <w:p w14:paraId="5B13AA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4770C9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4E3325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02D9C0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4EBB72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4366AF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23DE35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4D023C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3C2075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0B7D2F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0B2124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309AEA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64145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7"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76C8B9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1A9E81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continue"/>
            <w:tcBorders>
              <w:top w:val="single" w:color="auto" w:sz="4" w:space="0"/>
              <w:left w:val="single" w:color="auto" w:sz="4" w:space="0"/>
              <w:bottom w:val="single" w:color="auto" w:sz="4" w:space="0"/>
              <w:right w:val="single" w:color="auto" w:sz="4" w:space="0"/>
            </w:tcBorders>
            <w:noWrap w:val="0"/>
            <w:vAlign w:val="center"/>
          </w:tcPr>
          <w:p w14:paraId="0EA96D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2" w:type="pct"/>
            <w:vMerge w:val="continue"/>
            <w:tcBorders>
              <w:top w:val="single" w:color="auto" w:sz="4" w:space="0"/>
              <w:left w:val="single" w:color="auto" w:sz="4" w:space="0"/>
              <w:bottom w:val="single" w:color="auto" w:sz="4" w:space="0"/>
              <w:right w:val="single" w:color="auto" w:sz="4" w:space="0"/>
            </w:tcBorders>
            <w:noWrap w:val="0"/>
            <w:vAlign w:val="center"/>
          </w:tcPr>
          <w:p w14:paraId="07B00E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14:paraId="1E2489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4FB9D0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7D4BB3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01ACE3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18C1B6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1A1831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2CDFD1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67C6B7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642DD0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1750C1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46C59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1"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5234A8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3D71A4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restart"/>
            <w:tcBorders>
              <w:top w:val="single" w:color="auto" w:sz="4" w:space="0"/>
              <w:left w:val="single" w:color="auto" w:sz="4" w:space="0"/>
              <w:bottom w:val="single" w:color="auto" w:sz="4" w:space="0"/>
              <w:right w:val="single" w:color="auto" w:sz="4" w:space="0"/>
            </w:tcBorders>
            <w:noWrap w:val="0"/>
            <w:vAlign w:val="center"/>
          </w:tcPr>
          <w:p w14:paraId="40A596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202" w:type="pct"/>
            <w:vMerge w:val="restart"/>
            <w:tcBorders>
              <w:top w:val="single" w:color="auto" w:sz="4" w:space="0"/>
              <w:left w:val="single" w:color="auto" w:sz="4" w:space="0"/>
              <w:bottom w:val="single" w:color="auto" w:sz="4" w:space="0"/>
              <w:right w:val="single" w:color="auto" w:sz="4" w:space="0"/>
            </w:tcBorders>
            <w:noWrap w:val="0"/>
            <w:vAlign w:val="center"/>
          </w:tcPr>
          <w:p w14:paraId="453F46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466952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54D26F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00F666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36B498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4695C9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03F3A4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17B003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18C5B2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2CC4C7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6D02DD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353982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66736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47F02F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320559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continue"/>
            <w:tcBorders>
              <w:top w:val="single" w:color="auto" w:sz="4" w:space="0"/>
              <w:left w:val="single" w:color="auto" w:sz="4" w:space="0"/>
              <w:bottom w:val="single" w:color="auto" w:sz="4" w:space="0"/>
              <w:right w:val="single" w:color="auto" w:sz="4" w:space="0"/>
            </w:tcBorders>
            <w:noWrap w:val="0"/>
            <w:vAlign w:val="center"/>
          </w:tcPr>
          <w:p w14:paraId="2EC2AA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2" w:type="pct"/>
            <w:vMerge w:val="continue"/>
            <w:tcBorders>
              <w:top w:val="single" w:color="auto" w:sz="4" w:space="0"/>
              <w:left w:val="single" w:color="auto" w:sz="4" w:space="0"/>
              <w:bottom w:val="single" w:color="auto" w:sz="4" w:space="0"/>
              <w:right w:val="single" w:color="auto" w:sz="4" w:space="0"/>
            </w:tcBorders>
            <w:noWrap w:val="0"/>
            <w:vAlign w:val="center"/>
          </w:tcPr>
          <w:p w14:paraId="5A2041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14:paraId="0995FD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697110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79E19A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498956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743120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7AB551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352A06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7376D5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46B24D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1EF77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97" w:type="pct"/>
            <w:vMerge w:val="restart"/>
            <w:tcBorders>
              <w:top w:val="single" w:color="auto" w:sz="4" w:space="0"/>
              <w:left w:val="single" w:color="auto" w:sz="4" w:space="0"/>
              <w:bottom w:val="single" w:color="auto" w:sz="4" w:space="0"/>
              <w:right w:val="single" w:color="auto" w:sz="4" w:space="0"/>
            </w:tcBorders>
            <w:noWrap w:val="0"/>
            <w:vAlign w:val="center"/>
          </w:tcPr>
          <w:p w14:paraId="18A886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220" w:type="pct"/>
            <w:vMerge w:val="restart"/>
            <w:tcBorders>
              <w:top w:val="single" w:color="auto" w:sz="4" w:space="0"/>
              <w:left w:val="single" w:color="auto" w:sz="4" w:space="0"/>
              <w:bottom w:val="single" w:color="auto" w:sz="4" w:space="0"/>
              <w:right w:val="single" w:color="auto" w:sz="4" w:space="0"/>
            </w:tcBorders>
            <w:noWrap w:val="0"/>
            <w:vAlign w:val="center"/>
          </w:tcPr>
          <w:p w14:paraId="478566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291" w:type="pct"/>
            <w:vMerge w:val="restart"/>
            <w:tcBorders>
              <w:top w:val="single" w:color="auto" w:sz="4" w:space="0"/>
              <w:left w:val="single" w:color="auto" w:sz="4" w:space="0"/>
              <w:bottom w:val="single" w:color="auto" w:sz="4" w:space="0"/>
              <w:right w:val="single" w:color="auto" w:sz="4" w:space="0"/>
            </w:tcBorders>
            <w:noWrap w:val="0"/>
            <w:vAlign w:val="center"/>
          </w:tcPr>
          <w:p w14:paraId="61D3F3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202" w:type="pct"/>
            <w:vMerge w:val="restart"/>
            <w:tcBorders>
              <w:top w:val="single" w:color="auto" w:sz="4" w:space="0"/>
              <w:left w:val="single" w:color="auto" w:sz="4" w:space="0"/>
              <w:bottom w:val="single" w:color="auto" w:sz="4" w:space="0"/>
              <w:right w:val="single" w:color="auto" w:sz="4" w:space="0"/>
            </w:tcBorders>
            <w:noWrap w:val="0"/>
            <w:vAlign w:val="center"/>
          </w:tcPr>
          <w:p w14:paraId="6BABC2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47A736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2164F1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22B958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57A14C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1C90E8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223589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581016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78FD7E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r>
      <w:tr w14:paraId="3E2BE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32F998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7AF134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continue"/>
            <w:tcBorders>
              <w:top w:val="single" w:color="auto" w:sz="4" w:space="0"/>
              <w:left w:val="single" w:color="auto" w:sz="4" w:space="0"/>
              <w:bottom w:val="single" w:color="auto" w:sz="4" w:space="0"/>
              <w:right w:val="single" w:color="auto" w:sz="4" w:space="0"/>
            </w:tcBorders>
            <w:noWrap w:val="0"/>
            <w:vAlign w:val="center"/>
          </w:tcPr>
          <w:p w14:paraId="018839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2" w:type="pct"/>
            <w:vMerge w:val="continue"/>
            <w:tcBorders>
              <w:top w:val="single" w:color="auto" w:sz="4" w:space="0"/>
              <w:left w:val="single" w:color="auto" w:sz="4" w:space="0"/>
              <w:bottom w:val="single" w:color="auto" w:sz="4" w:space="0"/>
              <w:right w:val="single" w:color="auto" w:sz="4" w:space="0"/>
            </w:tcBorders>
            <w:noWrap w:val="0"/>
            <w:vAlign w:val="center"/>
          </w:tcPr>
          <w:p w14:paraId="567CA8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14:paraId="194514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7A0095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66606B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4EFDA7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529517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40CB5A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6CDBF9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89.31% </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69E98A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1.79</w:t>
            </w:r>
          </w:p>
        </w:tc>
      </w:tr>
      <w:tr w14:paraId="59678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6"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717698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40CF8E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continue"/>
            <w:tcBorders>
              <w:top w:val="single" w:color="auto" w:sz="4" w:space="0"/>
              <w:left w:val="single" w:color="auto" w:sz="4" w:space="0"/>
              <w:bottom w:val="single" w:color="auto" w:sz="4" w:space="0"/>
              <w:right w:val="single" w:color="auto" w:sz="4" w:space="0"/>
            </w:tcBorders>
            <w:noWrap w:val="0"/>
            <w:vAlign w:val="center"/>
          </w:tcPr>
          <w:p w14:paraId="6BEE94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2" w:type="pct"/>
            <w:vMerge w:val="continue"/>
            <w:tcBorders>
              <w:top w:val="single" w:color="auto" w:sz="4" w:space="0"/>
              <w:left w:val="single" w:color="auto" w:sz="4" w:space="0"/>
              <w:bottom w:val="single" w:color="auto" w:sz="4" w:space="0"/>
              <w:right w:val="single" w:color="auto" w:sz="4" w:space="0"/>
            </w:tcBorders>
            <w:noWrap w:val="0"/>
            <w:vAlign w:val="center"/>
          </w:tcPr>
          <w:p w14:paraId="402F90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14:paraId="2C9F7F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2A462B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795CB3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59B8A2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0D42A2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04CB74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4FD502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4B3C99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455323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301B13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3BBB59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18E8C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405C63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423B5F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restart"/>
            <w:tcBorders>
              <w:top w:val="single" w:color="auto" w:sz="4" w:space="0"/>
              <w:left w:val="single" w:color="auto" w:sz="4" w:space="0"/>
              <w:bottom w:val="single" w:color="auto" w:sz="4" w:space="0"/>
              <w:right w:val="single" w:color="auto" w:sz="4" w:space="0"/>
            </w:tcBorders>
            <w:noWrap w:val="0"/>
            <w:vAlign w:val="center"/>
          </w:tcPr>
          <w:p w14:paraId="5B6B3A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组织实施</w:t>
            </w:r>
          </w:p>
        </w:tc>
        <w:tc>
          <w:tcPr>
            <w:tcW w:w="202" w:type="pct"/>
            <w:vMerge w:val="restart"/>
            <w:tcBorders>
              <w:top w:val="single" w:color="auto" w:sz="4" w:space="0"/>
              <w:left w:val="single" w:color="auto" w:sz="4" w:space="0"/>
              <w:bottom w:val="single" w:color="auto" w:sz="4" w:space="0"/>
              <w:right w:val="single" w:color="auto" w:sz="4" w:space="0"/>
            </w:tcBorders>
            <w:noWrap w:val="0"/>
            <w:vAlign w:val="center"/>
          </w:tcPr>
          <w:p w14:paraId="463310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6</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1D1081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管理制度健全性</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1B68F8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70C006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项目实施单位的财务和业务管理制度是否健全，用以反映和考核财务和业务管理制度对项目顺利实施的保障情况。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364D40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健全</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4EE44D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①是否已制定或具有相应的财务和业务管理制度；</w:t>
            </w:r>
          </w:p>
          <w:p w14:paraId="01D3DC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②财务和业务管理制度是否合法、合规、完整。</w:t>
            </w:r>
          </w:p>
          <w:p w14:paraId="6A0489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以上每条要素各占权重的50%，每有一条不符合，扣除对应的权重分，扣完为止。</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4B3D2F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健全</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770F67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w:t>
            </w:r>
          </w:p>
        </w:tc>
      </w:tr>
      <w:tr w14:paraId="2898E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52C025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77A54D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continue"/>
            <w:tcBorders>
              <w:top w:val="single" w:color="auto" w:sz="4" w:space="0"/>
              <w:left w:val="single" w:color="auto" w:sz="4" w:space="0"/>
              <w:bottom w:val="single" w:color="auto" w:sz="4" w:space="0"/>
              <w:right w:val="single" w:color="auto" w:sz="4" w:space="0"/>
            </w:tcBorders>
            <w:noWrap w:val="0"/>
            <w:vAlign w:val="center"/>
          </w:tcPr>
          <w:p w14:paraId="39ED61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2" w:type="pct"/>
            <w:vMerge w:val="continue"/>
            <w:tcBorders>
              <w:top w:val="single" w:color="auto" w:sz="4" w:space="0"/>
              <w:left w:val="single" w:color="auto" w:sz="4" w:space="0"/>
              <w:bottom w:val="single" w:color="auto" w:sz="4" w:space="0"/>
              <w:right w:val="single" w:color="auto" w:sz="4" w:space="0"/>
            </w:tcBorders>
            <w:noWrap w:val="0"/>
            <w:vAlign w:val="center"/>
          </w:tcPr>
          <w:p w14:paraId="1C800A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14:paraId="63BDCD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制度执行有效性</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1B637D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1CF3CC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项目实施是否符合相关管理规定，用以反映和考核相关管理制度的有效执行情况。</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487047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有效</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6095D3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①否遵守相关法律法规和相关管理规定；</w:t>
            </w:r>
          </w:p>
          <w:p w14:paraId="00FFC7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②项目调整及支出调整手续是否完备；</w:t>
            </w:r>
          </w:p>
          <w:p w14:paraId="57EA3A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③项目资料是否齐全并及时归档。</w:t>
            </w:r>
          </w:p>
          <w:p w14:paraId="65C1A4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①②③齐全得权重分的100%，缺①扣权重分的30%，缺②扣权重分的40%，缺③扣权重分的30%。</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2DC794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有效</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047535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w:t>
            </w:r>
          </w:p>
        </w:tc>
      </w:tr>
      <w:tr w14:paraId="51603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297" w:type="pct"/>
            <w:vMerge w:val="restart"/>
            <w:tcBorders>
              <w:top w:val="single" w:color="auto" w:sz="4" w:space="0"/>
              <w:left w:val="single" w:color="auto" w:sz="4" w:space="0"/>
              <w:bottom w:val="single" w:color="auto" w:sz="4" w:space="0"/>
              <w:right w:val="single" w:color="auto" w:sz="4" w:space="0"/>
            </w:tcBorders>
            <w:noWrap w:val="0"/>
            <w:vAlign w:val="center"/>
          </w:tcPr>
          <w:p w14:paraId="07400D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220" w:type="pct"/>
            <w:vMerge w:val="restart"/>
            <w:tcBorders>
              <w:top w:val="single" w:color="auto" w:sz="4" w:space="0"/>
              <w:left w:val="single" w:color="auto" w:sz="4" w:space="0"/>
              <w:bottom w:val="single" w:color="auto" w:sz="4" w:space="0"/>
              <w:right w:val="single" w:color="auto" w:sz="4" w:space="0"/>
            </w:tcBorders>
            <w:noWrap w:val="0"/>
            <w:vAlign w:val="center"/>
          </w:tcPr>
          <w:p w14:paraId="1D67CC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291" w:type="pct"/>
            <w:tcBorders>
              <w:top w:val="single" w:color="auto" w:sz="4" w:space="0"/>
              <w:left w:val="single" w:color="auto" w:sz="4" w:space="0"/>
              <w:bottom w:val="single" w:color="auto" w:sz="4" w:space="0"/>
              <w:right w:val="single" w:color="auto" w:sz="4" w:space="0"/>
            </w:tcBorders>
            <w:noWrap w:val="0"/>
            <w:vAlign w:val="center"/>
          </w:tcPr>
          <w:p w14:paraId="6C20CE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产出数量</w:t>
            </w:r>
          </w:p>
        </w:tc>
        <w:tc>
          <w:tcPr>
            <w:tcW w:w="202" w:type="pct"/>
            <w:tcBorders>
              <w:top w:val="single" w:color="auto" w:sz="4" w:space="0"/>
              <w:left w:val="single" w:color="auto" w:sz="4" w:space="0"/>
              <w:bottom w:val="single" w:color="auto" w:sz="4" w:space="0"/>
              <w:right w:val="single" w:color="auto" w:sz="4" w:space="0"/>
            </w:tcBorders>
            <w:noWrap w:val="0"/>
            <w:vAlign w:val="center"/>
          </w:tcPr>
          <w:p w14:paraId="6DAF62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351C3A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485144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692B9F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使用单位数量</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6287D7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rPr>
              <w:t>≥66家</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2A553D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实际完成率=（实际完成/预期完成）×100%。</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①实际完成率≥100%，且偏离程度＜20%，得满分；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②实际完成率≥100%，偏离程度≥20%，得0分；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③实际完成率×100%＜100%，得分=实际完成率×指标分值。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561868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66家</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5A421A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r>
      <w:tr w14:paraId="70BF6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65D1C5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0C0A25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tcBorders>
              <w:top w:val="single" w:color="auto" w:sz="4" w:space="0"/>
              <w:left w:val="single" w:color="auto" w:sz="4" w:space="0"/>
              <w:bottom w:val="single" w:color="auto" w:sz="4" w:space="0"/>
              <w:right w:val="single" w:color="auto" w:sz="4" w:space="0"/>
            </w:tcBorders>
            <w:noWrap w:val="0"/>
            <w:vAlign w:val="center"/>
          </w:tcPr>
          <w:p w14:paraId="4E41C3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产出质量</w:t>
            </w:r>
          </w:p>
        </w:tc>
        <w:tc>
          <w:tcPr>
            <w:tcW w:w="202" w:type="pct"/>
            <w:tcBorders>
              <w:top w:val="single" w:color="auto" w:sz="4" w:space="0"/>
              <w:left w:val="single" w:color="auto" w:sz="4" w:space="0"/>
              <w:bottom w:val="single" w:color="auto" w:sz="4" w:space="0"/>
              <w:right w:val="single" w:color="auto" w:sz="4" w:space="0"/>
            </w:tcBorders>
            <w:noWrap w:val="0"/>
            <w:vAlign w:val="center"/>
          </w:tcPr>
          <w:p w14:paraId="613AD7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46D536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质量达标率</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54E005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56395B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资金使用合规率</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1BB724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1666" w:type="pct"/>
            <w:tcBorders>
              <w:top w:val="single" w:color="auto" w:sz="4" w:space="0"/>
              <w:left w:val="single" w:color="auto" w:sz="4" w:space="0"/>
              <w:right w:val="single" w:color="auto" w:sz="4" w:space="0"/>
            </w:tcBorders>
            <w:noWrap w:val="0"/>
            <w:vAlign w:val="center"/>
          </w:tcPr>
          <w:p w14:paraId="315C5C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若指标达到标杆值，则得100%权重分；否则，得分=（实际完成/预期完成）×100%×指标分值。</w:t>
            </w:r>
          </w:p>
          <w:p w14:paraId="62BE70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若指标完成值达到标杆值，则得100%权重分；否则，不得分。</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33E62F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4CB409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r>
      <w:tr w14:paraId="5798D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2601BB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3610C3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restart"/>
            <w:tcBorders>
              <w:top w:val="single" w:color="auto" w:sz="4" w:space="0"/>
              <w:left w:val="single" w:color="auto" w:sz="4" w:space="0"/>
              <w:right w:val="single" w:color="auto" w:sz="4" w:space="0"/>
            </w:tcBorders>
            <w:noWrap w:val="0"/>
            <w:vAlign w:val="center"/>
          </w:tcPr>
          <w:p w14:paraId="1FF5E2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产出时效</w:t>
            </w:r>
          </w:p>
        </w:tc>
        <w:tc>
          <w:tcPr>
            <w:tcW w:w="202" w:type="pct"/>
            <w:vMerge w:val="restart"/>
            <w:tcBorders>
              <w:top w:val="single" w:color="auto" w:sz="4" w:space="0"/>
              <w:left w:val="single" w:color="auto" w:sz="4" w:space="0"/>
              <w:right w:val="single" w:color="auto" w:sz="4" w:space="0"/>
            </w:tcBorders>
            <w:noWrap w:val="0"/>
            <w:vAlign w:val="center"/>
          </w:tcPr>
          <w:p w14:paraId="4F1893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10</w:t>
            </w:r>
          </w:p>
        </w:tc>
        <w:tc>
          <w:tcPr>
            <w:tcW w:w="273" w:type="pct"/>
            <w:vMerge w:val="restart"/>
            <w:tcBorders>
              <w:top w:val="single" w:color="auto" w:sz="4" w:space="0"/>
              <w:left w:val="single" w:color="auto" w:sz="4" w:space="0"/>
              <w:right w:val="single" w:color="auto" w:sz="4" w:space="0"/>
            </w:tcBorders>
            <w:noWrap w:val="0"/>
            <w:vAlign w:val="center"/>
          </w:tcPr>
          <w:p w14:paraId="6E4DEC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完成及时率</w:t>
            </w:r>
          </w:p>
        </w:tc>
        <w:tc>
          <w:tcPr>
            <w:tcW w:w="262" w:type="pct"/>
            <w:vMerge w:val="restart"/>
            <w:tcBorders>
              <w:top w:val="single" w:color="auto" w:sz="4" w:space="0"/>
              <w:left w:val="single" w:color="auto" w:sz="4" w:space="0"/>
              <w:right w:val="single" w:color="auto" w:sz="4" w:space="0"/>
            </w:tcBorders>
            <w:noWrap w:val="0"/>
            <w:vAlign w:val="center"/>
          </w:tcPr>
          <w:p w14:paraId="0401C8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762" w:type="pct"/>
            <w:tcBorders>
              <w:top w:val="single" w:color="auto" w:sz="4" w:space="0"/>
              <w:left w:val="single" w:color="auto" w:sz="4" w:space="0"/>
              <w:bottom w:val="single" w:color="auto" w:sz="4" w:space="0"/>
              <w:right w:val="single" w:color="auto" w:sz="4" w:space="0"/>
            </w:tcBorders>
            <w:noWrap w:val="0"/>
            <w:vAlign w:val="center"/>
          </w:tcPr>
          <w:p w14:paraId="772615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项目完成时间</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4DBA40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2024年12月</w:t>
            </w:r>
          </w:p>
        </w:tc>
        <w:tc>
          <w:tcPr>
            <w:tcW w:w="1666" w:type="pct"/>
            <w:vMerge w:val="restart"/>
            <w:tcBorders>
              <w:top w:val="single" w:color="auto" w:sz="4" w:space="0"/>
              <w:left w:val="single" w:color="auto" w:sz="4" w:space="0"/>
              <w:right w:val="single" w:color="auto" w:sz="4" w:space="0"/>
            </w:tcBorders>
            <w:noWrap w:val="0"/>
            <w:vAlign w:val="center"/>
          </w:tcPr>
          <w:p w14:paraId="435596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若指标完成值达到标杆值，则得100%权重分；否则，得分=（实际完成/预期完成）×100%×指标分值。</w:t>
            </w:r>
          </w:p>
          <w:p w14:paraId="3118EA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若在规定时间内完成，得100%权重分；若未在规定的时间内完成，得分=（1-未在规定时间内完成工作数/实际完成工作总数）×分值。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524483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p>
        </w:tc>
        <w:tc>
          <w:tcPr>
            <w:tcW w:w="327" w:type="pct"/>
            <w:vMerge w:val="restart"/>
            <w:tcBorders>
              <w:top w:val="single" w:color="auto" w:sz="4" w:space="0"/>
              <w:left w:val="single" w:color="auto" w:sz="4" w:space="0"/>
              <w:right w:val="single" w:color="auto" w:sz="4" w:space="0"/>
            </w:tcBorders>
            <w:noWrap w:val="0"/>
            <w:vAlign w:val="center"/>
          </w:tcPr>
          <w:p w14:paraId="33BCA4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r>
      <w:tr w14:paraId="6C8F1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188B92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5200EC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continue"/>
            <w:tcBorders>
              <w:left w:val="single" w:color="auto" w:sz="4" w:space="0"/>
              <w:bottom w:val="single" w:color="auto" w:sz="4" w:space="0"/>
              <w:right w:val="single" w:color="auto" w:sz="4" w:space="0"/>
            </w:tcBorders>
            <w:noWrap w:val="0"/>
            <w:vAlign w:val="center"/>
          </w:tcPr>
          <w:p w14:paraId="05E840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p>
        </w:tc>
        <w:tc>
          <w:tcPr>
            <w:tcW w:w="202" w:type="pct"/>
            <w:vMerge w:val="continue"/>
            <w:tcBorders>
              <w:left w:val="single" w:color="auto" w:sz="4" w:space="0"/>
              <w:bottom w:val="single" w:color="auto" w:sz="4" w:space="0"/>
              <w:right w:val="single" w:color="auto" w:sz="4" w:space="0"/>
            </w:tcBorders>
            <w:noWrap w:val="0"/>
            <w:vAlign w:val="center"/>
          </w:tcPr>
          <w:p w14:paraId="4E0FCA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1"/>
                <w:szCs w:val="21"/>
                <w:u w:val="none"/>
                <w:lang w:val="en-US" w:eastAsia="zh-CN"/>
              </w:rPr>
            </w:pPr>
          </w:p>
        </w:tc>
        <w:tc>
          <w:tcPr>
            <w:tcW w:w="273" w:type="pct"/>
            <w:vMerge w:val="continue"/>
            <w:tcBorders>
              <w:left w:val="single" w:color="auto" w:sz="4" w:space="0"/>
              <w:bottom w:val="single" w:color="auto" w:sz="4" w:space="0"/>
              <w:right w:val="single" w:color="auto" w:sz="4" w:space="0"/>
            </w:tcBorders>
            <w:noWrap w:val="0"/>
            <w:vAlign w:val="center"/>
          </w:tcPr>
          <w:p w14:paraId="237E38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p>
        </w:tc>
        <w:tc>
          <w:tcPr>
            <w:tcW w:w="262" w:type="pct"/>
            <w:vMerge w:val="continue"/>
            <w:tcBorders>
              <w:left w:val="single" w:color="auto" w:sz="4" w:space="0"/>
              <w:bottom w:val="single" w:color="auto" w:sz="4" w:space="0"/>
              <w:right w:val="single" w:color="auto" w:sz="4" w:space="0"/>
            </w:tcBorders>
            <w:noWrap w:val="0"/>
            <w:vAlign w:val="center"/>
          </w:tcPr>
          <w:p w14:paraId="1F2CF2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762" w:type="pct"/>
            <w:tcBorders>
              <w:top w:val="single" w:color="auto" w:sz="4" w:space="0"/>
              <w:left w:val="single" w:color="auto" w:sz="4" w:space="0"/>
              <w:bottom w:val="single" w:color="auto" w:sz="4" w:space="0"/>
              <w:right w:val="single" w:color="auto" w:sz="4" w:space="0"/>
            </w:tcBorders>
            <w:noWrap w:val="0"/>
            <w:vAlign w:val="center"/>
          </w:tcPr>
          <w:p w14:paraId="36331B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资金支付及时率</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2D41E7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1666" w:type="pct"/>
            <w:vMerge w:val="continue"/>
            <w:tcBorders>
              <w:left w:val="single" w:color="auto" w:sz="4" w:space="0"/>
              <w:right w:val="single" w:color="auto" w:sz="4" w:space="0"/>
            </w:tcBorders>
            <w:noWrap w:val="0"/>
            <w:vAlign w:val="center"/>
          </w:tcPr>
          <w:p w14:paraId="46AE9D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p>
        </w:tc>
        <w:tc>
          <w:tcPr>
            <w:tcW w:w="303" w:type="pct"/>
            <w:tcBorders>
              <w:top w:val="single" w:color="auto" w:sz="4" w:space="0"/>
              <w:left w:val="single" w:color="auto" w:sz="4" w:space="0"/>
              <w:bottom w:val="single" w:color="auto" w:sz="4" w:space="0"/>
              <w:right w:val="single" w:color="auto" w:sz="4" w:space="0"/>
            </w:tcBorders>
            <w:noWrap w:val="0"/>
            <w:vAlign w:val="center"/>
          </w:tcPr>
          <w:p w14:paraId="3A446F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327" w:type="pct"/>
            <w:vMerge w:val="continue"/>
            <w:tcBorders>
              <w:left w:val="single" w:color="auto" w:sz="4" w:space="0"/>
              <w:bottom w:val="single" w:color="auto" w:sz="4" w:space="0"/>
              <w:right w:val="single" w:color="auto" w:sz="4" w:space="0"/>
            </w:tcBorders>
            <w:noWrap w:val="0"/>
            <w:vAlign w:val="center"/>
          </w:tcPr>
          <w:p w14:paraId="72C9EB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p>
        </w:tc>
      </w:tr>
      <w:tr w14:paraId="5D709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7"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733EFD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690592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tcBorders>
              <w:top w:val="single" w:color="auto" w:sz="4" w:space="0"/>
              <w:left w:val="single" w:color="auto" w:sz="4" w:space="0"/>
              <w:bottom w:val="single" w:color="auto" w:sz="4" w:space="0"/>
              <w:right w:val="single" w:color="auto" w:sz="4" w:space="0"/>
            </w:tcBorders>
            <w:noWrap w:val="0"/>
            <w:vAlign w:val="center"/>
          </w:tcPr>
          <w:p w14:paraId="5C82EC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产出成本</w:t>
            </w:r>
          </w:p>
        </w:tc>
        <w:tc>
          <w:tcPr>
            <w:tcW w:w="202" w:type="pct"/>
            <w:tcBorders>
              <w:top w:val="single" w:color="auto" w:sz="4" w:space="0"/>
              <w:left w:val="single" w:color="auto" w:sz="4" w:space="0"/>
              <w:bottom w:val="single" w:color="auto" w:sz="4" w:space="0"/>
              <w:right w:val="single" w:color="auto" w:sz="4" w:space="0"/>
            </w:tcBorders>
            <w:noWrap w:val="0"/>
            <w:vAlign w:val="center"/>
          </w:tcPr>
          <w:p w14:paraId="470F5F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4AE897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成本节约率</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76FE92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243A34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购买软件正版化三年授权使用费</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26EADD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rPr>
              <w:t>≤</w:t>
            </w:r>
            <w:r>
              <w:rPr>
                <w:rFonts w:hint="eastAsia" w:ascii="宋体" w:hAnsi="宋体" w:eastAsia="宋体" w:cs="宋体"/>
                <w:i w:val="0"/>
                <w:iCs w:val="0"/>
                <w:color w:val="auto"/>
                <w:sz w:val="21"/>
                <w:szCs w:val="21"/>
                <w:u w:val="none"/>
                <w:lang w:val="en-US" w:eastAsia="zh-CN"/>
              </w:rPr>
              <w:t>65万元</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26196D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实际完成率=（实际支付资金数/计划应支付资金数）×100%。</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①实际完成率＞年度指标值，得0得分；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②实际完成率≤年度指标值，且偏离程度＜20%，得满分；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③实际完成率＜年度指标值，且偏离程度≥20%，得分=实际完成率×分值。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473713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=58.05万元</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14B787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7.5</w:t>
            </w:r>
          </w:p>
        </w:tc>
      </w:tr>
      <w:tr w14:paraId="1CAAD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97" w:type="pct"/>
            <w:vMerge w:val="restart"/>
            <w:tcBorders>
              <w:top w:val="single" w:color="auto" w:sz="4" w:space="0"/>
              <w:left w:val="single" w:color="auto" w:sz="4" w:space="0"/>
              <w:bottom w:val="single" w:color="auto" w:sz="4" w:space="0"/>
              <w:right w:val="single" w:color="auto" w:sz="4" w:space="0"/>
            </w:tcBorders>
            <w:noWrap w:val="0"/>
            <w:vAlign w:val="center"/>
          </w:tcPr>
          <w:p w14:paraId="7221E7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20" w:type="pct"/>
            <w:vMerge w:val="restart"/>
            <w:tcBorders>
              <w:top w:val="single" w:color="auto" w:sz="4" w:space="0"/>
              <w:left w:val="single" w:color="auto" w:sz="4" w:space="0"/>
              <w:bottom w:val="single" w:color="auto" w:sz="4" w:space="0"/>
              <w:right w:val="single" w:color="auto" w:sz="4" w:space="0"/>
            </w:tcBorders>
            <w:noWrap w:val="0"/>
            <w:vAlign w:val="center"/>
          </w:tcPr>
          <w:p w14:paraId="52D8CE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91" w:type="pct"/>
            <w:vMerge w:val="restart"/>
            <w:tcBorders>
              <w:top w:val="single" w:color="auto" w:sz="4" w:space="0"/>
              <w:left w:val="single" w:color="auto" w:sz="4" w:space="0"/>
              <w:bottom w:val="single" w:color="auto" w:sz="4" w:space="0"/>
              <w:right w:val="single" w:color="auto" w:sz="4" w:space="0"/>
            </w:tcBorders>
            <w:noWrap w:val="0"/>
            <w:vAlign w:val="center"/>
          </w:tcPr>
          <w:p w14:paraId="21EC90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项目效益</w:t>
            </w:r>
          </w:p>
        </w:tc>
        <w:tc>
          <w:tcPr>
            <w:tcW w:w="202" w:type="pct"/>
            <w:vMerge w:val="restart"/>
            <w:tcBorders>
              <w:top w:val="single" w:color="auto" w:sz="4" w:space="0"/>
              <w:left w:val="single" w:color="auto" w:sz="4" w:space="0"/>
              <w:bottom w:val="single" w:color="auto" w:sz="4" w:space="0"/>
              <w:right w:val="single" w:color="auto" w:sz="4" w:space="0"/>
            </w:tcBorders>
            <w:noWrap w:val="0"/>
            <w:vAlign w:val="center"/>
          </w:tcPr>
          <w:p w14:paraId="0729C6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25</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55292F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社会效益</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074DE8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15</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1C03D3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降低软件使用管理安全风险</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18A7EF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效果显著</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0D1C7D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1D16E7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效果显著</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791063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15</w:t>
            </w:r>
          </w:p>
        </w:tc>
      </w:tr>
      <w:tr w14:paraId="68109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97" w:type="pct"/>
            <w:vMerge w:val="continue"/>
            <w:tcBorders>
              <w:top w:val="single" w:color="auto" w:sz="4" w:space="0"/>
              <w:left w:val="single" w:color="auto" w:sz="4" w:space="0"/>
              <w:bottom w:val="single" w:color="auto" w:sz="4" w:space="0"/>
              <w:right w:val="single" w:color="auto" w:sz="4" w:space="0"/>
            </w:tcBorders>
            <w:noWrap w:val="0"/>
            <w:vAlign w:val="center"/>
          </w:tcPr>
          <w:p w14:paraId="14F6C8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14:paraId="34AC40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1" w:type="pct"/>
            <w:vMerge w:val="continue"/>
            <w:tcBorders>
              <w:top w:val="single" w:color="auto" w:sz="4" w:space="0"/>
              <w:left w:val="single" w:color="auto" w:sz="4" w:space="0"/>
              <w:bottom w:val="single" w:color="auto" w:sz="4" w:space="0"/>
              <w:right w:val="single" w:color="auto" w:sz="4" w:space="0"/>
            </w:tcBorders>
            <w:noWrap w:val="0"/>
            <w:vAlign w:val="center"/>
          </w:tcPr>
          <w:p w14:paraId="4901E0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2" w:type="pct"/>
            <w:vMerge w:val="continue"/>
            <w:tcBorders>
              <w:top w:val="single" w:color="auto" w:sz="4" w:space="0"/>
              <w:left w:val="single" w:color="auto" w:sz="4" w:space="0"/>
              <w:bottom w:val="single" w:color="auto" w:sz="4" w:space="0"/>
              <w:right w:val="single" w:color="auto" w:sz="4" w:space="0"/>
            </w:tcBorders>
            <w:noWrap w:val="0"/>
            <w:vAlign w:val="center"/>
          </w:tcPr>
          <w:p w14:paraId="5D2C8B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73" w:type="pct"/>
            <w:tcBorders>
              <w:top w:val="single" w:color="auto" w:sz="4" w:space="0"/>
              <w:left w:val="single" w:color="auto" w:sz="4" w:space="0"/>
              <w:bottom w:val="single" w:color="auto" w:sz="4" w:space="0"/>
              <w:right w:val="single" w:color="auto" w:sz="4" w:space="0"/>
            </w:tcBorders>
            <w:noWrap w:val="0"/>
            <w:vAlign w:val="center"/>
          </w:tcPr>
          <w:p w14:paraId="6E7455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服务对象满意度</w:t>
            </w:r>
          </w:p>
        </w:tc>
        <w:tc>
          <w:tcPr>
            <w:tcW w:w="262" w:type="pct"/>
            <w:tcBorders>
              <w:top w:val="single" w:color="auto" w:sz="4" w:space="0"/>
              <w:left w:val="single" w:color="auto" w:sz="4" w:space="0"/>
              <w:bottom w:val="single" w:color="auto" w:sz="4" w:space="0"/>
              <w:right w:val="single" w:color="auto" w:sz="4" w:space="0"/>
            </w:tcBorders>
            <w:noWrap w:val="0"/>
            <w:vAlign w:val="center"/>
          </w:tcPr>
          <w:p w14:paraId="04D5C7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226537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使用单位满意度</w:t>
            </w:r>
          </w:p>
        </w:tc>
        <w:tc>
          <w:tcPr>
            <w:tcW w:w="392" w:type="pct"/>
            <w:tcBorders>
              <w:top w:val="single" w:color="auto" w:sz="4" w:space="0"/>
              <w:left w:val="single" w:color="auto" w:sz="4" w:space="0"/>
              <w:bottom w:val="single" w:color="auto" w:sz="4" w:space="0"/>
              <w:right w:val="single" w:color="auto" w:sz="4" w:space="0"/>
            </w:tcBorders>
            <w:noWrap w:val="0"/>
            <w:vAlign w:val="center"/>
          </w:tcPr>
          <w:p w14:paraId="5AF018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≥95%</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6CFA40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根据问卷调查，满意度达到标杆值，得权重分的100%；否则低于95%，得分=实际满意度*指标分值。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3135B4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≥9</w:t>
            </w:r>
            <w:r>
              <w:rPr>
                <w:rFonts w:hint="eastAsia" w:ascii="宋体" w:hAnsi="宋体" w:eastAsia="宋体" w:cs="宋体"/>
                <w:i w:val="0"/>
                <w:iCs w:val="0"/>
                <w:color w:val="auto"/>
                <w:sz w:val="21"/>
                <w:szCs w:val="21"/>
                <w:u w:val="none"/>
                <w:lang w:val="en-US" w:eastAsia="zh-CN"/>
              </w:rPr>
              <w:t>5</w:t>
            </w:r>
            <w:r>
              <w:rPr>
                <w:rFonts w:hint="eastAsia" w:ascii="宋体" w:hAnsi="宋体" w:eastAsia="宋体" w:cs="宋体"/>
                <w:i w:val="0"/>
                <w:iCs w:val="0"/>
                <w:color w:val="auto"/>
                <w:sz w:val="21"/>
                <w:szCs w:val="21"/>
                <w:u w:val="none"/>
              </w:rPr>
              <w:t>%</w:t>
            </w:r>
          </w:p>
        </w:tc>
        <w:tc>
          <w:tcPr>
            <w:tcW w:w="327" w:type="pct"/>
            <w:tcBorders>
              <w:top w:val="single" w:color="auto" w:sz="4" w:space="0"/>
              <w:left w:val="single" w:color="auto" w:sz="4" w:space="0"/>
              <w:bottom w:val="single" w:color="auto" w:sz="4" w:space="0"/>
              <w:right w:val="single" w:color="auto" w:sz="4" w:space="0"/>
            </w:tcBorders>
            <w:noWrap w:val="0"/>
            <w:vAlign w:val="center"/>
          </w:tcPr>
          <w:p w14:paraId="5AD64E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r>
      <w:tr w14:paraId="71C9F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97" w:type="pct"/>
            <w:tcBorders>
              <w:top w:val="single" w:color="auto" w:sz="4" w:space="0"/>
              <w:left w:val="single" w:color="auto" w:sz="4" w:space="0"/>
              <w:bottom w:val="single" w:color="auto" w:sz="4" w:space="0"/>
              <w:right w:val="single" w:color="auto" w:sz="4" w:space="0"/>
            </w:tcBorders>
            <w:noWrap w:val="0"/>
            <w:vAlign w:val="center"/>
          </w:tcPr>
          <w:p w14:paraId="73C2EB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220" w:type="pct"/>
            <w:tcBorders>
              <w:top w:val="single" w:color="auto" w:sz="4" w:space="0"/>
              <w:left w:val="single" w:color="auto" w:sz="4" w:space="0"/>
              <w:bottom w:val="single" w:color="auto" w:sz="4" w:space="0"/>
              <w:right w:val="single" w:color="auto" w:sz="4" w:space="0"/>
            </w:tcBorders>
            <w:noWrap w:val="0"/>
            <w:vAlign w:val="center"/>
          </w:tcPr>
          <w:p w14:paraId="356FD2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91" w:type="pct"/>
            <w:tcBorders>
              <w:top w:val="single" w:color="auto" w:sz="4" w:space="0"/>
              <w:left w:val="single" w:color="auto" w:sz="4" w:space="0"/>
              <w:bottom w:val="single" w:color="auto" w:sz="4" w:space="0"/>
              <w:right w:val="single" w:color="auto" w:sz="4" w:space="0"/>
            </w:tcBorders>
            <w:noWrap w:val="0"/>
            <w:vAlign w:val="center"/>
          </w:tcPr>
          <w:p w14:paraId="24F257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2" w:type="pct"/>
            <w:tcBorders>
              <w:top w:val="single" w:color="auto" w:sz="4" w:space="0"/>
              <w:left w:val="single" w:color="auto" w:sz="4" w:space="0"/>
              <w:bottom w:val="single" w:color="auto" w:sz="4" w:space="0"/>
              <w:right w:val="single" w:color="auto" w:sz="4" w:space="0"/>
            </w:tcBorders>
            <w:noWrap w:val="0"/>
            <w:vAlign w:val="center"/>
          </w:tcPr>
          <w:p w14:paraId="51D8BD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273" w:type="pct"/>
            <w:tcBorders>
              <w:top w:val="single" w:color="auto" w:sz="4" w:space="0"/>
              <w:left w:val="single" w:color="auto" w:sz="4" w:space="0"/>
              <w:bottom w:val="single" w:color="auto" w:sz="4" w:space="0"/>
              <w:right w:val="single" w:color="auto" w:sz="4" w:space="0"/>
            </w:tcBorders>
            <w:noWrap w:val="0"/>
            <w:vAlign w:val="center"/>
          </w:tcPr>
          <w:p w14:paraId="37BB5E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62" w:type="pct"/>
            <w:tcBorders>
              <w:top w:val="single" w:color="auto" w:sz="4" w:space="0"/>
              <w:left w:val="single" w:color="auto" w:sz="4" w:space="0"/>
              <w:bottom w:val="single" w:color="auto" w:sz="4" w:space="0"/>
              <w:right w:val="single" w:color="auto" w:sz="4" w:space="0"/>
            </w:tcBorders>
            <w:noWrap w:val="0"/>
            <w:vAlign w:val="center"/>
          </w:tcPr>
          <w:p w14:paraId="71BCE4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762" w:type="pct"/>
            <w:tcBorders>
              <w:top w:val="single" w:color="auto" w:sz="4" w:space="0"/>
              <w:left w:val="single" w:color="auto" w:sz="4" w:space="0"/>
              <w:bottom w:val="single" w:color="auto" w:sz="4" w:space="0"/>
              <w:right w:val="single" w:color="auto" w:sz="4" w:space="0"/>
            </w:tcBorders>
            <w:noWrap w:val="0"/>
            <w:vAlign w:val="center"/>
          </w:tcPr>
          <w:p w14:paraId="2FBC49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92" w:type="pct"/>
            <w:tcBorders>
              <w:top w:val="single" w:color="auto" w:sz="4" w:space="0"/>
              <w:left w:val="single" w:color="auto" w:sz="4" w:space="0"/>
              <w:bottom w:val="single" w:color="auto" w:sz="4" w:space="0"/>
              <w:right w:val="single" w:color="auto" w:sz="4" w:space="0"/>
            </w:tcBorders>
            <w:noWrap w:val="0"/>
            <w:vAlign w:val="center"/>
          </w:tcPr>
          <w:p w14:paraId="53E5A2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w:t>
            </w:r>
          </w:p>
        </w:tc>
        <w:tc>
          <w:tcPr>
            <w:tcW w:w="1666" w:type="pct"/>
            <w:tcBorders>
              <w:top w:val="single" w:color="auto" w:sz="4" w:space="0"/>
              <w:left w:val="single" w:color="auto" w:sz="4" w:space="0"/>
              <w:bottom w:val="single" w:color="auto" w:sz="4" w:space="0"/>
              <w:right w:val="single" w:color="auto" w:sz="4" w:space="0"/>
            </w:tcBorders>
            <w:noWrap w:val="0"/>
            <w:vAlign w:val="center"/>
          </w:tcPr>
          <w:p w14:paraId="0FF447F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auto"/>
                <w:sz w:val="21"/>
                <w:szCs w:val="21"/>
                <w:u w:val="none"/>
              </w:rPr>
            </w:pPr>
          </w:p>
        </w:tc>
        <w:tc>
          <w:tcPr>
            <w:tcW w:w="303" w:type="pct"/>
            <w:tcBorders>
              <w:top w:val="single" w:color="auto" w:sz="4" w:space="0"/>
              <w:left w:val="single" w:color="auto" w:sz="4" w:space="0"/>
              <w:bottom w:val="single" w:color="auto" w:sz="4" w:space="0"/>
              <w:right w:val="single" w:color="auto" w:sz="4" w:space="0"/>
            </w:tcBorders>
            <w:noWrap w:val="0"/>
            <w:vAlign w:val="center"/>
          </w:tcPr>
          <w:p w14:paraId="1C350E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7" w:type="pct"/>
            <w:tcBorders>
              <w:top w:val="single" w:color="auto" w:sz="4" w:space="0"/>
              <w:left w:val="single" w:color="auto" w:sz="4" w:space="0"/>
              <w:bottom w:val="single" w:color="auto" w:sz="4" w:space="0"/>
              <w:right w:val="single" w:color="auto" w:sz="4" w:space="0"/>
            </w:tcBorders>
            <w:noWrap w:val="0"/>
            <w:vAlign w:val="center"/>
          </w:tcPr>
          <w:p w14:paraId="0BC535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97.29</w:t>
            </w:r>
          </w:p>
        </w:tc>
      </w:tr>
    </w:tbl>
    <w:p w14:paraId="0D3DEB85">
      <w:pPr>
        <w:pStyle w:val="10"/>
        <w:rPr>
          <w:rFonts w:hint="eastAsia" w:ascii="宋体" w:hAnsi="宋体" w:eastAsia="宋体" w:cs="宋体"/>
          <w:sz w:val="24"/>
          <w:szCs w:val="24"/>
          <w:lang w:eastAsia="zh-CN"/>
        </w:rPr>
      </w:pPr>
    </w:p>
    <w:p w14:paraId="296C5B99">
      <w:pPr>
        <w:pStyle w:val="10"/>
        <w:rPr>
          <w:rFonts w:hint="eastAsia" w:ascii="宋体" w:hAnsi="宋体" w:eastAsia="宋体" w:cs="宋体"/>
          <w:sz w:val="24"/>
          <w:szCs w:val="24"/>
          <w:lang w:eastAsia="zh-CN"/>
        </w:rPr>
      </w:pPr>
    </w:p>
    <w:p w14:paraId="7CF319BF">
      <w:pPr>
        <w:pStyle w:val="10"/>
        <w:ind w:left="0" w:leftChars="0" w:firstLine="0" w:firstLineChars="0"/>
        <w:jc w:val="both"/>
        <w:rPr>
          <w:rFonts w:hint="eastAsia" w:ascii="宋体" w:hAnsi="宋体" w:eastAsia="宋体" w:cs="宋体"/>
          <w:sz w:val="24"/>
          <w:szCs w:val="24"/>
          <w:lang w:val="en-US" w:eastAsia="zh-CN"/>
        </w:rPr>
      </w:pPr>
    </w:p>
    <w:p w14:paraId="332E43C0">
      <w:pPr>
        <w:pStyle w:val="10"/>
        <w:ind w:left="0" w:leftChars="0" w:firstLine="0" w:firstLineChars="0"/>
        <w:jc w:val="both"/>
        <w:rPr>
          <w:rFonts w:hint="eastAsia" w:ascii="宋体" w:hAnsi="宋体" w:eastAsia="宋体" w:cs="宋体"/>
          <w:sz w:val="24"/>
          <w:szCs w:val="24"/>
          <w:lang w:val="en-US" w:eastAsia="zh-CN"/>
        </w:rPr>
      </w:pPr>
    </w:p>
    <w:p w14:paraId="0C7A312B">
      <w:pPr>
        <w:pStyle w:val="10"/>
        <w:ind w:left="0" w:leftChars="0" w:firstLine="0" w:firstLineChars="0"/>
        <w:jc w:val="both"/>
        <w:rPr>
          <w:rFonts w:hint="eastAsia" w:ascii="宋体" w:hAnsi="宋体" w:eastAsia="宋体" w:cs="宋体"/>
          <w:sz w:val="24"/>
          <w:szCs w:val="24"/>
          <w:lang w:val="en-US" w:eastAsia="zh-CN"/>
        </w:rPr>
      </w:pPr>
    </w:p>
    <w:p w14:paraId="259845C9">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4"/>
        <w:tblW w:w="130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2160"/>
        <w:gridCol w:w="2620"/>
      </w:tblGrid>
      <w:tr w14:paraId="01718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18D48D95">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561A86C2">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23FA5D90">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306E9DD3">
            <w:pPr>
              <w:rPr>
                <w:rFonts w:hint="eastAsia" w:ascii="宋体" w:hAnsi="宋体" w:eastAsia="宋体" w:cs="宋体"/>
                <w:i w:val="0"/>
                <w:iCs w:val="0"/>
                <w:color w:val="000000"/>
                <w:sz w:val="22"/>
                <w:szCs w:val="22"/>
                <w:u w:val="none"/>
              </w:rPr>
            </w:pPr>
          </w:p>
        </w:tc>
        <w:tc>
          <w:tcPr>
            <w:tcW w:w="2160" w:type="dxa"/>
            <w:tcBorders>
              <w:top w:val="nil"/>
              <w:left w:val="nil"/>
              <w:bottom w:val="nil"/>
              <w:right w:val="nil"/>
            </w:tcBorders>
            <w:noWrap/>
            <w:vAlign w:val="center"/>
          </w:tcPr>
          <w:p w14:paraId="79D71BF1">
            <w:pPr>
              <w:rPr>
                <w:rFonts w:hint="eastAsia" w:ascii="宋体" w:hAnsi="宋体" w:eastAsia="宋体" w:cs="宋体"/>
                <w:i w:val="0"/>
                <w:iCs w:val="0"/>
                <w:color w:val="000000"/>
                <w:sz w:val="22"/>
                <w:szCs w:val="22"/>
                <w:u w:val="none"/>
              </w:rPr>
            </w:pPr>
          </w:p>
        </w:tc>
        <w:tc>
          <w:tcPr>
            <w:tcW w:w="2620" w:type="dxa"/>
            <w:tcBorders>
              <w:top w:val="nil"/>
              <w:left w:val="nil"/>
              <w:bottom w:val="nil"/>
              <w:right w:val="nil"/>
            </w:tcBorders>
            <w:noWrap/>
            <w:vAlign w:val="center"/>
          </w:tcPr>
          <w:p w14:paraId="5D00A92B">
            <w:pPr>
              <w:rPr>
                <w:rFonts w:hint="eastAsia" w:ascii="宋体" w:hAnsi="宋体" w:eastAsia="宋体" w:cs="宋体"/>
                <w:i w:val="0"/>
                <w:iCs w:val="0"/>
                <w:color w:val="000000"/>
                <w:sz w:val="22"/>
                <w:szCs w:val="22"/>
                <w:u w:val="none"/>
              </w:rPr>
            </w:pPr>
          </w:p>
        </w:tc>
      </w:tr>
      <w:tr w14:paraId="1E3C6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427CBE47">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软件正版化三年授权使用费项目综合得分表</w:t>
            </w:r>
          </w:p>
        </w:tc>
      </w:tr>
      <w:tr w14:paraId="54C5E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7B1F5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63F84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B561C0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7FB96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0E6BDF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7FDA78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40AA6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3DF3F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CBA3B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E28537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A886EE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228A53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1CDCC6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r w14:paraId="4F274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67F3A6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57286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F90180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11.79</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57D21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37.5</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5DC184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427A71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97.29</w:t>
            </w:r>
          </w:p>
        </w:tc>
      </w:tr>
      <w:tr w14:paraId="383AB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4086A93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1B1BB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15473C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98.25%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2EEB1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93.75%</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45172A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620" w:type="dxa"/>
            <w:tcBorders>
              <w:top w:val="single" w:color="auto" w:sz="4" w:space="0"/>
              <w:left w:val="single" w:color="auto" w:sz="4" w:space="0"/>
              <w:bottom w:val="single" w:color="auto" w:sz="4" w:space="0"/>
              <w:right w:val="single" w:color="auto" w:sz="4" w:space="0"/>
            </w:tcBorders>
            <w:noWrap w:val="0"/>
            <w:vAlign w:val="center"/>
          </w:tcPr>
          <w:p w14:paraId="166F589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bl>
    <w:p w14:paraId="31181A82">
      <w:pPr>
        <w:pStyle w:val="10"/>
        <w:ind w:left="0" w:leftChars="0" w:firstLine="0" w:firstLineChars="0"/>
        <w:jc w:val="both"/>
        <w:rPr>
          <w:rFonts w:hint="default" w:ascii="宋体" w:hAnsi="宋体" w:eastAsia="宋体" w:cs="宋体"/>
          <w:sz w:val="24"/>
          <w:szCs w:val="24"/>
          <w:lang w:val="en-US" w:eastAsia="zh-CN"/>
        </w:rPr>
      </w:pPr>
    </w:p>
    <w:p w14:paraId="2FD1D866">
      <w:pPr>
        <w:pStyle w:val="10"/>
        <w:ind w:left="0" w:leftChars="0" w:firstLine="0" w:firstLineChars="0"/>
        <w:jc w:val="both"/>
        <w:rPr>
          <w:rFonts w:hint="default" w:ascii="宋体" w:hAnsi="宋体" w:eastAsia="宋体" w:cs="宋体"/>
          <w:sz w:val="24"/>
          <w:szCs w:val="24"/>
          <w:lang w:val="en-US" w:eastAsia="zh-CN"/>
        </w:rPr>
        <w:sectPr>
          <w:pgSz w:w="16838" w:h="11906" w:orient="landscape"/>
          <w:pgMar w:top="1531" w:right="1985" w:bottom="1531" w:left="1701" w:header="851" w:footer="992" w:gutter="0"/>
          <w:pgNumType w:start="1"/>
          <w:cols w:space="720" w:num="1"/>
          <w:docGrid w:type="linesAndChars" w:linePitch="386" w:charSpace="0"/>
        </w:sectPr>
      </w:pPr>
    </w:p>
    <w:p w14:paraId="1E75BA1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附件3：</w:t>
      </w:r>
    </w:p>
    <w:p w14:paraId="2B5ADC2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软件正版化三年授权使用费项目满意度调查问卷</w:t>
      </w:r>
    </w:p>
    <w:p w14:paraId="48657B3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分析报告</w:t>
      </w:r>
    </w:p>
    <w:p w14:paraId="0F4B926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rPr>
      </w:pPr>
    </w:p>
    <w:p w14:paraId="0BDC8FC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4825B25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一、该问卷调查从2025年2月10日开始至2025年2月20日结束，调查问卷共设置3道题目。</w:t>
      </w:r>
    </w:p>
    <w:p w14:paraId="68479B8A">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00AF8E65">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本次</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的受益对象为</w:t>
      </w:r>
      <w:r>
        <w:rPr>
          <w:rFonts w:hint="eastAsia" w:ascii="宋体" w:hAnsi="宋体" w:eastAsia="宋体" w:cs="宋体"/>
          <w:b/>
          <w:bCs/>
          <w:color w:val="auto"/>
          <w:sz w:val="24"/>
          <w:szCs w:val="24"/>
          <w:highlight w:val="none"/>
          <w:lang w:eastAsia="zh-CN"/>
        </w:rPr>
        <w:t>农牧民群众</w:t>
      </w:r>
      <w:r>
        <w:rPr>
          <w:rFonts w:hint="eastAsia" w:ascii="宋体" w:hAnsi="宋体" w:eastAsia="宋体" w:cs="宋体"/>
          <w:b/>
          <w:bCs/>
          <w:color w:val="auto"/>
          <w:sz w:val="24"/>
          <w:szCs w:val="24"/>
          <w:highlight w:val="none"/>
        </w:rPr>
        <w:t>。</w:t>
      </w:r>
    </w:p>
    <w:p w14:paraId="4F5B92D6">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内容</w:t>
      </w:r>
    </w:p>
    <w:p w14:paraId="7E11790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①您对软件正版化三年授权使用费项目使用情况是否满意?</w:t>
      </w:r>
    </w:p>
    <w:p w14:paraId="1168F3A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②您对软件正版化三年授权使用费项目安装及时性是否满意？</w:t>
      </w:r>
    </w:p>
    <w:p w14:paraId="76DC255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③总的来说，您对目前软件正版化三年授权使用费项目实施后的整体满意程度如何？</w:t>
      </w:r>
    </w:p>
    <w:p w14:paraId="17716A4B">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3.调查方法</w:t>
      </w:r>
    </w:p>
    <w:p w14:paraId="249BBA5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3392F08E">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4.抽样方式</w:t>
      </w:r>
    </w:p>
    <w:p w14:paraId="28EA25C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629BAD9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2602620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15E6286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00823C8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796C900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5EA200A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72F48B4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3069B9C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086F83F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软件正版化三年授权使用费项目针对受益人员发放30份调查问卷，最终统计受益人群满意度为100%。</w:t>
      </w:r>
    </w:p>
    <w:p w14:paraId="03701F6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2F7BB07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color w:val="auto"/>
          <w:sz w:val="24"/>
          <w:szCs w:val="24"/>
          <w:highlight w:val="none"/>
          <w:lang w:val="en-US" w:eastAsia="zh-CN"/>
        </w:rPr>
      </w:pPr>
      <w:r>
        <w:rPr>
          <w:rFonts w:hint="eastAsia" w:cs="宋体"/>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中共洛浦县委宣传部</w:t>
      </w:r>
    </w:p>
    <w:p w14:paraId="4C138C6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 xml:space="preserve">                                           2025年2月21日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D9533">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65247">
    <w:pPr>
      <w:pStyle w:val="16"/>
      <w:pBdr>
        <w:bottom w:val="none" w:color="auto" w:sz="0" w:space="1"/>
      </w:pBdr>
      <w:tabs>
        <w:tab w:val="left" w:pos="2997"/>
      </w:tabs>
      <w:ind w:firstLine="360"/>
      <w:jc w:val="left"/>
      <w:rPr>
        <w:rFonts w:hint="eastAsia" w:eastAsia="仿宋_GB2312"/>
        <w:lang w:eastAsia="zh-CN"/>
      </w:rPr>
    </w:pPr>
    <w:r>
      <w:rPr>
        <w:rFonts w:hint="eastAsia"/>
        <w:lang w:eastAsia="zh-CN"/>
      </w:rPr>
      <w:tab/>
    </w:r>
    <w:r>
      <w:rPr>
        <w:rFonts w:hint="eastAsia"/>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lvlText w:val="%1."/>
      <w:lvlJc w:val="left"/>
      <w:pPr>
        <w:tabs>
          <w:tab w:val="left" w:pos="312"/>
        </w:tabs>
      </w:pPr>
    </w:lvl>
  </w:abstractNum>
  <w:abstractNum w:abstractNumId="3">
    <w:nsid w:val="0053208E"/>
    <w:multiLevelType w:val="multilevel"/>
    <w:tmpl w:val="0053208E"/>
    <w:lvl w:ilvl="0" w:tentative="0">
      <w:start w:val="1"/>
      <w:numFmt w:val="chineseCountingThousand"/>
      <w:pStyle w:val="6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25B654F3"/>
    <w:multiLevelType w:val="singleLevel"/>
    <w:tmpl w:val="25B654F3"/>
    <w:lvl w:ilvl="0" w:tentative="0">
      <w:start w:val="4"/>
      <w:numFmt w:val="decimal"/>
      <w:suff w:val="nothing"/>
      <w:lvlText w:val="（%1）"/>
      <w:lvlJc w:val="left"/>
    </w:lvl>
  </w:abstractNum>
  <w:abstractNum w:abstractNumId="6">
    <w:nsid w:val="59ADCABA"/>
    <w:multiLevelType w:val="singleLevel"/>
    <w:tmpl w:val="59ADCABA"/>
    <w:lvl w:ilvl="0" w:tentative="0">
      <w:start w:val="2"/>
      <w:numFmt w:val="decimal"/>
      <w:lvlText w:val="%1."/>
      <w:lvlJc w:val="left"/>
      <w:pPr>
        <w:tabs>
          <w:tab w:val="left" w:pos="312"/>
        </w:tabs>
      </w:pPr>
    </w:lvl>
  </w:abstractNum>
  <w:abstractNum w:abstractNumId="7">
    <w:nsid w:val="72183CF9"/>
    <w:multiLevelType w:val="singleLevel"/>
    <w:tmpl w:val="72183CF9"/>
    <w:lvl w:ilvl="0" w:tentative="0">
      <w:start w:val="2"/>
      <w:numFmt w:val="chineseCounting"/>
      <w:suff w:val="nothing"/>
      <w:lvlText w:val="（%1）"/>
      <w:lvlJc w:val="left"/>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569D76A7"/>
    <w:rsid w:val="71E9387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3"/>
    <w:unhideWhenUsed/>
    <w:uiPriority w:val="0"/>
    <w:pPr>
      <w:ind w:firstLine="420"/>
    </w:pPr>
  </w:style>
  <w:style w:type="paragraph" w:styleId="4">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9"/>
    <w:unhideWhenUsed/>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Body Text 2"/>
    <w:basedOn w:val="1"/>
    <w:qFormat/>
    <w:uiPriority w:val="0"/>
    <w:pPr>
      <w:spacing w:after="120" w:line="480" w:lineRule="auto"/>
    </w:pPr>
    <w:rPr>
      <w:rFonts w:ascii="Times New Roman" w:hAnsi="Times New Roman" w:eastAsia="宋体"/>
    </w:rPr>
  </w:style>
  <w:style w:type="paragraph" w:styleId="23">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标题 1 Char"/>
    <w:link w:val="2"/>
    <w:qFormat/>
    <w:uiPriority w:val="9"/>
    <w:rPr>
      <w:rFonts w:ascii="Times New Roman" w:hAnsi="Times New Roman" w:eastAsia="仿宋_GB2312" w:cs="Times New Roman"/>
      <w:b/>
      <w:bCs/>
      <w:kern w:val="44"/>
      <w:sz w:val="32"/>
      <w:szCs w:val="44"/>
    </w:rPr>
  </w:style>
  <w:style w:type="character" w:customStyle="1" w:styleId="32">
    <w:name w:val="正文文本缩进 Char"/>
    <w:link w:val="4"/>
    <w:semiHidden/>
    <w:qFormat/>
    <w:uiPriority w:val="99"/>
    <w:rPr>
      <w:rFonts w:ascii="Calibri" w:hAnsi="Calibri" w:eastAsia="仿宋_GB2312" w:cs="黑体"/>
      <w:sz w:val="28"/>
    </w:rPr>
  </w:style>
  <w:style w:type="character" w:customStyle="1" w:styleId="33">
    <w:name w:val="正文首行缩进 2 Char"/>
    <w:link w:val="3"/>
    <w:qFormat/>
    <w:uiPriority w:val="0"/>
    <w:rPr>
      <w:rFonts w:ascii="Calibri" w:hAnsi="Calibri" w:eastAsia="仿宋_GB2312" w:cs="黑体"/>
      <w:sz w:val="28"/>
    </w:rPr>
  </w:style>
  <w:style w:type="character" w:customStyle="1" w:styleId="34">
    <w:name w:val="标题 2 Char"/>
    <w:link w:val="5"/>
    <w:qFormat/>
    <w:uiPriority w:val="0"/>
    <w:rPr>
      <w:rFonts w:ascii="Cambria" w:hAnsi="Cambria" w:eastAsia="仿宋_GB2312" w:cs="Times New Roman"/>
      <w:b/>
      <w:bCs/>
      <w:kern w:val="0"/>
      <w:sz w:val="30"/>
      <w:szCs w:val="32"/>
    </w:rPr>
  </w:style>
  <w:style w:type="character" w:customStyle="1" w:styleId="35">
    <w:name w:val="标题 3 Char"/>
    <w:link w:val="6"/>
    <w:qFormat/>
    <w:uiPriority w:val="9"/>
    <w:rPr>
      <w:rFonts w:ascii="Calibri" w:hAnsi="Calibri" w:eastAsia="仿宋_GB2312" w:cs="黑体"/>
      <w:bCs/>
      <w:sz w:val="28"/>
      <w:szCs w:val="32"/>
    </w:rPr>
  </w:style>
  <w:style w:type="character" w:customStyle="1" w:styleId="36">
    <w:name w:val="标题 4 Char"/>
    <w:link w:val="7"/>
    <w:semiHidden/>
    <w:qFormat/>
    <w:uiPriority w:val="9"/>
    <w:rPr>
      <w:rFonts w:ascii="Cambria" w:hAnsi="Cambria" w:eastAsia="宋体" w:cs="Times New Roman"/>
      <w:b/>
      <w:bCs/>
      <w:sz w:val="28"/>
      <w:szCs w:val="28"/>
    </w:rPr>
  </w:style>
  <w:style w:type="character" w:customStyle="1" w:styleId="37">
    <w:name w:val="文档结构图 Char"/>
    <w:link w:val="9"/>
    <w:semiHidden/>
    <w:qFormat/>
    <w:uiPriority w:val="99"/>
    <w:rPr>
      <w:rFonts w:ascii="宋体" w:hAnsi="Calibri" w:eastAsia="宋体" w:cs="黑体"/>
      <w:sz w:val="18"/>
      <w:szCs w:val="18"/>
    </w:rPr>
  </w:style>
  <w:style w:type="character" w:customStyle="1" w:styleId="38">
    <w:name w:val="批注文字 Char"/>
    <w:link w:val="28"/>
    <w:semiHidden/>
    <w:qFormat/>
    <w:uiPriority w:val="99"/>
    <w:rPr>
      <w:rFonts w:ascii="Calibri" w:hAnsi="Calibri" w:eastAsia="仿宋_GB2312" w:cs="黑体"/>
      <w:sz w:val="20"/>
      <w:szCs w:val="20"/>
    </w:rPr>
  </w:style>
  <w:style w:type="character" w:customStyle="1" w:styleId="39">
    <w:name w:val="批注框文本 Char"/>
    <w:link w:val="14"/>
    <w:semiHidden/>
    <w:qFormat/>
    <w:uiPriority w:val="99"/>
    <w:rPr>
      <w:rFonts w:ascii="Calibri" w:hAnsi="Calibri" w:eastAsia="仿宋_GB2312" w:cs="黑体"/>
      <w:sz w:val="18"/>
      <w:szCs w:val="18"/>
    </w:rPr>
  </w:style>
  <w:style w:type="character" w:customStyle="1" w:styleId="40">
    <w:name w:val="页脚 Char"/>
    <w:link w:val="15"/>
    <w:qFormat/>
    <w:uiPriority w:val="99"/>
    <w:rPr>
      <w:rFonts w:ascii="Calibri" w:hAnsi="Calibri" w:eastAsia="仿宋_GB2312" w:cs="黑体"/>
      <w:sz w:val="18"/>
      <w:szCs w:val="18"/>
    </w:rPr>
  </w:style>
  <w:style w:type="character" w:customStyle="1" w:styleId="41">
    <w:name w:val="页眉 Char"/>
    <w:link w:val="16"/>
    <w:qFormat/>
    <w:uiPriority w:val="99"/>
    <w:rPr>
      <w:rFonts w:ascii="Calibri" w:hAnsi="Calibri" w:eastAsia="仿宋_GB2312" w:cs="黑体"/>
      <w:sz w:val="18"/>
      <w:szCs w:val="18"/>
    </w:rPr>
  </w:style>
  <w:style w:type="character" w:customStyle="1" w:styleId="42">
    <w:name w:val="标题 Char"/>
    <w:link w:val="23"/>
    <w:qFormat/>
    <w:uiPriority w:val="10"/>
    <w:rPr>
      <w:rFonts w:ascii="Cambria" w:hAnsi="Cambria"/>
      <w:b/>
      <w:bCs/>
      <w:kern w:val="2"/>
      <w:sz w:val="32"/>
      <w:szCs w:val="32"/>
    </w:rPr>
  </w:style>
  <w:style w:type="character" w:customStyle="1" w:styleId="43">
    <w:name w:val="批注主题 Char"/>
    <w:link w:val="29"/>
    <w:semiHidden/>
    <w:qFormat/>
    <w:uiPriority w:val="99"/>
    <w:rPr>
      <w:rFonts w:ascii="Calibri" w:hAnsi="Calibri" w:eastAsia="仿宋_GB2312" w:cs="黑体"/>
      <w:b/>
      <w:bCs/>
      <w:sz w:val="20"/>
      <w:szCs w:val="20"/>
    </w:rPr>
  </w:style>
  <w:style w:type="character" w:customStyle="1" w:styleId="44">
    <w:name w:val="闻政-正文一级标题 Char"/>
    <w:link w:val="45"/>
    <w:qFormat/>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qFormat/>
    <w:uiPriority w:val="3"/>
    <w:rPr>
      <w:rFonts w:ascii="Times New Roman" w:hAnsi="Times New Roman" w:eastAsia="仿宋_GB2312"/>
      <w:sz w:val="28"/>
      <w:szCs w:val="28"/>
    </w:rPr>
  </w:style>
  <w:style w:type="character" w:customStyle="1" w:styleId="48">
    <w:name w:val="闻政-正文二级标题 Char"/>
    <w:link w:val="49"/>
    <w:qFormat/>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qFormat/>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qFormat/>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qFormat/>
    <w:uiPriority w:val="0"/>
    <w:rPr>
      <w:rFonts w:hint="default" w:ascii="Times New Roman" w:hAnsi="Times New Roman" w:cs="Times New Roman"/>
      <w:color w:val="000000"/>
      <w:sz w:val="24"/>
      <w:szCs w:val="24"/>
      <w:u w:val="none"/>
    </w:rPr>
  </w:style>
  <w:style w:type="character" w:customStyle="1" w:styleId="55">
    <w:name w:val="无间隔 Char"/>
    <w:link w:val="56"/>
    <w:qFormat/>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6"/>
    <w:qFormat/>
    <w:uiPriority w:val="0"/>
    <w:rPr>
      <w:rFonts w:hint="eastAsia" w:ascii="微软雅黑" w:hAnsi="微软雅黑" w:eastAsia="微软雅黑" w:cs="微软雅黑"/>
      <w:b/>
      <w:bCs/>
      <w:color w:val="000000"/>
      <w:sz w:val="32"/>
      <w:szCs w:val="32"/>
      <w:u w:val="none"/>
    </w:rPr>
  </w:style>
  <w:style w:type="paragraph" w:customStyle="1" w:styleId="60">
    <w:name w:val="标题2"/>
    <w:basedOn w:val="5"/>
    <w:qFormat/>
    <w:uiPriority w:val="0"/>
    <w:pPr>
      <w:numPr>
        <w:ilvl w:val="0"/>
        <w:numId w:val="1"/>
      </w:numPr>
      <w:spacing w:before="120" w:after="120" w:line="500" w:lineRule="exact"/>
    </w:pPr>
    <w:rPr>
      <w:rFonts w:ascii="仿宋_GB2312" w:eastAsia="仿宋_GB2312" w:cs="Times New Roman"/>
    </w:rPr>
  </w:style>
  <w:style w:type="paragraph" w:customStyle="1" w:styleId="61">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E45A1BB87BB9423F9AF999596A21789C_13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eb416e9a-eff8-48d6-90e5-d9cb134c1d4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9638</Words>
  <Characters>10059</Characters>
  <Lines>44</Lines>
  <Paragraphs>12</Paragraphs>
  <TotalTime>1</TotalTime>
  <ScaleCrop>false</ScaleCrop>
  <LinksUpToDate>false</LinksUpToDate>
  <CharactersWithSpaces>10075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2025-10-10T10:20:00Z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E45A1BB87BB9423F9AF999596A21789C_13</vt:lpwstr>
  </property>
  <property fmtid="{D5CDD505-2E9C-101B-9397-08002B2CF9AE}" pid="4" name="KSOTemplateDocerSaveRecord">
    <vt:lpwstr>eyJoZGlkIjoiMGIxZTI3ODM4ZmVjOGE5NDFiYmE3OTRiMjQ5OTEyNzIiLCJ1c2VySWQiOiIzNzI2MDMzNTYifQ==</vt:lpwstr>
  </property>
</Properties>
</file>