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B690B0">
      <w:bookmarkStart w:id="18" w:name="_GoBack"/>
      <w:bookmarkEnd w:id="18"/>
    </w:p>
    <w:p w14:paraId="4D3EC090">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kern w:val="0"/>
          <w:sz w:val="32"/>
          <w:szCs w:val="32"/>
          <w:lang w:val="en-US" w:eastAsia="zh-CN" w:bidi="en-US"/>
        </w:rPr>
      </w:pPr>
    </w:p>
    <w:p w14:paraId="630F4611">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auto"/>
          <w:sz w:val="36"/>
          <w:szCs w:val="36"/>
          <w:lang w:val="en-US" w:eastAsia="zh-CN"/>
        </w:rPr>
      </w:pPr>
      <w:r>
        <w:rPr>
          <w:rFonts w:hint="eastAsia" w:ascii="黑体" w:hAnsi="黑体" w:eastAsia="黑体" w:cs="黑体"/>
          <w:b/>
          <w:color w:val="auto"/>
          <w:sz w:val="36"/>
          <w:szCs w:val="36"/>
          <w:lang w:val="en-US" w:eastAsia="zh-CN"/>
        </w:rPr>
        <w:t>和田地区洛浦县村干部及村民小组长2024年（5月、</w:t>
      </w:r>
    </w:p>
    <w:p w14:paraId="755F6E93">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auto"/>
          <w:sz w:val="36"/>
          <w:szCs w:val="36"/>
          <w:lang w:val="en-US" w:eastAsia="zh-CN"/>
        </w:rPr>
      </w:pPr>
      <w:r>
        <w:rPr>
          <w:rFonts w:hint="eastAsia" w:ascii="黑体" w:hAnsi="黑体" w:eastAsia="黑体" w:cs="黑体"/>
          <w:b/>
          <w:color w:val="auto"/>
          <w:sz w:val="36"/>
          <w:szCs w:val="36"/>
          <w:lang w:val="en-US" w:eastAsia="zh-CN"/>
        </w:rPr>
        <w:t>10月、11月）工资报酬项目支出绩效评价报告</w:t>
      </w:r>
    </w:p>
    <w:p w14:paraId="41AF8C40">
      <w:pPr>
        <w:pStyle w:val="6"/>
        <w:jc w:val="center"/>
        <w:rPr>
          <w:rFonts w:hint="eastAsia" w:ascii="Times New Roman" w:hAnsi="Times New Roman" w:cs="Times New Roman"/>
          <w:bCs/>
          <w:color w:val="auto"/>
          <w:lang w:eastAsia="zh-CN"/>
        </w:rPr>
      </w:pPr>
      <w:r>
        <w:rPr>
          <w:rFonts w:hint="eastAsia" w:ascii="Times New Roman" w:hAnsi="Times New Roman" w:cs="Times New Roman"/>
          <w:bCs/>
          <w:color w:val="auto"/>
          <w:lang w:eastAsia="zh-CN"/>
        </w:rPr>
        <w:t>（</w:t>
      </w:r>
      <w:r>
        <w:rPr>
          <w:rFonts w:hint="eastAsia" w:ascii="Times New Roman" w:hAnsi="Times New Roman" w:cs="Times New Roman"/>
          <w:bCs/>
          <w:color w:val="auto"/>
          <w:lang w:val="en-US" w:eastAsia="zh-CN"/>
        </w:rPr>
        <w:t>202</w:t>
      </w:r>
      <w:r>
        <w:rPr>
          <w:rFonts w:hint="default" w:ascii="Times New Roman" w:hAnsi="Times New Roman" w:cs="Times New Roman"/>
          <w:bCs/>
          <w:color w:val="auto"/>
          <w:lang w:eastAsia="zh-CN"/>
        </w:rPr>
        <w:t>4</w:t>
      </w:r>
      <w:r>
        <w:rPr>
          <w:rFonts w:hint="eastAsia" w:ascii="Times New Roman" w:hAnsi="Times New Roman" w:cs="Times New Roman"/>
          <w:bCs/>
          <w:color w:val="auto"/>
          <w:lang w:val="en-US" w:eastAsia="zh-CN"/>
        </w:rPr>
        <w:t>年度</w:t>
      </w:r>
      <w:r>
        <w:rPr>
          <w:rFonts w:hint="eastAsia" w:ascii="Times New Roman" w:hAnsi="Times New Roman" w:cs="Times New Roman"/>
          <w:bCs/>
          <w:color w:val="auto"/>
          <w:lang w:eastAsia="zh-CN"/>
        </w:rPr>
        <w:t>）</w:t>
      </w:r>
    </w:p>
    <w:p w14:paraId="78007B57">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719C828D">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5475F558">
      <w:pPr>
        <w:pStyle w:val="6"/>
        <w:rPr>
          <w:rFonts w:hint="eastAsia" w:eastAsia="方正仿宋_GBK" w:cs="方正仿宋_GBK"/>
          <w:b/>
          <w:kern w:val="0"/>
          <w:sz w:val="32"/>
          <w:szCs w:val="32"/>
          <w:lang w:bidi="en-US"/>
        </w:rPr>
      </w:pPr>
    </w:p>
    <w:p w14:paraId="700F9B98">
      <w:pPr>
        <w:rPr>
          <w:rFonts w:hint="eastAsia" w:eastAsia="方正仿宋_GBK" w:cs="方正仿宋_GBK"/>
          <w:b/>
          <w:kern w:val="0"/>
          <w:sz w:val="32"/>
          <w:szCs w:val="32"/>
          <w:lang w:bidi="en-US"/>
        </w:rPr>
      </w:pPr>
    </w:p>
    <w:p w14:paraId="14848842">
      <w:pPr>
        <w:pStyle w:val="6"/>
        <w:rPr>
          <w:rFonts w:hint="eastAsia"/>
        </w:rPr>
      </w:pPr>
    </w:p>
    <w:p w14:paraId="5F56D4F8">
      <w:pPr>
        <w:pStyle w:val="6"/>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sz w:val="32"/>
          <w:lang w:bidi="en-US"/>
        </w:rPr>
      </w:pPr>
    </w:p>
    <w:p w14:paraId="460BFFD7">
      <w:pPr>
        <w:pageBreakBefore w:val="0"/>
        <w:widowControl w:val="0"/>
        <w:kinsoku/>
        <w:wordWrap/>
        <w:topLinePunct w:val="0"/>
        <w:autoSpaceDE/>
        <w:autoSpaceDN/>
        <w:bidi w:val="0"/>
        <w:spacing w:line="560" w:lineRule="exact"/>
        <w:ind w:left="0" w:leftChars="0" w:firstLine="560"/>
        <w:textAlignment w:val="auto"/>
        <w:rPr>
          <w:rFonts w:hint="eastAsia"/>
        </w:rPr>
      </w:pPr>
    </w:p>
    <w:p w14:paraId="33D49FA2">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kern w:val="0"/>
          <w:sz w:val="32"/>
          <w:szCs w:val="32"/>
          <w:lang w:bidi="en-US"/>
        </w:rPr>
      </w:pPr>
    </w:p>
    <w:p w14:paraId="5DFEAF29">
      <w:pPr>
        <w:pageBreakBefore w:val="0"/>
        <w:widowControl w:val="0"/>
        <w:kinsoku/>
        <w:wordWrap/>
        <w:topLinePunct w:val="0"/>
        <w:autoSpaceDE/>
        <w:autoSpaceDN/>
        <w:bidi w:val="0"/>
        <w:spacing w:line="560" w:lineRule="exact"/>
        <w:ind w:left="2240" w:leftChars="400" w:hanging="1120" w:hangingChars="400"/>
        <w:jc w:val="left"/>
        <w:textAlignment w:val="auto"/>
        <w:rPr>
          <w:rFonts w:hint="eastAsia" w:ascii="宋体" w:hAnsi="宋体" w:eastAsia="宋体" w:cs="宋体"/>
          <w:color w:val="auto"/>
          <w:kern w:val="0"/>
          <w:sz w:val="28"/>
          <w:szCs w:val="28"/>
          <w:highlight w:val="none"/>
          <w:lang w:eastAsia="zh-CN" w:bidi="en-US"/>
        </w:rPr>
      </w:pPr>
      <w:r>
        <w:rPr>
          <w:rFonts w:hint="eastAsia" w:ascii="宋体" w:hAnsi="宋体" w:eastAsia="宋体" w:cs="宋体"/>
          <w:color w:val="auto"/>
          <w:kern w:val="0"/>
          <w:sz w:val="28"/>
          <w:szCs w:val="28"/>
          <w:highlight w:val="none"/>
          <w:lang w:bidi="en-US"/>
        </w:rPr>
        <w:t>项目名称：</w:t>
      </w:r>
      <w:r>
        <w:rPr>
          <w:rFonts w:hint="eastAsia" w:ascii="宋体" w:hAnsi="宋体" w:eastAsia="宋体" w:cs="宋体"/>
          <w:color w:val="auto"/>
          <w:kern w:val="0"/>
          <w:sz w:val="28"/>
          <w:szCs w:val="28"/>
          <w:highlight w:val="none"/>
          <w:lang w:eastAsia="zh-CN" w:bidi="en-US"/>
        </w:rPr>
        <w:t>洛浦县村干部及村民小组长2024年（5月、10月、</w:t>
      </w:r>
      <w:r>
        <w:rPr>
          <w:rFonts w:hint="eastAsia" w:ascii="宋体" w:hAnsi="宋体" w:eastAsia="宋体" w:cs="宋体"/>
          <w:color w:val="auto"/>
          <w:kern w:val="0"/>
          <w:sz w:val="28"/>
          <w:szCs w:val="28"/>
          <w:highlight w:val="none"/>
          <w:lang w:val="en-US" w:eastAsia="zh-CN" w:bidi="en-US"/>
        </w:rPr>
        <w:t xml:space="preserve"> </w:t>
      </w:r>
      <w:r>
        <w:rPr>
          <w:rFonts w:hint="eastAsia" w:ascii="宋体" w:hAnsi="宋体" w:eastAsia="宋体" w:cs="宋体"/>
          <w:color w:val="auto"/>
          <w:kern w:val="0"/>
          <w:sz w:val="28"/>
          <w:szCs w:val="28"/>
          <w:highlight w:val="none"/>
          <w:lang w:eastAsia="zh-CN" w:bidi="en-US"/>
        </w:rPr>
        <w:t>11月）工资报酬项目</w:t>
      </w:r>
    </w:p>
    <w:p w14:paraId="254A8385">
      <w:pPr>
        <w:pageBreakBefore w:val="0"/>
        <w:widowControl w:val="0"/>
        <w:kinsoku/>
        <w:wordWrap/>
        <w:topLinePunct w:val="0"/>
        <w:autoSpaceDE/>
        <w:autoSpaceDN/>
        <w:bidi w:val="0"/>
        <w:spacing w:line="560" w:lineRule="exact"/>
        <w:ind w:left="2240" w:leftChars="400" w:hanging="1120" w:hangingChars="400"/>
        <w:jc w:val="left"/>
        <w:textAlignment w:val="auto"/>
        <w:rPr>
          <w:rFonts w:hint="eastAsia" w:ascii="宋体" w:hAnsi="宋体" w:eastAsia="宋体" w:cs="宋体"/>
          <w:color w:val="auto"/>
          <w:kern w:val="0"/>
          <w:sz w:val="28"/>
          <w:szCs w:val="28"/>
          <w:highlight w:val="none"/>
          <w:lang w:bidi="en-US"/>
        </w:rPr>
      </w:pPr>
      <w:r>
        <w:rPr>
          <w:rFonts w:hint="eastAsia" w:ascii="宋体" w:hAnsi="宋体" w:eastAsia="宋体" w:cs="宋体"/>
          <w:color w:val="auto"/>
          <w:kern w:val="0"/>
          <w:sz w:val="28"/>
          <w:szCs w:val="28"/>
          <w:highlight w:val="none"/>
          <w:lang w:bidi="en-US"/>
        </w:rPr>
        <w:t>项目单位：中共洛浦县委组织部</w:t>
      </w:r>
    </w:p>
    <w:p w14:paraId="14DF1472">
      <w:pPr>
        <w:pageBreakBefore w:val="0"/>
        <w:widowControl w:val="0"/>
        <w:kinsoku/>
        <w:wordWrap/>
        <w:topLinePunct w:val="0"/>
        <w:autoSpaceDE/>
        <w:autoSpaceDN/>
        <w:bidi w:val="0"/>
        <w:spacing w:line="560" w:lineRule="exact"/>
        <w:ind w:firstLine="1120" w:firstLineChars="400"/>
        <w:jc w:val="left"/>
        <w:textAlignment w:val="auto"/>
        <w:rPr>
          <w:rFonts w:hint="eastAsia" w:ascii="宋体" w:hAnsi="宋体" w:eastAsia="宋体" w:cs="宋体"/>
          <w:color w:val="auto"/>
          <w:kern w:val="0"/>
          <w:sz w:val="28"/>
          <w:szCs w:val="28"/>
          <w:highlight w:val="none"/>
          <w:lang w:bidi="en-US"/>
        </w:rPr>
      </w:pPr>
      <w:r>
        <w:rPr>
          <w:rFonts w:hint="eastAsia" w:ascii="宋体" w:hAnsi="宋体" w:eastAsia="宋体" w:cs="宋体"/>
          <w:color w:val="auto"/>
          <w:kern w:val="0"/>
          <w:sz w:val="28"/>
          <w:szCs w:val="28"/>
          <w:highlight w:val="none"/>
          <w:lang w:bidi="en-US"/>
        </w:rPr>
        <w:t>主管部门：中共洛浦县委组织部</w:t>
      </w:r>
    </w:p>
    <w:p w14:paraId="45CCFE09">
      <w:pPr>
        <w:pageBreakBefore w:val="0"/>
        <w:widowControl w:val="0"/>
        <w:kinsoku/>
        <w:wordWrap/>
        <w:topLinePunct w:val="0"/>
        <w:autoSpaceDE/>
        <w:autoSpaceDN/>
        <w:bidi w:val="0"/>
        <w:spacing w:line="560" w:lineRule="exact"/>
        <w:ind w:firstLine="1120" w:firstLineChars="400"/>
        <w:jc w:val="left"/>
        <w:textAlignment w:val="auto"/>
        <w:rPr>
          <w:rFonts w:hint="default" w:ascii="宋体" w:hAnsi="宋体" w:eastAsia="宋体" w:cs="宋体"/>
          <w:color w:val="auto"/>
          <w:kern w:val="0"/>
          <w:sz w:val="28"/>
          <w:szCs w:val="28"/>
          <w:highlight w:val="none"/>
          <w:lang w:val="en-US" w:eastAsia="zh-CN" w:bidi="en-US"/>
        </w:rPr>
      </w:pPr>
      <w:r>
        <w:rPr>
          <w:rFonts w:hint="eastAsia" w:ascii="宋体" w:hAnsi="宋体" w:eastAsia="宋体" w:cs="宋体"/>
          <w:color w:val="auto"/>
          <w:kern w:val="0"/>
          <w:sz w:val="28"/>
          <w:szCs w:val="28"/>
          <w:highlight w:val="none"/>
          <w:lang w:bidi="en-US"/>
        </w:rPr>
        <w:t>项目负责人：</w:t>
      </w:r>
      <w:r>
        <w:rPr>
          <w:rFonts w:hint="eastAsia" w:ascii="宋体" w:hAnsi="宋体" w:eastAsia="宋体" w:cs="宋体"/>
          <w:color w:val="auto"/>
          <w:kern w:val="0"/>
          <w:sz w:val="28"/>
          <w:szCs w:val="28"/>
          <w:highlight w:val="none"/>
          <w:lang w:eastAsia="zh-CN" w:bidi="en-US"/>
        </w:rPr>
        <w:t>奥古丽妮萨</w:t>
      </w:r>
      <w:r>
        <w:rPr>
          <w:rFonts w:hint="eastAsia" w:ascii="宋体" w:hAnsi="宋体" w:eastAsia="宋体" w:cs="宋体"/>
          <w:color w:val="auto"/>
          <w:kern w:val="0"/>
          <w:sz w:val="28"/>
          <w:szCs w:val="28"/>
          <w:highlight w:val="none"/>
          <w:lang w:val="en-US" w:eastAsia="zh-CN" w:bidi="en-US"/>
        </w:rPr>
        <w:t>·阿卜杜拉</w:t>
      </w:r>
    </w:p>
    <w:p w14:paraId="5D34CB37">
      <w:pPr>
        <w:pageBreakBefore w:val="0"/>
        <w:widowControl w:val="0"/>
        <w:kinsoku/>
        <w:wordWrap/>
        <w:topLinePunct w:val="0"/>
        <w:autoSpaceDE/>
        <w:autoSpaceDN/>
        <w:bidi w:val="0"/>
        <w:spacing w:line="560" w:lineRule="exact"/>
        <w:ind w:firstLine="1120" w:firstLineChars="400"/>
        <w:jc w:val="left"/>
        <w:textAlignment w:val="auto"/>
        <w:rPr>
          <w:rFonts w:hint="eastAsia" w:ascii="宋体" w:hAnsi="宋体" w:eastAsia="宋体" w:cs="宋体"/>
          <w:color w:val="auto"/>
          <w:kern w:val="0"/>
          <w:sz w:val="28"/>
          <w:szCs w:val="28"/>
          <w:highlight w:val="none"/>
          <w:lang w:bidi="en-US"/>
        </w:rPr>
      </w:pPr>
      <w:r>
        <w:rPr>
          <w:rFonts w:hint="eastAsia" w:ascii="宋体" w:hAnsi="宋体" w:eastAsia="宋体" w:cs="宋体"/>
          <w:color w:val="auto"/>
          <w:kern w:val="0"/>
          <w:sz w:val="28"/>
          <w:szCs w:val="28"/>
          <w:highlight w:val="none"/>
          <w:lang w:bidi="en-US"/>
        </w:rPr>
        <w:t>填报时间：</w:t>
      </w:r>
      <w:r>
        <w:rPr>
          <w:rFonts w:hint="default" w:ascii="宋体" w:hAnsi="宋体" w:eastAsia="宋体" w:cs="宋体"/>
          <w:color w:val="auto"/>
          <w:kern w:val="0"/>
          <w:sz w:val="28"/>
          <w:szCs w:val="28"/>
          <w:highlight w:val="none"/>
          <w:lang w:bidi="en-US"/>
        </w:rPr>
        <w:t>2024</w:t>
      </w:r>
      <w:r>
        <w:rPr>
          <w:rFonts w:hint="eastAsia" w:ascii="宋体" w:hAnsi="宋体" w:eastAsia="宋体" w:cs="宋体"/>
          <w:color w:val="auto"/>
          <w:kern w:val="0"/>
          <w:sz w:val="28"/>
          <w:szCs w:val="28"/>
          <w:highlight w:val="none"/>
          <w:lang w:bidi="en-US"/>
        </w:rPr>
        <w:t>年</w:t>
      </w:r>
      <w:r>
        <w:rPr>
          <w:rFonts w:hint="eastAsia" w:ascii="宋体" w:hAnsi="宋体" w:eastAsia="宋体" w:cs="宋体"/>
          <w:color w:val="auto"/>
          <w:kern w:val="0"/>
          <w:sz w:val="28"/>
          <w:szCs w:val="28"/>
          <w:highlight w:val="none"/>
          <w:lang w:val="en-US" w:eastAsia="zh-CN" w:bidi="en-US"/>
        </w:rPr>
        <w:t>3</w:t>
      </w:r>
      <w:r>
        <w:rPr>
          <w:rFonts w:hint="eastAsia" w:ascii="宋体" w:hAnsi="宋体" w:eastAsia="宋体" w:cs="宋体"/>
          <w:color w:val="auto"/>
          <w:kern w:val="0"/>
          <w:sz w:val="28"/>
          <w:szCs w:val="28"/>
          <w:highlight w:val="none"/>
          <w:lang w:bidi="en-US"/>
        </w:rPr>
        <w:t>月</w:t>
      </w:r>
      <w:r>
        <w:rPr>
          <w:rFonts w:hint="eastAsia" w:ascii="宋体" w:hAnsi="宋体" w:eastAsia="宋体" w:cs="宋体"/>
          <w:color w:val="auto"/>
          <w:kern w:val="0"/>
          <w:sz w:val="28"/>
          <w:szCs w:val="28"/>
          <w:highlight w:val="none"/>
          <w:lang w:val="en-US" w:eastAsia="zh-CN" w:bidi="en-US"/>
        </w:rPr>
        <w:t>31</w:t>
      </w:r>
      <w:r>
        <w:rPr>
          <w:rFonts w:hint="eastAsia" w:ascii="宋体" w:hAnsi="宋体" w:eastAsia="宋体" w:cs="宋体"/>
          <w:color w:val="auto"/>
          <w:kern w:val="0"/>
          <w:sz w:val="28"/>
          <w:szCs w:val="28"/>
          <w:highlight w:val="none"/>
          <w:lang w:bidi="en-US"/>
        </w:rPr>
        <w:t>日</w:t>
      </w:r>
    </w:p>
    <w:p w14:paraId="1F4A6D0E">
      <w:pPr>
        <w:pStyle w:val="3"/>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bookmarkStart w:id="0" w:name="_Toc68364657"/>
      <w:r>
        <w:rPr>
          <w:rFonts w:hint="eastAsia" w:ascii="黑体" w:hAnsi="黑体" w:eastAsia="黑体" w:cs="黑体"/>
          <w:sz w:val="24"/>
          <w:szCs w:val="24"/>
          <w:lang w:val="en-US" w:eastAsia="zh-CN"/>
        </w:rPr>
        <w:t>一、</w:t>
      </w:r>
      <w:r>
        <w:rPr>
          <w:rFonts w:hint="eastAsia" w:ascii="黑体" w:hAnsi="黑体" w:eastAsia="黑体" w:cs="黑体"/>
          <w:sz w:val="24"/>
          <w:szCs w:val="24"/>
        </w:rPr>
        <w:t>基本情况</w:t>
      </w:r>
      <w:bookmarkEnd w:id="0"/>
    </w:p>
    <w:p w14:paraId="4B3B6FC1">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 w:name="_Toc68364658"/>
      <w:r>
        <w:rPr>
          <w:rFonts w:hint="eastAsia" w:ascii="宋体" w:hAnsi="宋体" w:eastAsia="宋体" w:cs="宋体"/>
          <w:sz w:val="24"/>
          <w:szCs w:val="24"/>
          <w:lang w:eastAsia="zh-CN"/>
        </w:rPr>
        <w:t>（一）</w:t>
      </w:r>
      <w:r>
        <w:rPr>
          <w:rFonts w:hint="eastAsia" w:ascii="宋体" w:hAnsi="宋体" w:eastAsia="宋体" w:cs="宋体"/>
          <w:sz w:val="24"/>
          <w:szCs w:val="24"/>
        </w:rPr>
        <w:t>项目概况</w:t>
      </w:r>
      <w:bookmarkEnd w:id="1"/>
    </w:p>
    <w:p w14:paraId="78B4D18E">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项目背景</w:t>
      </w:r>
    </w:p>
    <w:p w14:paraId="219FDACD">
      <w:pPr>
        <w:pStyle w:val="58"/>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u w:val="none"/>
          <w:lang w:eastAsia="zh-CN"/>
        </w:rPr>
        <w:t>以习近平新时代中国特色社会主义思想为指导，全面学习贯彻党的二十大精神，贯彻落实习近平总书记视察新疆重要讲话重要指示精神，贯彻落实自治区党委重点工作部署</w:t>
      </w:r>
      <w:r>
        <w:rPr>
          <w:rFonts w:hint="eastAsia" w:ascii="宋体" w:hAnsi="宋体" w:eastAsia="宋体" w:cs="宋体"/>
          <w:color w:val="auto"/>
          <w:sz w:val="24"/>
          <w:szCs w:val="24"/>
          <w:u w:val="none"/>
          <w:lang w:val="en-US" w:eastAsia="zh-CN"/>
        </w:rPr>
        <w:t>，按照</w:t>
      </w:r>
      <w:r>
        <w:rPr>
          <w:rFonts w:hint="eastAsia" w:ascii="宋体" w:hAnsi="宋体" w:eastAsia="宋体" w:cs="宋体"/>
          <w:color w:val="auto"/>
          <w:sz w:val="24"/>
          <w:szCs w:val="24"/>
          <w:u w:val="none"/>
          <w:lang w:eastAsia="zh-CN"/>
        </w:rPr>
        <w:t>“</w:t>
      </w:r>
      <w:r>
        <w:rPr>
          <w:rFonts w:hint="eastAsia" w:ascii="宋体" w:hAnsi="宋体" w:eastAsia="宋体" w:cs="宋体"/>
          <w:color w:val="auto"/>
          <w:sz w:val="24"/>
          <w:szCs w:val="24"/>
          <w:u w:val="none"/>
          <w:lang w:val="en-US" w:eastAsia="zh-CN"/>
        </w:rPr>
        <w:t>村‘两委’正职接近达到当地新录用乡镇公务员工资标准，其他成员可按照正职报酬的80%确定，建立正常增长机制”要求，坚持</w:t>
      </w:r>
      <w:r>
        <w:rPr>
          <w:rFonts w:hint="eastAsia" w:ascii="宋体" w:hAnsi="宋体" w:eastAsia="宋体" w:cs="宋体"/>
          <w:color w:val="auto"/>
          <w:sz w:val="24"/>
          <w:szCs w:val="24"/>
          <w:u w:val="none"/>
          <w:lang w:eastAsia="zh-CN"/>
        </w:rPr>
        <w:t>树立重视基层、关心基层、支持基层的鲜明导向，构建各级财政投入、集体经济收入自给等多渠道资金保障体系。</w:t>
      </w:r>
    </w:p>
    <w:p w14:paraId="201240DA">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主要内容及实施情况</w:t>
      </w:r>
    </w:p>
    <w:p w14:paraId="68777CC4">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1）主要内容</w:t>
      </w:r>
    </w:p>
    <w:p w14:paraId="1F6EE987">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kern w:val="2"/>
          <w:sz w:val="24"/>
          <w:szCs w:val="24"/>
          <w:u w:val="none"/>
          <w:lang w:val="en-US" w:eastAsia="zh-CN" w:bidi="ar-SA"/>
        </w:rPr>
      </w:pPr>
      <w:r>
        <w:rPr>
          <w:rFonts w:hint="eastAsia" w:ascii="宋体" w:hAnsi="宋体" w:eastAsia="宋体" w:cs="宋体"/>
          <w:color w:val="auto"/>
          <w:kern w:val="2"/>
          <w:sz w:val="24"/>
          <w:szCs w:val="24"/>
          <w:u w:val="none"/>
          <w:lang w:val="en-US" w:eastAsia="zh-CN" w:bidi="ar-SA"/>
        </w:rPr>
        <w:t>该项目预算资金为1797.51万元，主要用途如下：给予农牧民村干部人工资报酬、到村任职国家公职人人生活补助、村民小组长、人工资报酬。通过实施本项目，可有效提高重视村干部的程度，持续激励村干部（村民小组长）工作积极性。</w:t>
      </w:r>
    </w:p>
    <w:p w14:paraId="31912721">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3.实施情况</w:t>
      </w:r>
    </w:p>
    <w:p w14:paraId="472122C7">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lang w:val="en-US"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1）项目实施主体</w:t>
      </w:r>
    </w:p>
    <w:p w14:paraId="694D128C">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本项目主管部门为洛浦县委组织部，实施单位为洛浦县委组织部。</w:t>
      </w:r>
    </w:p>
    <w:p w14:paraId="37F7F6FA">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FF0000"/>
          <w:sz w:val="24"/>
          <w:szCs w:val="24"/>
          <w:lang w:val="en-US" w:eastAsia="zh-CN"/>
        </w:rPr>
      </w:pPr>
      <w:r>
        <w:rPr>
          <w:rFonts w:hint="eastAsia" w:ascii="宋体" w:hAnsi="宋体" w:eastAsia="宋体" w:cs="宋体"/>
          <w:b/>
          <w:bCs/>
          <w:sz w:val="24"/>
          <w:szCs w:val="24"/>
          <w:lang w:val="en-US" w:eastAsia="zh-CN"/>
        </w:rPr>
        <w:t>（2）项目实施时间：</w:t>
      </w:r>
      <w:r>
        <w:rPr>
          <w:rFonts w:hint="eastAsia" w:ascii="宋体" w:hAnsi="宋体" w:eastAsia="宋体" w:cs="宋体"/>
          <w:b w:val="0"/>
          <w:bCs w:val="0"/>
          <w:color w:val="auto"/>
          <w:sz w:val="24"/>
          <w:szCs w:val="24"/>
          <w:highlight w:val="none"/>
          <w:lang w:val="en-US" w:eastAsia="zh-CN"/>
        </w:rPr>
        <w:t>2024年1月-2024年3月</w:t>
      </w:r>
    </w:p>
    <w:p w14:paraId="656DF301">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FF0000"/>
          <w:sz w:val="24"/>
          <w:szCs w:val="24"/>
          <w:lang w:val="en-US" w:eastAsia="zh-CN"/>
        </w:rPr>
      </w:pPr>
      <w:r>
        <w:rPr>
          <w:rFonts w:hint="eastAsia" w:ascii="宋体" w:hAnsi="宋体" w:eastAsia="宋体" w:cs="宋体"/>
          <w:b/>
          <w:bCs/>
          <w:sz w:val="24"/>
          <w:szCs w:val="24"/>
          <w:lang w:val="en-US" w:eastAsia="zh-CN"/>
        </w:rPr>
        <w:t>（3）项目实施情况：</w:t>
      </w:r>
      <w:r>
        <w:rPr>
          <w:rFonts w:hint="eastAsia" w:ascii="宋体" w:hAnsi="宋体" w:eastAsia="宋体" w:cs="宋体"/>
          <w:sz w:val="24"/>
          <w:szCs w:val="24"/>
          <w:lang w:val="en-US" w:eastAsia="zh-CN"/>
        </w:rPr>
        <w:t>截止2024年12月31日，该项目已实施完毕，已支付资金1654.66万元，项目已完成的主要内容:保障村干部（村民小组长）报酬补助，通过实施本项目，有效提高重视村干部的程度，持续激励村干部（村民小组长）工作积极性。</w:t>
      </w:r>
    </w:p>
    <w:p w14:paraId="469C932B">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 资金投入和使用情况</w:t>
      </w:r>
    </w:p>
    <w:p w14:paraId="0C42B6E2">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（1）项目资金安排</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投入情况</w:t>
      </w:r>
    </w:p>
    <w:p w14:paraId="21709CDB">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本项目预算安排总额为</w:t>
      </w:r>
      <w:r>
        <w:rPr>
          <w:rFonts w:hint="eastAsia" w:ascii="宋体" w:hAnsi="宋体" w:eastAsia="宋体" w:cs="宋体"/>
          <w:color w:val="auto"/>
          <w:sz w:val="24"/>
          <w:szCs w:val="24"/>
          <w:lang w:eastAsia="zh-CN"/>
        </w:rPr>
        <w:t>1797.51</w:t>
      </w:r>
      <w:r>
        <w:rPr>
          <w:rFonts w:hint="eastAsia" w:ascii="宋体" w:hAnsi="宋体" w:eastAsia="宋体" w:cs="宋体"/>
          <w:color w:val="auto"/>
          <w:sz w:val="24"/>
          <w:szCs w:val="24"/>
        </w:rPr>
        <w:t>万元，资金来源为</w:t>
      </w:r>
      <w:r>
        <w:rPr>
          <w:rFonts w:hint="eastAsia" w:ascii="宋体" w:hAnsi="宋体" w:eastAsia="宋体" w:cs="宋体"/>
          <w:color w:val="auto"/>
          <w:sz w:val="24"/>
          <w:szCs w:val="24"/>
          <w:lang w:eastAsia="zh-CN"/>
        </w:rPr>
        <w:t>县财政资金</w:t>
      </w:r>
      <w:r>
        <w:rPr>
          <w:rFonts w:hint="eastAsia" w:ascii="宋体" w:hAnsi="宋体" w:eastAsia="宋体" w:cs="宋体"/>
          <w:color w:val="auto"/>
          <w:sz w:val="24"/>
          <w:szCs w:val="24"/>
        </w:rPr>
        <w:t>，其中：财政资金</w:t>
      </w:r>
      <w:r>
        <w:rPr>
          <w:rFonts w:hint="eastAsia" w:ascii="宋体" w:hAnsi="宋体" w:eastAsia="宋体" w:cs="宋体"/>
          <w:color w:val="auto"/>
          <w:sz w:val="24"/>
          <w:szCs w:val="24"/>
          <w:lang w:eastAsia="zh-CN"/>
        </w:rPr>
        <w:t>1797.51</w:t>
      </w:r>
      <w:r>
        <w:rPr>
          <w:rFonts w:hint="eastAsia" w:ascii="宋体" w:hAnsi="宋体" w:eastAsia="宋体" w:cs="宋体"/>
          <w:color w:val="auto"/>
          <w:sz w:val="24"/>
          <w:szCs w:val="24"/>
        </w:rPr>
        <w:t>0万元，其他资金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含自有资金、社会资金及以前年度结转结余资金）0</w:t>
      </w:r>
      <w:r>
        <w:rPr>
          <w:rFonts w:hint="eastAsia" w:ascii="宋体" w:hAnsi="宋体" w:eastAsia="宋体" w:cs="宋体"/>
          <w:color w:val="auto"/>
          <w:sz w:val="24"/>
          <w:szCs w:val="24"/>
        </w:rPr>
        <w:t>万元，202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年实际收到预算资金</w:t>
      </w:r>
      <w:r>
        <w:rPr>
          <w:rFonts w:hint="eastAsia" w:ascii="宋体" w:hAnsi="宋体" w:eastAsia="宋体" w:cs="宋体"/>
          <w:color w:val="auto"/>
          <w:sz w:val="24"/>
          <w:szCs w:val="24"/>
          <w:lang w:eastAsia="zh-CN"/>
        </w:rPr>
        <w:t>1797.51</w:t>
      </w:r>
      <w:r>
        <w:rPr>
          <w:rFonts w:hint="eastAsia" w:ascii="宋体" w:hAnsi="宋体" w:eastAsia="宋体" w:cs="宋体"/>
          <w:color w:val="auto"/>
          <w:sz w:val="24"/>
          <w:szCs w:val="24"/>
        </w:rPr>
        <w:t>万元，预算资金到位率为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70AE0A3A">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（2）项目资金实际使用情况分析</w:t>
      </w:r>
    </w:p>
    <w:p w14:paraId="60C08479">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本项目实际支付资金</w:t>
      </w:r>
      <w:r>
        <w:rPr>
          <w:rFonts w:hint="eastAsia" w:ascii="宋体" w:hAnsi="宋体" w:eastAsia="宋体" w:cs="宋体"/>
          <w:color w:val="auto"/>
          <w:sz w:val="24"/>
          <w:szCs w:val="24"/>
          <w:lang w:eastAsia="zh-CN"/>
        </w:rPr>
        <w:t>1654.66</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eastAsia="zh-CN"/>
        </w:rPr>
        <w:t>92.05%。</w:t>
      </w:r>
      <w:r>
        <w:rPr>
          <w:rFonts w:hint="eastAsia" w:ascii="宋体" w:hAnsi="宋体" w:eastAsia="宋体" w:cs="宋体"/>
          <w:sz w:val="24"/>
          <w:szCs w:val="24"/>
          <w:lang w:val="en-US" w:eastAsia="zh-CN"/>
        </w:rPr>
        <w:t>剩余资金退回国库。</w:t>
      </w:r>
      <w:r>
        <w:rPr>
          <w:rFonts w:hint="eastAsia" w:ascii="宋体" w:hAnsi="宋体" w:eastAsia="宋体" w:cs="宋体"/>
          <w:color w:val="auto"/>
          <w:sz w:val="24"/>
          <w:szCs w:val="24"/>
        </w:rPr>
        <w:t>本项目资金主要用于支付村干部（村民小组长）报酬补贴费用</w:t>
      </w:r>
      <w:r>
        <w:rPr>
          <w:rFonts w:hint="eastAsia" w:ascii="宋体" w:hAnsi="宋体" w:eastAsia="宋体" w:cs="宋体"/>
          <w:color w:val="auto"/>
          <w:sz w:val="24"/>
          <w:szCs w:val="24"/>
          <w:lang w:eastAsia="zh-CN"/>
        </w:rPr>
        <w:t>1654.66</w:t>
      </w:r>
      <w:r>
        <w:rPr>
          <w:rFonts w:hint="eastAsia" w:ascii="宋体" w:hAnsi="宋体" w:eastAsia="宋体" w:cs="宋体"/>
          <w:color w:val="auto"/>
          <w:sz w:val="24"/>
          <w:szCs w:val="24"/>
        </w:rPr>
        <w:t>万元</w:t>
      </w:r>
      <w:r>
        <w:rPr>
          <w:rFonts w:hint="eastAsia" w:ascii="宋体" w:hAnsi="宋体" w:eastAsia="宋体" w:cs="宋体"/>
          <w:color w:val="auto"/>
          <w:sz w:val="24"/>
          <w:szCs w:val="24"/>
          <w:lang w:eastAsia="zh-CN"/>
        </w:rPr>
        <w:t>。</w:t>
      </w:r>
    </w:p>
    <w:p w14:paraId="5882C556">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2" w:name="_Toc68364659"/>
      <w:r>
        <w:rPr>
          <w:rFonts w:hint="eastAsia" w:ascii="宋体" w:hAnsi="宋体" w:eastAsia="宋体" w:cs="宋体"/>
          <w:sz w:val="24"/>
          <w:szCs w:val="24"/>
        </w:rPr>
        <w:t>（二）项目绩效目标</w:t>
      </w:r>
      <w:bookmarkEnd w:id="2"/>
    </w:p>
    <w:p w14:paraId="27DF5224">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项目绩效目标包括项目总</w:t>
      </w:r>
      <w:r>
        <w:rPr>
          <w:rFonts w:hint="eastAsia" w:ascii="宋体" w:hAnsi="宋体" w:eastAsia="宋体" w:cs="宋体"/>
          <w:sz w:val="24"/>
          <w:szCs w:val="24"/>
          <w:lang w:val="en-US" w:eastAsia="zh-CN"/>
        </w:rPr>
        <w:t>体</w:t>
      </w:r>
      <w:r>
        <w:rPr>
          <w:rFonts w:hint="eastAsia" w:ascii="宋体" w:hAnsi="宋体" w:eastAsia="宋体" w:cs="宋体"/>
          <w:sz w:val="24"/>
          <w:szCs w:val="24"/>
        </w:rPr>
        <w:t>目标和阶段性目标。</w:t>
      </w:r>
    </w:p>
    <w:p w14:paraId="0001985D">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1.总</w:t>
      </w:r>
      <w:r>
        <w:rPr>
          <w:rFonts w:hint="eastAsia" w:ascii="宋体" w:hAnsi="宋体" w:eastAsia="宋体" w:cs="宋体"/>
          <w:b/>
          <w:bCs/>
          <w:sz w:val="24"/>
          <w:szCs w:val="24"/>
          <w:lang w:val="en-US" w:eastAsia="zh-CN"/>
        </w:rPr>
        <w:t>体</w:t>
      </w:r>
      <w:r>
        <w:rPr>
          <w:rFonts w:hint="eastAsia" w:ascii="宋体" w:hAnsi="宋体" w:eastAsia="宋体" w:cs="宋体"/>
          <w:b/>
          <w:bCs/>
          <w:sz w:val="24"/>
          <w:szCs w:val="24"/>
        </w:rPr>
        <w:t>目标</w:t>
      </w:r>
    </w:p>
    <w:p w14:paraId="057DED05">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根据《自治区党委办公厅印发&lt;关于加强南疆四地州村党组织和带头人队伍建设的若干规定（试行）&gt;的通知》（新党办发〔2020〕32号）、《关于建立村干部报酬正常增长机制的通知》（和党建〔2022〕2号）：保障村干部（村民小组长）报酬补助，通过实施本项目，可有效提高重视村干部的程度，持续激励村干部（村民小组长）工作积极性。</w:t>
      </w:r>
    </w:p>
    <w:p w14:paraId="6973A526">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阶段性目标</w:t>
      </w:r>
    </w:p>
    <w:p w14:paraId="584DCE74">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eastAsia="zh-CN"/>
        </w:rPr>
      </w:pPr>
      <w:bookmarkStart w:id="3" w:name="_Toc68364660"/>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lang w:eastAsia="zh-CN"/>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565B9FF2">
      <w:pPr>
        <w:pStyle w:val="46"/>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产出指标</w:t>
      </w:r>
    </w:p>
    <w:p w14:paraId="3E5239EC">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数量指标:</w:t>
      </w:r>
    </w:p>
    <w:p w14:paraId="088A75AA">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指标1：村干部（村民小组长）报酬补贴人数</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w:t>
      </w:r>
      <w:r>
        <w:rPr>
          <w:rFonts w:hint="eastAsia" w:ascii="宋体" w:hAnsi="宋体" w:eastAsia="宋体" w:cs="宋体"/>
          <w:color w:val="auto"/>
          <w:sz w:val="24"/>
          <w:szCs w:val="24"/>
          <w:highlight w:val="none"/>
        </w:rPr>
        <w:t>为</w:t>
      </w:r>
      <w:r>
        <w:rPr>
          <w:rFonts w:hint="eastAsia" w:ascii="宋体" w:hAnsi="宋体" w:eastAsia="宋体" w:cs="宋体"/>
          <w:color w:val="auto"/>
          <w:sz w:val="24"/>
          <w:szCs w:val="24"/>
          <w:highlight w:val="none"/>
          <w:lang w:eastAsia="zh-CN"/>
        </w:rPr>
        <w:t>≥1883人</w:t>
      </w:r>
      <w:r>
        <w:rPr>
          <w:rFonts w:hint="eastAsia" w:ascii="宋体" w:hAnsi="宋体" w:eastAsia="宋体" w:cs="宋体"/>
          <w:color w:val="auto"/>
          <w:sz w:val="24"/>
          <w:szCs w:val="24"/>
          <w:highlight w:val="none"/>
        </w:rPr>
        <w:t>；</w:t>
      </w:r>
    </w:p>
    <w:p w14:paraId="6167FFFE">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2）质量指标：</w:t>
      </w:r>
    </w:p>
    <w:p w14:paraId="39E61993">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指标1：资金使用合规率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预期指标值为=100%；</w:t>
      </w:r>
    </w:p>
    <w:p w14:paraId="78FD8544">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指标2：补助发放覆盖率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预期指标值为=100%；</w:t>
      </w:r>
    </w:p>
    <w:p w14:paraId="2AA1184C">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3）时效目标：</w:t>
      </w:r>
    </w:p>
    <w:p w14:paraId="1439F77D">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指标1：资金支付及时率</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预期指标值为=100%；</w:t>
      </w:r>
    </w:p>
    <w:p w14:paraId="4D446AFF">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指标2：项目完成时间</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预期指标值为2024年</w:t>
      </w:r>
      <w:r>
        <w:rPr>
          <w:rFonts w:hint="eastAsia" w:ascii="宋体" w:hAnsi="宋体" w:eastAsia="宋体" w:cs="宋体"/>
          <w:color w:val="auto"/>
          <w:sz w:val="24"/>
          <w:szCs w:val="24"/>
          <w:lang w:val="en-US" w:eastAsia="zh-CN"/>
        </w:rPr>
        <w:t>12</w:t>
      </w:r>
      <w:r>
        <w:rPr>
          <w:rFonts w:hint="eastAsia" w:ascii="宋体" w:hAnsi="宋体" w:eastAsia="宋体" w:cs="宋体"/>
          <w:color w:val="auto"/>
          <w:sz w:val="24"/>
          <w:szCs w:val="24"/>
        </w:rPr>
        <w:t>月；</w:t>
      </w:r>
    </w:p>
    <w:p w14:paraId="0D025716">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（2）成本指标： </w:t>
      </w:r>
    </w:p>
    <w:p w14:paraId="075B725B">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1）经济成本指标</w:t>
      </w:r>
    </w:p>
    <w:p w14:paraId="5B11C192">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指标1：村干部（村民小组长）报酬补贴金额</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eastAsia="zh-CN"/>
        </w:rPr>
        <w:t>1797.51</w:t>
      </w:r>
      <w:r>
        <w:rPr>
          <w:rFonts w:hint="eastAsia" w:ascii="宋体" w:hAnsi="宋体" w:eastAsia="宋体" w:cs="宋体"/>
          <w:color w:val="auto"/>
          <w:sz w:val="24"/>
          <w:szCs w:val="24"/>
        </w:rPr>
        <w:t>0万元；</w:t>
      </w:r>
    </w:p>
    <w:p w14:paraId="644D5C5C">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2）社会成本指标</w:t>
      </w:r>
    </w:p>
    <w:p w14:paraId="4D9BD795">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该项目无社会成本指标；</w:t>
      </w:r>
    </w:p>
    <w:p w14:paraId="1EBDA7C6">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3）生态成本指标</w:t>
      </w:r>
    </w:p>
    <w:p w14:paraId="01544E2C">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该项目无生态成本指标</w:t>
      </w:r>
    </w:p>
    <w:p w14:paraId="31958307">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效益指标：</w:t>
      </w:r>
    </w:p>
    <w:p w14:paraId="73243D39">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经济</w:t>
      </w:r>
      <w:r>
        <w:rPr>
          <w:rFonts w:hint="eastAsia" w:ascii="宋体" w:hAnsi="宋体" w:eastAsia="宋体" w:cs="宋体"/>
          <w:color w:val="auto"/>
          <w:sz w:val="24"/>
          <w:szCs w:val="24"/>
        </w:rPr>
        <w:t>效益指标：</w:t>
      </w:r>
    </w:p>
    <w:p w14:paraId="6C9ECE8A">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该项目无经济效益指标；</w:t>
      </w:r>
    </w:p>
    <w:p w14:paraId="54291103">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2）社会效益指标：</w:t>
      </w:r>
    </w:p>
    <w:p w14:paraId="29BD952F">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指标1：村干部（村民小组长）工作积极性</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lang w:val="en-US" w:eastAsia="zh-CN"/>
        </w:rPr>
        <w:t>有效提高</w:t>
      </w:r>
      <w:r>
        <w:rPr>
          <w:rFonts w:hint="eastAsia" w:ascii="宋体" w:hAnsi="宋体" w:eastAsia="宋体" w:cs="宋体"/>
          <w:color w:val="auto"/>
          <w:sz w:val="24"/>
          <w:szCs w:val="24"/>
        </w:rPr>
        <w:t>；</w:t>
      </w:r>
    </w:p>
    <w:p w14:paraId="247124F5">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生态</w:t>
      </w:r>
      <w:r>
        <w:rPr>
          <w:rFonts w:hint="eastAsia" w:ascii="宋体" w:hAnsi="宋体" w:eastAsia="宋体" w:cs="宋体"/>
          <w:color w:val="auto"/>
          <w:sz w:val="24"/>
          <w:szCs w:val="24"/>
        </w:rPr>
        <w:t>效益指标：</w:t>
      </w:r>
    </w:p>
    <w:p w14:paraId="6983E41A">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该项目无生态效益指标；</w:t>
      </w:r>
    </w:p>
    <w:p w14:paraId="3ECE08FC">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）服务对象满意度指标：</w:t>
      </w:r>
    </w:p>
    <w:p w14:paraId="0CA6C704">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指标1：受益干部满意度</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95%</w:t>
      </w:r>
      <w:r>
        <w:rPr>
          <w:rFonts w:hint="eastAsia" w:ascii="宋体" w:hAnsi="宋体" w:eastAsia="宋体" w:cs="宋体"/>
          <w:color w:val="auto"/>
          <w:sz w:val="24"/>
          <w:szCs w:val="24"/>
        </w:rPr>
        <w:t>；</w:t>
      </w:r>
    </w:p>
    <w:p w14:paraId="740EDA75">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p>
    <w:p w14:paraId="7D2E807B">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二、绩效评价工作开展情况</w:t>
      </w:r>
      <w:bookmarkEnd w:id="3"/>
    </w:p>
    <w:p w14:paraId="426AEEE8">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4" w:name="_Toc68364661"/>
      <w:r>
        <w:rPr>
          <w:rFonts w:hint="eastAsia" w:ascii="宋体" w:hAnsi="宋体" w:eastAsia="宋体" w:cs="宋体"/>
          <w:sz w:val="24"/>
          <w:szCs w:val="24"/>
        </w:rPr>
        <w:t>（一）绩效评价目的、对象和范围</w:t>
      </w:r>
      <w:bookmarkEnd w:id="4"/>
    </w:p>
    <w:p w14:paraId="0A2B9126">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绩效评价目的</w:t>
      </w:r>
    </w:p>
    <w:p w14:paraId="77374F2F">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本次绩效评价遵循财政部《项目支出绩效评价管理办法》（财预〔2020〕10号）《自治区财政支出绩效评价管理暂行办法》（新财预〔2018〕189号）</w:t>
      </w:r>
      <w:r>
        <w:rPr>
          <w:rFonts w:hint="eastAsia" w:ascii="宋体" w:hAnsi="宋体" w:eastAsia="宋体" w:cs="宋体"/>
          <w:sz w:val="24"/>
          <w:szCs w:val="24"/>
          <w:lang w:val="en-US" w:eastAsia="zh-CN"/>
        </w:rPr>
        <w:t>及</w:t>
      </w:r>
      <w:r>
        <w:rPr>
          <w:rFonts w:hint="eastAsia" w:ascii="宋体" w:hAnsi="宋体" w:eastAsia="宋体" w:cs="宋体"/>
          <w:sz w:val="24"/>
          <w:szCs w:val="24"/>
        </w:rPr>
        <w:t>自治区财政厅《关于印发〈自治区项目支出绩效目标设置指引〉的通知》（新财预〔2022〕42号）等相关政策文件与规定，对</w:t>
      </w:r>
      <w:r>
        <w:rPr>
          <w:rFonts w:hint="eastAsia" w:ascii="宋体" w:hAnsi="宋体" w:eastAsia="宋体" w:cs="宋体"/>
          <w:sz w:val="24"/>
          <w:szCs w:val="24"/>
          <w:lang w:eastAsia="zh-CN"/>
        </w:rPr>
        <w:t>村干部及村民小组长2024年（5月、10月、11月）工资报酬</w:t>
      </w:r>
      <w:r>
        <w:rPr>
          <w:rFonts w:hint="eastAsia" w:ascii="宋体" w:hAnsi="宋体" w:eastAsia="宋体" w:cs="宋体"/>
          <w:sz w:val="24"/>
          <w:szCs w:val="24"/>
        </w:rPr>
        <w:t>项目开展本次部门项目支出绩效评价工作。全面了解</w:t>
      </w:r>
      <w:r>
        <w:rPr>
          <w:rFonts w:hint="eastAsia" w:ascii="宋体" w:hAnsi="宋体" w:eastAsia="宋体" w:cs="宋体"/>
          <w:sz w:val="24"/>
          <w:szCs w:val="24"/>
          <w:lang w:val="en-US" w:eastAsia="zh-CN"/>
        </w:rPr>
        <w:t>村干部及村民小组长2024年（5月、10月、11月）工资报酬</w:t>
      </w:r>
      <w:r>
        <w:rPr>
          <w:rFonts w:hint="eastAsia" w:ascii="宋体" w:hAnsi="宋体" w:eastAsia="宋体" w:cs="宋体"/>
          <w:sz w:val="24"/>
          <w:szCs w:val="24"/>
        </w:rPr>
        <w:t>项目预算编制合理性、资金使用合规性、项目管理的规范性、项目目标的实现情况、服务对象的满意度等项目实施前期、过程及</w:t>
      </w:r>
      <w:r>
        <w:rPr>
          <w:rFonts w:hint="eastAsia" w:ascii="宋体" w:hAnsi="宋体" w:eastAsia="宋体" w:cs="宋体"/>
          <w:sz w:val="24"/>
          <w:szCs w:val="24"/>
          <w:lang w:val="en-US" w:eastAsia="zh-CN"/>
        </w:rPr>
        <w:t>实施</w:t>
      </w:r>
      <w:r>
        <w:rPr>
          <w:rFonts w:hint="eastAsia" w:ascii="宋体" w:hAnsi="宋体" w:eastAsia="宋体" w:cs="宋体"/>
          <w:sz w:val="24"/>
          <w:szCs w:val="24"/>
        </w:rPr>
        <w:t>效果</w:t>
      </w:r>
      <w:r>
        <w:rPr>
          <w:rFonts w:hint="eastAsia" w:ascii="宋体" w:hAnsi="宋体" w:eastAsia="宋体" w:cs="宋体"/>
          <w:sz w:val="24"/>
          <w:szCs w:val="24"/>
          <w:lang w:val="en-US" w:eastAsia="zh-CN"/>
        </w:rPr>
        <w:t>情况。</w:t>
      </w:r>
    </w:p>
    <w:p w14:paraId="0F7CD422">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2A14F7E6">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24526D88">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同时，通过部门项目支出绩效评价，可促进本单位发现预算项目管理中的问题、总结经验、改进工作，以提高</w:t>
      </w:r>
      <w:r>
        <w:rPr>
          <w:rFonts w:hint="eastAsia" w:ascii="宋体" w:hAnsi="宋体" w:eastAsia="宋体" w:cs="宋体"/>
          <w:sz w:val="24"/>
          <w:szCs w:val="24"/>
        </w:rPr>
        <w:t>财政预算资金使用的效率及效益。</w:t>
      </w:r>
    </w:p>
    <w:p w14:paraId="1AADEF36">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绩效评价对象</w:t>
      </w:r>
    </w:p>
    <w:p w14:paraId="649B94C5">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color w:val="auto"/>
          <w:sz w:val="24"/>
          <w:szCs w:val="24"/>
          <w:highlight w:val="none"/>
          <w:lang w:val="en-US" w:eastAsia="zh-CN"/>
        </w:rPr>
        <w:t>村干部及村民小组长2024年（5月、10月、11月）工资报酬</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4D4DC7E5">
      <w:pPr>
        <w:pStyle w:val="46"/>
        <w:pageBreakBefore w:val="0"/>
        <w:widowControl w:val="0"/>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3. 绩效评价范围</w:t>
      </w:r>
    </w:p>
    <w:p w14:paraId="6B966045">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次绩效评价主要围绕村干部及村民小组长2024年（5月、10月、11月）工资报酬项目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color w:val="auto"/>
          <w:sz w:val="24"/>
          <w:szCs w:val="24"/>
          <w:highlight w:val="none"/>
          <w:lang w:val="en-US" w:eastAsia="zh-CN"/>
        </w:rPr>
        <w:t>，覆盖预算资金支出项目的所有内容进行评价。</w:t>
      </w:r>
    </w:p>
    <w:p w14:paraId="4B391F9A">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（二）绩效评价原则、评价指标体系、评价方法评价标准</w:t>
      </w:r>
      <w:bookmarkEnd w:id="5"/>
    </w:p>
    <w:p w14:paraId="7502FE5F">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绩效评价原则</w:t>
      </w:r>
    </w:p>
    <w:p w14:paraId="2419ED38">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2B7E55BC">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（1）科学公正。绩效评价应当运用科学合理的方法，按照规范的程序，对项目绩效进行客观、公正的反映。</w:t>
      </w:r>
    </w:p>
    <w:p w14:paraId="3D81A24A">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09FC0220">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（3）激励约束。绩效评价结果应与预算安排、政策调整、改进管理实质性挂钩，体现奖优罚劣和激励相容导向，有效要安排、低效要压减、无效要问责。</w:t>
      </w:r>
    </w:p>
    <w:p w14:paraId="377FCF62">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（4）公开透明。绩效评价结果应依法依规公开，并自觉接受社会监督。</w:t>
      </w:r>
    </w:p>
    <w:p w14:paraId="24F9960C">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根据以上原则，绩效评价应遵循如下要求:</w:t>
      </w:r>
    </w:p>
    <w:p w14:paraId="19F1D1FB">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（1）在数据采集时，采取客观数据，主管部门审查、社会中介组织复查，与问卷调查相结合的形式，以保证各项指标的真实性。</w:t>
      </w:r>
    </w:p>
    <w:p w14:paraId="24E6D2F8">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（2）保证评价结果的真实性、公正性，提高评价报告的公信力。</w:t>
      </w:r>
    </w:p>
    <w:p w14:paraId="12BC27E1">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sz w:val="24"/>
          <w:szCs w:val="24"/>
        </w:rPr>
        <w:t>（3）绩</w:t>
      </w:r>
      <w:r>
        <w:rPr>
          <w:rFonts w:hint="eastAsia" w:ascii="宋体" w:hAnsi="宋体" w:eastAsia="宋体" w:cs="宋体"/>
          <w:sz w:val="24"/>
          <w:szCs w:val="24"/>
          <w:lang w:val="en-US" w:eastAsia="zh-CN"/>
        </w:rPr>
        <w:t>效</w:t>
      </w:r>
      <w:r>
        <w:rPr>
          <w:rFonts w:hint="eastAsia" w:ascii="宋体" w:hAnsi="宋体" w:eastAsia="宋体" w:cs="宋体"/>
          <w:sz w:val="24"/>
          <w:szCs w:val="24"/>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49A24FFE">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2. 绩效评价指标体系</w:t>
      </w:r>
    </w:p>
    <w:p w14:paraId="587D8228">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sz w:val="24"/>
          <w:szCs w:val="24"/>
          <w:lang w:val="en-US" w:eastAsia="zh-CN"/>
        </w:rPr>
        <w:t>2</w:t>
      </w:r>
      <w:r>
        <w:rPr>
          <w:rFonts w:hint="eastAsia" w:ascii="宋体" w:hAnsi="宋体" w:eastAsia="宋体" w:cs="宋体"/>
          <w:sz w:val="24"/>
          <w:szCs w:val="24"/>
        </w:rPr>
        <w:t>个二级指标。项目绩效评价体系</w:t>
      </w:r>
      <w:r>
        <w:rPr>
          <w:rFonts w:hint="eastAsia" w:ascii="宋体" w:hAnsi="宋体" w:eastAsia="宋体" w:cs="宋体"/>
          <w:sz w:val="24"/>
          <w:szCs w:val="24"/>
          <w:lang w:eastAsia="zh-CN"/>
        </w:rPr>
        <w:t>。</w:t>
      </w:r>
      <w:r>
        <w:rPr>
          <w:rFonts w:hint="eastAsia" w:ascii="宋体" w:hAnsi="宋体" w:eastAsia="宋体" w:cs="宋体"/>
          <w:sz w:val="24"/>
          <w:szCs w:val="24"/>
        </w:rPr>
        <w:t>详细指标体系见“附件1：项目支出绩效评价体系”。</w:t>
      </w:r>
    </w:p>
    <w:p w14:paraId="338D05E8">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3. 绩效评价方法</w:t>
      </w:r>
    </w:p>
    <w:p w14:paraId="5C0378B3">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38CFAC25">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具体</w:t>
      </w:r>
      <w:r>
        <w:rPr>
          <w:rFonts w:hint="eastAsia" w:ascii="宋体" w:hAnsi="宋体" w:eastAsia="宋体" w:cs="宋体"/>
          <w:b w:val="0"/>
          <w:bCs/>
          <w:sz w:val="24"/>
          <w:szCs w:val="24"/>
        </w:rPr>
        <w:t>评价方法的应用如下:</w:t>
      </w:r>
    </w:p>
    <w:p w14:paraId="64261078">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立项依据充分性：比较法、文献法，查找法律法规政策以及规划，对比实际执行内容和政策支持内容是否匹配。</w:t>
      </w:r>
    </w:p>
    <w:p w14:paraId="7050048A">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立项程序规范性：比较法、文献法，查找相关项目设立的政策和文件要求，对比分析实际执行程序是否按照政策及文件要求执行，分析立项程序的规范性。</w:t>
      </w:r>
    </w:p>
    <w:p w14:paraId="5009AE73">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绩效目标合理性：比较法，对比分析年初编制项目支出绩效目标表与项目内容的相关性、资金的匹配性等。</w:t>
      </w:r>
    </w:p>
    <w:p w14:paraId="00A55E39">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绩效指标明确性：比较法，比较分析年初编制项目支出绩效目标表是否符合双七原则，是否可衡量。</w:t>
      </w:r>
    </w:p>
    <w:p w14:paraId="3547D5BA">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预算编制科学性</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成本效益分析法</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分析在产出一定的情况下，成本取值是否有依据，是否经过询价，是否按照市场最低成本编制。</w:t>
      </w:r>
    </w:p>
    <w:p w14:paraId="7E77F343">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lang w:eastAsia="zh-CN"/>
        </w:rPr>
      </w:pPr>
      <w:r>
        <w:rPr>
          <w:rFonts w:hint="eastAsia" w:ascii="宋体" w:hAnsi="宋体" w:eastAsia="宋体" w:cs="宋体"/>
          <w:b w:val="0"/>
          <w:bCs/>
          <w:sz w:val="24"/>
          <w:szCs w:val="24"/>
        </w:rPr>
        <w:t>资金分配合理性：因素分析法，综合分析资金的分配依据是否充分，分配金额是否与项目实施单位需求金额一致</w:t>
      </w:r>
      <w:r>
        <w:rPr>
          <w:rFonts w:hint="eastAsia" w:ascii="宋体" w:hAnsi="宋体" w:eastAsia="宋体" w:cs="宋体"/>
          <w:b w:val="0"/>
          <w:bCs/>
          <w:sz w:val="24"/>
          <w:szCs w:val="24"/>
          <w:lang w:eastAsia="zh-CN"/>
        </w:rPr>
        <w:t>。</w:t>
      </w:r>
    </w:p>
    <w:p w14:paraId="660B744A">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资金到位率：比较法，资金到位率预期指标值应为100%，通过实际计算，分析实际完成值和预期指标值之间的差距和原因。</w:t>
      </w:r>
    </w:p>
    <w:p w14:paraId="0DFA29AE">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预算执行率：比较法，预算执行率预期指标值应为100%，通过实际计算，分析实际完成值和预期指标值之间的差距和原因。</w:t>
      </w:r>
    </w:p>
    <w:p w14:paraId="20FB21ED">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资金使用合规性：文献法、实地勘察法，一是查找资金管理办法，包括专项资金管理办法和单位自有资金管理办法；二是通过查账了解具体开支情况，是否专用专用，是否按照标准支出。</w:t>
      </w:r>
    </w:p>
    <w:p w14:paraId="71502334">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管理制度健全性：文献法、比较法，查阅项目实施人员提供的财务和业务管理制度，将已建立的制度与现行的法律法规和政策要求进行对比，分析项目制度的合法性、合规性、完整性。</w:t>
      </w:r>
    </w:p>
    <w:p w14:paraId="0B473011">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制度执行有效性：比较法，结合项目实际实施过程性文件，根据已建设的财务管理制度和项目管理制度综合分析制度执行的有效性。</w:t>
      </w:r>
    </w:p>
    <w:p w14:paraId="7405C798">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6BED7A61">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定性指标：公众评判法，通过问卷及抽样调查等方式评价本项目实施后社会公众对于其实施效果的满意程度。</w:t>
      </w:r>
    </w:p>
    <w:p w14:paraId="10517242">
      <w:pPr>
        <w:pStyle w:val="46"/>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 绩效评价标准</w:t>
      </w:r>
    </w:p>
    <w:p w14:paraId="45ACCC40">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bookmarkStart w:id="6" w:name="_Toc68364663"/>
      <w:r>
        <w:rPr>
          <w:rFonts w:hint="eastAsia" w:ascii="宋体" w:hAnsi="宋体" w:eastAsia="宋体" w:cs="宋体"/>
          <w:sz w:val="24"/>
          <w:szCs w:val="24"/>
        </w:rPr>
        <w:t>绩效评价标准通常包括计划标准、行业标准、历史标准等，用于对绩效指标完成情况进行比较、分析、评价。本次评价主要采用了</w:t>
      </w:r>
      <w:r>
        <w:rPr>
          <w:rFonts w:hint="eastAsia" w:ascii="宋体" w:hAnsi="宋体" w:eastAsia="宋体" w:cs="宋体"/>
          <w:sz w:val="24"/>
          <w:szCs w:val="24"/>
          <w:lang w:eastAsia="zh-CN"/>
        </w:rPr>
        <w:t>计划</w:t>
      </w:r>
      <w:r>
        <w:rPr>
          <w:rFonts w:hint="eastAsia" w:ascii="宋体" w:hAnsi="宋体" w:eastAsia="宋体" w:cs="宋体"/>
          <w:sz w:val="24"/>
          <w:szCs w:val="24"/>
        </w:rPr>
        <w:t>标准。</w:t>
      </w:r>
    </w:p>
    <w:p w14:paraId="3C628DC3">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rPr>
      </w:pPr>
      <w:bookmarkStart w:id="7" w:name="_Toc31464"/>
      <w:bookmarkStart w:id="8" w:name="_Toc17882"/>
      <w:r>
        <w:rPr>
          <w:rFonts w:hint="eastAsia" w:ascii="宋体" w:hAnsi="宋体" w:eastAsia="宋体" w:cs="宋体"/>
          <w:b/>
          <w:bCs/>
          <w:sz w:val="24"/>
          <w:szCs w:val="24"/>
        </w:rPr>
        <w:t>计划标准：</w:t>
      </w:r>
      <w:r>
        <w:rPr>
          <w:rFonts w:hint="eastAsia" w:ascii="宋体" w:hAnsi="宋体" w:eastAsia="宋体" w:cs="宋体"/>
          <w:sz w:val="24"/>
          <w:szCs w:val="24"/>
        </w:rPr>
        <w:t>指以预先制定的目标、计划、预算、定额等作为评价标准。</w:t>
      </w:r>
      <w:bookmarkEnd w:id="7"/>
      <w:bookmarkEnd w:id="8"/>
    </w:p>
    <w:p w14:paraId="5118959E">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（三）绩效评价工作过程</w:t>
      </w:r>
      <w:bookmarkEnd w:id="6"/>
    </w:p>
    <w:p w14:paraId="18F102F3">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9" w:name="_Toc68364664"/>
      <w:r>
        <w:rPr>
          <w:rFonts w:hint="eastAsia" w:ascii="宋体" w:hAnsi="宋体" w:eastAsia="宋体" w:cs="宋体"/>
          <w:sz w:val="24"/>
          <w:szCs w:val="24"/>
        </w:rPr>
        <w:t>1.前期准备</w:t>
      </w:r>
    </w:p>
    <w:p w14:paraId="3A4CC618">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我</w:t>
      </w:r>
      <w:r>
        <w:rPr>
          <w:rFonts w:hint="eastAsia" w:ascii="宋体" w:hAnsi="宋体" w:eastAsia="宋体" w:cs="宋体"/>
          <w:color w:val="auto"/>
          <w:sz w:val="24"/>
          <w:szCs w:val="24"/>
        </w:rPr>
        <w:t>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日，确定绩</w:t>
      </w:r>
      <w:r>
        <w:rPr>
          <w:rFonts w:hint="eastAsia" w:ascii="宋体" w:hAnsi="宋体" w:eastAsia="宋体" w:cs="宋体"/>
          <w:sz w:val="24"/>
          <w:szCs w:val="24"/>
        </w:rPr>
        <w:t>效评价工作小组，正式开始前期准备工作，通过对评价对象前期调研，确定了评价的目的、方法以及评价的原则，根据项目的内容和特征制定了评价指标体系及评价标准。绩效评价工作小组人员名单及分工如下：</w:t>
      </w:r>
    </w:p>
    <w:p w14:paraId="422E0367">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崔显春</w:t>
      </w:r>
      <w:r>
        <w:rPr>
          <w:rFonts w:hint="eastAsia" w:ascii="宋体" w:hAnsi="宋体" w:eastAsia="宋体" w:cs="宋体"/>
          <w:sz w:val="24"/>
          <w:szCs w:val="24"/>
        </w:rPr>
        <w:t>（评价小组组长）：主要负责项目的</w:t>
      </w:r>
      <w:r>
        <w:rPr>
          <w:rFonts w:hint="eastAsia" w:ascii="宋体" w:hAnsi="宋体" w:eastAsia="宋体" w:cs="宋体"/>
          <w:sz w:val="24"/>
          <w:szCs w:val="24"/>
          <w:lang w:val="en-US" w:eastAsia="zh-CN"/>
        </w:rPr>
        <w:t>评价</w:t>
      </w:r>
      <w:r>
        <w:rPr>
          <w:rFonts w:hint="eastAsia" w:ascii="宋体" w:hAnsi="宋体" w:eastAsia="宋体" w:cs="宋体"/>
          <w:sz w:val="24"/>
          <w:szCs w:val="24"/>
        </w:rPr>
        <w:t>工作;</w:t>
      </w:r>
    </w:p>
    <w:p w14:paraId="6ADC1DCB">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王伟</w:t>
      </w:r>
      <w:r>
        <w:rPr>
          <w:rFonts w:hint="eastAsia" w:ascii="宋体" w:hAnsi="宋体" w:eastAsia="宋体" w:cs="宋体"/>
          <w:sz w:val="24"/>
          <w:szCs w:val="24"/>
        </w:rPr>
        <w:t>（评价小组组员）：主要负责</w:t>
      </w:r>
      <w:r>
        <w:rPr>
          <w:rFonts w:hint="eastAsia" w:ascii="宋体" w:hAnsi="宋体" w:eastAsia="宋体" w:cs="宋体"/>
          <w:sz w:val="24"/>
          <w:szCs w:val="24"/>
          <w:lang w:val="en-US" w:eastAsia="zh-CN"/>
        </w:rPr>
        <w:t>项目评价</w:t>
      </w:r>
      <w:r>
        <w:rPr>
          <w:rFonts w:hint="eastAsia" w:ascii="宋体" w:hAnsi="宋体" w:eastAsia="宋体" w:cs="宋体"/>
          <w:sz w:val="24"/>
          <w:szCs w:val="24"/>
        </w:rPr>
        <w:t>实施工作;</w:t>
      </w:r>
    </w:p>
    <w:p w14:paraId="059EAA2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奥古丽妮萨</w:t>
      </w:r>
      <w:r>
        <w:rPr>
          <w:rFonts w:hint="eastAsia" w:ascii="宋体" w:hAnsi="宋体" w:eastAsia="宋体" w:cs="宋体"/>
          <w:sz w:val="24"/>
          <w:szCs w:val="24"/>
          <w:lang w:val="en-US" w:eastAsia="zh-CN"/>
        </w:rPr>
        <w:t>·阿卜杜拉</w:t>
      </w:r>
      <w:r>
        <w:rPr>
          <w:rFonts w:hint="eastAsia" w:ascii="宋体" w:hAnsi="宋体" w:eastAsia="宋体" w:cs="宋体"/>
          <w:sz w:val="24"/>
          <w:szCs w:val="24"/>
        </w:rPr>
        <w:t>（评价小组组员）：主要负责项目</w:t>
      </w:r>
      <w:r>
        <w:rPr>
          <w:rFonts w:hint="eastAsia" w:ascii="宋体" w:hAnsi="宋体" w:eastAsia="宋体" w:cs="宋体"/>
          <w:sz w:val="24"/>
          <w:szCs w:val="24"/>
          <w:lang w:val="en-US" w:eastAsia="zh-CN"/>
        </w:rPr>
        <w:t>评价工作</w:t>
      </w:r>
      <w:r>
        <w:rPr>
          <w:rFonts w:hint="eastAsia" w:ascii="宋体" w:hAnsi="宋体" w:eastAsia="宋体" w:cs="宋体"/>
          <w:sz w:val="24"/>
          <w:szCs w:val="24"/>
        </w:rPr>
        <w:t>监督管理、工作。</w:t>
      </w:r>
    </w:p>
    <w:p w14:paraId="2B2C09E7">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2.组织实施</w:t>
      </w:r>
    </w:p>
    <w:p w14:paraId="1BE137EA">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28</w:t>
      </w:r>
      <w:r>
        <w:rPr>
          <w:rFonts w:hint="eastAsia" w:ascii="宋体" w:hAnsi="宋体" w:eastAsia="宋体" w:cs="宋体"/>
          <w:color w:val="auto"/>
          <w:sz w:val="24"/>
          <w:szCs w:val="24"/>
        </w:rPr>
        <w:t>日，评价工作进</w:t>
      </w:r>
      <w:r>
        <w:rPr>
          <w:rFonts w:hint="eastAsia" w:ascii="宋体" w:hAnsi="宋体" w:eastAsia="宋体" w:cs="宋体"/>
          <w:sz w:val="24"/>
          <w:szCs w:val="24"/>
        </w:rPr>
        <w:t>入实施阶段。在数据采集方面，评价小组整理单位前期提交的资料，与项目实施负责人沟通，了解资金的内容、操作流程、管理机制、资金使用方向等情况并采集信息，了解项目设置背景及资金使用等情况。</w:t>
      </w:r>
    </w:p>
    <w:p w14:paraId="45288C3D">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3.分析评价</w:t>
      </w:r>
    </w:p>
    <w:p w14:paraId="0E43AC43">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日，评价小组</w:t>
      </w:r>
      <w:r>
        <w:rPr>
          <w:rFonts w:hint="eastAsia" w:ascii="宋体" w:hAnsi="宋体" w:eastAsia="宋体" w:cs="宋体"/>
          <w:sz w:val="24"/>
          <w:szCs w:val="24"/>
        </w:rPr>
        <w:t>按照绩效评价的原则和规范，对取得的资料进行审查核实，对采集的数据进行分析，按照绩效评价指标评分表逐项进行打分、分析、汇总各方评价结果。</w:t>
      </w:r>
    </w:p>
    <w:p w14:paraId="0BC366CF">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4.撰写与提交评价报告</w:t>
      </w:r>
    </w:p>
    <w:p w14:paraId="7FCABA0B">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16</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sz w:val="24"/>
          <w:szCs w:val="24"/>
          <w:highlight w:val="none"/>
        </w:rPr>
        <w:t>撰写绩效评价报告，按照新疆</w:t>
      </w:r>
      <w:r>
        <w:rPr>
          <w:rFonts w:hint="eastAsia" w:ascii="宋体" w:hAnsi="宋体" w:eastAsia="宋体" w:cs="宋体"/>
          <w:sz w:val="24"/>
          <w:szCs w:val="24"/>
          <w:highlight w:val="none"/>
          <w:lang w:eastAsia="zh-CN"/>
        </w:rPr>
        <w:t>维吾尔自治区财政绩效管理信息系统</w:t>
      </w:r>
      <w:r>
        <w:rPr>
          <w:rFonts w:hint="eastAsia" w:ascii="宋体" w:hAnsi="宋体" w:eastAsia="宋体" w:cs="宋体"/>
          <w:sz w:val="24"/>
          <w:szCs w:val="24"/>
          <w:highlight w:val="none"/>
        </w:rPr>
        <w:t>绩效评价模块中统一格式和文本框架撰写绩效评价报告并提交审核。</w:t>
      </w:r>
    </w:p>
    <w:p w14:paraId="1FA3C1FB">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5.问题整改</w:t>
      </w:r>
    </w:p>
    <w:p w14:paraId="42BA956D">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5BA15D65">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6.档案整理</w:t>
      </w:r>
    </w:p>
    <w:p w14:paraId="13BC6A4C">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建立和落实档案管理制度，将项目相关资料存档，包括但不限于：评价项目基本情况和相关文件、评价实施方案、项目支付资料等相关档案。</w:t>
      </w:r>
    </w:p>
    <w:p w14:paraId="2387D31D">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p>
    <w:p w14:paraId="4D831C80">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三、综合评价情况及评价结论</w:t>
      </w:r>
      <w:bookmarkEnd w:id="9"/>
    </w:p>
    <w:p w14:paraId="1D266054">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0" w:name="_Toc68364665"/>
      <w:r>
        <w:rPr>
          <w:rFonts w:hint="eastAsia" w:ascii="宋体" w:hAnsi="宋体" w:eastAsia="宋体" w:cs="宋体"/>
          <w:sz w:val="24"/>
          <w:szCs w:val="24"/>
        </w:rPr>
        <w:t>（一）综合评价情况</w:t>
      </w:r>
      <w:bookmarkEnd w:id="10"/>
    </w:p>
    <w:p w14:paraId="3F5453D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bookmarkStart w:id="11" w:name="_Toc68364666"/>
      <w:r>
        <w:rPr>
          <w:rFonts w:hint="eastAsia" w:ascii="宋体" w:hAnsi="宋体" w:eastAsia="宋体" w:cs="宋体"/>
          <w:sz w:val="24"/>
          <w:szCs w:val="24"/>
        </w:rPr>
        <w:t>通过实施</w:t>
      </w:r>
      <w:r>
        <w:rPr>
          <w:rFonts w:hint="eastAsia" w:ascii="宋体" w:hAnsi="宋体" w:eastAsia="宋体" w:cs="宋体"/>
          <w:sz w:val="24"/>
          <w:szCs w:val="24"/>
          <w:lang w:eastAsia="zh-CN"/>
        </w:rPr>
        <w:t>村干部及村民小组长2024年（5月、10月、11月）工资报酬</w:t>
      </w:r>
      <w:r>
        <w:rPr>
          <w:rFonts w:hint="eastAsia" w:ascii="宋体" w:hAnsi="宋体" w:eastAsia="宋体" w:cs="宋体"/>
          <w:sz w:val="24"/>
          <w:szCs w:val="24"/>
        </w:rPr>
        <w:t>项目产生</w:t>
      </w:r>
      <w:r>
        <w:rPr>
          <w:rFonts w:hint="eastAsia" w:ascii="宋体" w:hAnsi="宋体" w:eastAsia="宋体" w:cs="宋体"/>
          <w:sz w:val="24"/>
          <w:szCs w:val="24"/>
          <w:lang w:val="en-US" w:eastAsia="zh-CN"/>
        </w:rPr>
        <w:t>有效提高</w:t>
      </w:r>
      <w:r>
        <w:rPr>
          <w:rFonts w:hint="eastAsia" w:ascii="宋体" w:hAnsi="宋体" w:eastAsia="宋体" w:cs="宋体"/>
          <w:sz w:val="24"/>
          <w:szCs w:val="24"/>
        </w:rPr>
        <w:t>村干部（村民小组长）工作积极性效益。项目实施主要通过项目决策、项目过程、项目产出以及项目效益等方面进行评价，其中：</w:t>
      </w:r>
    </w:p>
    <w:p w14:paraId="66047B19">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项目决策：该项目主要通过</w:t>
      </w:r>
      <w:r>
        <w:rPr>
          <w:rFonts w:hint="eastAsia" w:ascii="宋体" w:hAnsi="宋体" w:eastAsia="宋体" w:cs="宋体"/>
          <w:sz w:val="24"/>
          <w:szCs w:val="24"/>
          <w:lang w:val="en-US" w:eastAsia="zh-CN"/>
        </w:rPr>
        <w:t>《自治区党委办公厅印发&lt;关于加强南疆四地州村党组织和带头人队伍建设的若干规定（试行）&gt;的通知》（新党办发〔2020〕32号）、《关于建立村干部报酬正常增长机制的通知》（和党建〔2022〕2号）</w:t>
      </w:r>
      <w:r>
        <w:rPr>
          <w:rFonts w:hint="eastAsia" w:ascii="宋体" w:hAnsi="宋体" w:eastAsia="宋体" w:cs="宋体"/>
          <w:sz w:val="24"/>
          <w:szCs w:val="24"/>
        </w:rPr>
        <w:t xml:space="preserve">文件立项，项目实施符合要求，项目立项依据充分，立项程序规范。 </w:t>
      </w:r>
    </w:p>
    <w:p w14:paraId="4BAEE741">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项目过程：</w:t>
      </w:r>
      <w:r>
        <w:rPr>
          <w:rFonts w:hint="eastAsia" w:ascii="宋体" w:hAnsi="宋体" w:eastAsia="宋体" w:cs="宋体"/>
          <w:sz w:val="24"/>
          <w:szCs w:val="24"/>
          <w:lang w:eastAsia="zh-CN"/>
        </w:rPr>
        <w:t>村干部及村民小组长2024年（5月、10月、11月）工资报酬</w:t>
      </w:r>
      <w:r>
        <w:rPr>
          <w:rFonts w:hint="eastAsia" w:ascii="宋体" w:hAnsi="宋体" w:eastAsia="宋体" w:cs="宋体"/>
          <w:sz w:val="24"/>
          <w:szCs w:val="24"/>
        </w:rPr>
        <w:t xml:space="preserve">项目预算安排 </w:t>
      </w:r>
      <w:r>
        <w:rPr>
          <w:rFonts w:hint="eastAsia" w:ascii="宋体" w:hAnsi="宋体" w:eastAsia="宋体" w:cs="宋体"/>
          <w:sz w:val="24"/>
          <w:szCs w:val="24"/>
          <w:lang w:eastAsia="zh-CN"/>
        </w:rPr>
        <w:t>1797.51</w:t>
      </w:r>
      <w:r>
        <w:rPr>
          <w:rFonts w:hint="eastAsia" w:ascii="宋体" w:hAnsi="宋体" w:eastAsia="宋体" w:cs="宋体"/>
          <w:sz w:val="24"/>
          <w:szCs w:val="24"/>
        </w:rPr>
        <w:t>万元，实际支出</w:t>
      </w:r>
      <w:r>
        <w:rPr>
          <w:rFonts w:hint="eastAsia" w:ascii="宋体" w:hAnsi="宋体" w:eastAsia="宋体" w:cs="宋体"/>
          <w:sz w:val="24"/>
          <w:szCs w:val="24"/>
          <w:lang w:eastAsia="zh-CN"/>
        </w:rPr>
        <w:t>1654.66</w:t>
      </w:r>
      <w:r>
        <w:rPr>
          <w:rFonts w:hint="eastAsia" w:ascii="宋体" w:hAnsi="宋体" w:eastAsia="宋体" w:cs="宋体"/>
          <w:sz w:val="24"/>
          <w:szCs w:val="24"/>
        </w:rPr>
        <w:t>万元，预算执行率</w:t>
      </w:r>
      <w:r>
        <w:rPr>
          <w:rFonts w:hint="eastAsia" w:ascii="宋体" w:hAnsi="宋体" w:eastAsia="宋体" w:cs="宋体"/>
          <w:sz w:val="24"/>
          <w:szCs w:val="24"/>
          <w:lang w:val="en-US" w:eastAsia="zh-CN"/>
        </w:rPr>
        <w:t>92.05%</w:t>
      </w:r>
      <w:r>
        <w:rPr>
          <w:rFonts w:hint="eastAsia" w:ascii="宋体" w:hAnsi="宋体" w:eastAsia="宋体" w:cs="宋体"/>
          <w:sz w:val="24"/>
          <w:szCs w:val="24"/>
        </w:rPr>
        <w:t>。项目资金使用合规，项目财务管理制度健全，财务监控到位，所有资金支付均按照国库集中支付制度严格执行，现有项目管理制度执行情况良好。</w:t>
      </w:r>
    </w:p>
    <w:p w14:paraId="0D03B1E7">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项目产出：项目实施产生的数量、质量等</w:t>
      </w:r>
      <w:r>
        <w:rPr>
          <w:rFonts w:hint="eastAsia" w:ascii="宋体" w:hAnsi="宋体" w:eastAsia="宋体" w:cs="宋体"/>
          <w:sz w:val="24"/>
          <w:szCs w:val="24"/>
          <w:lang w:val="en-US" w:eastAsia="zh-CN"/>
        </w:rPr>
        <w:t>完成情况（</w:t>
      </w:r>
      <w:r>
        <w:rPr>
          <w:rFonts w:hint="eastAsia" w:ascii="宋体" w:hAnsi="宋体" w:eastAsia="宋体" w:cs="宋体"/>
          <w:sz w:val="24"/>
          <w:szCs w:val="24"/>
        </w:rPr>
        <w:t>截止2024年12月31日，该项目已实施完毕，已支付资金</w:t>
      </w:r>
      <w:r>
        <w:rPr>
          <w:rFonts w:hint="eastAsia" w:ascii="宋体" w:hAnsi="宋体" w:eastAsia="宋体" w:cs="宋体"/>
          <w:sz w:val="24"/>
          <w:szCs w:val="24"/>
          <w:lang w:eastAsia="zh-CN"/>
        </w:rPr>
        <w:t>1654.66</w:t>
      </w:r>
      <w:r>
        <w:rPr>
          <w:rFonts w:hint="eastAsia" w:ascii="宋体" w:hAnsi="宋体" w:eastAsia="宋体" w:cs="宋体"/>
          <w:sz w:val="24"/>
          <w:szCs w:val="24"/>
        </w:rPr>
        <w:t>万元，项目已完成的主要内容:保障村干部（村民小组长）报酬补助，</w:t>
      </w:r>
      <w:r>
        <w:rPr>
          <w:rFonts w:hint="eastAsia" w:ascii="宋体" w:hAnsi="宋体" w:eastAsia="宋体" w:cs="宋体"/>
          <w:sz w:val="24"/>
          <w:szCs w:val="24"/>
          <w:lang w:val="en-US" w:eastAsia="zh-CN"/>
        </w:rPr>
        <w:t>）。</w:t>
      </w:r>
    </w:p>
    <w:p w14:paraId="122976A1">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项目效益：通过实施本项目，有效提高重视村干部的程度，持续激励村干部（村民小组长）工作积极性。</w:t>
      </w:r>
    </w:p>
    <w:p w14:paraId="67EBCC86">
      <w:pPr>
        <w:pStyle w:val="5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（二）综合评价结论</w:t>
      </w:r>
    </w:p>
    <w:p w14:paraId="3F554B1E">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333333"/>
          <w:sz w:val="24"/>
          <w:szCs w:val="24"/>
        </w:rPr>
      </w:pPr>
      <w:r>
        <w:rPr>
          <w:rFonts w:hint="eastAsia" w:ascii="宋体" w:hAnsi="宋体" w:eastAsia="宋体" w:cs="宋体"/>
          <w:color w:val="333333"/>
          <w:sz w:val="24"/>
          <w:szCs w:val="24"/>
        </w:rPr>
        <w:t>依据《中共中央国务院关于全面实施预算绩效管理的意见》《项目支出绩效评价管理办法》（财预〔2020〕10号）文件，绩效评价总分设置为100分，划分为四档：90（含）-100分为“优”、80（含）-90分为“良”、70（含）-80分为“中”、70分以下为“差”。经对</w:t>
      </w:r>
      <w:r>
        <w:rPr>
          <w:rFonts w:hint="eastAsia" w:ascii="宋体" w:hAnsi="宋体" w:eastAsia="宋体" w:cs="宋体"/>
          <w:color w:val="333333"/>
          <w:sz w:val="24"/>
          <w:szCs w:val="24"/>
          <w:lang w:eastAsia="zh-CN"/>
        </w:rPr>
        <w:t>村干部及村民小组长2024年（5月、10月、11月）工资报酬</w:t>
      </w:r>
      <w:r>
        <w:rPr>
          <w:rFonts w:hint="eastAsia" w:ascii="宋体" w:hAnsi="宋体" w:eastAsia="宋体" w:cs="宋体"/>
          <w:color w:val="333333"/>
          <w:sz w:val="24"/>
          <w:szCs w:val="24"/>
        </w:rPr>
        <w:t>项目进行客观评价，最终评分结果：评价总分</w:t>
      </w:r>
      <w:r>
        <w:rPr>
          <w:rFonts w:hint="eastAsia" w:ascii="宋体" w:hAnsi="宋体" w:eastAsia="宋体" w:cs="宋体"/>
          <w:color w:val="333333"/>
          <w:sz w:val="24"/>
          <w:szCs w:val="24"/>
          <w:lang w:val="en-US" w:eastAsia="zh-CN"/>
        </w:rPr>
        <w:t>97.69</w:t>
      </w:r>
      <w:r>
        <w:rPr>
          <w:rFonts w:hint="eastAsia" w:ascii="宋体" w:hAnsi="宋体" w:eastAsia="宋体" w:cs="宋体"/>
          <w:color w:val="333333"/>
          <w:sz w:val="24"/>
          <w:szCs w:val="24"/>
        </w:rPr>
        <w:t>分，绩效等级为“</w:t>
      </w:r>
      <w:r>
        <w:rPr>
          <w:rFonts w:hint="eastAsia" w:ascii="宋体" w:hAnsi="宋体" w:eastAsia="宋体" w:cs="宋体"/>
          <w:color w:val="333333"/>
          <w:sz w:val="24"/>
          <w:szCs w:val="24"/>
          <w:lang w:eastAsia="zh-CN"/>
        </w:rPr>
        <w:t>优</w:t>
      </w:r>
      <w:r>
        <w:rPr>
          <w:rFonts w:hint="eastAsia" w:ascii="宋体" w:hAnsi="宋体" w:eastAsia="宋体" w:cs="宋体"/>
          <w:color w:val="333333"/>
          <w:sz w:val="24"/>
          <w:szCs w:val="24"/>
        </w:rPr>
        <w:t>”。</w:t>
      </w:r>
      <w:bookmarkEnd w:id="11"/>
    </w:p>
    <w:p w14:paraId="2786444A">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2" w:name="_Toc68364667"/>
    </w:p>
    <w:p w14:paraId="561C096C">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四、绩效评价指标分析</w:t>
      </w:r>
      <w:bookmarkEnd w:id="12"/>
    </w:p>
    <w:p w14:paraId="6AB0EECF">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3" w:name="_Toc68364668"/>
      <w:r>
        <w:rPr>
          <w:rFonts w:hint="eastAsia" w:ascii="宋体" w:hAnsi="宋体" w:eastAsia="宋体" w:cs="宋体"/>
          <w:sz w:val="24"/>
          <w:szCs w:val="24"/>
        </w:rPr>
        <w:t>（一）项目决策情况</w:t>
      </w:r>
    </w:p>
    <w:p w14:paraId="0A4192AA">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项目决策类指标包括项目立项、绩效目标和资金投入三方面的内容，由6个三级指标构成，权重分为</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2224263C">
      <w:pPr>
        <w:keepNext w:val="0"/>
        <w:keepLines w:val="0"/>
        <w:pageBreakBefore w:val="0"/>
        <w:widowControl w:val="0"/>
        <w:numPr>
          <w:ilvl w:val="0"/>
          <w:numId w:val="2"/>
        </w:numPr>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立项依据充分性：</w:t>
      </w:r>
    </w:p>
    <w:p w14:paraId="326A6DC3">
      <w:pPr>
        <w:keepNext w:val="0"/>
        <w:keepLines w:val="0"/>
        <w:pageBreakBefore w:val="0"/>
        <w:widowControl w:val="0"/>
        <w:numPr>
          <w:ilvl w:val="0"/>
          <w:numId w:val="0"/>
        </w:numPr>
        <w:kinsoku/>
        <w:wordWrap/>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本项目立项符合《自治区党委办公厅印发&lt;关于加强南疆四地州村党组织和带头人队伍建设的若干规定（试行）&gt;的通知》（新党办发〔2020〕32号）、《关于建立村干部报酬正常增长机制的通知》（和党建〔2022〕2号）中：“</w:t>
      </w:r>
      <w:r>
        <w:rPr>
          <w:rFonts w:hint="eastAsia" w:ascii="宋体" w:hAnsi="宋体" w:eastAsia="宋体" w:cs="宋体"/>
          <w:color w:val="000000"/>
          <w:sz w:val="24"/>
          <w:szCs w:val="24"/>
          <w:lang w:val="en-US" w:eastAsia="zh-CN"/>
        </w:rPr>
        <w:t>发放</w:t>
      </w:r>
      <w:r>
        <w:rPr>
          <w:rFonts w:hint="eastAsia" w:ascii="宋体" w:hAnsi="宋体" w:eastAsia="宋体" w:cs="宋体"/>
          <w:color w:val="000000"/>
          <w:sz w:val="24"/>
          <w:szCs w:val="24"/>
        </w:rPr>
        <w:t>村干部及村民小组长2024年2月-2024年4月工资报酬”：“发放村干部及村民小组长2024年5月、10月、11月工资报酬”；本项目立项符合行业发展规划和政策要求；本项目立项符合《</w:t>
      </w:r>
      <w:r>
        <w:rPr>
          <w:rFonts w:hint="eastAsia" w:ascii="宋体" w:hAnsi="宋体" w:eastAsia="宋体" w:cs="宋体"/>
          <w:color w:val="000000"/>
          <w:sz w:val="24"/>
          <w:szCs w:val="24"/>
          <w:lang w:eastAsia="zh-CN"/>
        </w:rPr>
        <w:t>中共洛浦县委员会组织部</w:t>
      </w:r>
      <w:r>
        <w:rPr>
          <w:rFonts w:hint="eastAsia" w:ascii="宋体" w:hAnsi="宋体" w:eastAsia="宋体" w:cs="宋体"/>
          <w:color w:val="000000"/>
          <w:sz w:val="24"/>
          <w:szCs w:val="24"/>
        </w:rPr>
        <w:t>单位配置内设机构和人员编制规定》中职责范围中的“</w:t>
      </w:r>
      <w:r>
        <w:rPr>
          <w:rFonts w:hint="eastAsia" w:ascii="宋体" w:hAnsi="宋体" w:eastAsia="宋体" w:cs="宋体"/>
          <w:color w:val="000000"/>
          <w:sz w:val="24"/>
          <w:szCs w:val="24"/>
          <w:lang w:eastAsia="zh-CN"/>
        </w:rPr>
        <w:t>基层组织建设职责</w:t>
      </w:r>
      <w:r>
        <w:rPr>
          <w:rFonts w:hint="eastAsia" w:ascii="宋体" w:hAnsi="宋体" w:eastAsia="宋体" w:cs="宋体"/>
          <w:color w:val="000000"/>
          <w:sz w:val="24"/>
          <w:szCs w:val="24"/>
        </w:rPr>
        <w:t>”，属于我单位履职所需；根据《财政资金直接支付申请书》，本项目资金性质为“公共财政预算”功能分类为“</w:t>
      </w:r>
      <w:r>
        <w:rPr>
          <w:rFonts w:hint="eastAsia" w:ascii="宋体" w:hAnsi="宋体" w:eastAsia="宋体" w:cs="宋体"/>
          <w:color w:val="000000"/>
          <w:sz w:val="24"/>
          <w:szCs w:val="24"/>
          <w:lang w:val="en-US" w:eastAsia="zh-CN"/>
        </w:rPr>
        <w:t>2013299</w:t>
      </w:r>
      <w:r>
        <w:rPr>
          <w:rFonts w:hint="eastAsia" w:ascii="宋体" w:hAnsi="宋体" w:eastAsia="宋体" w:cs="宋体"/>
          <w:color w:val="000000"/>
          <w:sz w:val="24"/>
          <w:szCs w:val="24"/>
        </w:rPr>
        <w:t>”经济分类为“</w:t>
      </w:r>
      <w:r>
        <w:rPr>
          <w:rFonts w:hint="eastAsia" w:ascii="宋体" w:hAnsi="宋体" w:eastAsia="宋体" w:cs="宋体"/>
          <w:color w:val="000000"/>
          <w:sz w:val="24"/>
          <w:szCs w:val="24"/>
          <w:lang w:eastAsia="zh-CN"/>
        </w:rPr>
        <w:t>生活补助</w:t>
      </w:r>
      <w:r>
        <w:rPr>
          <w:rFonts w:hint="eastAsia" w:ascii="宋体" w:hAnsi="宋体" w:eastAsia="宋体" w:cs="宋体"/>
          <w:color w:val="000000"/>
          <w:sz w:val="24"/>
          <w:szCs w:val="24"/>
        </w:rPr>
        <w:t>”属于公共财政支持范围，符合中央、地方事权支出责任划分原则；经检查我单位财政应用平台指标，本项目不存在重复。</w:t>
      </w:r>
    </w:p>
    <w:p w14:paraId="78A0E863">
      <w:pPr>
        <w:keepNext w:val="0"/>
        <w:keepLines w:val="0"/>
        <w:pageBreakBefore w:val="0"/>
        <w:widowControl w:val="0"/>
        <w:kinsoku/>
        <w:wordWrap/>
        <w:topLinePunct w:val="0"/>
        <w:autoSpaceDE/>
        <w:autoSpaceDN/>
        <w:bidi w:val="0"/>
        <w:adjustRightInd/>
        <w:snapToGrid/>
        <w:spacing w:line="360" w:lineRule="auto"/>
        <w:ind w:firstLine="56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分，本项目立项依据充分。</w:t>
      </w:r>
    </w:p>
    <w:p w14:paraId="67C7E8C3">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（2）立项程序规范性：</w:t>
      </w:r>
    </w:p>
    <w:p w14:paraId="6EB9A151">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根据《自治区党委办公厅印发&lt;关于加强南疆四地州村党组织和带头人队伍建设的若干规定（试行）&gt;的通知》（新党办发〔2020〕32号）、《关于建立村干部报酬正常增长机制的通知》（和党建〔2022〕2号）：保障村干部（村民小组长）报酬补助，通过实施本项目，可有效提高重视村干部的程度，持续激励村干部（村民小组长）工作积极性，项目立项过程中产生的文件均符合相关要求。本项目为</w:t>
      </w:r>
      <w:r>
        <w:rPr>
          <w:rFonts w:hint="eastAsia" w:ascii="宋体" w:hAnsi="宋体" w:eastAsia="宋体" w:cs="宋体"/>
          <w:color w:val="auto"/>
          <w:sz w:val="24"/>
          <w:szCs w:val="24"/>
          <w:highlight w:val="none"/>
          <w:lang w:eastAsia="zh-CN"/>
        </w:rPr>
        <w:t>中共洛浦县委员会组织部</w:t>
      </w:r>
      <w:r>
        <w:rPr>
          <w:rFonts w:hint="eastAsia" w:ascii="宋体" w:hAnsi="宋体" w:eastAsia="宋体" w:cs="宋体"/>
          <w:color w:val="auto"/>
          <w:sz w:val="24"/>
          <w:szCs w:val="24"/>
          <w:highlight w:val="none"/>
        </w:rPr>
        <w:t>类项目，属于经常性项目，项目预算金额为</w:t>
      </w:r>
      <w:r>
        <w:rPr>
          <w:rFonts w:hint="eastAsia" w:ascii="宋体" w:hAnsi="宋体" w:eastAsia="宋体" w:cs="宋体"/>
          <w:color w:val="auto"/>
          <w:sz w:val="24"/>
          <w:szCs w:val="24"/>
          <w:highlight w:val="none"/>
          <w:lang w:eastAsia="zh-CN"/>
        </w:rPr>
        <w:t>1797.51</w:t>
      </w:r>
      <w:r>
        <w:rPr>
          <w:rFonts w:hint="eastAsia" w:ascii="宋体" w:hAnsi="宋体" w:eastAsia="宋体" w:cs="宋体"/>
          <w:color w:val="auto"/>
          <w:sz w:val="24"/>
          <w:szCs w:val="24"/>
          <w:highlight w:val="none"/>
        </w:rPr>
        <w:t>万元，不涉及事前绩效评估和风险评估，已委托</w:t>
      </w:r>
      <w:r>
        <w:rPr>
          <w:rFonts w:hint="eastAsia" w:ascii="宋体" w:hAnsi="宋体" w:eastAsia="宋体" w:cs="宋体"/>
          <w:color w:val="auto"/>
          <w:sz w:val="24"/>
          <w:szCs w:val="24"/>
          <w:highlight w:val="none"/>
          <w:lang w:eastAsia="zh-CN"/>
        </w:rPr>
        <w:t>中共洛浦县委员会组织部</w:t>
      </w:r>
      <w:r>
        <w:rPr>
          <w:rFonts w:hint="eastAsia" w:ascii="宋体" w:hAnsi="宋体" w:eastAsia="宋体" w:cs="宋体"/>
          <w:color w:val="auto"/>
          <w:sz w:val="24"/>
          <w:szCs w:val="24"/>
          <w:highlight w:val="none"/>
        </w:rPr>
        <w:t>单位完成本项目可行性研究报告的编制，并经过专家论证。</w:t>
      </w:r>
    </w:p>
    <w:p w14:paraId="136B8E3A">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综上所述，本指标满分为3分，根</w:t>
      </w:r>
      <w:r>
        <w:rPr>
          <w:rFonts w:hint="eastAsia" w:ascii="宋体" w:hAnsi="宋体" w:eastAsia="宋体" w:cs="宋体"/>
          <w:color w:val="auto"/>
          <w:sz w:val="24"/>
          <w:szCs w:val="24"/>
        </w:rPr>
        <w:t>据评分标准得</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分，本项目立项程序合规。</w:t>
      </w:r>
    </w:p>
    <w:p w14:paraId="0B6B786C">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b/>
          <w:bCs/>
          <w:sz w:val="24"/>
          <w:szCs w:val="24"/>
          <w:highlight w:val="none"/>
        </w:rPr>
        <w:t>（3）绩效目标合理性：</w:t>
      </w:r>
    </w:p>
    <w:p w14:paraId="7719166B">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该项目已设置年度绩效目标，具体内容为“根据《自治区党委办公厅印发&lt;关于加强南疆四地州村党组织和带头人队伍建设的若干规定（试行）&gt;的通知》（新党办发〔2020〕32号）、《关于建立村干部报酬正常增长机制的通知》（和党建〔2022〕2号）：保障村干部（村民小组长）报酬补助，通过实施本项目，可有效提高重视村干部的程度，持续激励村干部（村民小组长）工作积极性。”。</w:t>
      </w:r>
    </w:p>
    <w:p w14:paraId="09B7BD13">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②该项目实际工作内容为：截止2024年12月31日，该项目已实施完毕，已支付资金</w:t>
      </w:r>
      <w:r>
        <w:rPr>
          <w:rFonts w:hint="eastAsia" w:ascii="宋体" w:hAnsi="宋体" w:eastAsia="宋体" w:cs="宋体"/>
          <w:color w:val="auto"/>
          <w:sz w:val="24"/>
          <w:szCs w:val="24"/>
          <w:highlight w:val="none"/>
          <w:lang w:eastAsia="zh-CN"/>
        </w:rPr>
        <w:t>1654.66</w:t>
      </w:r>
      <w:r>
        <w:rPr>
          <w:rFonts w:hint="eastAsia" w:ascii="宋体" w:hAnsi="宋体" w:eastAsia="宋体" w:cs="宋体"/>
          <w:color w:val="auto"/>
          <w:sz w:val="24"/>
          <w:szCs w:val="24"/>
          <w:highlight w:val="none"/>
        </w:rPr>
        <w:t>万元，项目已完成的主要内容:保障村干部（村民小组长）报酬补助，通过实施本项目，有效提高重视村干部的程度，持续激励村干部（村民小组长）工作积极性。绩效目标与实际工作内容一致，两者具有相关性。</w:t>
      </w:r>
    </w:p>
    <w:p w14:paraId="27F1BF4E">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③该项目按照绩效目标完成</w:t>
      </w:r>
      <w:r>
        <w:rPr>
          <w:rFonts w:hint="eastAsia" w:ascii="宋体" w:hAnsi="宋体" w:eastAsia="宋体" w:cs="宋体"/>
          <w:color w:val="auto"/>
          <w:sz w:val="24"/>
          <w:szCs w:val="24"/>
          <w:highlight w:val="none"/>
          <w:lang w:val="en-US" w:eastAsia="zh-CN"/>
        </w:rPr>
        <w:t>村干部（村民小组长）报酬补贴人数1883人</w:t>
      </w:r>
      <w:r>
        <w:rPr>
          <w:rFonts w:hint="eastAsia" w:ascii="宋体" w:hAnsi="宋体" w:eastAsia="宋体" w:cs="宋体"/>
          <w:color w:val="auto"/>
          <w:sz w:val="24"/>
          <w:szCs w:val="24"/>
          <w:highlight w:val="none"/>
        </w:rPr>
        <w:t>，通过项目的实施，有效提高重视村干部的程度，持续激励村干部（村民小组长）工作积极性。。预期产出效益和效果符合正常的业绩水平。</w:t>
      </w:r>
    </w:p>
    <w:p w14:paraId="485A36EA">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④该项目批复的预算金额为</w:t>
      </w:r>
      <w:r>
        <w:rPr>
          <w:rFonts w:hint="eastAsia" w:ascii="宋体" w:hAnsi="宋体" w:eastAsia="宋体" w:cs="宋体"/>
          <w:color w:val="auto"/>
          <w:sz w:val="24"/>
          <w:szCs w:val="24"/>
          <w:highlight w:val="none"/>
          <w:lang w:eastAsia="zh-CN"/>
        </w:rPr>
        <w:t>1797.51</w:t>
      </w:r>
      <w:r>
        <w:rPr>
          <w:rFonts w:hint="eastAsia" w:ascii="宋体" w:hAnsi="宋体" w:eastAsia="宋体" w:cs="宋体"/>
          <w:color w:val="auto"/>
          <w:sz w:val="24"/>
          <w:szCs w:val="24"/>
          <w:highlight w:val="none"/>
        </w:rPr>
        <w:t>万元，《项目支出绩效目标表》中预算金额为</w:t>
      </w:r>
      <w:r>
        <w:rPr>
          <w:rFonts w:hint="eastAsia" w:ascii="宋体" w:hAnsi="宋体" w:eastAsia="宋体" w:cs="宋体"/>
          <w:color w:val="auto"/>
          <w:sz w:val="24"/>
          <w:szCs w:val="24"/>
          <w:highlight w:val="none"/>
          <w:lang w:eastAsia="zh-CN"/>
        </w:rPr>
        <w:t>1797.51</w:t>
      </w:r>
      <w:r>
        <w:rPr>
          <w:rFonts w:hint="eastAsia" w:ascii="宋体" w:hAnsi="宋体" w:eastAsia="宋体" w:cs="宋体"/>
          <w:color w:val="auto"/>
          <w:sz w:val="24"/>
          <w:szCs w:val="24"/>
          <w:highlight w:val="none"/>
        </w:rPr>
        <w:t>万元，预算确定的项目资金与预算确定的项目投资额相匹配。</w:t>
      </w:r>
    </w:p>
    <w:p w14:paraId="1501EC19">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⑤本单位</w:t>
      </w:r>
      <w:r>
        <w:rPr>
          <w:rFonts w:hint="eastAsia" w:ascii="宋体" w:hAnsi="宋体" w:eastAsia="宋体" w:cs="宋体"/>
          <w:color w:val="auto"/>
          <w:sz w:val="24"/>
          <w:szCs w:val="24"/>
          <w:highlight w:val="none"/>
        </w:rPr>
        <w:t>制定了实施方案，明确了总体思路及目标、并对任务进行了详细分解，对目标进行了细化，根据评分标准，该指标不扣分，得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557F3557">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绩效指标明确性</w:t>
      </w:r>
      <w:r>
        <w:rPr>
          <w:rFonts w:hint="eastAsia" w:ascii="宋体" w:hAnsi="宋体" w:eastAsia="宋体" w:cs="宋体"/>
          <w:b/>
          <w:bCs/>
          <w:color w:val="auto"/>
          <w:sz w:val="24"/>
          <w:szCs w:val="24"/>
          <w:highlight w:val="none"/>
          <w:lang w:eastAsia="zh-CN"/>
        </w:rPr>
        <w:t>：</w:t>
      </w:r>
    </w:p>
    <w:p w14:paraId="368807C2">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经检查我单位年初设置的《项目支出绩效目标表》，得出如下结论：本项目已将年度绩效目标进行细化为绩效指标体系，共设置一级指标4个，二级指标6个，三级指标8个，定量指标7个，定性指标1个，指标量化率为87.5%，量化率达70.0%以上，将项目绩效目标细化分解为具体的绩效指标。</w:t>
      </w:r>
    </w:p>
    <w:p w14:paraId="414B5C94">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项目绩效目标申报表》中，数量指标指标值为村干部（村民小组长）报酬补贴人数≥1883人，三级指标的年度指标值与年度绩效目标中任务数一致（或不完全一致），已设置时效指标“资金支付及时率、项目完成时间”。已设置的绩效目标具备明确性、可衡量性、可实现性、相关性、时限性。根据评分标准，该指标不扣分，得5分。</w:t>
      </w:r>
    </w:p>
    <w:p w14:paraId="29D5D1F0">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预算编制科学性：</w:t>
      </w:r>
    </w:p>
    <w:p w14:paraId="3C6B6883">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项目村干部及村民小组长2024年（5月、10月、11月）工资报酬，即预算编制较科学且经过论证；预算申请内容为村干部及村民小组长2024年（5月、10月、11月）工资报酬，项目实际内容为村干部及村民小组长2024年（5月、10月、11月）工资报酬，预算申请与《村干部及村民小组长2024年（5月、10月、11月）工资报酬项目实施方案》中涉及的项目内容匹配；</w:t>
      </w:r>
    </w:p>
    <w:p w14:paraId="58C2655E">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本项目预算申请资金</w:t>
      </w:r>
      <w:r>
        <w:rPr>
          <w:rFonts w:hint="eastAsia" w:ascii="宋体" w:hAnsi="宋体" w:eastAsia="宋体" w:cs="宋体"/>
          <w:color w:val="auto"/>
          <w:sz w:val="24"/>
          <w:szCs w:val="24"/>
          <w:highlight w:val="none"/>
          <w:lang w:eastAsia="zh-CN"/>
        </w:rPr>
        <w:t>1797.51</w:t>
      </w:r>
      <w:r>
        <w:rPr>
          <w:rFonts w:hint="eastAsia" w:ascii="宋体" w:hAnsi="宋体" w:eastAsia="宋体" w:cs="宋体"/>
          <w:color w:val="auto"/>
          <w:sz w:val="24"/>
          <w:szCs w:val="24"/>
          <w:highlight w:val="none"/>
        </w:rPr>
        <w:t>万元，我单位在预算申请中严格按照项目实施内容及测算标准进行核算，其中村干部（村民小组长）报酬补贴</w:t>
      </w:r>
      <w:r>
        <w:rPr>
          <w:rFonts w:hint="eastAsia" w:ascii="宋体" w:hAnsi="宋体" w:eastAsia="宋体" w:cs="宋体"/>
          <w:color w:val="auto"/>
          <w:sz w:val="24"/>
          <w:szCs w:val="24"/>
          <w:highlight w:val="none"/>
          <w:lang w:eastAsia="zh-CN"/>
        </w:rPr>
        <w:t>1797.51</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预算确定资金量与实际工作任务相匹配。本项目预算额度测算依据充分，严格按照标准编制，预算确定资金量与实际工作任务相匹配；根据评分标准，该指标不扣分，得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145BCDE6">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资金分配合理性：</w:t>
      </w:r>
    </w:p>
    <w:p w14:paraId="7C660132">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本项目实际分配资金以《关于申请</w:t>
      </w:r>
      <w:r>
        <w:rPr>
          <w:rFonts w:hint="eastAsia" w:ascii="宋体" w:hAnsi="宋体" w:eastAsia="宋体" w:cs="宋体"/>
          <w:color w:val="auto"/>
          <w:sz w:val="24"/>
          <w:szCs w:val="24"/>
          <w:highlight w:val="none"/>
          <w:lang w:eastAsia="zh-CN"/>
        </w:rPr>
        <w:t>村干部及村民小组长2024年（5月、10月、11月）工资报酬</w:t>
      </w:r>
      <w:r>
        <w:rPr>
          <w:rFonts w:hint="eastAsia" w:ascii="宋体" w:hAnsi="宋体" w:eastAsia="宋体" w:cs="宋体"/>
          <w:color w:val="auto"/>
          <w:sz w:val="24"/>
          <w:szCs w:val="24"/>
          <w:highlight w:val="none"/>
        </w:rPr>
        <w:t>项目资金的请示》和《</w:t>
      </w:r>
      <w:r>
        <w:rPr>
          <w:rFonts w:hint="eastAsia" w:ascii="宋体" w:hAnsi="宋体" w:eastAsia="宋体" w:cs="宋体"/>
          <w:color w:val="auto"/>
          <w:sz w:val="24"/>
          <w:szCs w:val="24"/>
          <w:highlight w:val="none"/>
          <w:lang w:eastAsia="zh-CN"/>
        </w:rPr>
        <w:t>村干部及村民小组长2024年（5月、10月、11月）工资报酬</w:t>
      </w:r>
      <w:r>
        <w:rPr>
          <w:rFonts w:hint="eastAsia" w:ascii="宋体" w:hAnsi="宋体" w:eastAsia="宋体" w:cs="宋体"/>
          <w:color w:val="auto"/>
          <w:sz w:val="24"/>
          <w:szCs w:val="24"/>
          <w:highlight w:val="none"/>
        </w:rPr>
        <w:t>项目实施方案》为依据进行资金分配，预算资金分配依据充分。根据《自治区党委办公厅印发&lt;关于加强南疆四地州村党组织和带头人队伍建设的若干规定（试行）&gt;的通知》（新党办发〔2020〕32号）、《关于建立村干部报酬正常增长机制的通知》（和党建〔2022〕2号）文件》，本项目实际到位资金</w:t>
      </w:r>
      <w:r>
        <w:rPr>
          <w:rFonts w:hint="eastAsia" w:ascii="宋体" w:hAnsi="宋体" w:eastAsia="宋体" w:cs="宋体"/>
          <w:color w:val="auto"/>
          <w:sz w:val="24"/>
          <w:szCs w:val="24"/>
          <w:highlight w:val="none"/>
          <w:lang w:eastAsia="zh-CN"/>
        </w:rPr>
        <w:t>1797.51</w:t>
      </w:r>
      <w:r>
        <w:rPr>
          <w:rFonts w:hint="eastAsia" w:ascii="宋体" w:hAnsi="宋体" w:eastAsia="宋体" w:cs="宋体"/>
          <w:color w:val="auto"/>
          <w:sz w:val="24"/>
          <w:szCs w:val="24"/>
          <w:highlight w:val="none"/>
        </w:rPr>
        <w:t>万元，资金分配额度合理，与我单位实际需求相适应。资金分配与实际相适应，根据评分标准，该指标不扣分，得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792BD7C6">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（二）项目过程情况</w:t>
      </w:r>
    </w:p>
    <w:p w14:paraId="21677D3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项目过程类指标包括资金管理和组织实施两方面的内容，由 5个三级指标构成，权重分为20分，实际得分</w:t>
      </w:r>
      <w:r>
        <w:rPr>
          <w:rFonts w:hint="eastAsia" w:ascii="宋体" w:hAnsi="宋体" w:eastAsia="宋体" w:cs="宋体"/>
          <w:sz w:val="24"/>
          <w:szCs w:val="24"/>
          <w:highlight w:val="none"/>
          <w:lang w:val="en-US" w:eastAsia="zh-CN"/>
        </w:rPr>
        <w:t>19.68</w:t>
      </w:r>
      <w:r>
        <w:rPr>
          <w:rFonts w:hint="eastAsia" w:ascii="宋体" w:hAnsi="宋体" w:eastAsia="宋体" w:cs="宋体"/>
          <w:sz w:val="24"/>
          <w:szCs w:val="24"/>
          <w:highlight w:val="none"/>
        </w:rPr>
        <w:t>分，得分率为</w:t>
      </w:r>
      <w:r>
        <w:rPr>
          <w:rFonts w:hint="eastAsia" w:ascii="宋体" w:hAnsi="宋体" w:eastAsia="宋体" w:cs="宋体"/>
          <w:sz w:val="24"/>
          <w:szCs w:val="24"/>
          <w:highlight w:val="none"/>
          <w:lang w:val="en-US" w:eastAsia="zh-CN"/>
        </w:rPr>
        <w:t>98.4</w:t>
      </w:r>
      <w:r>
        <w:rPr>
          <w:rFonts w:hint="eastAsia" w:ascii="宋体" w:hAnsi="宋体" w:eastAsia="宋体" w:cs="宋体"/>
          <w:sz w:val="24"/>
          <w:szCs w:val="24"/>
          <w:highlight w:val="none"/>
        </w:rPr>
        <w:t>%。</w:t>
      </w:r>
    </w:p>
    <w:p w14:paraId="57179D47">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资金到位率：</w:t>
      </w:r>
    </w:p>
    <w:p w14:paraId="0175062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本项目预算资金为</w:t>
      </w:r>
      <w:r>
        <w:rPr>
          <w:rFonts w:hint="eastAsia" w:ascii="宋体" w:hAnsi="宋体" w:eastAsia="宋体" w:cs="宋体"/>
          <w:sz w:val="24"/>
          <w:szCs w:val="24"/>
          <w:highlight w:val="none"/>
          <w:lang w:eastAsia="zh-CN"/>
        </w:rPr>
        <w:t>1797.51</w:t>
      </w:r>
      <w:r>
        <w:rPr>
          <w:rFonts w:hint="eastAsia" w:ascii="宋体" w:hAnsi="宋体" w:eastAsia="宋体" w:cs="宋体"/>
          <w:sz w:val="24"/>
          <w:szCs w:val="24"/>
          <w:highlight w:val="none"/>
        </w:rPr>
        <w:t>万元，其中：财政安排资金</w:t>
      </w:r>
      <w:r>
        <w:rPr>
          <w:rFonts w:hint="eastAsia" w:ascii="宋体" w:hAnsi="宋体" w:eastAsia="宋体" w:cs="宋体"/>
          <w:sz w:val="24"/>
          <w:szCs w:val="24"/>
          <w:highlight w:val="none"/>
          <w:lang w:eastAsia="zh-CN"/>
        </w:rPr>
        <w:t>1797.51</w:t>
      </w:r>
      <w:r>
        <w:rPr>
          <w:rFonts w:hint="eastAsia" w:ascii="宋体" w:hAnsi="宋体" w:eastAsia="宋体" w:cs="宋体"/>
          <w:sz w:val="24"/>
          <w:szCs w:val="24"/>
          <w:highlight w:val="none"/>
        </w:rPr>
        <w:t>万元，其他资金</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万元，实际到位资金</w:t>
      </w:r>
      <w:r>
        <w:rPr>
          <w:rFonts w:hint="eastAsia" w:ascii="宋体" w:hAnsi="宋体" w:eastAsia="宋体" w:cs="宋体"/>
          <w:sz w:val="24"/>
          <w:szCs w:val="24"/>
          <w:highlight w:val="none"/>
          <w:lang w:eastAsia="zh-CN"/>
        </w:rPr>
        <w:t>1797.51</w:t>
      </w:r>
      <w:r>
        <w:rPr>
          <w:rFonts w:hint="eastAsia" w:ascii="宋体" w:hAnsi="宋体" w:eastAsia="宋体" w:cs="宋体"/>
          <w:sz w:val="24"/>
          <w:szCs w:val="24"/>
          <w:highlight w:val="none"/>
        </w:rPr>
        <w:t>万元，资金到位率=</w:t>
      </w:r>
      <w:r>
        <w:rPr>
          <w:rFonts w:hint="eastAsia" w:ascii="宋体" w:hAnsi="宋体" w:eastAsia="宋体" w:cs="宋体"/>
          <w:sz w:val="24"/>
          <w:szCs w:val="24"/>
          <w:highlight w:val="none"/>
          <w:lang w:val="en-US" w:eastAsia="zh-CN"/>
        </w:rPr>
        <w:t>100%；通过分析可知，该项目</w:t>
      </w:r>
      <w:r>
        <w:rPr>
          <w:rFonts w:hint="eastAsia" w:ascii="宋体" w:hAnsi="宋体" w:eastAsia="宋体" w:cs="宋体"/>
          <w:sz w:val="24"/>
          <w:szCs w:val="24"/>
          <w:highlight w:val="none"/>
        </w:rPr>
        <w:t>财政资金足额拨付到位，能够及时足额</w:t>
      </w:r>
      <w:r>
        <w:rPr>
          <w:rFonts w:hint="eastAsia" w:ascii="宋体" w:hAnsi="宋体" w:eastAsia="宋体" w:cs="宋体"/>
          <w:sz w:val="24"/>
          <w:szCs w:val="24"/>
          <w:highlight w:val="none"/>
          <w:lang w:val="en-US" w:eastAsia="zh-CN"/>
        </w:rPr>
        <w:t>支付</w:t>
      </w:r>
      <w:r>
        <w:rPr>
          <w:rFonts w:hint="eastAsia" w:ascii="宋体" w:hAnsi="宋体" w:eastAsia="宋体" w:cs="宋体"/>
          <w:sz w:val="24"/>
          <w:szCs w:val="24"/>
          <w:highlight w:val="none"/>
        </w:rPr>
        <w:t>给</w:t>
      </w:r>
      <w:r>
        <w:rPr>
          <w:rFonts w:hint="eastAsia" w:ascii="宋体" w:hAnsi="宋体" w:eastAsia="宋体" w:cs="宋体"/>
          <w:sz w:val="24"/>
          <w:szCs w:val="24"/>
          <w:highlight w:val="none"/>
          <w:lang w:val="en-US" w:eastAsia="zh-CN"/>
        </w:rPr>
        <w:t>实施</w:t>
      </w:r>
      <w:r>
        <w:rPr>
          <w:rFonts w:hint="eastAsia" w:ascii="宋体" w:hAnsi="宋体" w:eastAsia="宋体" w:cs="宋体"/>
          <w:sz w:val="24"/>
          <w:szCs w:val="24"/>
          <w:highlight w:val="none"/>
        </w:rPr>
        <w:t>单位</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根据评分标准，该指标不扣分，得</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 xml:space="preserve">分。   </w:t>
      </w:r>
    </w:p>
    <w:p w14:paraId="3A4FBDED">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预算执行率：</w:t>
      </w:r>
    </w:p>
    <w:p w14:paraId="2181C8B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本项目实际支出资金</w:t>
      </w:r>
      <w:r>
        <w:rPr>
          <w:rFonts w:hint="eastAsia" w:ascii="宋体" w:hAnsi="宋体" w:eastAsia="宋体" w:cs="宋体"/>
          <w:sz w:val="24"/>
          <w:szCs w:val="24"/>
          <w:highlight w:val="none"/>
          <w:lang w:eastAsia="zh-CN"/>
        </w:rPr>
        <w:t>1654.66</w:t>
      </w:r>
      <w:r>
        <w:rPr>
          <w:rFonts w:hint="eastAsia" w:ascii="宋体" w:hAnsi="宋体" w:eastAsia="宋体" w:cs="宋体"/>
          <w:sz w:val="24"/>
          <w:szCs w:val="24"/>
          <w:highlight w:val="none"/>
        </w:rPr>
        <w:t>万元，预算执行率=（</w:t>
      </w:r>
      <w:r>
        <w:rPr>
          <w:rFonts w:hint="eastAsia" w:ascii="宋体" w:hAnsi="宋体" w:eastAsia="宋体" w:cs="宋体"/>
          <w:sz w:val="24"/>
          <w:szCs w:val="24"/>
          <w:highlight w:val="none"/>
          <w:lang w:val="en-US" w:eastAsia="zh-CN"/>
        </w:rPr>
        <w:t>1654.66</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1797.51</w:t>
      </w:r>
      <w:r>
        <w:rPr>
          <w:rFonts w:hint="eastAsia" w:ascii="宋体" w:hAnsi="宋体" w:eastAsia="宋体" w:cs="宋体"/>
          <w:sz w:val="24"/>
          <w:szCs w:val="24"/>
          <w:highlight w:val="none"/>
        </w:rPr>
        <w:t>）×100.0%=</w:t>
      </w:r>
      <w:r>
        <w:rPr>
          <w:rFonts w:hint="eastAsia" w:ascii="宋体" w:hAnsi="宋体" w:eastAsia="宋体" w:cs="宋体"/>
          <w:sz w:val="24"/>
          <w:szCs w:val="24"/>
          <w:highlight w:val="none"/>
          <w:lang w:val="en-US" w:eastAsia="zh-CN"/>
        </w:rPr>
        <w:t>92.05%</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通过分析可知，该项目</w:t>
      </w:r>
      <w:r>
        <w:rPr>
          <w:rFonts w:hint="eastAsia" w:ascii="宋体" w:hAnsi="宋体" w:eastAsia="宋体" w:cs="宋体"/>
          <w:sz w:val="24"/>
          <w:szCs w:val="24"/>
          <w:highlight w:val="none"/>
        </w:rPr>
        <w:t>预算编制较为详细，项目资金支出总体能够按照预算执行，根据评分标准，该指标扣</w:t>
      </w:r>
      <w:r>
        <w:rPr>
          <w:rFonts w:hint="eastAsia" w:ascii="宋体" w:hAnsi="宋体" w:eastAsia="宋体" w:cs="宋体"/>
          <w:sz w:val="24"/>
          <w:szCs w:val="24"/>
          <w:highlight w:val="none"/>
          <w:lang w:val="en-US" w:eastAsia="zh-CN"/>
        </w:rPr>
        <w:t>0.32</w:t>
      </w:r>
      <w:r>
        <w:rPr>
          <w:rFonts w:hint="eastAsia" w:ascii="宋体" w:hAnsi="宋体" w:eastAsia="宋体" w:cs="宋体"/>
          <w:sz w:val="24"/>
          <w:szCs w:val="24"/>
          <w:highlight w:val="none"/>
        </w:rPr>
        <w:t>分，得</w:t>
      </w:r>
      <w:r>
        <w:rPr>
          <w:rFonts w:hint="eastAsia" w:ascii="宋体" w:hAnsi="宋体" w:eastAsia="宋体" w:cs="宋体"/>
          <w:sz w:val="24"/>
          <w:szCs w:val="24"/>
          <w:highlight w:val="none"/>
          <w:lang w:val="en-US" w:eastAsia="zh-CN"/>
        </w:rPr>
        <w:t>3.68</w:t>
      </w:r>
      <w:r>
        <w:rPr>
          <w:rFonts w:hint="eastAsia" w:ascii="宋体" w:hAnsi="宋体" w:eastAsia="宋体" w:cs="宋体"/>
          <w:sz w:val="24"/>
          <w:szCs w:val="24"/>
          <w:highlight w:val="none"/>
        </w:rPr>
        <w:t>分。</w:t>
      </w:r>
    </w:p>
    <w:p w14:paraId="60516DD0">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资金使用合规性：</w:t>
      </w:r>
    </w:p>
    <w:p w14:paraId="5D7C37E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通过检查项目资金申请文件、</w:t>
      </w:r>
      <w:r>
        <w:rPr>
          <w:rFonts w:hint="eastAsia" w:ascii="宋体" w:hAnsi="宋体" w:eastAsia="宋体" w:cs="宋体"/>
          <w:sz w:val="24"/>
          <w:szCs w:val="24"/>
          <w:highlight w:val="none"/>
          <w:lang w:val="en-US" w:eastAsia="zh-CN"/>
        </w:rPr>
        <w:t>国库支付凭证</w:t>
      </w:r>
      <w:r>
        <w:rPr>
          <w:rFonts w:hint="eastAsia" w:ascii="宋体" w:hAnsi="宋体" w:eastAsia="宋体" w:cs="宋体"/>
          <w:sz w:val="24"/>
          <w:szCs w:val="24"/>
          <w:highlight w:val="none"/>
        </w:rPr>
        <w:t>等财务</w:t>
      </w:r>
      <w:r>
        <w:rPr>
          <w:rFonts w:hint="eastAsia" w:ascii="宋体" w:hAnsi="宋体" w:eastAsia="宋体" w:cs="宋体"/>
          <w:sz w:val="24"/>
          <w:szCs w:val="24"/>
          <w:highlight w:val="none"/>
          <w:lang w:val="en-US" w:eastAsia="zh-CN"/>
        </w:rPr>
        <w:t>资料</w:t>
      </w:r>
      <w:r>
        <w:rPr>
          <w:rFonts w:hint="eastAsia" w:ascii="宋体" w:hAnsi="宋体" w:eastAsia="宋体" w:cs="宋体"/>
          <w:sz w:val="24"/>
          <w:szCs w:val="24"/>
          <w:highlight w:val="none"/>
        </w:rPr>
        <w:t>，得出本项目资金支出符合国家财经法规、《政府会计制度》《</w:t>
      </w:r>
      <w:r>
        <w:rPr>
          <w:rFonts w:hint="eastAsia" w:ascii="宋体" w:hAnsi="宋体" w:eastAsia="宋体" w:cs="宋体"/>
          <w:sz w:val="24"/>
          <w:szCs w:val="24"/>
          <w:highlight w:val="none"/>
          <w:lang w:eastAsia="zh-CN"/>
        </w:rPr>
        <w:t>中共洛浦县委员会组织部</w:t>
      </w:r>
      <w:r>
        <w:rPr>
          <w:rFonts w:hint="eastAsia" w:ascii="宋体" w:hAnsi="宋体" w:eastAsia="宋体" w:cs="宋体"/>
          <w:sz w:val="24"/>
          <w:szCs w:val="24"/>
          <w:highlight w:val="none"/>
        </w:rPr>
        <w:t>单位资金管理办法》《</w:t>
      </w:r>
      <w:r>
        <w:rPr>
          <w:rFonts w:hint="eastAsia" w:ascii="宋体" w:hAnsi="宋体" w:eastAsia="宋体" w:cs="宋体"/>
          <w:sz w:val="24"/>
          <w:szCs w:val="24"/>
          <w:highlight w:val="none"/>
          <w:lang w:eastAsia="zh-CN"/>
        </w:rPr>
        <w:t>中共洛浦县委员会组织部</w:t>
      </w:r>
      <w:r>
        <w:rPr>
          <w:rFonts w:hint="eastAsia" w:ascii="宋体" w:hAnsi="宋体" w:eastAsia="宋体" w:cs="宋体"/>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sz w:val="24"/>
          <w:szCs w:val="24"/>
          <w:highlight w:val="none"/>
          <w:lang w:val="en-US" w:eastAsia="zh-CN"/>
        </w:rPr>
        <w:t>我单位</w:t>
      </w:r>
      <w:r>
        <w:rPr>
          <w:rFonts w:hint="eastAsia" w:ascii="宋体" w:hAnsi="宋体" w:eastAsia="宋体" w:cs="宋体"/>
          <w:sz w:val="24"/>
          <w:szCs w:val="24"/>
          <w:highlight w:val="none"/>
        </w:rPr>
        <w:t>制定了相关的制度和管理规定对经费使用进行规范管理，财务制度健全、执行严格，根据评分标准，该指标不扣分，得4分。</w:t>
      </w:r>
    </w:p>
    <w:p w14:paraId="6728A753">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管理制度健全性：</w:t>
      </w:r>
    </w:p>
    <w:p w14:paraId="7E3039A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我单位已制定《</w:t>
      </w:r>
      <w:r>
        <w:rPr>
          <w:rFonts w:hint="eastAsia" w:ascii="宋体" w:hAnsi="宋体" w:eastAsia="宋体" w:cs="宋体"/>
          <w:sz w:val="24"/>
          <w:szCs w:val="24"/>
          <w:highlight w:val="none"/>
          <w:lang w:eastAsia="zh-CN"/>
        </w:rPr>
        <w:t>中共洛浦县委员会组织部</w:t>
      </w:r>
      <w:r>
        <w:rPr>
          <w:rFonts w:hint="eastAsia" w:ascii="宋体" w:hAnsi="宋体" w:eastAsia="宋体" w:cs="宋体"/>
          <w:sz w:val="24"/>
          <w:szCs w:val="24"/>
          <w:highlight w:val="none"/>
        </w:rPr>
        <w:t>资金管理办法》《</w:t>
      </w:r>
      <w:r>
        <w:rPr>
          <w:rFonts w:hint="eastAsia" w:ascii="宋体" w:hAnsi="宋体" w:eastAsia="宋体" w:cs="宋体"/>
          <w:sz w:val="24"/>
          <w:szCs w:val="24"/>
          <w:highlight w:val="none"/>
          <w:lang w:eastAsia="zh-CN"/>
        </w:rPr>
        <w:t>中共洛浦县委员会组织部</w:t>
      </w:r>
      <w:r>
        <w:rPr>
          <w:rFonts w:hint="eastAsia" w:ascii="宋体" w:hAnsi="宋体" w:eastAsia="宋体" w:cs="宋体"/>
          <w:sz w:val="24"/>
          <w:szCs w:val="24"/>
          <w:highlight w:val="none"/>
        </w:rPr>
        <w:t>收支业务管理制度》《</w:t>
      </w:r>
      <w:r>
        <w:rPr>
          <w:rFonts w:hint="eastAsia" w:ascii="宋体" w:hAnsi="宋体" w:eastAsia="宋体" w:cs="宋体"/>
          <w:sz w:val="24"/>
          <w:szCs w:val="24"/>
          <w:highlight w:val="none"/>
          <w:lang w:eastAsia="zh-CN"/>
        </w:rPr>
        <w:t>中共洛浦县委员会组织部</w:t>
      </w:r>
      <w:r>
        <w:rPr>
          <w:rFonts w:hint="eastAsia" w:ascii="宋体" w:hAnsi="宋体" w:eastAsia="宋体" w:cs="宋体"/>
          <w:sz w:val="24"/>
          <w:szCs w:val="24"/>
          <w:highlight w:val="none"/>
        </w:rPr>
        <w:t>政府采购业务管理制度》《</w:t>
      </w:r>
      <w:r>
        <w:rPr>
          <w:rFonts w:hint="eastAsia" w:ascii="宋体" w:hAnsi="宋体" w:eastAsia="宋体" w:cs="宋体"/>
          <w:sz w:val="24"/>
          <w:szCs w:val="24"/>
          <w:highlight w:val="none"/>
          <w:lang w:eastAsia="zh-CN"/>
        </w:rPr>
        <w:t>中共洛浦县委员会组织部</w:t>
      </w:r>
      <w:r>
        <w:rPr>
          <w:rFonts w:hint="eastAsia" w:ascii="宋体" w:hAnsi="宋体" w:eastAsia="宋体" w:cs="宋体"/>
          <w:sz w:val="24"/>
          <w:szCs w:val="24"/>
          <w:highlight w:val="none"/>
        </w:rPr>
        <w:t>合同管理制度》，</w:t>
      </w:r>
      <w:r>
        <w:rPr>
          <w:rFonts w:hint="eastAsia" w:ascii="宋体" w:hAnsi="宋体" w:eastAsia="宋体" w:cs="宋体"/>
          <w:sz w:val="24"/>
          <w:szCs w:val="24"/>
          <w:highlight w:val="none"/>
          <w:lang w:val="en-US" w:eastAsia="zh-CN"/>
        </w:rPr>
        <w:t>相关</w:t>
      </w:r>
      <w:r>
        <w:rPr>
          <w:rFonts w:hint="eastAsia" w:ascii="宋体" w:hAnsi="宋体" w:eastAsia="宋体" w:cs="宋体"/>
          <w:sz w:val="24"/>
          <w:szCs w:val="24"/>
          <w:highlight w:val="none"/>
        </w:rPr>
        <w:t>制度均符合行政事业单位内控管理要求，财务和业务管理制度合法、合规、完整，本项目执行符合上述制度规定。根据评分标准，该指标不扣分，得</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分。</w:t>
      </w:r>
    </w:p>
    <w:p w14:paraId="1E3CBEE4">
      <w:pPr>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5</w:t>
      </w:r>
      <w:r>
        <w:rPr>
          <w:rFonts w:hint="eastAsia" w:ascii="宋体" w:hAnsi="宋体" w:eastAsia="宋体" w:cs="宋体"/>
          <w:b/>
          <w:bCs/>
          <w:color w:val="auto"/>
          <w:sz w:val="24"/>
          <w:szCs w:val="24"/>
          <w:highlight w:val="none"/>
          <w:lang w:eastAsia="zh-CN"/>
        </w:rPr>
        <w:t>）制度执行有效性：</w:t>
      </w:r>
    </w:p>
    <w:p w14:paraId="23E45A2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①该项目的实施符合《</w:t>
      </w:r>
      <w:r>
        <w:rPr>
          <w:rFonts w:hint="eastAsia" w:ascii="宋体" w:hAnsi="宋体" w:eastAsia="宋体" w:cs="宋体"/>
          <w:sz w:val="24"/>
          <w:szCs w:val="24"/>
          <w:highlight w:val="none"/>
          <w:lang w:val="en-US" w:eastAsia="zh-CN"/>
        </w:rPr>
        <w:t>中共洛浦县委员会组织部</w:t>
      </w:r>
      <w:r>
        <w:rPr>
          <w:rFonts w:hint="eastAsia" w:ascii="宋体" w:hAnsi="宋体" w:eastAsia="宋体" w:cs="宋体"/>
          <w:sz w:val="24"/>
          <w:szCs w:val="24"/>
          <w:highlight w:val="none"/>
        </w:rPr>
        <w:t>办法》《</w:t>
      </w:r>
      <w:r>
        <w:rPr>
          <w:rFonts w:hint="eastAsia" w:ascii="宋体" w:hAnsi="宋体" w:eastAsia="宋体" w:cs="宋体"/>
          <w:sz w:val="24"/>
          <w:szCs w:val="24"/>
          <w:highlight w:val="none"/>
          <w:lang w:val="en-US" w:eastAsia="zh-CN"/>
        </w:rPr>
        <w:t>中共洛浦县委员会组织部</w:t>
      </w:r>
      <w:r>
        <w:rPr>
          <w:rFonts w:hint="eastAsia" w:ascii="宋体" w:hAnsi="宋体" w:eastAsia="宋体" w:cs="宋体"/>
          <w:sz w:val="24"/>
          <w:szCs w:val="24"/>
          <w:highlight w:val="none"/>
        </w:rPr>
        <w:t>管理制度》《</w:t>
      </w:r>
      <w:r>
        <w:rPr>
          <w:rFonts w:hint="eastAsia" w:ascii="宋体" w:hAnsi="宋体" w:eastAsia="宋体" w:cs="宋体"/>
          <w:sz w:val="24"/>
          <w:szCs w:val="24"/>
          <w:highlight w:val="none"/>
          <w:lang w:val="en-US" w:eastAsia="zh-CN"/>
        </w:rPr>
        <w:t>中共洛浦县委员会组织部</w:t>
      </w:r>
      <w:r>
        <w:rPr>
          <w:rFonts w:hint="eastAsia" w:ascii="宋体" w:hAnsi="宋体" w:eastAsia="宋体" w:cs="宋体"/>
          <w:sz w:val="24"/>
          <w:szCs w:val="24"/>
          <w:highlight w:val="none"/>
        </w:rPr>
        <w:t>采购业务管理制度》《</w:t>
      </w:r>
      <w:r>
        <w:rPr>
          <w:rFonts w:hint="eastAsia" w:ascii="宋体" w:hAnsi="宋体" w:eastAsia="宋体" w:cs="宋体"/>
          <w:sz w:val="24"/>
          <w:szCs w:val="24"/>
          <w:highlight w:val="none"/>
          <w:lang w:val="en-US" w:eastAsia="zh-CN"/>
        </w:rPr>
        <w:t>中共洛浦县委员会组织部</w:t>
      </w:r>
      <w:r>
        <w:rPr>
          <w:rFonts w:hint="eastAsia" w:ascii="宋体" w:hAnsi="宋体" w:eastAsia="宋体" w:cs="宋体"/>
          <w:sz w:val="24"/>
          <w:szCs w:val="24"/>
          <w:highlight w:val="none"/>
        </w:rPr>
        <w:t>合同管理制度》等相关法律法规及管理规定，项目具备完整规范的立项程序；经查证项目实施过程资料，基本完成既定目标；经查证党委会议纪要、项目资金支付审批表、记账凭证等资金拨付流程资料，项目资金拨付流程完整、手续齐全。综上分析，项目执行遵守相关法律法规和相关管理规定。</w:t>
      </w:r>
    </w:p>
    <w:p w14:paraId="4112211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②经现场查证项目财务支付凭证等资料齐全并及时归档。</w:t>
      </w:r>
    </w:p>
    <w:p w14:paraId="125B2E8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③该项目实施过程中不存在调整事项。</w:t>
      </w:r>
    </w:p>
    <w:p w14:paraId="6E8B35B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w:t>
      </w:r>
      <w:r>
        <w:rPr>
          <w:rFonts w:hint="eastAsia" w:ascii="宋体" w:hAnsi="宋体" w:eastAsia="宋体" w:cs="宋体"/>
          <w:sz w:val="24"/>
          <w:szCs w:val="24"/>
          <w:highlight w:val="none"/>
          <w:lang w:eastAsia="zh-CN"/>
        </w:rPr>
        <w:t>村干部及村民小组长2024年（5月、10月、11月）工资报酬</w:t>
      </w:r>
      <w:r>
        <w:rPr>
          <w:rFonts w:hint="eastAsia" w:ascii="宋体" w:hAnsi="宋体" w:eastAsia="宋体" w:cs="宋体"/>
          <w:sz w:val="24"/>
          <w:szCs w:val="24"/>
          <w:highlight w:val="none"/>
        </w:rPr>
        <w:t>项目工作领导小组，由</w:t>
      </w:r>
      <w:r>
        <w:rPr>
          <w:rFonts w:hint="eastAsia" w:ascii="宋体" w:hAnsi="宋体" w:eastAsia="宋体" w:cs="宋体"/>
          <w:sz w:val="24"/>
          <w:szCs w:val="24"/>
          <w:highlight w:val="none"/>
          <w:lang w:val="en-US" w:eastAsia="zh-CN"/>
        </w:rPr>
        <w:t>崔显春</w:t>
      </w:r>
      <w:r>
        <w:rPr>
          <w:rFonts w:hint="eastAsia" w:ascii="宋体" w:hAnsi="宋体" w:eastAsia="宋体" w:cs="宋体"/>
          <w:sz w:val="24"/>
          <w:szCs w:val="24"/>
          <w:highlight w:val="none"/>
        </w:rPr>
        <w:t>任组长，负责项目的组织工作；</w:t>
      </w:r>
      <w:r>
        <w:rPr>
          <w:rFonts w:hint="eastAsia" w:ascii="宋体" w:hAnsi="宋体" w:eastAsia="宋体" w:cs="宋体"/>
          <w:sz w:val="24"/>
          <w:szCs w:val="24"/>
          <w:highlight w:val="none"/>
          <w:lang w:val="en-US" w:eastAsia="zh-CN"/>
        </w:rPr>
        <w:t>王伟</w:t>
      </w:r>
      <w:r>
        <w:rPr>
          <w:rFonts w:hint="eastAsia" w:ascii="宋体" w:hAnsi="宋体" w:eastAsia="宋体" w:cs="宋体"/>
          <w:sz w:val="24"/>
          <w:szCs w:val="24"/>
          <w:highlight w:val="none"/>
        </w:rPr>
        <w:t>任副组长，负责项目的实施工作；组员包括：</w:t>
      </w:r>
      <w:r>
        <w:rPr>
          <w:rFonts w:hint="eastAsia" w:ascii="宋体" w:hAnsi="宋体" w:eastAsia="宋体" w:cs="宋体"/>
          <w:sz w:val="24"/>
          <w:szCs w:val="24"/>
          <w:highlight w:val="none"/>
          <w:lang w:val="en-US" w:eastAsia="zh-CN"/>
        </w:rPr>
        <w:t>奥古丽妮萨·阿卜杜拉</w:t>
      </w:r>
      <w:r>
        <w:rPr>
          <w:rFonts w:hint="eastAsia" w:ascii="宋体" w:hAnsi="宋体" w:eastAsia="宋体" w:cs="宋体"/>
          <w:sz w:val="24"/>
          <w:szCs w:val="24"/>
          <w:highlight w:val="none"/>
        </w:rPr>
        <w:t>和</w:t>
      </w:r>
      <w:r>
        <w:rPr>
          <w:rFonts w:hint="eastAsia" w:ascii="宋体" w:hAnsi="宋体" w:eastAsia="宋体" w:cs="宋体"/>
          <w:sz w:val="24"/>
          <w:szCs w:val="24"/>
          <w:highlight w:val="none"/>
          <w:lang w:val="en-US" w:eastAsia="zh-CN"/>
        </w:rPr>
        <w:t>阿卜杜萨拉木·阿卜杜拉</w:t>
      </w:r>
      <w:r>
        <w:rPr>
          <w:rFonts w:hint="eastAsia" w:ascii="宋体" w:hAnsi="宋体" w:eastAsia="宋体" w:cs="宋体"/>
          <w:sz w:val="24"/>
          <w:szCs w:val="24"/>
          <w:highlight w:val="none"/>
        </w:rPr>
        <w:t>，主要负责项目监督管理、验收以及资金核拨等工作。根据评分标准，该指标不扣分，得</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分。</w:t>
      </w:r>
    </w:p>
    <w:p w14:paraId="64DE7770">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230B3E9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38.01</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95.02</w:t>
      </w:r>
      <w:r>
        <w:rPr>
          <w:rFonts w:hint="eastAsia" w:ascii="宋体" w:hAnsi="宋体" w:eastAsia="宋体" w:cs="宋体"/>
          <w:color w:val="auto"/>
          <w:sz w:val="24"/>
          <w:szCs w:val="24"/>
          <w:highlight w:val="none"/>
        </w:rPr>
        <w:t>%。</w:t>
      </w:r>
    </w:p>
    <w:p w14:paraId="34E0B5A8">
      <w:pPr>
        <w:pageBreakBefore w:val="0"/>
        <w:widowControl w:val="0"/>
        <w:numPr>
          <w:ilvl w:val="0"/>
          <w:numId w:val="3"/>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对于“产出数量”</w:t>
      </w:r>
    </w:p>
    <w:p w14:paraId="10CAE87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村干部（村民小组长）报酬补贴人数指标，预期指标值为</w:t>
      </w:r>
      <w:r>
        <w:rPr>
          <w:rFonts w:hint="eastAsia" w:ascii="宋体" w:hAnsi="宋体" w:eastAsia="宋体" w:cs="宋体"/>
          <w:color w:val="auto"/>
          <w:sz w:val="24"/>
          <w:szCs w:val="24"/>
          <w:highlight w:val="none"/>
          <w:lang w:eastAsia="zh-CN"/>
        </w:rPr>
        <w:t>≥1883人</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1883人</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7F337D35">
      <w:pPr>
        <w:pageBreakBefore w:val="0"/>
        <w:widowControl w:val="0"/>
        <w:numPr>
          <w:ilvl w:val="0"/>
          <w:numId w:val="3"/>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对于“产出质量”：</w:t>
      </w:r>
    </w:p>
    <w:p w14:paraId="555A3E4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资金使用合规率指标，预期指标值为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63C9E58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补助发放覆盖率指标，预期指标值为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0DF62C0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4FF8A491">
      <w:pPr>
        <w:pStyle w:val="10"/>
        <w:pageBreakBefore w:val="0"/>
        <w:widowControl w:val="0"/>
        <w:numPr>
          <w:ilvl w:val="0"/>
          <w:numId w:val="3"/>
        </w:numPr>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对于“产出时效”：</w:t>
      </w:r>
    </w:p>
    <w:p w14:paraId="79163EE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资金支付及时率指标，预期指标值为=100%，实际完成值为100%，指标完成率为100%，与预期目标一致，根据评分标准，该指标不扣分，得5分。</w:t>
      </w:r>
    </w:p>
    <w:p w14:paraId="6B29C66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项目完成时间指标，预期指标值为2024年3月，实际完成值为2024年3月，指标完成率为100%，与预期目标一致，根据评分标准，该指标不扣分，得5分。</w:t>
      </w:r>
    </w:p>
    <w:p w14:paraId="34528FB9">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合计得10分。</w:t>
      </w:r>
    </w:p>
    <w:p w14:paraId="37468237">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（4）对于“产出成本”：</w:t>
      </w:r>
    </w:p>
    <w:p w14:paraId="55E9496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村干部（村民小组长）报酬补贴指标，预期指标值为=1797.51万元，实际完成值为1654.66万元，指标完成率为92.05%，项目经费都能控制绩效目标范围内，根据评分标准，该指标扣1.99分，得8.01分。</w:t>
      </w:r>
    </w:p>
    <w:p w14:paraId="5254519C">
      <w:pPr>
        <w:pStyle w:val="5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（四）项目效益情况</w:t>
      </w:r>
    </w:p>
    <w:p w14:paraId="0C0843F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项目效益类指标包括项目效益1个方面的内容，由2个三级指标构成，权重分为20分，实际得分20分，得分率为100%。</w:t>
      </w:r>
    </w:p>
    <w:p w14:paraId="3CD1EB6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（1）对于“社会效益指标”：</w:t>
      </w:r>
    </w:p>
    <w:p w14:paraId="56DF84B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村干部（村民小组长）工作积极性指标，该指标预期指标值为</w:t>
      </w:r>
      <w:r>
        <w:rPr>
          <w:rFonts w:hint="eastAsia" w:ascii="宋体" w:hAnsi="宋体" w:eastAsia="宋体" w:cs="宋体"/>
          <w:sz w:val="24"/>
          <w:szCs w:val="24"/>
          <w:highlight w:val="none"/>
          <w:lang w:val="en-US" w:eastAsia="zh-CN"/>
        </w:rPr>
        <w:t>有效提高</w:t>
      </w:r>
      <w:r>
        <w:rPr>
          <w:rFonts w:hint="eastAsia" w:ascii="宋体" w:hAnsi="宋体" w:eastAsia="宋体" w:cs="宋体"/>
          <w:sz w:val="24"/>
          <w:szCs w:val="24"/>
          <w:highlight w:val="none"/>
        </w:rPr>
        <w:t>，实际完成值为</w:t>
      </w:r>
      <w:r>
        <w:rPr>
          <w:rFonts w:hint="eastAsia" w:ascii="宋体" w:hAnsi="宋体" w:eastAsia="宋体" w:cs="宋体"/>
          <w:sz w:val="24"/>
          <w:szCs w:val="24"/>
          <w:highlight w:val="none"/>
          <w:lang w:val="en-US" w:eastAsia="zh-CN"/>
        </w:rPr>
        <w:t>有效提高</w:t>
      </w:r>
      <w:r>
        <w:rPr>
          <w:rFonts w:hint="eastAsia" w:ascii="宋体" w:hAnsi="宋体" w:eastAsia="宋体" w:cs="宋体"/>
          <w:sz w:val="24"/>
          <w:szCs w:val="24"/>
          <w:highlight w:val="none"/>
        </w:rPr>
        <w:t>，指标完成率为</w:t>
      </w:r>
      <w:r>
        <w:rPr>
          <w:rFonts w:hint="eastAsia" w:ascii="宋体" w:hAnsi="宋体" w:eastAsia="宋体" w:cs="宋体"/>
          <w:sz w:val="24"/>
          <w:szCs w:val="24"/>
          <w:highlight w:val="none"/>
          <w:lang w:val="en-US" w:eastAsia="zh-CN"/>
        </w:rPr>
        <w:t>100%</w:t>
      </w:r>
      <w:r>
        <w:rPr>
          <w:rFonts w:hint="eastAsia" w:ascii="宋体" w:hAnsi="宋体" w:eastAsia="宋体" w:cs="宋体"/>
          <w:sz w:val="24"/>
          <w:szCs w:val="24"/>
          <w:highlight w:val="none"/>
        </w:rPr>
        <w:t>，与预期指标一致，根据评分标准，该指标不扣分，得</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分。</w:t>
      </w:r>
    </w:p>
    <w:p w14:paraId="13C5C06C">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sz w:val="24"/>
          <w:szCs w:val="24"/>
        </w:rPr>
      </w:pPr>
      <w:r>
        <w:rPr>
          <w:rFonts w:hint="eastAsia" w:ascii="宋体" w:hAnsi="宋体" w:eastAsia="宋体" w:cs="宋体"/>
          <w:bCs/>
          <w:sz w:val="24"/>
          <w:szCs w:val="24"/>
        </w:rPr>
        <w:t>（</w:t>
      </w:r>
      <w:r>
        <w:rPr>
          <w:rFonts w:hint="eastAsia" w:ascii="宋体" w:hAnsi="宋体" w:eastAsia="宋体" w:cs="宋体"/>
          <w:bCs/>
          <w:sz w:val="24"/>
          <w:szCs w:val="24"/>
          <w:lang w:val="en-US" w:eastAsia="zh-CN"/>
        </w:rPr>
        <w:t>2</w:t>
      </w:r>
      <w:r>
        <w:rPr>
          <w:rFonts w:hint="eastAsia" w:ascii="宋体" w:hAnsi="宋体" w:eastAsia="宋体" w:cs="宋体"/>
          <w:bCs/>
          <w:sz w:val="24"/>
          <w:szCs w:val="24"/>
        </w:rPr>
        <w:t>）满意度指标分析</w:t>
      </w:r>
    </w:p>
    <w:p w14:paraId="38AB55FB">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对于“满意度指标：受益干部满意度，该指标预期指标值为=100%，实际完成值为100%，指标完成率为100%，与预期目标一致，根据评分标准，该指标不扣分,得10分。</w:t>
      </w:r>
      <w:bookmarkEnd w:id="13"/>
    </w:p>
    <w:p w14:paraId="1B16079C">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p>
    <w:p w14:paraId="1126F6D9">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五、预算执行进度与绩效指标偏差情况</w:t>
      </w:r>
    </w:p>
    <w:p w14:paraId="0CA1E39D">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本项目年初预算资金总额为</w:t>
      </w:r>
      <w:r>
        <w:rPr>
          <w:rFonts w:hint="eastAsia" w:ascii="宋体" w:hAnsi="宋体" w:eastAsia="宋体" w:cs="宋体"/>
          <w:sz w:val="24"/>
          <w:szCs w:val="24"/>
          <w:lang w:val="en-US" w:eastAsia="zh-CN"/>
        </w:rPr>
        <w:t>1797.51</w:t>
      </w:r>
      <w:r>
        <w:rPr>
          <w:rFonts w:hint="eastAsia" w:ascii="宋体" w:hAnsi="宋体" w:eastAsia="宋体" w:cs="宋体"/>
          <w:sz w:val="24"/>
          <w:szCs w:val="24"/>
        </w:rPr>
        <w:t>万元，全年预算数为</w:t>
      </w:r>
      <w:r>
        <w:rPr>
          <w:rFonts w:hint="eastAsia" w:ascii="宋体" w:hAnsi="宋体" w:eastAsia="宋体" w:cs="宋体"/>
          <w:sz w:val="24"/>
          <w:szCs w:val="24"/>
          <w:lang w:val="en-US" w:eastAsia="zh-CN"/>
        </w:rPr>
        <w:t>1797.51</w:t>
      </w:r>
      <w:r>
        <w:rPr>
          <w:rFonts w:hint="eastAsia" w:ascii="宋体" w:hAnsi="宋体" w:eastAsia="宋体" w:cs="宋体"/>
          <w:sz w:val="24"/>
          <w:szCs w:val="24"/>
        </w:rPr>
        <w:t>万元，全年执行数为</w:t>
      </w:r>
      <w:r>
        <w:rPr>
          <w:rFonts w:hint="eastAsia" w:ascii="宋体" w:hAnsi="宋体" w:eastAsia="宋体" w:cs="宋体"/>
          <w:sz w:val="24"/>
          <w:szCs w:val="24"/>
          <w:lang w:eastAsia="zh-CN"/>
        </w:rPr>
        <w:t>1654.66</w:t>
      </w:r>
      <w:r>
        <w:rPr>
          <w:rFonts w:hint="eastAsia" w:ascii="宋体" w:hAnsi="宋体" w:eastAsia="宋体" w:cs="宋体"/>
          <w:sz w:val="24"/>
          <w:szCs w:val="24"/>
        </w:rPr>
        <w:t>万元，预算执行率为</w:t>
      </w:r>
      <w:r>
        <w:rPr>
          <w:rFonts w:hint="eastAsia" w:ascii="宋体" w:hAnsi="宋体" w:eastAsia="宋体" w:cs="宋体"/>
          <w:sz w:val="24"/>
          <w:szCs w:val="24"/>
          <w:lang w:val="en-US" w:eastAsia="zh-CN"/>
        </w:rPr>
        <w:t>92.05%</w:t>
      </w:r>
      <w:r>
        <w:rPr>
          <w:rFonts w:hint="eastAsia" w:ascii="宋体" w:hAnsi="宋体" w:eastAsia="宋体" w:cs="宋体"/>
          <w:sz w:val="24"/>
          <w:szCs w:val="24"/>
        </w:rPr>
        <w:t>。</w:t>
      </w:r>
    </w:p>
    <w:p w14:paraId="4F9C769B">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本项目共设置三级指标数量</w:t>
      </w:r>
      <w:r>
        <w:rPr>
          <w:rFonts w:hint="eastAsia" w:ascii="宋体" w:hAnsi="宋体" w:eastAsia="宋体" w:cs="宋体"/>
          <w:sz w:val="24"/>
          <w:szCs w:val="24"/>
          <w:lang w:val="en-US" w:eastAsia="zh-CN"/>
        </w:rPr>
        <w:t>8</w:t>
      </w:r>
      <w:r>
        <w:rPr>
          <w:rFonts w:hint="eastAsia" w:ascii="宋体" w:hAnsi="宋体" w:eastAsia="宋体" w:cs="宋体"/>
          <w:sz w:val="24"/>
          <w:szCs w:val="24"/>
        </w:rPr>
        <w:t>个，满分指标数量</w:t>
      </w:r>
      <w:r>
        <w:rPr>
          <w:rFonts w:hint="eastAsia" w:ascii="宋体" w:hAnsi="宋体" w:eastAsia="宋体" w:cs="宋体"/>
          <w:sz w:val="24"/>
          <w:szCs w:val="24"/>
          <w:lang w:val="en-US" w:eastAsia="zh-CN"/>
        </w:rPr>
        <w:t>7</w:t>
      </w:r>
      <w:r>
        <w:rPr>
          <w:rFonts w:hint="eastAsia" w:ascii="宋体" w:hAnsi="宋体" w:eastAsia="宋体" w:cs="宋体"/>
          <w:sz w:val="24"/>
          <w:szCs w:val="24"/>
        </w:rPr>
        <w:t>个，扣分指标数量</w:t>
      </w:r>
      <w:r>
        <w:rPr>
          <w:rFonts w:hint="eastAsia" w:ascii="宋体" w:hAnsi="宋体" w:eastAsia="宋体" w:cs="宋体"/>
          <w:sz w:val="24"/>
          <w:szCs w:val="24"/>
          <w:lang w:val="en-US" w:eastAsia="zh-CN"/>
        </w:rPr>
        <w:t>1</w:t>
      </w:r>
      <w:r>
        <w:rPr>
          <w:rFonts w:hint="eastAsia" w:ascii="宋体" w:hAnsi="宋体" w:eastAsia="宋体" w:cs="宋体"/>
          <w:sz w:val="24"/>
          <w:szCs w:val="24"/>
        </w:rPr>
        <w:t>个，经分析计算所有三级指标完成率得出，本项目总体完成率为</w:t>
      </w:r>
      <w:r>
        <w:rPr>
          <w:rFonts w:hint="eastAsia" w:ascii="宋体" w:hAnsi="宋体" w:eastAsia="宋体" w:cs="宋体"/>
          <w:sz w:val="24"/>
          <w:szCs w:val="24"/>
          <w:lang w:val="en-US" w:eastAsia="zh-CN"/>
        </w:rPr>
        <w:t>97.51%</w:t>
      </w:r>
      <w:r>
        <w:rPr>
          <w:rFonts w:hint="eastAsia" w:ascii="宋体" w:hAnsi="宋体" w:eastAsia="宋体" w:cs="宋体"/>
          <w:sz w:val="24"/>
          <w:szCs w:val="24"/>
        </w:rPr>
        <w:t>。</w:t>
      </w:r>
    </w:p>
    <w:p w14:paraId="297B7FB6">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综上所述本项目预算执行率与总体完成率之间的偏差为</w:t>
      </w:r>
      <w:r>
        <w:rPr>
          <w:rFonts w:hint="eastAsia" w:ascii="宋体" w:hAnsi="宋体" w:eastAsia="宋体" w:cs="宋体"/>
          <w:sz w:val="24"/>
          <w:szCs w:val="24"/>
          <w:lang w:val="en-US" w:eastAsia="zh-CN"/>
        </w:rPr>
        <w:t>5.46</w:t>
      </w:r>
      <w:r>
        <w:rPr>
          <w:rFonts w:hint="eastAsia" w:ascii="宋体" w:hAnsi="宋体" w:eastAsia="宋体" w:cs="宋体"/>
          <w:sz w:val="24"/>
          <w:szCs w:val="24"/>
        </w:rPr>
        <w:t>%。</w:t>
      </w:r>
      <w:bookmarkStart w:id="14" w:name="_Toc68364673"/>
    </w:p>
    <w:p w14:paraId="44E727B6">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sz w:val="24"/>
          <w:szCs w:val="24"/>
          <w:lang w:val="en-US" w:eastAsia="zh-CN"/>
        </w:rPr>
      </w:pPr>
    </w:p>
    <w:p w14:paraId="0CBBA8A4">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sz w:val="24"/>
          <w:szCs w:val="24"/>
        </w:rPr>
      </w:pPr>
      <w:r>
        <w:rPr>
          <w:rFonts w:hint="eastAsia" w:ascii="黑体" w:hAnsi="黑体" w:eastAsia="黑体" w:cs="黑体"/>
          <w:b/>
          <w:bCs/>
          <w:sz w:val="24"/>
          <w:szCs w:val="24"/>
          <w:lang w:val="en-US" w:eastAsia="zh-CN"/>
        </w:rPr>
        <w:t>六、</w:t>
      </w:r>
      <w:r>
        <w:rPr>
          <w:rFonts w:hint="eastAsia" w:ascii="黑体" w:hAnsi="黑体" w:eastAsia="黑体" w:cs="黑体"/>
          <w:b/>
          <w:bCs/>
          <w:sz w:val="24"/>
          <w:szCs w:val="24"/>
        </w:rPr>
        <w:t>主要经验及做法、存在的问题及原因分析</w:t>
      </w:r>
    </w:p>
    <w:p w14:paraId="056889E0">
      <w:pPr>
        <w:pStyle w:val="46"/>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（一）主要经验及做法</w:t>
      </w:r>
      <w:bookmarkEnd w:id="14"/>
    </w:p>
    <w:p w14:paraId="02991DD1">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项目根据《自治区党委办公厅印发&lt;关于加强南疆四地州村党组织和带头人队伍建设的若干规定（试行）&gt;的通知》（新党办发〔2020〕32号）、《关于建立村干部报酬正常增长机制的通知》（和党建〔2022〕2号）执行。二是保障村干部（村民小组长）报酬补助，通过实施本项目，有效提高重视村干部的程度，持续激励村干部（村民小组长）工作积极性。</w:t>
      </w:r>
      <w:bookmarkStart w:id="15" w:name="_Toc68364674"/>
    </w:p>
    <w:p w14:paraId="22787FDC">
      <w:pPr>
        <w:pStyle w:val="46"/>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lang w:eastAsia="zh-CN"/>
        </w:rPr>
        <w:t>）</w:t>
      </w:r>
      <w:r>
        <w:rPr>
          <w:rFonts w:hint="eastAsia" w:ascii="宋体" w:hAnsi="宋体" w:eastAsia="宋体" w:cs="宋体"/>
          <w:b/>
          <w:bCs/>
          <w:sz w:val="24"/>
          <w:szCs w:val="24"/>
        </w:rPr>
        <w:t>存在问题及原因分析</w:t>
      </w:r>
      <w:bookmarkEnd w:id="15"/>
    </w:p>
    <w:p w14:paraId="64A4FCB0">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1.是对各项指标和指标值要进一步优化、完善，主要在细化、量化上改进；</w:t>
      </w:r>
    </w:p>
    <w:p w14:paraId="47949EFF">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2.是部门评价工作还存在自我审定的局限性，会影响评价质量，容易造成问题的疏漏，在客观性和公正性上说服力不强；</w:t>
      </w:r>
    </w:p>
    <w:p w14:paraId="492316CA">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3.是缺少带着问题去评价的意识；</w:t>
      </w:r>
    </w:p>
    <w:p w14:paraId="15C461DE">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4.是现场评价的工作量少，后续效益评价具体措施和方法较少。</w:t>
      </w:r>
      <w:bookmarkStart w:id="16" w:name="_Toc68364675"/>
    </w:p>
    <w:p w14:paraId="00BC10AF">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sz w:val="24"/>
          <w:szCs w:val="24"/>
          <w:lang w:val="en-US" w:eastAsia="zh-CN"/>
        </w:rPr>
      </w:pPr>
    </w:p>
    <w:p w14:paraId="4EF746B9">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七、有关建议</w:t>
      </w:r>
      <w:bookmarkEnd w:id="16"/>
      <w:r>
        <w:rPr>
          <w:rFonts w:hint="eastAsia" w:ascii="黑体" w:hAnsi="黑体" w:eastAsia="黑体" w:cs="黑体"/>
          <w:b/>
          <w:bCs/>
          <w:sz w:val="24"/>
          <w:szCs w:val="24"/>
          <w:lang w:val="en-US" w:eastAsia="zh-CN"/>
        </w:rPr>
        <w:t>：</w:t>
      </w:r>
    </w:p>
    <w:p w14:paraId="486C0D64">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p>
    <w:p w14:paraId="294C71B3">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2.项目评价资料有待进一步完善。项目启动时同步做好档案的归纳与整理，及时整理、收集、汇总，健全档案资料。项目后续管理有待进一步加强和跟踪。</w:t>
      </w:r>
    </w:p>
    <w:p w14:paraId="161E431F">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3.通过绩效管理，发现实施中存在漏洞，以后加强管理，及时掌握与之相关的各类信息，减少成本，使资金效益最大化。</w:t>
      </w:r>
    </w:p>
    <w:p w14:paraId="0CE1126E">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4．评价工作应从项目实施方案源头抓起，评价工作和意识应贯穿项目整个过程。</w:t>
      </w:r>
      <w:bookmarkStart w:id="17" w:name="_Toc68364676"/>
    </w:p>
    <w:p w14:paraId="2342DB0B">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sz w:val="24"/>
          <w:szCs w:val="24"/>
          <w:lang w:val="en-US" w:eastAsia="zh-CN"/>
        </w:rPr>
      </w:pPr>
    </w:p>
    <w:p w14:paraId="26EDCCD3">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八、其他需要说明的问题</w:t>
      </w:r>
      <w:bookmarkEnd w:id="17"/>
    </w:p>
    <w:p w14:paraId="182AACF9">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我单位对上述项目支出绩效评价报告内反映内容的真实性、完整性负责，愿接受上级部门及社会公众监督。</w:t>
      </w:r>
    </w:p>
    <w:p w14:paraId="779A2A7A">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p>
    <w:p w14:paraId="10748554">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附件1：村干部及村民小组长2024年（5月、10月、11月）工资报酬项目</w:t>
      </w:r>
    </w:p>
    <w:p w14:paraId="58FE9040">
      <w:pPr>
        <w:pStyle w:val="46"/>
        <w:pageBreakBefore w:val="0"/>
        <w:widowControl w:val="0"/>
        <w:kinsoku/>
        <w:wordWrap/>
        <w:topLinePunct w:val="0"/>
        <w:autoSpaceDE/>
        <w:autoSpaceDN/>
        <w:bidi w:val="0"/>
        <w:adjustRightInd/>
        <w:snapToGrid/>
        <w:spacing w:line="360" w:lineRule="auto"/>
        <w:ind w:left="0" w:leftChars="0" w:firstLine="1440" w:firstLineChars="6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绩效评价指标体系</w:t>
      </w:r>
    </w:p>
    <w:p w14:paraId="6DEED4D3">
      <w:pPr>
        <w:pStyle w:val="46"/>
        <w:pageBreakBefore w:val="0"/>
        <w:widowControl w:val="0"/>
        <w:kinsoku/>
        <w:wordWrap/>
        <w:topLinePunct w:val="0"/>
        <w:autoSpaceDE/>
        <w:autoSpaceDN/>
        <w:bidi w:val="0"/>
        <w:adjustRightInd/>
        <w:snapToGrid/>
        <w:spacing w:line="360" w:lineRule="auto"/>
        <w:ind w:left="1436" w:leftChars="170" w:hanging="960" w:hangingChars="4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附件2：村干部及村民小组长2024年（5月、10月、11月）工资报酬项目综合得分表</w:t>
      </w:r>
    </w:p>
    <w:p w14:paraId="4A37C9C4">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附件3：满意度调查问分析情况</w:t>
      </w:r>
    </w:p>
    <w:p w14:paraId="31B604D5">
      <w:pPr>
        <w:pStyle w:val="10"/>
        <w:ind w:left="0" w:leftChars="0" w:firstLine="0" w:firstLineChars="0"/>
        <w:jc w:val="both"/>
        <w:rPr>
          <w:rFonts w:hint="eastAsia" w:ascii="宋体" w:hAnsi="宋体" w:eastAsia="宋体" w:cs="宋体"/>
          <w:sz w:val="24"/>
          <w:szCs w:val="24"/>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3"/>
        <w:tblW w:w="14683" w:type="dxa"/>
        <w:tblInd w:w="-44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00"/>
        <w:gridCol w:w="633"/>
        <w:gridCol w:w="717"/>
        <w:gridCol w:w="583"/>
        <w:gridCol w:w="717"/>
        <w:gridCol w:w="750"/>
        <w:gridCol w:w="2402"/>
        <w:gridCol w:w="1050"/>
        <w:gridCol w:w="5298"/>
        <w:gridCol w:w="933"/>
        <w:gridCol w:w="800"/>
      </w:tblGrid>
      <w:tr w14:paraId="65EBBA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433" w:type="dxa"/>
            <w:gridSpan w:val="2"/>
            <w:tcBorders>
              <w:top w:val="nil"/>
              <w:left w:val="nil"/>
              <w:bottom w:val="nil"/>
              <w:right w:val="nil"/>
            </w:tcBorders>
            <w:noWrap/>
            <w:vAlign w:val="center"/>
          </w:tcPr>
          <w:p w14:paraId="22E8B0EC">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r>
              <w:rPr>
                <w:rFonts w:hint="eastAsia" w:ascii="宋体" w:hAnsi="宋体" w:eastAsia="宋体" w:cs="宋体"/>
                <w:b/>
                <w:bCs/>
                <w:i w:val="0"/>
                <w:iCs w:val="0"/>
                <w:color w:val="auto"/>
                <w:kern w:val="0"/>
                <w:sz w:val="24"/>
                <w:szCs w:val="24"/>
                <w:u w:val="none"/>
                <w:lang w:val="en-US" w:eastAsia="zh-CN"/>
              </w:rPr>
              <w:t>附件1：</w:t>
            </w:r>
          </w:p>
        </w:tc>
        <w:tc>
          <w:tcPr>
            <w:tcW w:w="717" w:type="dxa"/>
            <w:tcBorders>
              <w:top w:val="nil"/>
              <w:left w:val="nil"/>
              <w:bottom w:val="nil"/>
              <w:right w:val="nil"/>
            </w:tcBorders>
            <w:noWrap/>
            <w:vAlign w:val="center"/>
          </w:tcPr>
          <w:p w14:paraId="104A079A">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583" w:type="dxa"/>
            <w:tcBorders>
              <w:top w:val="nil"/>
              <w:left w:val="nil"/>
              <w:bottom w:val="nil"/>
              <w:right w:val="nil"/>
            </w:tcBorders>
            <w:noWrap/>
            <w:vAlign w:val="center"/>
          </w:tcPr>
          <w:p w14:paraId="74DA0176">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717" w:type="dxa"/>
            <w:tcBorders>
              <w:top w:val="nil"/>
              <w:left w:val="nil"/>
              <w:bottom w:val="nil"/>
              <w:right w:val="nil"/>
            </w:tcBorders>
            <w:noWrap/>
            <w:vAlign w:val="center"/>
          </w:tcPr>
          <w:p w14:paraId="265C224E">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750" w:type="dxa"/>
            <w:tcBorders>
              <w:top w:val="nil"/>
              <w:left w:val="nil"/>
              <w:bottom w:val="nil"/>
              <w:right w:val="nil"/>
            </w:tcBorders>
            <w:noWrap/>
            <w:vAlign w:val="center"/>
          </w:tcPr>
          <w:p w14:paraId="6CDF4FD6">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2402" w:type="dxa"/>
            <w:tcBorders>
              <w:top w:val="nil"/>
              <w:left w:val="nil"/>
              <w:bottom w:val="nil"/>
              <w:right w:val="nil"/>
            </w:tcBorders>
            <w:noWrap/>
            <w:vAlign w:val="center"/>
          </w:tcPr>
          <w:p w14:paraId="5776B47E">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p>
        </w:tc>
        <w:tc>
          <w:tcPr>
            <w:tcW w:w="1050" w:type="dxa"/>
            <w:tcBorders>
              <w:top w:val="nil"/>
              <w:left w:val="nil"/>
              <w:bottom w:val="nil"/>
              <w:right w:val="nil"/>
            </w:tcBorders>
            <w:noWrap/>
            <w:vAlign w:val="center"/>
          </w:tcPr>
          <w:p w14:paraId="016F97DF">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5298" w:type="dxa"/>
            <w:tcBorders>
              <w:top w:val="nil"/>
              <w:left w:val="nil"/>
              <w:bottom w:val="nil"/>
              <w:right w:val="nil"/>
            </w:tcBorders>
            <w:noWrap/>
            <w:vAlign w:val="center"/>
          </w:tcPr>
          <w:p w14:paraId="69166320">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933" w:type="dxa"/>
            <w:tcBorders>
              <w:top w:val="nil"/>
              <w:left w:val="nil"/>
              <w:bottom w:val="nil"/>
              <w:right w:val="nil"/>
            </w:tcBorders>
            <w:noWrap/>
            <w:vAlign w:val="center"/>
          </w:tcPr>
          <w:p w14:paraId="54835433">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800" w:type="dxa"/>
            <w:tcBorders>
              <w:top w:val="nil"/>
              <w:left w:val="nil"/>
              <w:bottom w:val="nil"/>
              <w:right w:val="nil"/>
            </w:tcBorders>
            <w:noWrap/>
            <w:vAlign w:val="center"/>
          </w:tcPr>
          <w:p w14:paraId="12299208">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r>
      <w:tr w14:paraId="02C5A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4683" w:type="dxa"/>
            <w:gridSpan w:val="11"/>
            <w:tcBorders>
              <w:top w:val="nil"/>
              <w:left w:val="nil"/>
              <w:bottom w:val="nil"/>
              <w:right w:val="nil"/>
            </w:tcBorders>
            <w:noWrap w:val="0"/>
            <w:vAlign w:val="center"/>
          </w:tcPr>
          <w:p w14:paraId="5BA57B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FF0000"/>
                <w:sz w:val="21"/>
                <w:szCs w:val="21"/>
                <w:u w:val="none"/>
              </w:rPr>
            </w:pPr>
            <w:r>
              <w:rPr>
                <w:rFonts w:hint="eastAsia" w:ascii="宋体" w:hAnsi="宋体" w:eastAsia="宋体" w:cs="宋体"/>
                <w:b/>
                <w:bCs/>
                <w:i w:val="0"/>
                <w:iCs w:val="0"/>
                <w:color w:val="auto"/>
                <w:kern w:val="0"/>
                <w:sz w:val="21"/>
                <w:szCs w:val="21"/>
                <w:u w:val="none"/>
                <w:lang w:val="en-US" w:eastAsia="zh-CN"/>
              </w:rPr>
              <w:t>村干部及村民小组长2024年（5月、10月、11月）工资报酬项目绩效评价指标体系综合评分表</w:t>
            </w:r>
          </w:p>
        </w:tc>
      </w:tr>
      <w:tr w14:paraId="57E9D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00" w:type="dxa"/>
            <w:tcBorders>
              <w:top w:val="single" w:color="auto" w:sz="4" w:space="0"/>
              <w:left w:val="single" w:color="auto" w:sz="4" w:space="0"/>
              <w:bottom w:val="single" w:color="auto" w:sz="4" w:space="0"/>
              <w:right w:val="single" w:color="auto" w:sz="4" w:space="0"/>
            </w:tcBorders>
            <w:noWrap w:val="0"/>
            <w:vAlign w:val="center"/>
          </w:tcPr>
          <w:p w14:paraId="5ED8AD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一级指标</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1C18FB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18D80B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二级指标</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5E03BE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38703D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三级指标</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760C90B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52F26C3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指标解释</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48E80E4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标杆值</w:t>
            </w:r>
          </w:p>
        </w:tc>
        <w:tc>
          <w:tcPr>
            <w:tcW w:w="5298" w:type="dxa"/>
            <w:tcBorders>
              <w:top w:val="single" w:color="auto" w:sz="4" w:space="0"/>
              <w:left w:val="single" w:color="auto" w:sz="4" w:space="0"/>
              <w:bottom w:val="single" w:color="auto" w:sz="4" w:space="0"/>
              <w:right w:val="single" w:color="auto" w:sz="4" w:space="0"/>
            </w:tcBorders>
            <w:noWrap w:val="0"/>
            <w:vAlign w:val="center"/>
          </w:tcPr>
          <w:p w14:paraId="01993A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评分标准</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584E72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完成值</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16052C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得分</w:t>
            </w:r>
          </w:p>
        </w:tc>
      </w:tr>
      <w:tr w14:paraId="6C9F5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5" w:hRule="atLeast"/>
        </w:trPr>
        <w:tc>
          <w:tcPr>
            <w:tcW w:w="800" w:type="dxa"/>
            <w:vMerge w:val="restart"/>
            <w:tcBorders>
              <w:top w:val="single" w:color="auto" w:sz="4" w:space="0"/>
              <w:left w:val="single" w:color="auto" w:sz="4" w:space="0"/>
              <w:bottom w:val="single" w:color="auto" w:sz="4" w:space="0"/>
              <w:right w:val="single" w:color="auto" w:sz="4" w:space="0"/>
            </w:tcBorders>
            <w:noWrap w:val="0"/>
            <w:vAlign w:val="center"/>
          </w:tcPr>
          <w:p w14:paraId="33D1B7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项目决策</w:t>
            </w:r>
          </w:p>
        </w:tc>
        <w:tc>
          <w:tcPr>
            <w:tcW w:w="633" w:type="dxa"/>
            <w:vMerge w:val="restart"/>
            <w:tcBorders>
              <w:top w:val="single" w:color="auto" w:sz="4" w:space="0"/>
              <w:left w:val="single" w:color="auto" w:sz="4" w:space="0"/>
              <w:bottom w:val="single" w:color="auto" w:sz="4" w:space="0"/>
              <w:right w:val="single" w:color="auto" w:sz="4" w:space="0"/>
            </w:tcBorders>
            <w:noWrap w:val="0"/>
            <w:vAlign w:val="center"/>
          </w:tcPr>
          <w:p w14:paraId="270ADA2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rPr>
              <w:t>20</w:t>
            </w:r>
          </w:p>
        </w:tc>
        <w:tc>
          <w:tcPr>
            <w:tcW w:w="717" w:type="dxa"/>
            <w:vMerge w:val="restart"/>
            <w:tcBorders>
              <w:top w:val="single" w:color="auto" w:sz="4" w:space="0"/>
              <w:left w:val="single" w:color="auto" w:sz="4" w:space="0"/>
              <w:bottom w:val="single" w:color="auto" w:sz="4" w:space="0"/>
              <w:right w:val="single" w:color="auto" w:sz="4" w:space="0"/>
            </w:tcBorders>
            <w:noWrap w:val="0"/>
            <w:vAlign w:val="center"/>
          </w:tcPr>
          <w:p w14:paraId="5BDB03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项目立项</w:t>
            </w:r>
          </w:p>
        </w:tc>
        <w:tc>
          <w:tcPr>
            <w:tcW w:w="583" w:type="dxa"/>
            <w:vMerge w:val="restart"/>
            <w:tcBorders>
              <w:top w:val="single" w:color="auto" w:sz="4" w:space="0"/>
              <w:left w:val="single" w:color="auto" w:sz="4" w:space="0"/>
              <w:bottom w:val="single" w:color="auto" w:sz="4" w:space="0"/>
              <w:right w:val="single" w:color="auto" w:sz="4" w:space="0"/>
            </w:tcBorders>
            <w:noWrap w:val="0"/>
            <w:vAlign w:val="center"/>
          </w:tcPr>
          <w:p w14:paraId="5A9AE0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6ABED56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立项依据充分性</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7A31D1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7A6478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项目立项是否符合法律法规、相关政策、发展规划以及部门职责，用以反映和考核项目立项依据情况。</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528952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充分</w:t>
            </w:r>
          </w:p>
        </w:tc>
        <w:tc>
          <w:tcPr>
            <w:tcW w:w="5298" w:type="dxa"/>
            <w:tcBorders>
              <w:top w:val="single" w:color="auto" w:sz="4" w:space="0"/>
              <w:left w:val="single" w:color="auto" w:sz="4" w:space="0"/>
              <w:bottom w:val="single" w:color="auto" w:sz="4" w:space="0"/>
              <w:right w:val="single" w:color="auto" w:sz="4" w:space="0"/>
            </w:tcBorders>
            <w:noWrap w:val="0"/>
            <w:vAlign w:val="center"/>
          </w:tcPr>
          <w:p w14:paraId="416A816A">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①项目立项是否符合国家法律法规、国民经济发展规划和相关政策；</w:t>
            </w:r>
          </w:p>
          <w:p w14:paraId="4A58A50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②项目立项是否符合行业发展规划和政策要求；</w:t>
            </w:r>
          </w:p>
          <w:p w14:paraId="10C28FD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③项目立项是否与部门职责范围相符，属于部门履职所需；</w:t>
            </w:r>
          </w:p>
          <w:p w14:paraId="4B3B6F4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④项目是否属于公共财政支持范围，是否符合中央、地方事权支出责任划分原则；</w:t>
            </w:r>
          </w:p>
          <w:p w14:paraId="54D9877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⑤项目是否与相关部门同类项目或部门内部相关项目重复。</w:t>
            </w:r>
          </w:p>
          <w:p w14:paraId="44539481">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以上每条要素占权重分的20%，每有一条不符合，扣除对应权重分，扣完为止。</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6E7AFB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充分</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15A8C9F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r>
      <w:tr w14:paraId="4FD58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216151D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1045FE0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vMerge w:val="continue"/>
            <w:tcBorders>
              <w:top w:val="single" w:color="auto" w:sz="4" w:space="0"/>
              <w:left w:val="single" w:color="auto" w:sz="4" w:space="0"/>
              <w:bottom w:val="single" w:color="auto" w:sz="4" w:space="0"/>
              <w:right w:val="single" w:color="auto" w:sz="4" w:space="0"/>
            </w:tcBorders>
            <w:noWrap w:val="0"/>
            <w:vAlign w:val="center"/>
          </w:tcPr>
          <w:p w14:paraId="43C5389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83" w:type="dxa"/>
            <w:vMerge w:val="continue"/>
            <w:tcBorders>
              <w:top w:val="single" w:color="auto" w:sz="4" w:space="0"/>
              <w:left w:val="single" w:color="auto" w:sz="4" w:space="0"/>
              <w:bottom w:val="single" w:color="auto" w:sz="4" w:space="0"/>
              <w:right w:val="single" w:color="auto" w:sz="4" w:space="0"/>
            </w:tcBorders>
            <w:noWrap w:val="0"/>
            <w:vAlign w:val="center"/>
          </w:tcPr>
          <w:p w14:paraId="56C5CB2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tcBorders>
              <w:top w:val="single" w:color="auto" w:sz="4" w:space="0"/>
              <w:left w:val="single" w:color="auto" w:sz="4" w:space="0"/>
              <w:bottom w:val="single" w:color="auto" w:sz="4" w:space="0"/>
              <w:right w:val="single" w:color="auto" w:sz="4" w:space="0"/>
            </w:tcBorders>
            <w:noWrap w:val="0"/>
            <w:vAlign w:val="center"/>
          </w:tcPr>
          <w:p w14:paraId="663E18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立项程序规范性</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1E0796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7FCAB6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项目申请、设立过程是否符合相关要求，用以反映和考核项目立项的规范情况。</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1480A9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规范</w:t>
            </w:r>
          </w:p>
        </w:tc>
        <w:tc>
          <w:tcPr>
            <w:tcW w:w="5298" w:type="dxa"/>
            <w:tcBorders>
              <w:top w:val="single" w:color="auto" w:sz="4" w:space="0"/>
              <w:left w:val="single" w:color="auto" w:sz="4" w:space="0"/>
              <w:bottom w:val="single" w:color="auto" w:sz="4" w:space="0"/>
              <w:right w:val="single" w:color="auto" w:sz="4" w:space="0"/>
            </w:tcBorders>
            <w:noWrap w:val="0"/>
            <w:vAlign w:val="center"/>
          </w:tcPr>
          <w:p w14:paraId="6BF759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①项目是否按照规定的程序申请设立；</w:t>
            </w:r>
          </w:p>
          <w:p w14:paraId="5125E5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②审批文件、材料是否符合相关要求；</w:t>
            </w:r>
          </w:p>
          <w:p w14:paraId="67F135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③事前是否已经过必要的可行性研究、专家论证、风险评估、绩效评估、集体决策。</w:t>
            </w:r>
          </w:p>
          <w:p w14:paraId="1D176A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①②③齐全得权重分的100%，缺①扣权重分的40%，缺②扣权重分的30%，缺③扣权重分的30%。</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28F399B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规范</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4B11832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14:paraId="34175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17B53EB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0F5DC2D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vMerge w:val="restart"/>
            <w:tcBorders>
              <w:top w:val="single" w:color="auto" w:sz="4" w:space="0"/>
              <w:left w:val="single" w:color="auto" w:sz="4" w:space="0"/>
              <w:bottom w:val="single" w:color="auto" w:sz="4" w:space="0"/>
              <w:right w:val="single" w:color="auto" w:sz="4" w:space="0"/>
            </w:tcBorders>
            <w:noWrap w:val="0"/>
            <w:vAlign w:val="center"/>
          </w:tcPr>
          <w:p w14:paraId="143612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绩效目标</w:t>
            </w:r>
          </w:p>
        </w:tc>
        <w:tc>
          <w:tcPr>
            <w:tcW w:w="583" w:type="dxa"/>
            <w:vMerge w:val="restart"/>
            <w:tcBorders>
              <w:top w:val="single" w:color="auto" w:sz="4" w:space="0"/>
              <w:left w:val="single" w:color="auto" w:sz="4" w:space="0"/>
              <w:bottom w:val="single" w:color="auto" w:sz="4" w:space="0"/>
              <w:right w:val="single" w:color="auto" w:sz="4" w:space="0"/>
            </w:tcBorders>
            <w:noWrap w:val="0"/>
            <w:vAlign w:val="center"/>
          </w:tcPr>
          <w:p w14:paraId="2969733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5C57D1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绩效目标合理性</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5E65CE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2887F4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项目所设定的绩效目标是否依据充分，是否符合客观实际，用以反映和考核项目绩效目标与项目实施的相符情况。</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7D5A83B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5298" w:type="dxa"/>
            <w:tcBorders>
              <w:top w:val="single" w:color="auto" w:sz="4" w:space="0"/>
              <w:left w:val="single" w:color="auto" w:sz="4" w:space="0"/>
              <w:bottom w:val="single" w:color="auto" w:sz="4" w:space="0"/>
              <w:right w:val="single" w:color="auto" w:sz="4" w:space="0"/>
            </w:tcBorders>
            <w:noWrap w:val="0"/>
            <w:vAlign w:val="center"/>
          </w:tcPr>
          <w:p w14:paraId="0CF498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①项目是否有绩效目标；</w:t>
            </w:r>
          </w:p>
          <w:p w14:paraId="7E2FDC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②项目绩效目标与实际工作内容是否具有相关性；</w:t>
            </w:r>
          </w:p>
          <w:p w14:paraId="2CF2F4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③项目预期产出效益和效果是否符合正常的业绩水平；</w:t>
            </w:r>
          </w:p>
          <w:p w14:paraId="59E06B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④是否与预算确定的项目投资额或资金量相匹配。</w:t>
            </w:r>
          </w:p>
          <w:p w14:paraId="01525D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以上每条要素各占权重的25%，每有一条不符合，扣除对应的权重分，扣完为止。</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2AA4A9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1731BD1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p>
        </w:tc>
      </w:tr>
      <w:tr w14:paraId="78881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7408DDC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752A764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vMerge w:val="continue"/>
            <w:tcBorders>
              <w:top w:val="single" w:color="auto" w:sz="4" w:space="0"/>
              <w:left w:val="single" w:color="auto" w:sz="4" w:space="0"/>
              <w:bottom w:val="single" w:color="auto" w:sz="4" w:space="0"/>
              <w:right w:val="single" w:color="auto" w:sz="4" w:space="0"/>
            </w:tcBorders>
            <w:noWrap w:val="0"/>
            <w:vAlign w:val="center"/>
          </w:tcPr>
          <w:p w14:paraId="555F746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83" w:type="dxa"/>
            <w:vMerge w:val="continue"/>
            <w:tcBorders>
              <w:top w:val="single" w:color="auto" w:sz="4" w:space="0"/>
              <w:left w:val="single" w:color="auto" w:sz="4" w:space="0"/>
              <w:bottom w:val="single" w:color="auto" w:sz="4" w:space="0"/>
              <w:right w:val="single" w:color="auto" w:sz="4" w:space="0"/>
            </w:tcBorders>
            <w:noWrap w:val="0"/>
            <w:vAlign w:val="center"/>
          </w:tcPr>
          <w:p w14:paraId="07FCF46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tcBorders>
              <w:top w:val="single" w:color="auto" w:sz="4" w:space="0"/>
              <w:left w:val="single" w:color="auto" w:sz="4" w:space="0"/>
              <w:bottom w:val="single" w:color="auto" w:sz="4" w:space="0"/>
              <w:right w:val="single" w:color="auto" w:sz="4" w:space="0"/>
            </w:tcBorders>
            <w:noWrap w:val="0"/>
            <w:vAlign w:val="center"/>
          </w:tcPr>
          <w:p w14:paraId="6C3D727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绩效指标明确性</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5D2AD00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0ADFF1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依据绩效目标设定的绩效指标是否清晰、细化、可衡量等，用以反映和考核项目绩效目标的明细化情况。</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7BD9E9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明确</w:t>
            </w:r>
          </w:p>
        </w:tc>
        <w:tc>
          <w:tcPr>
            <w:tcW w:w="5298" w:type="dxa"/>
            <w:tcBorders>
              <w:top w:val="single" w:color="auto" w:sz="4" w:space="0"/>
              <w:left w:val="single" w:color="auto" w:sz="4" w:space="0"/>
              <w:bottom w:val="single" w:color="auto" w:sz="4" w:space="0"/>
              <w:right w:val="single" w:color="auto" w:sz="4" w:space="0"/>
            </w:tcBorders>
            <w:noWrap w:val="0"/>
            <w:vAlign w:val="center"/>
          </w:tcPr>
          <w:p w14:paraId="7C2880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①是否将项目绩效目标细化分解为具体的绩效指标；</w:t>
            </w:r>
          </w:p>
          <w:p w14:paraId="0F79F6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②是否通过清晰、可衡量的指标值予以体现；</w:t>
            </w:r>
          </w:p>
          <w:p w14:paraId="73B44BC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③是否与项目目标任务数或计划数相对应。</w:t>
            </w:r>
          </w:p>
          <w:p w14:paraId="696997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①②③齐全得权重分的100%，缺①扣权重分的20%，缺②扣权重分的50%，缺③扣权重分的30%。</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7C2E41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明确</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0F70C99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w:t>
            </w:r>
          </w:p>
        </w:tc>
      </w:tr>
      <w:tr w14:paraId="49E18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4"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6B46FD9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091832B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vMerge w:val="restart"/>
            <w:tcBorders>
              <w:top w:val="single" w:color="auto" w:sz="4" w:space="0"/>
              <w:left w:val="single" w:color="auto" w:sz="4" w:space="0"/>
              <w:bottom w:val="single" w:color="auto" w:sz="4" w:space="0"/>
              <w:right w:val="single" w:color="auto" w:sz="4" w:space="0"/>
            </w:tcBorders>
            <w:noWrap w:val="0"/>
            <w:vAlign w:val="center"/>
          </w:tcPr>
          <w:p w14:paraId="615C06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资金投入</w:t>
            </w:r>
          </w:p>
        </w:tc>
        <w:tc>
          <w:tcPr>
            <w:tcW w:w="583" w:type="dxa"/>
            <w:vMerge w:val="restart"/>
            <w:tcBorders>
              <w:top w:val="single" w:color="auto" w:sz="4" w:space="0"/>
              <w:left w:val="single" w:color="auto" w:sz="4" w:space="0"/>
              <w:bottom w:val="single" w:color="auto" w:sz="4" w:space="0"/>
              <w:right w:val="single" w:color="auto" w:sz="4" w:space="0"/>
            </w:tcBorders>
            <w:noWrap w:val="0"/>
            <w:vAlign w:val="center"/>
          </w:tcPr>
          <w:p w14:paraId="4DAA1F7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14D458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预算编制科学性</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11DFBD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2467AE7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项目预算编制是否经过科学论证、有明确标准，资金额度与年度目标是否相适应，用以反映和考核项目预算编制的科学性、合理性情况。</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12604C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科学</w:t>
            </w:r>
          </w:p>
        </w:tc>
        <w:tc>
          <w:tcPr>
            <w:tcW w:w="5298" w:type="dxa"/>
            <w:tcBorders>
              <w:top w:val="single" w:color="auto" w:sz="4" w:space="0"/>
              <w:left w:val="single" w:color="auto" w:sz="4" w:space="0"/>
              <w:bottom w:val="single" w:color="auto" w:sz="4" w:space="0"/>
              <w:right w:val="single" w:color="auto" w:sz="4" w:space="0"/>
            </w:tcBorders>
            <w:noWrap w:val="0"/>
            <w:vAlign w:val="center"/>
          </w:tcPr>
          <w:p w14:paraId="76936B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①预算编制是否经过科学论证；</w:t>
            </w:r>
          </w:p>
          <w:p w14:paraId="2003ED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②预算内容与项目内容是否匹配；</w:t>
            </w:r>
          </w:p>
          <w:p w14:paraId="3A54402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③预算额度测算依据是否充分，是否按照标准编制；</w:t>
            </w:r>
          </w:p>
          <w:p w14:paraId="77668E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④预算确定的项目投资额或资金量是否与工作任务相匹配。</w:t>
            </w:r>
          </w:p>
          <w:p w14:paraId="3E7927B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以上每条要素各占权重的25%，每有一条不符合，扣除对应的权重分，扣完为止。</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17933B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科学</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684CB5E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w:t>
            </w:r>
          </w:p>
        </w:tc>
      </w:tr>
      <w:tr w14:paraId="22602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6EC5B8A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13972D4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vMerge w:val="continue"/>
            <w:tcBorders>
              <w:top w:val="single" w:color="auto" w:sz="4" w:space="0"/>
              <w:left w:val="single" w:color="auto" w:sz="4" w:space="0"/>
              <w:bottom w:val="single" w:color="auto" w:sz="4" w:space="0"/>
              <w:right w:val="single" w:color="auto" w:sz="4" w:space="0"/>
            </w:tcBorders>
            <w:noWrap w:val="0"/>
            <w:vAlign w:val="center"/>
          </w:tcPr>
          <w:p w14:paraId="4959CAC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83" w:type="dxa"/>
            <w:vMerge w:val="continue"/>
            <w:tcBorders>
              <w:top w:val="single" w:color="auto" w:sz="4" w:space="0"/>
              <w:left w:val="single" w:color="auto" w:sz="4" w:space="0"/>
              <w:bottom w:val="single" w:color="auto" w:sz="4" w:space="0"/>
              <w:right w:val="single" w:color="auto" w:sz="4" w:space="0"/>
            </w:tcBorders>
            <w:noWrap w:val="0"/>
            <w:vAlign w:val="center"/>
          </w:tcPr>
          <w:p w14:paraId="7A18C7F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tcBorders>
              <w:top w:val="single" w:color="auto" w:sz="4" w:space="0"/>
              <w:left w:val="single" w:color="auto" w:sz="4" w:space="0"/>
              <w:bottom w:val="single" w:color="auto" w:sz="4" w:space="0"/>
              <w:right w:val="single" w:color="auto" w:sz="4" w:space="0"/>
            </w:tcBorders>
            <w:noWrap w:val="0"/>
            <w:vAlign w:val="center"/>
          </w:tcPr>
          <w:p w14:paraId="7E1D67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资金分配合理性</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17B478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2479C3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项目预算资金分配是否有测算依据，与补助单位或地方实际是否相适应，用以反映和考核项目预算资金分配的科学性、合理性情况。</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41CCC6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5298" w:type="dxa"/>
            <w:tcBorders>
              <w:top w:val="single" w:color="auto" w:sz="4" w:space="0"/>
              <w:left w:val="single" w:color="auto" w:sz="4" w:space="0"/>
              <w:bottom w:val="single" w:color="auto" w:sz="4" w:space="0"/>
              <w:right w:val="single" w:color="auto" w:sz="4" w:space="0"/>
            </w:tcBorders>
            <w:noWrap w:val="0"/>
            <w:vAlign w:val="center"/>
          </w:tcPr>
          <w:p w14:paraId="1B9622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①预算资金分配依据是否充分；</w:t>
            </w:r>
          </w:p>
          <w:p w14:paraId="36BEA0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②资金分配额度是否合理，与项目单位或地方实际是否相适应。</w:t>
            </w:r>
          </w:p>
          <w:p w14:paraId="1A4535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以上每条要素各占权重的50%，每有一条不符合，扣除对应的权重分，扣完为止。</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2C5A1A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3576E66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r>
      <w:tr w14:paraId="560D4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2" w:hRule="atLeast"/>
        </w:trPr>
        <w:tc>
          <w:tcPr>
            <w:tcW w:w="800" w:type="dxa"/>
            <w:vMerge w:val="restart"/>
            <w:tcBorders>
              <w:top w:val="single" w:color="auto" w:sz="4" w:space="0"/>
              <w:left w:val="single" w:color="auto" w:sz="4" w:space="0"/>
              <w:bottom w:val="single" w:color="auto" w:sz="4" w:space="0"/>
              <w:right w:val="single" w:color="auto" w:sz="4" w:space="0"/>
            </w:tcBorders>
            <w:noWrap w:val="0"/>
            <w:vAlign w:val="center"/>
          </w:tcPr>
          <w:p w14:paraId="2DF3BD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项目过程</w:t>
            </w:r>
          </w:p>
        </w:tc>
        <w:tc>
          <w:tcPr>
            <w:tcW w:w="633" w:type="dxa"/>
            <w:vMerge w:val="restart"/>
            <w:tcBorders>
              <w:top w:val="single" w:color="auto" w:sz="4" w:space="0"/>
              <w:left w:val="single" w:color="auto" w:sz="4" w:space="0"/>
              <w:bottom w:val="single" w:color="auto" w:sz="4" w:space="0"/>
              <w:right w:val="single" w:color="auto" w:sz="4" w:space="0"/>
            </w:tcBorders>
            <w:noWrap w:val="0"/>
            <w:vAlign w:val="center"/>
          </w:tcPr>
          <w:p w14:paraId="512B07B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rPr>
              <w:t>20</w:t>
            </w:r>
          </w:p>
        </w:tc>
        <w:tc>
          <w:tcPr>
            <w:tcW w:w="717" w:type="dxa"/>
            <w:vMerge w:val="restart"/>
            <w:tcBorders>
              <w:top w:val="single" w:color="auto" w:sz="4" w:space="0"/>
              <w:left w:val="single" w:color="auto" w:sz="4" w:space="0"/>
              <w:bottom w:val="single" w:color="auto" w:sz="4" w:space="0"/>
              <w:right w:val="single" w:color="auto" w:sz="4" w:space="0"/>
            </w:tcBorders>
            <w:noWrap w:val="0"/>
            <w:vAlign w:val="center"/>
          </w:tcPr>
          <w:p w14:paraId="521C7B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资金管理</w:t>
            </w:r>
          </w:p>
        </w:tc>
        <w:tc>
          <w:tcPr>
            <w:tcW w:w="583" w:type="dxa"/>
            <w:vMerge w:val="restart"/>
            <w:tcBorders>
              <w:top w:val="single" w:color="auto" w:sz="4" w:space="0"/>
              <w:left w:val="single" w:color="auto" w:sz="4" w:space="0"/>
              <w:bottom w:val="single" w:color="auto" w:sz="4" w:space="0"/>
              <w:right w:val="single" w:color="auto" w:sz="4" w:space="0"/>
            </w:tcBorders>
            <w:noWrap w:val="0"/>
            <w:vAlign w:val="center"/>
          </w:tcPr>
          <w:p w14:paraId="58B7E5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rPr>
              <w:t>12</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694F1AB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53A9FF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73C56A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实际到位资金与预算资金的比率，用以反映和考核资金落实情况对项目实施的总体保障程度。</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0BAEA7C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5298" w:type="dxa"/>
            <w:tcBorders>
              <w:top w:val="single" w:color="auto" w:sz="4" w:space="0"/>
              <w:left w:val="single" w:color="auto" w:sz="4" w:space="0"/>
              <w:bottom w:val="single" w:color="auto" w:sz="4" w:space="0"/>
              <w:right w:val="single" w:color="auto" w:sz="4" w:space="0"/>
            </w:tcBorders>
            <w:noWrap w:val="0"/>
            <w:vAlign w:val="center"/>
          </w:tcPr>
          <w:p w14:paraId="469DC4F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资金到位率=（实际到位资金/预算资金）×100%。</w:t>
            </w:r>
          </w:p>
          <w:p w14:paraId="296BA9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资金到位率=100%，得权重分满分，每降低1%，扣除5%权重分，扣完为止。</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0F6C96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5FD996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4</w:t>
            </w:r>
          </w:p>
        </w:tc>
      </w:tr>
      <w:tr w14:paraId="7AEDF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7D268CA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5EA6EB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vMerge w:val="continue"/>
            <w:tcBorders>
              <w:top w:val="single" w:color="auto" w:sz="4" w:space="0"/>
              <w:left w:val="single" w:color="auto" w:sz="4" w:space="0"/>
              <w:bottom w:val="single" w:color="auto" w:sz="4" w:space="0"/>
              <w:right w:val="single" w:color="auto" w:sz="4" w:space="0"/>
            </w:tcBorders>
            <w:noWrap w:val="0"/>
            <w:vAlign w:val="center"/>
          </w:tcPr>
          <w:p w14:paraId="47AB80B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83" w:type="dxa"/>
            <w:vMerge w:val="continue"/>
            <w:tcBorders>
              <w:top w:val="single" w:color="auto" w:sz="4" w:space="0"/>
              <w:left w:val="single" w:color="auto" w:sz="4" w:space="0"/>
              <w:bottom w:val="single" w:color="auto" w:sz="4" w:space="0"/>
              <w:right w:val="single" w:color="auto" w:sz="4" w:space="0"/>
            </w:tcBorders>
            <w:noWrap w:val="0"/>
            <w:vAlign w:val="center"/>
          </w:tcPr>
          <w:p w14:paraId="01931EE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tcBorders>
              <w:top w:val="single" w:color="auto" w:sz="4" w:space="0"/>
              <w:left w:val="single" w:color="auto" w:sz="4" w:space="0"/>
              <w:bottom w:val="single" w:color="auto" w:sz="4" w:space="0"/>
              <w:right w:val="single" w:color="auto" w:sz="4" w:space="0"/>
            </w:tcBorders>
            <w:noWrap w:val="0"/>
            <w:vAlign w:val="center"/>
          </w:tcPr>
          <w:p w14:paraId="46E055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035F042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rPr>
              <w:t>4</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410BFC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项目预算资金是否按照计划执行，用以反映或考核项目预算执行情况。</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46304F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5298" w:type="dxa"/>
            <w:tcBorders>
              <w:top w:val="single" w:color="auto" w:sz="4" w:space="0"/>
              <w:left w:val="single" w:color="auto" w:sz="4" w:space="0"/>
              <w:bottom w:val="single" w:color="auto" w:sz="4" w:space="0"/>
              <w:right w:val="single" w:color="auto" w:sz="4" w:space="0"/>
            </w:tcBorders>
            <w:noWrap w:val="0"/>
            <w:vAlign w:val="center"/>
          </w:tcPr>
          <w:p w14:paraId="7A04B34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预算执行率=（实际支出资金/实际到位资金）×100%。</w:t>
            </w:r>
          </w:p>
          <w:p w14:paraId="5D49AC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预算执行率=100%，得权重分满分；若预算执行率＜100%，得分=预算执行率*分值；若执行率≤60%，则不得分。</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664F15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 xml:space="preserve">92.05% </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444D9C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3.68</w:t>
            </w:r>
          </w:p>
        </w:tc>
      </w:tr>
      <w:tr w14:paraId="44840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69"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3C83B69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7486575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vMerge w:val="continue"/>
            <w:tcBorders>
              <w:top w:val="single" w:color="auto" w:sz="4" w:space="0"/>
              <w:left w:val="single" w:color="auto" w:sz="4" w:space="0"/>
              <w:bottom w:val="single" w:color="auto" w:sz="4" w:space="0"/>
              <w:right w:val="single" w:color="auto" w:sz="4" w:space="0"/>
            </w:tcBorders>
            <w:noWrap w:val="0"/>
            <w:vAlign w:val="center"/>
          </w:tcPr>
          <w:p w14:paraId="57F431B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83" w:type="dxa"/>
            <w:vMerge w:val="continue"/>
            <w:tcBorders>
              <w:top w:val="single" w:color="auto" w:sz="4" w:space="0"/>
              <w:left w:val="single" w:color="auto" w:sz="4" w:space="0"/>
              <w:bottom w:val="single" w:color="auto" w:sz="4" w:space="0"/>
              <w:right w:val="single" w:color="auto" w:sz="4" w:space="0"/>
            </w:tcBorders>
            <w:noWrap w:val="0"/>
            <w:vAlign w:val="center"/>
          </w:tcPr>
          <w:p w14:paraId="46B97C3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tcBorders>
              <w:top w:val="single" w:color="auto" w:sz="4" w:space="0"/>
              <w:left w:val="single" w:color="auto" w:sz="4" w:space="0"/>
              <w:bottom w:val="single" w:color="auto" w:sz="4" w:space="0"/>
              <w:right w:val="single" w:color="auto" w:sz="4" w:space="0"/>
            </w:tcBorders>
            <w:noWrap w:val="0"/>
            <w:vAlign w:val="center"/>
          </w:tcPr>
          <w:p w14:paraId="19C291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资金使用合规性</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0F84EC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41FC21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项目资金使用是否符合相关的财务管理制度规定，用以反映和考核项目资金的规范运行情况。</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5C6091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合规</w:t>
            </w:r>
          </w:p>
        </w:tc>
        <w:tc>
          <w:tcPr>
            <w:tcW w:w="5298" w:type="dxa"/>
            <w:tcBorders>
              <w:top w:val="single" w:color="auto" w:sz="4" w:space="0"/>
              <w:left w:val="single" w:color="auto" w:sz="4" w:space="0"/>
              <w:bottom w:val="single" w:color="auto" w:sz="4" w:space="0"/>
              <w:right w:val="single" w:color="auto" w:sz="4" w:space="0"/>
            </w:tcBorders>
            <w:noWrap w:val="0"/>
            <w:vAlign w:val="center"/>
          </w:tcPr>
          <w:p w14:paraId="6D66A1A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①否符合国家财经法规和财务管理制度以及有关专项资金管理办法的规定；</w:t>
            </w:r>
          </w:p>
          <w:p w14:paraId="79DB3CA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②资金的拨付是否有完整的审批程序和手续；</w:t>
            </w:r>
          </w:p>
          <w:p w14:paraId="026096B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③是否符合项目预算批复或合同规定的用途；</w:t>
            </w:r>
          </w:p>
          <w:p w14:paraId="75106C6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④是否存在截留、挤占、挪用、虚列支出等情况。</w:t>
            </w:r>
          </w:p>
          <w:p w14:paraId="59B244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以上每条指标各占权重分的25%，要素①②不符合，扣除对应权重分；要素③④不符合属于重大违纪，该指标不得分。</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17E274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合规</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583A9D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4</w:t>
            </w:r>
          </w:p>
        </w:tc>
      </w:tr>
      <w:tr w14:paraId="1E9F6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2"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096F984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490ACEB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17" w:type="dxa"/>
            <w:vMerge w:val="restart"/>
            <w:tcBorders>
              <w:top w:val="single" w:color="auto" w:sz="4" w:space="0"/>
              <w:left w:val="single" w:color="auto" w:sz="4" w:space="0"/>
              <w:bottom w:val="single" w:color="auto" w:sz="4" w:space="0"/>
              <w:right w:val="single" w:color="auto" w:sz="4" w:space="0"/>
            </w:tcBorders>
            <w:noWrap w:val="0"/>
            <w:vAlign w:val="center"/>
          </w:tcPr>
          <w:p w14:paraId="2A5955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组织实施</w:t>
            </w:r>
          </w:p>
        </w:tc>
        <w:tc>
          <w:tcPr>
            <w:tcW w:w="583" w:type="dxa"/>
            <w:vMerge w:val="restart"/>
            <w:tcBorders>
              <w:top w:val="single" w:color="auto" w:sz="4" w:space="0"/>
              <w:left w:val="single" w:color="auto" w:sz="4" w:space="0"/>
              <w:bottom w:val="single" w:color="auto" w:sz="4" w:space="0"/>
              <w:right w:val="single" w:color="auto" w:sz="4" w:space="0"/>
            </w:tcBorders>
            <w:noWrap w:val="0"/>
            <w:vAlign w:val="center"/>
          </w:tcPr>
          <w:p w14:paraId="4CA148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8</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6EE261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管理制度健全性</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218A37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20CE1F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项目实施单位的财务和业务管理制度是否健全，用以反映和考核财务和业务管理制度对项目顺利实施的保障情况。</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375F827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健全</w:t>
            </w:r>
          </w:p>
        </w:tc>
        <w:tc>
          <w:tcPr>
            <w:tcW w:w="5298" w:type="dxa"/>
            <w:tcBorders>
              <w:top w:val="single" w:color="auto" w:sz="4" w:space="0"/>
              <w:left w:val="single" w:color="auto" w:sz="4" w:space="0"/>
              <w:bottom w:val="single" w:color="auto" w:sz="4" w:space="0"/>
              <w:right w:val="single" w:color="auto" w:sz="4" w:space="0"/>
            </w:tcBorders>
            <w:noWrap w:val="0"/>
            <w:vAlign w:val="center"/>
          </w:tcPr>
          <w:p w14:paraId="34B725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①是否已制定或具有相应的财务和业务管理制度；</w:t>
            </w:r>
          </w:p>
          <w:p w14:paraId="6902735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②财务和业务管理制度是否合法、合规、完整。</w:t>
            </w:r>
          </w:p>
          <w:p w14:paraId="32E155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以上每条要素各占权重的50%，每有一条不符合，扣除对应的权重分，扣完为止。</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7831A9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健全</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5F48460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4</w:t>
            </w:r>
          </w:p>
        </w:tc>
      </w:tr>
      <w:tr w14:paraId="40E7C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66F20EC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07B5AFB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17" w:type="dxa"/>
            <w:vMerge w:val="continue"/>
            <w:tcBorders>
              <w:top w:val="single" w:color="auto" w:sz="4" w:space="0"/>
              <w:left w:val="single" w:color="auto" w:sz="4" w:space="0"/>
              <w:bottom w:val="single" w:color="auto" w:sz="4" w:space="0"/>
              <w:right w:val="single" w:color="auto" w:sz="4" w:space="0"/>
            </w:tcBorders>
            <w:noWrap w:val="0"/>
            <w:vAlign w:val="center"/>
          </w:tcPr>
          <w:p w14:paraId="0423558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583" w:type="dxa"/>
            <w:vMerge w:val="continue"/>
            <w:tcBorders>
              <w:top w:val="single" w:color="auto" w:sz="4" w:space="0"/>
              <w:left w:val="single" w:color="auto" w:sz="4" w:space="0"/>
              <w:bottom w:val="single" w:color="auto" w:sz="4" w:space="0"/>
              <w:right w:val="single" w:color="auto" w:sz="4" w:space="0"/>
            </w:tcBorders>
            <w:noWrap w:val="0"/>
            <w:vAlign w:val="center"/>
          </w:tcPr>
          <w:p w14:paraId="7F44C5F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17" w:type="dxa"/>
            <w:tcBorders>
              <w:top w:val="single" w:color="auto" w:sz="4" w:space="0"/>
              <w:left w:val="single" w:color="auto" w:sz="4" w:space="0"/>
              <w:bottom w:val="single" w:color="auto" w:sz="4" w:space="0"/>
              <w:right w:val="single" w:color="auto" w:sz="4" w:space="0"/>
            </w:tcBorders>
            <w:noWrap w:val="0"/>
            <w:vAlign w:val="center"/>
          </w:tcPr>
          <w:p w14:paraId="11D368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制度执行有效性</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3432A5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4</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66123E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项目实施是否符合相关管理规定，用以反映和考核相关管理制度的有效执行情况。</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6A8814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有效</w:t>
            </w:r>
          </w:p>
        </w:tc>
        <w:tc>
          <w:tcPr>
            <w:tcW w:w="5298" w:type="dxa"/>
            <w:tcBorders>
              <w:top w:val="single" w:color="auto" w:sz="4" w:space="0"/>
              <w:left w:val="single" w:color="auto" w:sz="4" w:space="0"/>
              <w:bottom w:val="single" w:color="auto" w:sz="4" w:space="0"/>
              <w:right w:val="single" w:color="auto" w:sz="4" w:space="0"/>
            </w:tcBorders>
            <w:noWrap w:val="0"/>
            <w:vAlign w:val="center"/>
          </w:tcPr>
          <w:p w14:paraId="1CF5B9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①否遵守相关法律法规和相关管理规定；</w:t>
            </w:r>
          </w:p>
          <w:p w14:paraId="327F6A3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②项目调整及支出调整手续是否完备；</w:t>
            </w:r>
          </w:p>
          <w:p w14:paraId="7C6EC9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③项目资料是否齐全并及时归档。</w:t>
            </w:r>
          </w:p>
          <w:p w14:paraId="4D49ED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①②③齐全得权重分的100%，缺①扣权重分的30%，缺②扣权重分的40%，缺③扣权重分的30%。</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029C1C4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有效</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017ACE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4</w:t>
            </w:r>
          </w:p>
        </w:tc>
      </w:tr>
      <w:tr w14:paraId="4E4DF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7" w:hRule="atLeast"/>
        </w:trPr>
        <w:tc>
          <w:tcPr>
            <w:tcW w:w="800" w:type="dxa"/>
            <w:vMerge w:val="restart"/>
            <w:tcBorders>
              <w:top w:val="single" w:color="auto" w:sz="4" w:space="0"/>
              <w:left w:val="single" w:color="auto" w:sz="4" w:space="0"/>
              <w:bottom w:val="single" w:color="auto" w:sz="4" w:space="0"/>
              <w:right w:val="single" w:color="auto" w:sz="4" w:space="0"/>
            </w:tcBorders>
            <w:noWrap w:val="0"/>
            <w:vAlign w:val="center"/>
          </w:tcPr>
          <w:p w14:paraId="6E2025C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项目产出</w:t>
            </w:r>
          </w:p>
        </w:tc>
        <w:tc>
          <w:tcPr>
            <w:tcW w:w="633" w:type="dxa"/>
            <w:vMerge w:val="restart"/>
            <w:tcBorders>
              <w:top w:val="single" w:color="auto" w:sz="4" w:space="0"/>
              <w:left w:val="single" w:color="auto" w:sz="4" w:space="0"/>
              <w:bottom w:val="single" w:color="auto" w:sz="4" w:space="0"/>
              <w:right w:val="single" w:color="auto" w:sz="4" w:space="0"/>
            </w:tcBorders>
            <w:noWrap w:val="0"/>
            <w:vAlign w:val="center"/>
          </w:tcPr>
          <w:p w14:paraId="1700514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rPr>
              <w:t>40</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52C65D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产出数量</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7E607B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rPr>
              <w:t>10</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6865AE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实际完成率</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7A800D0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10</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1796C8C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FF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村干部（村民小组长）报酬补贴人数</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02484FB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≥1883人</w:t>
            </w:r>
          </w:p>
        </w:tc>
        <w:tc>
          <w:tcPr>
            <w:tcW w:w="5298" w:type="dxa"/>
            <w:tcBorders>
              <w:top w:val="single" w:color="auto" w:sz="4" w:space="0"/>
              <w:left w:val="single" w:color="auto" w:sz="4" w:space="0"/>
              <w:bottom w:val="single" w:color="auto" w:sz="4" w:space="0"/>
              <w:right w:val="single" w:color="auto" w:sz="4" w:space="0"/>
            </w:tcBorders>
            <w:noWrap w:val="0"/>
            <w:vAlign w:val="center"/>
          </w:tcPr>
          <w:p w14:paraId="7D29D7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实际完成率=（实际完成/预期完成）×100%。</w:t>
            </w:r>
            <w:r>
              <w:rPr>
                <w:rFonts w:hint="eastAsia" w:ascii="宋体" w:hAnsi="宋体" w:eastAsia="宋体" w:cs="宋体"/>
                <w:i w:val="0"/>
                <w:iCs w:val="0"/>
                <w:color w:val="auto"/>
                <w:kern w:val="0"/>
                <w:sz w:val="21"/>
                <w:szCs w:val="21"/>
                <w:highlight w:val="none"/>
                <w:u w:val="none"/>
                <w:lang w:val="en-US" w:eastAsia="zh-CN"/>
              </w:rPr>
              <w:br w:type="textWrapping"/>
            </w:r>
            <w:r>
              <w:rPr>
                <w:rFonts w:hint="eastAsia" w:ascii="宋体" w:hAnsi="宋体" w:eastAsia="宋体" w:cs="宋体"/>
                <w:i w:val="0"/>
                <w:iCs w:val="0"/>
                <w:color w:val="auto"/>
                <w:kern w:val="0"/>
                <w:sz w:val="21"/>
                <w:szCs w:val="21"/>
                <w:highlight w:val="none"/>
                <w:u w:val="none"/>
                <w:lang w:val="en-US" w:eastAsia="zh-CN"/>
              </w:rPr>
              <w:t>①实际完成率≥100%，且偏离程度＜20%，得满分；</w:t>
            </w:r>
            <w:r>
              <w:rPr>
                <w:rFonts w:hint="eastAsia" w:ascii="宋体" w:hAnsi="宋体" w:eastAsia="宋体" w:cs="宋体"/>
                <w:i w:val="0"/>
                <w:iCs w:val="0"/>
                <w:color w:val="auto"/>
                <w:kern w:val="0"/>
                <w:sz w:val="21"/>
                <w:szCs w:val="21"/>
                <w:highlight w:val="none"/>
                <w:u w:val="none"/>
                <w:lang w:val="en-US" w:eastAsia="zh-CN"/>
              </w:rPr>
              <w:br w:type="textWrapping"/>
            </w:r>
            <w:r>
              <w:rPr>
                <w:rFonts w:hint="eastAsia" w:ascii="宋体" w:hAnsi="宋体" w:eastAsia="宋体" w:cs="宋体"/>
                <w:i w:val="0"/>
                <w:iCs w:val="0"/>
                <w:color w:val="auto"/>
                <w:kern w:val="0"/>
                <w:sz w:val="21"/>
                <w:szCs w:val="21"/>
                <w:highlight w:val="none"/>
                <w:u w:val="none"/>
                <w:lang w:val="en-US" w:eastAsia="zh-CN"/>
              </w:rPr>
              <w:t>②实际完成率≥100%，偏离程度≥20%，得0分；</w:t>
            </w:r>
            <w:r>
              <w:rPr>
                <w:rFonts w:hint="eastAsia" w:ascii="宋体" w:hAnsi="宋体" w:eastAsia="宋体" w:cs="宋体"/>
                <w:i w:val="0"/>
                <w:iCs w:val="0"/>
                <w:color w:val="auto"/>
                <w:kern w:val="0"/>
                <w:sz w:val="21"/>
                <w:szCs w:val="21"/>
                <w:highlight w:val="none"/>
                <w:u w:val="none"/>
                <w:lang w:val="en-US" w:eastAsia="zh-CN"/>
              </w:rPr>
              <w:br w:type="textWrapping"/>
            </w:r>
            <w:r>
              <w:rPr>
                <w:rFonts w:hint="eastAsia" w:ascii="宋体" w:hAnsi="宋体" w:eastAsia="宋体" w:cs="宋体"/>
                <w:i w:val="0"/>
                <w:iCs w:val="0"/>
                <w:color w:val="auto"/>
                <w:kern w:val="0"/>
                <w:sz w:val="21"/>
                <w:szCs w:val="21"/>
                <w:highlight w:val="none"/>
                <w:u w:val="none"/>
                <w:lang w:val="en-US" w:eastAsia="zh-CN"/>
              </w:rPr>
              <w:t>③实际完成率×100%＜100%，得分=实际完成率×指标分值。</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6EBADA5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1883人</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14190EF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10</w:t>
            </w:r>
          </w:p>
        </w:tc>
      </w:tr>
      <w:tr w14:paraId="6477C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35FEBD2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2336851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17" w:type="dxa"/>
            <w:vMerge w:val="restart"/>
            <w:tcBorders>
              <w:top w:val="single" w:color="auto" w:sz="4" w:space="0"/>
              <w:left w:val="single" w:color="auto" w:sz="4" w:space="0"/>
              <w:right w:val="single" w:color="auto" w:sz="4" w:space="0"/>
            </w:tcBorders>
            <w:noWrap w:val="0"/>
            <w:vAlign w:val="center"/>
          </w:tcPr>
          <w:p w14:paraId="1B2140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产出质量</w:t>
            </w:r>
          </w:p>
        </w:tc>
        <w:tc>
          <w:tcPr>
            <w:tcW w:w="583" w:type="dxa"/>
            <w:vMerge w:val="restart"/>
            <w:tcBorders>
              <w:top w:val="single" w:color="auto" w:sz="4" w:space="0"/>
              <w:left w:val="single" w:color="auto" w:sz="4" w:space="0"/>
              <w:right w:val="single" w:color="auto" w:sz="4" w:space="0"/>
            </w:tcBorders>
            <w:noWrap w:val="0"/>
            <w:vAlign w:val="center"/>
          </w:tcPr>
          <w:p w14:paraId="0C9F87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rPr>
              <w:t>10</w:t>
            </w:r>
          </w:p>
        </w:tc>
        <w:tc>
          <w:tcPr>
            <w:tcW w:w="717" w:type="dxa"/>
            <w:vMerge w:val="restart"/>
            <w:tcBorders>
              <w:top w:val="single" w:color="auto" w:sz="4" w:space="0"/>
              <w:left w:val="single" w:color="auto" w:sz="4" w:space="0"/>
              <w:right w:val="single" w:color="auto" w:sz="4" w:space="0"/>
            </w:tcBorders>
            <w:noWrap w:val="0"/>
            <w:vAlign w:val="center"/>
          </w:tcPr>
          <w:p w14:paraId="21856C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质量达标率</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2251514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5</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0AC4E3C2">
            <w:pPr>
              <w:keepNext w:val="0"/>
              <w:keepLines w:val="0"/>
              <w:widowControl/>
              <w:suppressLineNumbers w:val="0"/>
              <w:ind w:left="0" w:leftChars="0" w:firstLine="0" w:firstLineChars="0"/>
              <w:jc w:val="center"/>
              <w:textAlignment w:val="center"/>
              <w:rPr>
                <w:rFonts w:hint="eastAsia" w:ascii="宋体" w:hAnsi="宋体" w:eastAsia="宋体" w:cs="宋体"/>
                <w:color w:val="FF0000"/>
                <w:sz w:val="21"/>
                <w:szCs w:val="21"/>
                <w:highlight w:val="none"/>
                <w:lang w:eastAsia="zh-CN"/>
              </w:rPr>
            </w:pPr>
            <w:r>
              <w:rPr>
                <w:rFonts w:hint="eastAsia" w:ascii="宋体" w:hAnsi="宋体" w:eastAsia="宋体" w:cs="宋体"/>
                <w:i w:val="0"/>
                <w:iCs w:val="0"/>
                <w:color w:val="000000"/>
                <w:kern w:val="0"/>
                <w:sz w:val="21"/>
                <w:szCs w:val="21"/>
                <w:highlight w:val="none"/>
                <w:u w:val="none"/>
                <w:lang w:val="en-US" w:eastAsia="zh-CN"/>
              </w:rPr>
              <w:t>资金使用合规率</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25931963">
            <w:pPr>
              <w:keepNext w:val="0"/>
              <w:keepLines w:val="0"/>
              <w:widowControl/>
              <w:suppressLineNumbers w:val="0"/>
              <w:ind w:left="0" w:leftChars="0" w:firstLine="0" w:firstLineChars="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1"/>
                <w:szCs w:val="21"/>
                <w:highlight w:val="none"/>
                <w:u w:val="none"/>
                <w:lang w:val="en-US" w:eastAsia="zh-CN"/>
              </w:rPr>
              <w:t>=100%</w:t>
            </w:r>
          </w:p>
        </w:tc>
        <w:tc>
          <w:tcPr>
            <w:tcW w:w="5298" w:type="dxa"/>
            <w:vMerge w:val="restart"/>
            <w:tcBorders>
              <w:top w:val="single" w:color="auto" w:sz="4" w:space="0"/>
              <w:left w:val="single" w:color="auto" w:sz="4" w:space="0"/>
              <w:right w:val="single" w:color="auto" w:sz="4" w:space="0"/>
            </w:tcBorders>
            <w:noWrap w:val="0"/>
            <w:vAlign w:val="center"/>
          </w:tcPr>
          <w:p w14:paraId="75CB9A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rPr>
            </w:pPr>
            <w:r>
              <w:rPr>
                <w:rFonts w:hint="eastAsia" w:ascii="宋体" w:hAnsi="宋体" w:eastAsia="宋体" w:cs="宋体"/>
                <w:i w:val="0"/>
                <w:iCs w:val="0"/>
                <w:color w:val="auto"/>
                <w:kern w:val="0"/>
                <w:sz w:val="21"/>
                <w:szCs w:val="21"/>
                <w:highlight w:val="none"/>
                <w:u w:val="none"/>
                <w:lang w:val="en-US" w:eastAsia="zh-CN"/>
              </w:rPr>
              <w:t>若指标达到标杆值，则得100%权重分；否则，得分=（实际完成/预期完成）×100%×指标分值。</w:t>
            </w:r>
          </w:p>
          <w:p w14:paraId="0066CC0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若指标完成值达到标杆值，则得100%权重分；否则，不得分。</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1E097D9C">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100%</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26ADA55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5</w:t>
            </w:r>
          </w:p>
        </w:tc>
      </w:tr>
      <w:tr w14:paraId="18793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8" w:hRule="atLeast"/>
        </w:trPr>
        <w:tc>
          <w:tcPr>
            <w:tcW w:w="800" w:type="dxa"/>
            <w:vMerge w:val="continue"/>
            <w:tcBorders>
              <w:left w:val="single" w:color="auto" w:sz="4" w:space="0"/>
              <w:bottom w:val="single" w:color="auto" w:sz="4" w:space="0"/>
              <w:right w:val="single" w:color="auto" w:sz="4" w:space="0"/>
            </w:tcBorders>
            <w:noWrap w:val="0"/>
            <w:vAlign w:val="center"/>
          </w:tcPr>
          <w:p w14:paraId="3F75238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633" w:type="dxa"/>
            <w:vMerge w:val="continue"/>
            <w:tcBorders>
              <w:left w:val="single" w:color="auto" w:sz="4" w:space="0"/>
              <w:bottom w:val="single" w:color="auto" w:sz="4" w:space="0"/>
              <w:right w:val="single" w:color="auto" w:sz="4" w:space="0"/>
            </w:tcBorders>
            <w:noWrap w:val="0"/>
            <w:vAlign w:val="center"/>
          </w:tcPr>
          <w:p w14:paraId="4144A2E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717" w:type="dxa"/>
            <w:vMerge w:val="continue"/>
            <w:tcBorders>
              <w:left w:val="single" w:color="auto" w:sz="4" w:space="0"/>
              <w:bottom w:val="single" w:color="auto" w:sz="4" w:space="0"/>
              <w:right w:val="single" w:color="auto" w:sz="4" w:space="0"/>
            </w:tcBorders>
            <w:noWrap w:val="0"/>
            <w:vAlign w:val="center"/>
          </w:tcPr>
          <w:p w14:paraId="26912B9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583" w:type="dxa"/>
            <w:vMerge w:val="continue"/>
            <w:tcBorders>
              <w:left w:val="single" w:color="auto" w:sz="4" w:space="0"/>
              <w:bottom w:val="single" w:color="auto" w:sz="4" w:space="0"/>
              <w:right w:val="single" w:color="auto" w:sz="4" w:space="0"/>
            </w:tcBorders>
            <w:noWrap w:val="0"/>
            <w:vAlign w:val="center"/>
          </w:tcPr>
          <w:p w14:paraId="35D251D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717" w:type="dxa"/>
            <w:vMerge w:val="continue"/>
            <w:tcBorders>
              <w:left w:val="single" w:color="auto" w:sz="4" w:space="0"/>
              <w:bottom w:val="single" w:color="auto" w:sz="4" w:space="0"/>
              <w:right w:val="single" w:color="auto" w:sz="4" w:space="0"/>
            </w:tcBorders>
            <w:noWrap w:val="0"/>
            <w:vAlign w:val="center"/>
          </w:tcPr>
          <w:p w14:paraId="20B3210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0B4C0C8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3B95D19F">
            <w:pPr>
              <w:keepNext w:val="0"/>
              <w:keepLines w:val="0"/>
              <w:widowControl/>
              <w:suppressLineNumbers w:val="0"/>
              <w:ind w:left="0" w:leftChars="0" w:firstLine="0" w:firstLineChars="0"/>
              <w:jc w:val="center"/>
              <w:textAlignment w:val="center"/>
              <w:rPr>
                <w:rFonts w:hint="eastAsia" w:ascii="宋体" w:hAnsi="宋体" w:eastAsia="宋体" w:cs="宋体"/>
                <w:color w:val="FF0000"/>
                <w:sz w:val="21"/>
                <w:szCs w:val="21"/>
                <w:highlight w:val="none"/>
              </w:rPr>
            </w:pPr>
            <w:r>
              <w:rPr>
                <w:rFonts w:hint="eastAsia" w:ascii="宋体" w:hAnsi="宋体" w:eastAsia="宋体" w:cs="宋体"/>
                <w:i w:val="0"/>
                <w:iCs w:val="0"/>
                <w:color w:val="000000"/>
                <w:kern w:val="0"/>
                <w:sz w:val="21"/>
                <w:szCs w:val="21"/>
                <w:highlight w:val="none"/>
                <w:u w:val="none"/>
                <w:lang w:val="en-US" w:eastAsia="zh-CN"/>
              </w:rPr>
              <w:t>补助发放覆盖率</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28011620">
            <w:pPr>
              <w:keepNext w:val="0"/>
              <w:keepLines w:val="0"/>
              <w:widowControl/>
              <w:suppressLineNumbers w:val="0"/>
              <w:ind w:left="0" w:leftChars="0" w:firstLine="0" w:firstLineChars="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1"/>
                <w:szCs w:val="21"/>
                <w:highlight w:val="none"/>
                <w:u w:val="none"/>
                <w:lang w:val="en-US" w:eastAsia="zh-CN"/>
              </w:rPr>
              <w:t>=100%</w:t>
            </w:r>
          </w:p>
        </w:tc>
        <w:tc>
          <w:tcPr>
            <w:tcW w:w="5298" w:type="dxa"/>
            <w:vMerge w:val="continue"/>
            <w:tcBorders>
              <w:left w:val="single" w:color="auto" w:sz="4" w:space="0"/>
              <w:bottom w:val="single" w:color="auto" w:sz="4" w:space="0"/>
              <w:right w:val="single" w:color="auto" w:sz="4" w:space="0"/>
            </w:tcBorders>
            <w:noWrap w:val="0"/>
            <w:vAlign w:val="center"/>
          </w:tcPr>
          <w:p w14:paraId="47CDBF2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color w:val="auto"/>
                <w:sz w:val="21"/>
                <w:szCs w:val="21"/>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7B089F3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100%</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03949B0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color w:val="FF0000"/>
                <w:sz w:val="21"/>
                <w:szCs w:val="21"/>
                <w:highlight w:val="none"/>
              </w:rPr>
            </w:pPr>
            <w:r>
              <w:rPr>
                <w:rFonts w:hint="eastAsia" w:ascii="宋体" w:hAnsi="宋体" w:eastAsia="宋体" w:cs="宋体"/>
                <w:sz w:val="21"/>
                <w:szCs w:val="21"/>
                <w:lang w:val="en-US" w:eastAsia="zh-CN"/>
              </w:rPr>
              <w:t>5</w:t>
            </w:r>
          </w:p>
        </w:tc>
      </w:tr>
      <w:tr w14:paraId="6AC84E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4BE6D54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748011B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17" w:type="dxa"/>
            <w:vMerge w:val="restart"/>
            <w:tcBorders>
              <w:top w:val="single" w:color="auto" w:sz="4" w:space="0"/>
              <w:left w:val="single" w:color="auto" w:sz="4" w:space="0"/>
              <w:right w:val="single" w:color="auto" w:sz="4" w:space="0"/>
            </w:tcBorders>
            <w:noWrap w:val="0"/>
            <w:vAlign w:val="center"/>
          </w:tcPr>
          <w:p w14:paraId="028C6E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产出时效</w:t>
            </w:r>
          </w:p>
        </w:tc>
        <w:tc>
          <w:tcPr>
            <w:tcW w:w="583" w:type="dxa"/>
            <w:vMerge w:val="restart"/>
            <w:tcBorders>
              <w:top w:val="single" w:color="auto" w:sz="4" w:space="0"/>
              <w:left w:val="single" w:color="auto" w:sz="4" w:space="0"/>
              <w:right w:val="single" w:color="auto" w:sz="4" w:space="0"/>
            </w:tcBorders>
            <w:noWrap w:val="0"/>
            <w:vAlign w:val="center"/>
          </w:tcPr>
          <w:p w14:paraId="5C8116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rPr>
              <w:t>10</w:t>
            </w:r>
          </w:p>
        </w:tc>
        <w:tc>
          <w:tcPr>
            <w:tcW w:w="717" w:type="dxa"/>
            <w:vMerge w:val="restart"/>
            <w:tcBorders>
              <w:top w:val="single" w:color="auto" w:sz="4" w:space="0"/>
              <w:left w:val="single" w:color="auto" w:sz="4" w:space="0"/>
              <w:right w:val="single" w:color="auto" w:sz="4" w:space="0"/>
            </w:tcBorders>
            <w:noWrap w:val="0"/>
            <w:vAlign w:val="center"/>
          </w:tcPr>
          <w:p w14:paraId="4A57E3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完成及时率</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6BBB554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5</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3E03B41A">
            <w:pPr>
              <w:keepNext w:val="0"/>
              <w:keepLines w:val="0"/>
              <w:widowControl/>
              <w:suppressLineNumbers w:val="0"/>
              <w:ind w:left="0" w:leftChars="0" w:firstLine="0" w:firstLineChars="0"/>
              <w:jc w:val="center"/>
              <w:textAlignment w:val="center"/>
              <w:rPr>
                <w:rFonts w:hint="eastAsia" w:ascii="宋体" w:hAnsi="宋体" w:eastAsia="宋体" w:cs="宋体"/>
                <w:color w:val="FF0000"/>
                <w:sz w:val="21"/>
                <w:szCs w:val="21"/>
                <w:highlight w:val="none"/>
              </w:rPr>
            </w:pPr>
            <w:r>
              <w:rPr>
                <w:rFonts w:hint="eastAsia" w:ascii="宋体" w:hAnsi="宋体" w:eastAsia="宋体" w:cs="宋体"/>
                <w:i w:val="0"/>
                <w:iCs w:val="0"/>
                <w:color w:val="000000"/>
                <w:kern w:val="0"/>
                <w:sz w:val="21"/>
                <w:szCs w:val="21"/>
                <w:highlight w:val="none"/>
                <w:u w:val="none"/>
                <w:lang w:val="en-US" w:eastAsia="zh-CN"/>
              </w:rPr>
              <w:t>资金支付及时率</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698CA90C">
            <w:pPr>
              <w:keepNext w:val="0"/>
              <w:keepLines w:val="0"/>
              <w:widowControl/>
              <w:suppressLineNumbers w:val="0"/>
              <w:ind w:left="0" w:leftChars="0" w:firstLine="0" w:firstLineChars="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highlight w:val="none"/>
                <w:u w:val="none"/>
                <w:lang w:val="en-US" w:eastAsia="zh-CN"/>
              </w:rPr>
              <w:t>=100%</w:t>
            </w:r>
          </w:p>
        </w:tc>
        <w:tc>
          <w:tcPr>
            <w:tcW w:w="5298" w:type="dxa"/>
            <w:vMerge w:val="restart"/>
            <w:tcBorders>
              <w:top w:val="single" w:color="auto" w:sz="4" w:space="0"/>
              <w:left w:val="single" w:color="auto" w:sz="4" w:space="0"/>
              <w:right w:val="single" w:color="auto" w:sz="4" w:space="0"/>
            </w:tcBorders>
            <w:noWrap w:val="0"/>
            <w:vAlign w:val="center"/>
          </w:tcPr>
          <w:p w14:paraId="169B3D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rPr>
            </w:pPr>
            <w:r>
              <w:rPr>
                <w:rFonts w:hint="eastAsia" w:ascii="宋体" w:hAnsi="宋体" w:eastAsia="宋体" w:cs="宋体"/>
                <w:i w:val="0"/>
                <w:iCs w:val="0"/>
                <w:color w:val="auto"/>
                <w:kern w:val="0"/>
                <w:sz w:val="21"/>
                <w:szCs w:val="21"/>
                <w:highlight w:val="none"/>
                <w:u w:val="none"/>
                <w:lang w:val="en-US" w:eastAsia="zh-CN"/>
              </w:rPr>
              <w:t>若指标完成值达到标杆值，则得100%权重分；否则，得分=（实际完成/预期完成）×100%×指标分值。</w:t>
            </w:r>
          </w:p>
          <w:p w14:paraId="12628C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若在规定时间内完成，得100%权重分；若未在规定的时间内完成，得分=（1-未在规定时间内完成工作数/实际完成工作总数）×分值。</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7DBE260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100%</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1D00448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sz w:val="21"/>
                <w:szCs w:val="21"/>
                <w:highlight w:val="none"/>
                <w:u w:val="none"/>
                <w:lang w:val="en-US" w:eastAsia="zh-CN"/>
              </w:rPr>
              <w:t>5</w:t>
            </w:r>
          </w:p>
        </w:tc>
      </w:tr>
      <w:tr w14:paraId="4FDDA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00" w:type="dxa"/>
            <w:vMerge w:val="continue"/>
            <w:tcBorders>
              <w:left w:val="single" w:color="auto" w:sz="4" w:space="0"/>
              <w:bottom w:val="single" w:color="auto" w:sz="4" w:space="0"/>
              <w:right w:val="single" w:color="auto" w:sz="4" w:space="0"/>
            </w:tcBorders>
            <w:noWrap w:val="0"/>
            <w:vAlign w:val="center"/>
          </w:tcPr>
          <w:p w14:paraId="10306D5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633" w:type="dxa"/>
            <w:vMerge w:val="continue"/>
            <w:tcBorders>
              <w:left w:val="single" w:color="auto" w:sz="4" w:space="0"/>
              <w:bottom w:val="single" w:color="auto" w:sz="4" w:space="0"/>
              <w:right w:val="single" w:color="auto" w:sz="4" w:space="0"/>
            </w:tcBorders>
            <w:noWrap w:val="0"/>
            <w:vAlign w:val="center"/>
          </w:tcPr>
          <w:p w14:paraId="7F6CD0C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717" w:type="dxa"/>
            <w:vMerge w:val="continue"/>
            <w:tcBorders>
              <w:left w:val="single" w:color="auto" w:sz="4" w:space="0"/>
              <w:bottom w:val="single" w:color="auto" w:sz="4" w:space="0"/>
              <w:right w:val="single" w:color="auto" w:sz="4" w:space="0"/>
            </w:tcBorders>
            <w:noWrap w:val="0"/>
            <w:vAlign w:val="center"/>
          </w:tcPr>
          <w:p w14:paraId="67750AA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583" w:type="dxa"/>
            <w:vMerge w:val="continue"/>
            <w:tcBorders>
              <w:left w:val="single" w:color="auto" w:sz="4" w:space="0"/>
              <w:bottom w:val="single" w:color="auto" w:sz="4" w:space="0"/>
              <w:right w:val="single" w:color="auto" w:sz="4" w:space="0"/>
            </w:tcBorders>
            <w:noWrap w:val="0"/>
            <w:vAlign w:val="center"/>
          </w:tcPr>
          <w:p w14:paraId="2DE7B82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717" w:type="dxa"/>
            <w:vMerge w:val="continue"/>
            <w:tcBorders>
              <w:left w:val="single" w:color="auto" w:sz="4" w:space="0"/>
              <w:bottom w:val="single" w:color="auto" w:sz="4" w:space="0"/>
              <w:right w:val="single" w:color="auto" w:sz="4" w:space="0"/>
            </w:tcBorders>
            <w:noWrap w:val="0"/>
            <w:vAlign w:val="center"/>
          </w:tcPr>
          <w:p w14:paraId="0C283F7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5BB278E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1F05339C">
            <w:pPr>
              <w:keepNext w:val="0"/>
              <w:keepLines w:val="0"/>
              <w:widowControl/>
              <w:suppressLineNumbers w:val="0"/>
              <w:ind w:left="0" w:leftChars="0" w:firstLine="0" w:firstLineChars="0"/>
              <w:jc w:val="center"/>
              <w:textAlignment w:val="center"/>
              <w:rPr>
                <w:rFonts w:hint="eastAsia" w:ascii="宋体" w:hAnsi="宋体" w:eastAsia="宋体" w:cs="宋体"/>
                <w:color w:val="FF0000"/>
                <w:sz w:val="21"/>
                <w:szCs w:val="21"/>
                <w:highlight w:val="none"/>
              </w:rPr>
            </w:pPr>
            <w:r>
              <w:rPr>
                <w:rFonts w:hint="eastAsia" w:ascii="宋体" w:hAnsi="宋体" w:eastAsia="宋体" w:cs="宋体"/>
                <w:i w:val="0"/>
                <w:iCs w:val="0"/>
                <w:color w:val="000000"/>
                <w:kern w:val="0"/>
                <w:sz w:val="21"/>
                <w:szCs w:val="21"/>
                <w:highlight w:val="none"/>
                <w:u w:val="none"/>
                <w:lang w:val="en-US" w:eastAsia="zh-CN"/>
              </w:rPr>
              <w:t>项目完成时间</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71379440">
            <w:pPr>
              <w:keepNext w:val="0"/>
              <w:keepLines w:val="0"/>
              <w:widowControl/>
              <w:suppressLineNumbers w:val="0"/>
              <w:ind w:left="0" w:leftChars="0" w:firstLine="0" w:firstLineChars="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1"/>
                <w:szCs w:val="21"/>
                <w:highlight w:val="none"/>
                <w:u w:val="none"/>
                <w:lang w:val="en-US" w:eastAsia="zh-CN"/>
              </w:rPr>
              <w:t>=2024年12月</w:t>
            </w:r>
          </w:p>
        </w:tc>
        <w:tc>
          <w:tcPr>
            <w:tcW w:w="5298" w:type="dxa"/>
            <w:vMerge w:val="continue"/>
            <w:tcBorders>
              <w:left w:val="single" w:color="auto" w:sz="4" w:space="0"/>
              <w:right w:val="single" w:color="auto" w:sz="4" w:space="0"/>
            </w:tcBorders>
            <w:noWrap w:val="0"/>
            <w:vAlign w:val="center"/>
          </w:tcPr>
          <w:p w14:paraId="4C18C86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color w:val="FF0000"/>
                <w:sz w:val="21"/>
                <w:szCs w:val="21"/>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31E3E63B">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2024年12月</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3FDB561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color w:val="FF0000"/>
                <w:sz w:val="21"/>
                <w:szCs w:val="21"/>
                <w:highlight w:val="none"/>
              </w:rPr>
            </w:pPr>
            <w:r>
              <w:rPr>
                <w:rFonts w:hint="eastAsia" w:ascii="宋体" w:hAnsi="宋体" w:eastAsia="宋体" w:cs="宋体"/>
                <w:sz w:val="21"/>
                <w:szCs w:val="21"/>
                <w:lang w:val="en-US" w:eastAsia="zh-CN"/>
              </w:rPr>
              <w:t>5</w:t>
            </w:r>
          </w:p>
        </w:tc>
      </w:tr>
      <w:tr w14:paraId="196F2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7"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4D596AF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45C40DA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17" w:type="dxa"/>
            <w:tcBorders>
              <w:top w:val="single" w:color="auto" w:sz="4" w:space="0"/>
              <w:left w:val="single" w:color="auto" w:sz="4" w:space="0"/>
              <w:bottom w:val="single" w:color="auto" w:sz="4" w:space="0"/>
              <w:right w:val="single" w:color="auto" w:sz="4" w:space="0"/>
            </w:tcBorders>
            <w:noWrap w:val="0"/>
            <w:vAlign w:val="center"/>
          </w:tcPr>
          <w:p w14:paraId="2BB229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产出成本</w:t>
            </w:r>
          </w:p>
        </w:tc>
        <w:tc>
          <w:tcPr>
            <w:tcW w:w="583" w:type="dxa"/>
            <w:tcBorders>
              <w:top w:val="single" w:color="auto" w:sz="4" w:space="0"/>
              <w:left w:val="single" w:color="auto" w:sz="4" w:space="0"/>
              <w:bottom w:val="single" w:color="auto" w:sz="4" w:space="0"/>
              <w:right w:val="single" w:color="auto" w:sz="4" w:space="0"/>
            </w:tcBorders>
            <w:noWrap w:val="0"/>
            <w:vAlign w:val="center"/>
          </w:tcPr>
          <w:p w14:paraId="6E1977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rPr>
              <w:t>10</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50CDC9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成本节约率</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5BA21F1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10</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1978188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FF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村干部（村民小组长）报酬补贴</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30BE6F6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≤1797.510万元</w:t>
            </w:r>
          </w:p>
        </w:tc>
        <w:tc>
          <w:tcPr>
            <w:tcW w:w="5298" w:type="dxa"/>
            <w:tcBorders>
              <w:top w:val="single" w:color="auto" w:sz="4" w:space="0"/>
              <w:left w:val="single" w:color="auto" w:sz="4" w:space="0"/>
              <w:bottom w:val="single" w:color="auto" w:sz="4" w:space="0"/>
              <w:right w:val="single" w:color="auto" w:sz="4" w:space="0"/>
            </w:tcBorders>
            <w:noWrap w:val="0"/>
            <w:vAlign w:val="center"/>
          </w:tcPr>
          <w:p w14:paraId="67653DF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实际完成率=（实际支付资金数/计划应支付资金数）×100%。</w:t>
            </w:r>
            <w:r>
              <w:rPr>
                <w:rFonts w:hint="eastAsia" w:ascii="宋体" w:hAnsi="宋体" w:eastAsia="宋体" w:cs="宋体"/>
                <w:i w:val="0"/>
                <w:iCs w:val="0"/>
                <w:color w:val="auto"/>
                <w:kern w:val="0"/>
                <w:sz w:val="21"/>
                <w:szCs w:val="21"/>
                <w:highlight w:val="none"/>
                <w:u w:val="none"/>
                <w:lang w:val="en-US" w:eastAsia="zh-CN"/>
              </w:rPr>
              <w:br w:type="textWrapping"/>
            </w:r>
            <w:r>
              <w:rPr>
                <w:rFonts w:hint="eastAsia" w:ascii="宋体" w:hAnsi="宋体" w:eastAsia="宋体" w:cs="宋体"/>
                <w:i w:val="0"/>
                <w:iCs w:val="0"/>
                <w:color w:val="auto"/>
                <w:kern w:val="0"/>
                <w:sz w:val="21"/>
                <w:szCs w:val="21"/>
                <w:highlight w:val="none"/>
                <w:u w:val="none"/>
                <w:lang w:val="en-US" w:eastAsia="zh-CN"/>
              </w:rPr>
              <w:t>①实际完成率＞年度指标值，得0得分；</w:t>
            </w:r>
            <w:r>
              <w:rPr>
                <w:rFonts w:hint="eastAsia" w:ascii="宋体" w:hAnsi="宋体" w:eastAsia="宋体" w:cs="宋体"/>
                <w:i w:val="0"/>
                <w:iCs w:val="0"/>
                <w:color w:val="auto"/>
                <w:kern w:val="0"/>
                <w:sz w:val="21"/>
                <w:szCs w:val="21"/>
                <w:highlight w:val="none"/>
                <w:u w:val="none"/>
                <w:lang w:val="en-US" w:eastAsia="zh-CN"/>
              </w:rPr>
              <w:br w:type="textWrapping"/>
            </w:r>
            <w:r>
              <w:rPr>
                <w:rFonts w:hint="eastAsia" w:ascii="宋体" w:hAnsi="宋体" w:eastAsia="宋体" w:cs="宋体"/>
                <w:i w:val="0"/>
                <w:iCs w:val="0"/>
                <w:color w:val="auto"/>
                <w:kern w:val="0"/>
                <w:sz w:val="21"/>
                <w:szCs w:val="21"/>
                <w:highlight w:val="none"/>
                <w:u w:val="none"/>
                <w:lang w:val="en-US" w:eastAsia="zh-CN"/>
              </w:rPr>
              <w:t>②实际完成率≤年度指标值，且偏离程度＜20%，得满分；</w:t>
            </w:r>
            <w:r>
              <w:rPr>
                <w:rFonts w:hint="eastAsia" w:ascii="宋体" w:hAnsi="宋体" w:eastAsia="宋体" w:cs="宋体"/>
                <w:i w:val="0"/>
                <w:iCs w:val="0"/>
                <w:color w:val="auto"/>
                <w:kern w:val="0"/>
                <w:sz w:val="21"/>
                <w:szCs w:val="21"/>
                <w:highlight w:val="none"/>
                <w:u w:val="none"/>
                <w:lang w:val="en-US" w:eastAsia="zh-CN"/>
              </w:rPr>
              <w:br w:type="textWrapping"/>
            </w:r>
            <w:r>
              <w:rPr>
                <w:rFonts w:hint="eastAsia" w:ascii="宋体" w:hAnsi="宋体" w:eastAsia="宋体" w:cs="宋体"/>
                <w:i w:val="0"/>
                <w:iCs w:val="0"/>
                <w:color w:val="auto"/>
                <w:kern w:val="0"/>
                <w:sz w:val="21"/>
                <w:szCs w:val="21"/>
                <w:highlight w:val="none"/>
                <w:u w:val="none"/>
                <w:lang w:val="en-US" w:eastAsia="zh-CN"/>
              </w:rPr>
              <w:t>③实际完成率＜年度指标值，且偏离程度≥20%，得分=实际完成率×分值。</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4C8D2D5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1654.66万元</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18DA97D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8.01</w:t>
            </w:r>
          </w:p>
        </w:tc>
      </w:tr>
      <w:tr w14:paraId="4D86D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00" w:type="dxa"/>
            <w:vMerge w:val="restart"/>
            <w:tcBorders>
              <w:top w:val="single" w:color="auto" w:sz="4" w:space="0"/>
              <w:left w:val="single" w:color="auto" w:sz="4" w:space="0"/>
              <w:bottom w:val="single" w:color="auto" w:sz="4" w:space="0"/>
              <w:right w:val="single" w:color="auto" w:sz="4" w:space="0"/>
            </w:tcBorders>
            <w:noWrap w:val="0"/>
            <w:vAlign w:val="center"/>
          </w:tcPr>
          <w:p w14:paraId="2E639F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项目效益</w:t>
            </w:r>
          </w:p>
        </w:tc>
        <w:tc>
          <w:tcPr>
            <w:tcW w:w="633" w:type="dxa"/>
            <w:vMerge w:val="restart"/>
            <w:tcBorders>
              <w:top w:val="single" w:color="auto" w:sz="4" w:space="0"/>
              <w:left w:val="single" w:color="auto" w:sz="4" w:space="0"/>
              <w:bottom w:val="single" w:color="auto" w:sz="4" w:space="0"/>
              <w:right w:val="single" w:color="auto" w:sz="4" w:space="0"/>
            </w:tcBorders>
            <w:noWrap w:val="0"/>
            <w:vAlign w:val="center"/>
          </w:tcPr>
          <w:p w14:paraId="0E34B5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rPr>
              <w:t>20</w:t>
            </w:r>
          </w:p>
        </w:tc>
        <w:tc>
          <w:tcPr>
            <w:tcW w:w="717" w:type="dxa"/>
            <w:vMerge w:val="restart"/>
            <w:tcBorders>
              <w:top w:val="single" w:color="auto" w:sz="4" w:space="0"/>
              <w:left w:val="single" w:color="auto" w:sz="4" w:space="0"/>
              <w:bottom w:val="single" w:color="auto" w:sz="4" w:space="0"/>
              <w:right w:val="single" w:color="auto" w:sz="4" w:space="0"/>
            </w:tcBorders>
            <w:noWrap w:val="0"/>
            <w:vAlign w:val="center"/>
          </w:tcPr>
          <w:p w14:paraId="0783A2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项目效益</w:t>
            </w:r>
          </w:p>
        </w:tc>
        <w:tc>
          <w:tcPr>
            <w:tcW w:w="583" w:type="dxa"/>
            <w:vMerge w:val="restart"/>
            <w:tcBorders>
              <w:top w:val="single" w:color="auto" w:sz="4" w:space="0"/>
              <w:left w:val="single" w:color="auto" w:sz="4" w:space="0"/>
              <w:bottom w:val="single" w:color="auto" w:sz="4" w:space="0"/>
              <w:right w:val="single" w:color="auto" w:sz="4" w:space="0"/>
            </w:tcBorders>
            <w:noWrap w:val="0"/>
            <w:vAlign w:val="center"/>
          </w:tcPr>
          <w:p w14:paraId="4DD530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rPr>
              <w:t>20</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2DF902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社会效益</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0BD4858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rPr>
              <w:t>10</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42CF48E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村干部（村民小组长）工作积极性</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1F17109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highlight w:val="none"/>
                <w:u w:val="none"/>
                <w:lang w:eastAsia="zh-CN"/>
              </w:rPr>
            </w:pPr>
            <w:r>
              <w:rPr>
                <w:rFonts w:hint="eastAsia" w:ascii="宋体" w:hAnsi="宋体" w:eastAsia="宋体" w:cs="宋体"/>
                <w:i w:val="0"/>
                <w:iCs w:val="0"/>
                <w:color w:val="auto"/>
                <w:sz w:val="21"/>
                <w:szCs w:val="21"/>
                <w:highlight w:val="none"/>
                <w:u w:val="none"/>
                <w:lang w:eastAsia="zh-CN"/>
              </w:rPr>
              <w:t>有效提高</w:t>
            </w:r>
          </w:p>
        </w:tc>
        <w:tc>
          <w:tcPr>
            <w:tcW w:w="5298" w:type="dxa"/>
            <w:tcBorders>
              <w:top w:val="single" w:color="auto" w:sz="4" w:space="0"/>
              <w:left w:val="single" w:color="auto" w:sz="4" w:space="0"/>
              <w:bottom w:val="single" w:color="auto" w:sz="4" w:space="0"/>
              <w:right w:val="single" w:color="auto" w:sz="4" w:space="0"/>
            </w:tcBorders>
            <w:noWrap w:val="0"/>
            <w:vAlign w:val="center"/>
          </w:tcPr>
          <w:p w14:paraId="2F5C080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按评判等级赋分。分为基本达成目标、部分实现目标、实现目标程度较低三个档次，并分别按照该指标对应分值区间100%-80%（含）、80%-60%（含）、60%-0%合理确定分值。</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17681EBF">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有效提高</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25D3D7F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10</w:t>
            </w:r>
          </w:p>
        </w:tc>
      </w:tr>
      <w:tr w14:paraId="165E9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01583DD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633" w:type="dxa"/>
            <w:vMerge w:val="continue"/>
            <w:tcBorders>
              <w:top w:val="single" w:color="auto" w:sz="4" w:space="0"/>
              <w:left w:val="single" w:color="auto" w:sz="4" w:space="0"/>
              <w:bottom w:val="single" w:color="auto" w:sz="4" w:space="0"/>
              <w:right w:val="single" w:color="auto" w:sz="4" w:space="0"/>
            </w:tcBorders>
            <w:noWrap w:val="0"/>
            <w:vAlign w:val="center"/>
          </w:tcPr>
          <w:p w14:paraId="243B991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17" w:type="dxa"/>
            <w:vMerge w:val="continue"/>
            <w:tcBorders>
              <w:top w:val="single" w:color="auto" w:sz="4" w:space="0"/>
              <w:left w:val="single" w:color="auto" w:sz="4" w:space="0"/>
              <w:bottom w:val="single" w:color="auto" w:sz="4" w:space="0"/>
              <w:right w:val="single" w:color="auto" w:sz="4" w:space="0"/>
            </w:tcBorders>
            <w:noWrap w:val="0"/>
            <w:vAlign w:val="center"/>
          </w:tcPr>
          <w:p w14:paraId="52AAEF2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583" w:type="dxa"/>
            <w:vMerge w:val="continue"/>
            <w:tcBorders>
              <w:top w:val="single" w:color="auto" w:sz="4" w:space="0"/>
              <w:left w:val="single" w:color="auto" w:sz="4" w:space="0"/>
              <w:bottom w:val="single" w:color="auto" w:sz="4" w:space="0"/>
              <w:right w:val="single" w:color="auto" w:sz="4" w:space="0"/>
            </w:tcBorders>
            <w:noWrap w:val="0"/>
            <w:vAlign w:val="center"/>
          </w:tcPr>
          <w:p w14:paraId="3370DCF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17" w:type="dxa"/>
            <w:tcBorders>
              <w:top w:val="single" w:color="auto" w:sz="4" w:space="0"/>
              <w:left w:val="single" w:color="auto" w:sz="4" w:space="0"/>
              <w:bottom w:val="single" w:color="auto" w:sz="4" w:space="0"/>
              <w:right w:val="single" w:color="auto" w:sz="4" w:space="0"/>
            </w:tcBorders>
            <w:noWrap w:val="0"/>
            <w:vAlign w:val="center"/>
          </w:tcPr>
          <w:p w14:paraId="2E56FB7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服务对象满意度</w:t>
            </w:r>
          </w:p>
        </w:tc>
        <w:tc>
          <w:tcPr>
            <w:tcW w:w="750" w:type="dxa"/>
            <w:tcBorders>
              <w:top w:val="single" w:color="auto" w:sz="4" w:space="0"/>
              <w:left w:val="single" w:color="auto" w:sz="4" w:space="0"/>
              <w:bottom w:val="single" w:color="auto" w:sz="4" w:space="0"/>
              <w:right w:val="single" w:color="auto" w:sz="4" w:space="0"/>
            </w:tcBorders>
            <w:noWrap w:val="0"/>
            <w:vAlign w:val="center"/>
          </w:tcPr>
          <w:p w14:paraId="6ADAD1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3A100045">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受益干部满意度</w:t>
            </w:r>
          </w:p>
        </w:tc>
        <w:tc>
          <w:tcPr>
            <w:tcW w:w="1050" w:type="dxa"/>
            <w:tcBorders>
              <w:top w:val="single" w:color="auto" w:sz="4" w:space="0"/>
              <w:left w:val="single" w:color="auto" w:sz="4" w:space="0"/>
              <w:bottom w:val="single" w:color="auto" w:sz="4" w:space="0"/>
              <w:right w:val="single" w:color="auto" w:sz="4" w:space="0"/>
            </w:tcBorders>
            <w:noWrap w:val="0"/>
            <w:vAlign w:val="center"/>
          </w:tcPr>
          <w:p w14:paraId="39C9AA3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≥95%</w:t>
            </w:r>
          </w:p>
        </w:tc>
        <w:tc>
          <w:tcPr>
            <w:tcW w:w="5298" w:type="dxa"/>
            <w:tcBorders>
              <w:top w:val="single" w:color="auto" w:sz="4" w:space="0"/>
              <w:left w:val="single" w:color="auto" w:sz="4" w:space="0"/>
              <w:bottom w:val="single" w:color="auto" w:sz="4" w:space="0"/>
              <w:right w:val="single" w:color="auto" w:sz="4" w:space="0"/>
            </w:tcBorders>
            <w:noWrap w:val="0"/>
            <w:vAlign w:val="center"/>
          </w:tcPr>
          <w:p w14:paraId="7872595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FF0000"/>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根据问卷调查，满意度达到标杆值，得权重分的100%；否则低于95%，得分=实际满意度*指标分值。</w:t>
            </w:r>
          </w:p>
        </w:tc>
        <w:tc>
          <w:tcPr>
            <w:tcW w:w="933" w:type="dxa"/>
            <w:tcBorders>
              <w:top w:val="single" w:color="auto" w:sz="4" w:space="0"/>
              <w:left w:val="single" w:color="auto" w:sz="4" w:space="0"/>
              <w:bottom w:val="single" w:color="auto" w:sz="4" w:space="0"/>
              <w:right w:val="single" w:color="auto" w:sz="4" w:space="0"/>
            </w:tcBorders>
            <w:noWrap w:val="0"/>
            <w:vAlign w:val="center"/>
          </w:tcPr>
          <w:p w14:paraId="5CFD1AB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rPr>
              <w:t>100%</w:t>
            </w:r>
          </w:p>
        </w:tc>
        <w:tc>
          <w:tcPr>
            <w:tcW w:w="800" w:type="dxa"/>
            <w:tcBorders>
              <w:top w:val="single" w:color="auto" w:sz="4" w:space="0"/>
              <w:left w:val="single" w:color="auto" w:sz="4" w:space="0"/>
              <w:bottom w:val="single" w:color="auto" w:sz="4" w:space="0"/>
              <w:right w:val="single" w:color="auto" w:sz="4" w:space="0"/>
            </w:tcBorders>
            <w:noWrap w:val="0"/>
            <w:vAlign w:val="center"/>
          </w:tcPr>
          <w:p w14:paraId="45C3CA4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10</w:t>
            </w:r>
          </w:p>
        </w:tc>
      </w:tr>
      <w:tr w14:paraId="028FB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00" w:type="dxa"/>
            <w:tcBorders>
              <w:top w:val="single" w:color="auto" w:sz="4" w:space="0"/>
              <w:left w:val="single" w:color="auto" w:sz="4" w:space="0"/>
              <w:bottom w:val="single" w:color="auto" w:sz="4" w:space="0"/>
              <w:right w:val="single" w:color="auto" w:sz="4" w:space="0"/>
            </w:tcBorders>
            <w:noWrap w:val="0"/>
            <w:vAlign w:val="center"/>
          </w:tcPr>
          <w:p w14:paraId="5AB0B6A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总分</w:t>
            </w:r>
          </w:p>
        </w:tc>
        <w:tc>
          <w:tcPr>
            <w:tcW w:w="633" w:type="dxa"/>
            <w:tcBorders>
              <w:top w:val="single" w:color="auto" w:sz="4" w:space="0"/>
              <w:left w:val="single" w:color="auto" w:sz="4" w:space="0"/>
              <w:bottom w:val="single" w:color="auto" w:sz="4" w:space="0"/>
              <w:right w:val="single" w:color="auto" w:sz="4" w:space="0"/>
            </w:tcBorders>
            <w:noWrap w:val="0"/>
            <w:vAlign w:val="center"/>
          </w:tcPr>
          <w:p w14:paraId="01EE89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5BE5E6B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583" w:type="dxa"/>
            <w:tcBorders>
              <w:top w:val="single" w:color="auto" w:sz="4" w:space="0"/>
              <w:left w:val="single" w:color="auto" w:sz="4" w:space="0"/>
              <w:bottom w:val="single" w:color="auto" w:sz="4" w:space="0"/>
              <w:right w:val="single" w:color="auto" w:sz="4" w:space="0"/>
            </w:tcBorders>
            <w:noWrap w:val="0"/>
            <w:vAlign w:val="center"/>
          </w:tcPr>
          <w:p w14:paraId="298E12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01E7D00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750" w:type="dxa"/>
            <w:tcBorders>
              <w:top w:val="single" w:color="auto" w:sz="4" w:space="0"/>
              <w:left w:val="single" w:color="auto" w:sz="4" w:space="0"/>
              <w:bottom w:val="single" w:color="auto" w:sz="4" w:space="0"/>
              <w:right w:val="single" w:color="auto" w:sz="4" w:space="0"/>
            </w:tcBorders>
            <w:noWrap w:val="0"/>
            <w:vAlign w:val="center"/>
          </w:tcPr>
          <w:p w14:paraId="4EF3F4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100</w:t>
            </w:r>
          </w:p>
        </w:tc>
        <w:tc>
          <w:tcPr>
            <w:tcW w:w="2402" w:type="dxa"/>
            <w:tcBorders>
              <w:top w:val="single" w:color="auto" w:sz="4" w:space="0"/>
              <w:left w:val="single" w:color="auto" w:sz="4" w:space="0"/>
              <w:bottom w:val="single" w:color="auto" w:sz="4" w:space="0"/>
              <w:right w:val="single" w:color="auto" w:sz="4" w:space="0"/>
            </w:tcBorders>
            <w:noWrap w:val="0"/>
            <w:vAlign w:val="center"/>
          </w:tcPr>
          <w:p w14:paraId="6838B66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highlight w:val="none"/>
                <w:u w:val="none"/>
              </w:rPr>
            </w:pPr>
          </w:p>
        </w:tc>
        <w:tc>
          <w:tcPr>
            <w:tcW w:w="1050" w:type="dxa"/>
            <w:tcBorders>
              <w:top w:val="single" w:color="auto" w:sz="4" w:space="0"/>
              <w:left w:val="single" w:color="auto" w:sz="4" w:space="0"/>
              <w:bottom w:val="single" w:color="auto" w:sz="4" w:space="0"/>
              <w:right w:val="single" w:color="auto" w:sz="4" w:space="0"/>
            </w:tcBorders>
            <w:noWrap w:val="0"/>
            <w:vAlign w:val="center"/>
          </w:tcPr>
          <w:p w14:paraId="038D17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w:t>
            </w:r>
          </w:p>
        </w:tc>
        <w:tc>
          <w:tcPr>
            <w:tcW w:w="5298" w:type="dxa"/>
            <w:tcBorders>
              <w:top w:val="single" w:color="auto" w:sz="4" w:space="0"/>
              <w:left w:val="single" w:color="auto" w:sz="4" w:space="0"/>
              <w:bottom w:val="single" w:color="auto" w:sz="4" w:space="0"/>
              <w:right w:val="single" w:color="auto" w:sz="4" w:space="0"/>
            </w:tcBorders>
            <w:noWrap w:val="0"/>
            <w:vAlign w:val="center"/>
          </w:tcPr>
          <w:p w14:paraId="7AA78BD4">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highlight w:val="none"/>
                <w:u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C4F45D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FF0000"/>
                <w:sz w:val="21"/>
                <w:szCs w:val="21"/>
                <w:highlight w:val="none"/>
                <w:u w:val="none"/>
                <w:lang w:val="en-US" w:eastAsia="zh-CN"/>
              </w:rPr>
            </w:pPr>
          </w:p>
        </w:tc>
        <w:tc>
          <w:tcPr>
            <w:tcW w:w="800" w:type="dxa"/>
            <w:tcBorders>
              <w:top w:val="single" w:color="auto" w:sz="4" w:space="0"/>
              <w:left w:val="single" w:color="auto" w:sz="4" w:space="0"/>
              <w:bottom w:val="single" w:color="auto" w:sz="4" w:space="0"/>
              <w:right w:val="single" w:color="auto" w:sz="4" w:space="0"/>
            </w:tcBorders>
            <w:noWrap w:val="0"/>
            <w:vAlign w:val="center"/>
          </w:tcPr>
          <w:p w14:paraId="1A7FE8A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97.69</w:t>
            </w:r>
          </w:p>
        </w:tc>
      </w:tr>
    </w:tbl>
    <w:p w14:paraId="4BA142C2">
      <w:pPr>
        <w:pStyle w:val="10"/>
        <w:ind w:left="0" w:leftChars="0" w:firstLine="0" w:firstLineChars="0"/>
        <w:jc w:val="both"/>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附件2：</w:t>
      </w:r>
    </w:p>
    <w:tbl>
      <w:tblPr>
        <w:tblStyle w:val="23"/>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1C3BE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749715EF">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22"/>
                <w:szCs w:val="22"/>
                <w:highlight w:val="none"/>
                <w:u w:val="none"/>
              </w:rPr>
            </w:pPr>
          </w:p>
        </w:tc>
        <w:tc>
          <w:tcPr>
            <w:tcW w:w="1778" w:type="dxa"/>
            <w:tcBorders>
              <w:top w:val="nil"/>
              <w:left w:val="nil"/>
              <w:bottom w:val="nil"/>
              <w:right w:val="nil"/>
            </w:tcBorders>
            <w:noWrap/>
            <w:vAlign w:val="center"/>
          </w:tcPr>
          <w:p w14:paraId="5BA9B010">
            <w:pPr>
              <w:rPr>
                <w:rFonts w:hint="eastAsia" w:ascii="宋体" w:hAnsi="宋体" w:eastAsia="宋体" w:cs="宋体"/>
                <w:i w:val="0"/>
                <w:iCs w:val="0"/>
                <w:color w:val="000000"/>
                <w:sz w:val="22"/>
                <w:szCs w:val="22"/>
                <w:highlight w:val="none"/>
                <w:u w:val="none"/>
              </w:rPr>
            </w:pPr>
          </w:p>
        </w:tc>
        <w:tc>
          <w:tcPr>
            <w:tcW w:w="2786" w:type="dxa"/>
            <w:tcBorders>
              <w:top w:val="nil"/>
              <w:left w:val="nil"/>
              <w:bottom w:val="nil"/>
              <w:right w:val="nil"/>
            </w:tcBorders>
            <w:noWrap/>
            <w:vAlign w:val="center"/>
          </w:tcPr>
          <w:p w14:paraId="766501A2">
            <w:pPr>
              <w:rPr>
                <w:rFonts w:hint="eastAsia" w:ascii="宋体" w:hAnsi="宋体" w:eastAsia="宋体" w:cs="宋体"/>
                <w:i w:val="0"/>
                <w:iCs w:val="0"/>
                <w:color w:val="000000"/>
                <w:sz w:val="22"/>
                <w:szCs w:val="22"/>
                <w:highlight w:val="none"/>
                <w:u w:val="none"/>
              </w:rPr>
            </w:pPr>
          </w:p>
        </w:tc>
        <w:tc>
          <w:tcPr>
            <w:tcW w:w="2314" w:type="dxa"/>
            <w:tcBorders>
              <w:top w:val="nil"/>
              <w:left w:val="nil"/>
              <w:bottom w:val="nil"/>
              <w:right w:val="nil"/>
            </w:tcBorders>
            <w:noWrap/>
            <w:vAlign w:val="center"/>
          </w:tcPr>
          <w:p w14:paraId="1B756DF2">
            <w:pPr>
              <w:rPr>
                <w:rFonts w:hint="eastAsia" w:ascii="宋体" w:hAnsi="宋体" w:eastAsia="宋体" w:cs="宋体"/>
                <w:i w:val="0"/>
                <w:iCs w:val="0"/>
                <w:color w:val="000000"/>
                <w:sz w:val="22"/>
                <w:szCs w:val="22"/>
                <w:highlight w:val="none"/>
                <w:u w:val="none"/>
              </w:rPr>
            </w:pPr>
          </w:p>
        </w:tc>
        <w:tc>
          <w:tcPr>
            <w:tcW w:w="3449" w:type="dxa"/>
            <w:tcBorders>
              <w:top w:val="nil"/>
              <w:left w:val="nil"/>
              <w:bottom w:val="nil"/>
              <w:right w:val="nil"/>
            </w:tcBorders>
            <w:noWrap/>
            <w:vAlign w:val="center"/>
          </w:tcPr>
          <w:p w14:paraId="2ADBC5EC">
            <w:pPr>
              <w:rPr>
                <w:rFonts w:hint="eastAsia" w:ascii="宋体" w:hAnsi="宋体" w:eastAsia="宋体" w:cs="宋体"/>
                <w:i w:val="0"/>
                <w:iCs w:val="0"/>
                <w:color w:val="000000"/>
                <w:sz w:val="22"/>
                <w:szCs w:val="22"/>
                <w:highlight w:val="none"/>
                <w:u w:val="none"/>
              </w:rPr>
            </w:pPr>
          </w:p>
        </w:tc>
        <w:tc>
          <w:tcPr>
            <w:tcW w:w="1331" w:type="dxa"/>
            <w:tcBorders>
              <w:top w:val="nil"/>
              <w:left w:val="nil"/>
              <w:bottom w:val="nil"/>
              <w:right w:val="nil"/>
            </w:tcBorders>
            <w:noWrap/>
            <w:vAlign w:val="center"/>
          </w:tcPr>
          <w:p w14:paraId="5F122EBF">
            <w:pPr>
              <w:rPr>
                <w:rFonts w:hint="eastAsia" w:ascii="宋体" w:hAnsi="宋体" w:eastAsia="宋体" w:cs="宋体"/>
                <w:i w:val="0"/>
                <w:iCs w:val="0"/>
                <w:color w:val="000000"/>
                <w:sz w:val="22"/>
                <w:szCs w:val="22"/>
                <w:highlight w:val="none"/>
                <w:u w:val="none"/>
              </w:rPr>
            </w:pPr>
          </w:p>
        </w:tc>
      </w:tr>
      <w:tr w14:paraId="1033E2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1A1E018B">
            <w:pPr>
              <w:keepNext w:val="0"/>
              <w:keepLines w:val="0"/>
              <w:widowControl/>
              <w:suppressLineNumbers w:val="0"/>
              <w:jc w:val="center"/>
              <w:textAlignment w:val="center"/>
              <w:rPr>
                <w:rFonts w:hint="eastAsia" w:ascii="宋体" w:hAnsi="宋体" w:eastAsia="宋体" w:cs="宋体"/>
                <w:b/>
                <w:bCs/>
                <w:i w:val="0"/>
                <w:iCs w:val="0"/>
                <w:color w:val="FF0000"/>
                <w:sz w:val="36"/>
                <w:szCs w:val="36"/>
                <w:highlight w:val="none"/>
                <w:u w:val="none"/>
              </w:rPr>
            </w:pPr>
            <w:r>
              <w:rPr>
                <w:rFonts w:hint="eastAsia" w:ascii="宋体" w:hAnsi="宋体" w:eastAsia="宋体" w:cs="宋体"/>
                <w:b/>
                <w:bCs/>
                <w:i w:val="0"/>
                <w:iCs w:val="0"/>
                <w:color w:val="auto"/>
                <w:kern w:val="0"/>
                <w:sz w:val="36"/>
                <w:szCs w:val="36"/>
                <w:u w:val="none"/>
                <w:lang w:val="en-US" w:eastAsia="zh-CN"/>
              </w:rPr>
              <w:t>村干部及村民小组长2024年（5月、10月、11月）工资报酬项目综合得分表</w:t>
            </w:r>
          </w:p>
        </w:tc>
      </w:tr>
      <w:tr w14:paraId="6E575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6CE982A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6DA5B18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26E55B4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2106516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7306C2A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36BDBF5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合计</w:t>
            </w:r>
          </w:p>
        </w:tc>
      </w:tr>
      <w:tr w14:paraId="5650E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7696B33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3C90DC2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20.00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2371DBD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20.00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5231768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130AAF0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20.00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5A4D3FF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r>
      <w:tr w14:paraId="56A7D7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1882019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2E9535C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 xml:space="preserve">20.00 </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2671E5D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19.68</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7E54EDF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38.01</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35C58788">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20.00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0026643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97.69</w:t>
            </w:r>
          </w:p>
        </w:tc>
      </w:tr>
      <w:tr w14:paraId="46BDCF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5E6B177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036C872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0A80828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98.4%</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7AE4FBC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95.03%</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33AE700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5A3ADA8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97.69%</w:t>
            </w:r>
          </w:p>
        </w:tc>
      </w:tr>
    </w:tbl>
    <w:p w14:paraId="74ABE460">
      <w:pPr>
        <w:pStyle w:val="10"/>
        <w:ind w:left="0" w:leftChars="0" w:firstLine="0" w:firstLineChars="0"/>
        <w:jc w:val="both"/>
        <w:rPr>
          <w:rFonts w:hint="default" w:ascii="宋体" w:hAnsi="宋体" w:eastAsia="宋体" w:cs="宋体"/>
          <w:sz w:val="24"/>
          <w:szCs w:val="24"/>
          <w:highlight w:val="none"/>
          <w:lang w:val="en-US" w:eastAsia="zh-CN"/>
        </w:rPr>
      </w:pPr>
    </w:p>
    <w:p w14:paraId="3C04D4D9">
      <w:pPr>
        <w:pStyle w:val="10"/>
        <w:ind w:left="0" w:leftChars="0" w:firstLine="0" w:firstLineChars="0"/>
        <w:jc w:val="both"/>
        <w:rPr>
          <w:rFonts w:hint="eastAsia" w:ascii="宋体" w:hAnsi="宋体" w:eastAsia="宋体" w:cs="宋体"/>
          <w:sz w:val="24"/>
          <w:szCs w:val="24"/>
          <w:lang w:eastAsia="zh-CN"/>
        </w:rPr>
        <w:sectPr>
          <w:pgSz w:w="16838" w:h="11906" w:orient="landscape"/>
          <w:pgMar w:top="1531" w:right="1985" w:bottom="1531" w:left="1701" w:header="851" w:footer="992" w:gutter="0"/>
          <w:pgNumType w:start="1"/>
          <w:cols w:space="720" w:num="1"/>
          <w:docGrid w:type="linesAndChars" w:linePitch="386" w:charSpace="0"/>
        </w:sectPr>
      </w:pPr>
    </w:p>
    <w:p w14:paraId="11F4123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附件3：</w:t>
      </w:r>
    </w:p>
    <w:p w14:paraId="1D144196">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村干部及村民小组长2024年（5月、10月、11月）工资报酬项目</w:t>
      </w:r>
    </w:p>
    <w:p w14:paraId="443E92E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满意度调查问卷分析报告</w:t>
      </w:r>
    </w:p>
    <w:p w14:paraId="30C9741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为客观评价该项目的社会效果，了解</w:t>
      </w:r>
      <w:r>
        <w:rPr>
          <w:rFonts w:hint="eastAsia" w:ascii="宋体" w:hAnsi="宋体" w:eastAsia="宋体" w:cs="宋体"/>
          <w:color w:val="auto"/>
          <w:sz w:val="24"/>
          <w:szCs w:val="24"/>
          <w:highlight w:val="none"/>
          <w:lang w:val="en-US" w:eastAsia="zh-CN"/>
        </w:rPr>
        <w:t>项目受益群体</w:t>
      </w:r>
      <w:r>
        <w:rPr>
          <w:rFonts w:hint="eastAsia" w:ascii="宋体" w:hAnsi="宋体" w:eastAsia="宋体" w:cs="宋体"/>
          <w:color w:val="auto"/>
          <w:sz w:val="24"/>
          <w:szCs w:val="24"/>
          <w:highlight w:val="none"/>
        </w:rPr>
        <w:t>对项目</w:t>
      </w:r>
      <w:r>
        <w:rPr>
          <w:rFonts w:hint="eastAsia" w:ascii="宋体" w:hAnsi="宋体" w:eastAsia="宋体" w:cs="宋体"/>
          <w:color w:val="auto"/>
          <w:sz w:val="24"/>
          <w:szCs w:val="24"/>
          <w:highlight w:val="none"/>
          <w:lang w:val="en-US" w:eastAsia="zh-CN"/>
        </w:rPr>
        <w:t>实施后</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val="en-US" w:eastAsia="zh-CN"/>
        </w:rPr>
        <w:t>真实</w:t>
      </w:r>
      <w:r>
        <w:rPr>
          <w:rFonts w:hint="eastAsia" w:ascii="宋体" w:hAnsi="宋体" w:eastAsia="宋体" w:cs="宋体"/>
          <w:color w:val="auto"/>
          <w:sz w:val="24"/>
          <w:szCs w:val="24"/>
          <w:highlight w:val="none"/>
        </w:rPr>
        <w:t>评价情况，对本项目</w:t>
      </w:r>
      <w:r>
        <w:rPr>
          <w:rFonts w:hint="eastAsia" w:ascii="宋体" w:hAnsi="宋体" w:eastAsia="宋体" w:cs="宋体"/>
          <w:color w:val="auto"/>
          <w:sz w:val="24"/>
          <w:szCs w:val="24"/>
          <w:highlight w:val="none"/>
          <w:lang w:eastAsia="zh-CN"/>
        </w:rPr>
        <w:t>开展</w:t>
      </w:r>
      <w:r>
        <w:rPr>
          <w:rFonts w:hint="eastAsia" w:ascii="宋体" w:hAnsi="宋体" w:eastAsia="宋体" w:cs="宋体"/>
          <w:color w:val="auto"/>
          <w:sz w:val="24"/>
          <w:szCs w:val="24"/>
          <w:highlight w:val="none"/>
        </w:rPr>
        <w:t>满意度问卷调查。问卷调查工作情况如下。问卷调查工作情况如下：</w:t>
      </w:r>
    </w:p>
    <w:p w14:paraId="31F05E5E">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一、该问卷调查从2025年1月1日开始至2025年3月5日结束，调查问卷共设置3道题目。</w:t>
      </w:r>
    </w:p>
    <w:p w14:paraId="6B41CBC7">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对象</w:t>
      </w:r>
    </w:p>
    <w:p w14:paraId="063B9000">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本次</w:t>
      </w:r>
      <w:r>
        <w:rPr>
          <w:rFonts w:hint="eastAsia" w:ascii="宋体" w:hAnsi="宋体" w:eastAsia="宋体" w:cs="宋体"/>
          <w:b/>
          <w:bCs/>
          <w:color w:val="auto"/>
          <w:sz w:val="24"/>
          <w:szCs w:val="24"/>
          <w:highlight w:val="none"/>
          <w:lang w:eastAsia="zh-CN"/>
        </w:rPr>
        <w:t>调查</w:t>
      </w:r>
      <w:r>
        <w:rPr>
          <w:rFonts w:hint="eastAsia" w:ascii="宋体" w:hAnsi="宋体" w:eastAsia="宋体" w:cs="宋体"/>
          <w:b/>
          <w:bCs/>
          <w:color w:val="auto"/>
          <w:sz w:val="24"/>
          <w:szCs w:val="24"/>
          <w:highlight w:val="none"/>
        </w:rPr>
        <w:t>的受益对象为</w:t>
      </w:r>
      <w:r>
        <w:rPr>
          <w:rFonts w:hint="eastAsia" w:ascii="宋体" w:hAnsi="宋体" w:eastAsia="宋体" w:cs="宋体"/>
          <w:b/>
          <w:bCs/>
          <w:color w:val="auto"/>
          <w:sz w:val="24"/>
          <w:szCs w:val="24"/>
          <w:highlight w:val="none"/>
          <w:lang w:val="en-US" w:eastAsia="zh-CN"/>
        </w:rPr>
        <w:t>村干部和村民小组长</w:t>
      </w:r>
      <w:r>
        <w:rPr>
          <w:rFonts w:hint="eastAsia" w:ascii="宋体" w:hAnsi="宋体" w:eastAsia="宋体" w:cs="宋体"/>
          <w:b/>
          <w:bCs/>
          <w:color w:val="auto"/>
          <w:sz w:val="24"/>
          <w:szCs w:val="24"/>
          <w:highlight w:val="none"/>
        </w:rPr>
        <w:t>。</w:t>
      </w:r>
    </w:p>
    <w:p w14:paraId="1B822BB4">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2.调查内容</w:t>
      </w:r>
    </w:p>
    <w:p w14:paraId="4C08D762">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①您对村干部及村民小组长2024年（5月、10月、11月）工资报酬项目中提高村干部工作积极性是否满意?</w:t>
      </w:r>
    </w:p>
    <w:p w14:paraId="3E0CBBD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②您对村干部及村民小组长2024年（5月、10月、11月）工资报酬项目的补助发放及时性是否满意和对工作强度和工资待遇匹配是否满意？</w:t>
      </w:r>
    </w:p>
    <w:p w14:paraId="21920FF5">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③总的来说，村干部及村民小组长2024年（5月、10月、11月）工资报酬项目，项目实施后的整体满意程度如何？</w:t>
      </w:r>
    </w:p>
    <w:p w14:paraId="20511829">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3.调查方法</w:t>
      </w:r>
    </w:p>
    <w:p w14:paraId="3454E088">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问卷调查采取分层抽样和随机抽样相结合的方式进行。在全面调查开展之前会先进行论证，依据论证结果对问卷和抽样方案再进行一次修改和调整之后再付诸实施。</w:t>
      </w:r>
    </w:p>
    <w:p w14:paraId="74867ABC">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4.抽样方式</w:t>
      </w:r>
    </w:p>
    <w:p w14:paraId="3F55510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为确保问卷调查的全面性和代表性，本次调查问卷调查采取随机抽样和分层抽样相结合方式进行。</w:t>
      </w:r>
    </w:p>
    <w:p w14:paraId="3EAAA3E1">
      <w:pPr>
        <w:pStyle w:val="10"/>
        <w:keepNext w:val="0"/>
        <w:keepLines w:val="0"/>
        <w:pageBreakBefore w:val="0"/>
        <w:widowControl w:val="0"/>
        <w:kinsoku/>
        <w:wordWrap/>
        <w:overflowPunct/>
        <w:topLinePunct w:val="0"/>
        <w:autoSpaceDE/>
        <w:autoSpaceDN/>
        <w:bidi w:val="0"/>
        <w:adjustRightInd/>
        <w:snapToGrid/>
        <w:spacing w:before="0" w:after="0" w:line="360" w:lineRule="auto"/>
        <w:ind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5.问卷的发放和回收</w:t>
      </w:r>
    </w:p>
    <w:p w14:paraId="35DE71E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5A300EB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6.问卷调查分析结果</w:t>
      </w:r>
    </w:p>
    <w:p w14:paraId="4E12236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本次调查过程中，评价小组实际发放问卷30份，回收问卷30份，问卷回收率为100.00%，有效问卷30份，有效回收率100.00%，本次调查的整体情况如下：</w:t>
      </w:r>
    </w:p>
    <w:p w14:paraId="5D19A0D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第一个问题：该项统计有效问卷数量30份，选择非常满意的人数为30人。选择比较满意的人数为0人，选择一般的人数0人，选择不满意的人数0人，选择非常不满意的人数0人。</w:t>
      </w:r>
    </w:p>
    <w:p w14:paraId="18AE7E7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第二个问题：该项统计有效问卷数量30份，选择非常满意的人数为30人。选择比较满意的人数为0人，选择一般的人数0人，选择不满意的人数0人，选择非常不满意的人数0人。</w:t>
      </w:r>
    </w:p>
    <w:p w14:paraId="757F13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第三个问题：该项统计有效问卷数量30份，选择非常满意的人数为30人。选择比较满意的人数为0人，选择一般的人数0人，选择不满意的人数0人，选择非常不满意的人数0人。</w:t>
      </w:r>
    </w:p>
    <w:p w14:paraId="3226C00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二、调查结果统计</w:t>
      </w:r>
    </w:p>
    <w:p w14:paraId="737873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村干部及村民小组长2024年（5月、10月、11月）工资报酬项目针对受益人员发放30份调查问卷，最终统计受益人群满意度为100%。</w:t>
      </w:r>
    </w:p>
    <w:p w14:paraId="61247E0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b w:val="0"/>
          <w:color w:val="auto"/>
          <w:kern w:val="2"/>
          <w:sz w:val="24"/>
          <w:szCs w:val="24"/>
          <w:highlight w:val="none"/>
          <w:lang w:val="en-US" w:eastAsia="zh-CN" w:bidi="ar-SA"/>
        </w:rPr>
      </w:pPr>
    </w:p>
    <w:p w14:paraId="1614A3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中共洛浦县委员会组织部</w:t>
      </w:r>
    </w:p>
    <w:p w14:paraId="2AAB1A0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lang w:eastAsia="zh-CN"/>
        </w:rPr>
      </w:pPr>
      <w:r>
        <w:rPr>
          <w:rFonts w:hint="eastAsia" w:ascii="宋体" w:hAnsi="宋体" w:eastAsia="宋体" w:cs="宋体"/>
          <w:b w:val="0"/>
          <w:color w:val="auto"/>
          <w:kern w:val="2"/>
          <w:sz w:val="24"/>
          <w:szCs w:val="24"/>
          <w:highlight w:val="none"/>
          <w:lang w:val="en-US" w:eastAsia="zh-CN" w:bidi="ar-SA"/>
        </w:rPr>
        <w:t xml:space="preserve">                                              2025年3月6日</w:t>
      </w: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CFFEE">
    <w:pPr>
      <w:pStyle w:val="1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2002E">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1"/>
      <w:numFmt w:val="decimal"/>
      <w:suff w:val="nothing"/>
      <w:lvlText w:val="（%1）"/>
      <w:lvlJc w:val="left"/>
    </w:lvl>
  </w:abstractNum>
  <w:abstractNum w:abstractNumId="1">
    <w:nsid w:val="0053208E"/>
    <w:multiLevelType w:val="singleLevel"/>
    <w:tmpl w:val="0053208E"/>
    <w:lvl w:ilvl="0" w:tentative="0">
      <w:start w:val="1"/>
      <w:numFmt w:val="decimal"/>
      <w:suff w:val="nothing"/>
      <w:lvlText w:val="（%1）"/>
      <w:lvlJc w:val="left"/>
    </w:lvl>
  </w:abstractNum>
  <w:abstractNum w:abstractNumId="2">
    <w:nsid w:val="59ADCABA"/>
    <w:multiLevelType w:val="singleLevel"/>
    <w:tmpl w:val="59ADCABA"/>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71D46CE8"/>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3">
    <w:name w:val="heading 1"/>
    <w:basedOn w:val="1"/>
    <w:next w:val="4"/>
    <w:link w:val="31"/>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2">
    <w:name w:val="heading 2"/>
    <w:basedOn w:val="1"/>
    <w:next w:val="1"/>
    <w:link w:val="30"/>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4"/>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5"/>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4">
    <w:name w:val="Body Text First Indent 2"/>
    <w:basedOn w:val="5"/>
    <w:link w:val="33"/>
    <w:unhideWhenUsed/>
    <w:uiPriority w:val="0"/>
    <w:pPr>
      <w:ind w:firstLine="420"/>
    </w:pPr>
  </w:style>
  <w:style w:type="paragraph" w:styleId="5">
    <w:name w:val="Body Text Indent"/>
    <w:basedOn w:val="1"/>
    <w:link w:val="32"/>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6"/>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38"/>
    <w:unhideWhenUsed/>
    <w:uiPriority w:val="99"/>
    <w:rPr>
      <w:rFonts w:cs="Times New Roman"/>
      <w:kern w:val="0"/>
      <w:sz w:val="18"/>
      <w:szCs w:val="18"/>
    </w:rPr>
  </w:style>
  <w:style w:type="paragraph" w:styleId="15">
    <w:name w:val="footer"/>
    <w:basedOn w:val="1"/>
    <w:link w:val="39"/>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Title"/>
    <w:basedOn w:val="1"/>
    <w:next w:val="1"/>
    <w:link w:val="41"/>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unhideWhenUsed/>
    <w:uiPriority w:val="99"/>
    <w:rPr>
      <w:color w:val="0000FF"/>
      <w:u w:val="single"/>
    </w:rPr>
  </w:style>
  <w:style w:type="paragraph" w:customStyle="1" w:styleId="27">
    <w:name w:val="Comment Text"/>
    <w:basedOn w:val="1"/>
    <w:link w:val="37"/>
    <w:unhideWhenUsed/>
    <w:uiPriority w:val="99"/>
    <w:rPr>
      <w:rFonts w:cs="Times New Roman"/>
      <w:kern w:val="0"/>
      <w:sz w:val="20"/>
      <w:szCs w:val="20"/>
    </w:rPr>
  </w:style>
  <w:style w:type="paragraph" w:customStyle="1" w:styleId="28">
    <w:name w:val="Comment Subject"/>
    <w:basedOn w:val="27"/>
    <w:next w:val="27"/>
    <w:link w:val="42"/>
    <w:unhideWhenUsed/>
    <w:uiPriority w:val="99"/>
    <w:rPr>
      <w:b/>
      <w:bCs/>
    </w:rPr>
  </w:style>
  <w:style w:type="character" w:customStyle="1" w:styleId="29">
    <w:name w:val="Comment Reference"/>
    <w:unhideWhenUsed/>
    <w:uiPriority w:val="99"/>
    <w:rPr>
      <w:sz w:val="16"/>
      <w:szCs w:val="16"/>
    </w:rPr>
  </w:style>
  <w:style w:type="character" w:customStyle="1" w:styleId="30">
    <w:name w:val="标题 2 Char"/>
    <w:link w:val="2"/>
    <w:uiPriority w:val="0"/>
    <w:rPr>
      <w:rFonts w:ascii="Cambria" w:hAnsi="Cambria" w:eastAsia="仿宋_GB2312" w:cs="Times New Roman"/>
      <w:b/>
      <w:bCs/>
      <w:kern w:val="0"/>
      <w:sz w:val="30"/>
      <w:szCs w:val="32"/>
    </w:rPr>
  </w:style>
  <w:style w:type="character" w:customStyle="1" w:styleId="31">
    <w:name w:val="标题 1 Char"/>
    <w:link w:val="3"/>
    <w:uiPriority w:val="9"/>
    <w:rPr>
      <w:rFonts w:ascii="Times New Roman" w:hAnsi="Times New Roman" w:eastAsia="仿宋_GB2312" w:cs="Times New Roman"/>
      <w:b/>
      <w:bCs/>
      <w:kern w:val="44"/>
      <w:sz w:val="32"/>
      <w:szCs w:val="44"/>
    </w:rPr>
  </w:style>
  <w:style w:type="character" w:customStyle="1" w:styleId="32">
    <w:name w:val="正文文本缩进 Char"/>
    <w:link w:val="5"/>
    <w:semiHidden/>
    <w:uiPriority w:val="99"/>
    <w:rPr>
      <w:rFonts w:ascii="Calibri" w:hAnsi="Calibri" w:eastAsia="仿宋_GB2312" w:cs="黑体"/>
      <w:sz w:val="28"/>
    </w:rPr>
  </w:style>
  <w:style w:type="character" w:customStyle="1" w:styleId="33">
    <w:name w:val="正文首行缩进 2 Char"/>
    <w:link w:val="4"/>
    <w:uiPriority w:val="0"/>
    <w:rPr>
      <w:rFonts w:ascii="Calibri" w:hAnsi="Calibri" w:eastAsia="仿宋_GB2312" w:cs="黑体"/>
      <w:sz w:val="28"/>
    </w:rPr>
  </w:style>
  <w:style w:type="character" w:customStyle="1" w:styleId="34">
    <w:name w:val="标题 3 Char"/>
    <w:link w:val="6"/>
    <w:uiPriority w:val="9"/>
    <w:rPr>
      <w:rFonts w:ascii="Calibri" w:hAnsi="Calibri" w:eastAsia="仿宋_GB2312" w:cs="黑体"/>
      <w:bCs/>
      <w:sz w:val="28"/>
      <w:szCs w:val="32"/>
    </w:rPr>
  </w:style>
  <w:style w:type="character" w:customStyle="1" w:styleId="35">
    <w:name w:val="标题 4 Char"/>
    <w:link w:val="7"/>
    <w:semiHidden/>
    <w:uiPriority w:val="9"/>
    <w:rPr>
      <w:rFonts w:ascii="Cambria" w:hAnsi="Cambria" w:eastAsia="宋体" w:cs="Times New Roman"/>
      <w:b/>
      <w:bCs/>
      <w:sz w:val="28"/>
      <w:szCs w:val="28"/>
    </w:rPr>
  </w:style>
  <w:style w:type="character" w:customStyle="1" w:styleId="36">
    <w:name w:val="文档结构图 Char"/>
    <w:link w:val="9"/>
    <w:semiHidden/>
    <w:uiPriority w:val="99"/>
    <w:rPr>
      <w:rFonts w:ascii="宋体" w:hAnsi="Calibri" w:eastAsia="宋体" w:cs="黑体"/>
      <w:sz w:val="18"/>
      <w:szCs w:val="18"/>
    </w:rPr>
  </w:style>
  <w:style w:type="character" w:customStyle="1" w:styleId="37">
    <w:name w:val="批注文字 Char"/>
    <w:link w:val="27"/>
    <w:semiHidden/>
    <w:uiPriority w:val="99"/>
    <w:rPr>
      <w:rFonts w:ascii="Calibri" w:hAnsi="Calibri" w:eastAsia="仿宋_GB2312" w:cs="黑体"/>
      <w:sz w:val="20"/>
      <w:szCs w:val="20"/>
    </w:rPr>
  </w:style>
  <w:style w:type="character" w:customStyle="1" w:styleId="38">
    <w:name w:val="批注框文本 Char"/>
    <w:link w:val="14"/>
    <w:semiHidden/>
    <w:uiPriority w:val="99"/>
    <w:rPr>
      <w:rFonts w:ascii="Calibri" w:hAnsi="Calibri" w:eastAsia="仿宋_GB2312" w:cs="黑体"/>
      <w:sz w:val="18"/>
      <w:szCs w:val="18"/>
    </w:rPr>
  </w:style>
  <w:style w:type="character" w:customStyle="1" w:styleId="39">
    <w:name w:val="页脚 Char"/>
    <w:link w:val="15"/>
    <w:uiPriority w:val="99"/>
    <w:rPr>
      <w:rFonts w:ascii="Calibri" w:hAnsi="Calibri" w:eastAsia="仿宋_GB2312" w:cs="黑体"/>
      <w:sz w:val="18"/>
      <w:szCs w:val="18"/>
    </w:rPr>
  </w:style>
  <w:style w:type="character" w:customStyle="1" w:styleId="40">
    <w:name w:val="页眉 Char"/>
    <w:link w:val="16"/>
    <w:uiPriority w:val="99"/>
    <w:rPr>
      <w:rFonts w:ascii="Calibri" w:hAnsi="Calibri" w:eastAsia="仿宋_GB2312" w:cs="黑体"/>
      <w:sz w:val="18"/>
      <w:szCs w:val="18"/>
    </w:rPr>
  </w:style>
  <w:style w:type="character" w:customStyle="1" w:styleId="41">
    <w:name w:val="标题 Char"/>
    <w:link w:val="22"/>
    <w:uiPriority w:val="10"/>
    <w:rPr>
      <w:rFonts w:ascii="Cambria" w:hAnsi="Cambria"/>
      <w:b/>
      <w:bCs/>
      <w:kern w:val="2"/>
      <w:sz w:val="32"/>
      <w:szCs w:val="32"/>
    </w:rPr>
  </w:style>
  <w:style w:type="character" w:customStyle="1" w:styleId="42">
    <w:name w:val="批注主题 Char"/>
    <w:link w:val="28"/>
    <w:semiHidden/>
    <w:uiPriority w:val="99"/>
    <w:rPr>
      <w:rFonts w:ascii="Calibri" w:hAnsi="Calibri" w:eastAsia="仿宋_GB2312" w:cs="黑体"/>
      <w:b/>
      <w:bCs/>
      <w:sz w:val="20"/>
      <w:szCs w:val="20"/>
    </w:rPr>
  </w:style>
  <w:style w:type="character" w:customStyle="1" w:styleId="43">
    <w:name w:val="无间隔 Char"/>
    <w:link w:val="44"/>
    <w:uiPriority w:val="1"/>
    <w:rPr>
      <w:rFonts w:eastAsia="仿宋_GB2312" w:cs="黑体"/>
      <w:kern w:val="2"/>
      <w:sz w:val="28"/>
      <w:szCs w:val="22"/>
      <w:lang w:val="en-US" w:eastAsia="zh-CN" w:bidi="ar-SA"/>
    </w:rPr>
  </w:style>
  <w:style w:type="paragraph" w:styleId="44">
    <w:name w:val="No Spacing"/>
    <w:link w:val="43"/>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character" w:customStyle="1" w:styleId="45">
    <w:name w:val="闻政-正文段落文字 Char"/>
    <w:link w:val="46"/>
    <w:uiPriority w:val="3"/>
    <w:rPr>
      <w:rFonts w:ascii="Times New Roman" w:hAnsi="Times New Roman" w:eastAsia="仿宋_GB2312"/>
      <w:sz w:val="28"/>
      <w:szCs w:val="28"/>
    </w:rPr>
  </w:style>
  <w:style w:type="paragraph" w:customStyle="1" w:styleId="46">
    <w:name w:val="闻政-正文段落文字"/>
    <w:basedOn w:val="1"/>
    <w:link w:val="45"/>
    <w:qFormat/>
    <w:uiPriority w:val="3"/>
    <w:pPr>
      <w:spacing w:line="500" w:lineRule="exact"/>
      <w:ind w:firstLine="200"/>
    </w:pPr>
    <w:rPr>
      <w:rFonts w:ascii="Times New Roman" w:hAnsi="Times New Roman" w:cs="Times New Roman"/>
      <w:kern w:val="0"/>
      <w:szCs w:val="28"/>
    </w:rPr>
  </w:style>
  <w:style w:type="character" w:customStyle="1" w:styleId="47">
    <w:name w:val="47"/>
    <w:qFormat/>
    <w:uiPriority w:val="0"/>
    <w:rPr>
      <w:b/>
      <w:bCs/>
      <w:smallCaps/>
      <w:color w:val="C0504D"/>
      <w:spacing w:val="5"/>
      <w:u w:val="single"/>
    </w:rPr>
  </w:style>
  <w:style w:type="character" w:customStyle="1" w:styleId="48">
    <w:name w:val="font11"/>
    <w:uiPriority w:val="0"/>
    <w:rPr>
      <w:rFonts w:hint="eastAsia" w:ascii="方正仿宋_GBK" w:hAnsi="方正仿宋_GBK" w:eastAsia="方正仿宋_GBK" w:cs="方正仿宋_GBK"/>
      <w:color w:val="000000"/>
      <w:sz w:val="24"/>
      <w:szCs w:val="24"/>
      <w:u w:val="none"/>
    </w:rPr>
  </w:style>
  <w:style w:type="character" w:customStyle="1" w:styleId="49">
    <w:name w:val="闻政-正文三级标题 Char"/>
    <w:link w:val="50"/>
    <w:uiPriority w:val="3"/>
    <w:rPr>
      <w:rFonts w:ascii="Times New Roman" w:hAnsi="Times New Roman" w:eastAsia="仿宋_GB2312"/>
      <w:b/>
      <w:snapToGrid w:val="0"/>
      <w:sz w:val="28"/>
      <w:szCs w:val="28"/>
    </w:rPr>
  </w:style>
  <w:style w:type="paragraph" w:customStyle="1" w:styleId="50">
    <w:name w:val="闻政-正文三级标题"/>
    <w:basedOn w:val="1"/>
    <w:next w:val="46"/>
    <w:link w:val="49"/>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1">
    <w:name w:val="font71"/>
    <w:basedOn w:val="25"/>
    <w:uiPriority w:val="0"/>
    <w:rPr>
      <w:rFonts w:hint="eastAsia" w:ascii="微软雅黑" w:hAnsi="微软雅黑" w:eastAsia="微软雅黑" w:cs="微软雅黑"/>
      <w:b/>
      <w:bCs/>
      <w:color w:val="000000"/>
      <w:sz w:val="32"/>
      <w:szCs w:val="32"/>
      <w:u w:val="none"/>
    </w:rPr>
  </w:style>
  <w:style w:type="character" w:customStyle="1" w:styleId="52">
    <w:name w:val="闻政-正文一级标题 Char"/>
    <w:link w:val="53"/>
    <w:uiPriority w:val="3"/>
    <w:rPr>
      <w:rFonts w:ascii="黑体" w:hAnsi="黑体" w:eastAsia="黑体"/>
      <w:bCs/>
      <w:sz w:val="32"/>
      <w:szCs w:val="32"/>
    </w:rPr>
  </w:style>
  <w:style w:type="paragraph" w:customStyle="1" w:styleId="53">
    <w:name w:val="闻政-正文一级标题"/>
    <w:basedOn w:val="6"/>
    <w:next w:val="46"/>
    <w:link w:val="52"/>
    <w:qFormat/>
    <w:uiPriority w:val="3"/>
    <w:pPr>
      <w:spacing w:before="120" w:after="60" w:line="500" w:lineRule="exact"/>
      <w:ind w:firstLine="0" w:firstLineChars="0"/>
      <w:outlineLvl w:val="0"/>
    </w:pPr>
    <w:rPr>
      <w:rFonts w:ascii="黑体" w:hAnsi="黑体" w:eastAsia="黑体"/>
      <w:sz w:val="32"/>
    </w:rPr>
  </w:style>
  <w:style w:type="character" w:customStyle="1" w:styleId="54">
    <w:name w:val="font21"/>
    <w:uiPriority w:val="0"/>
    <w:rPr>
      <w:rFonts w:hint="default" w:ascii="Times New Roman" w:hAnsi="Times New Roman" w:cs="Times New Roman"/>
      <w:color w:val="000000"/>
      <w:sz w:val="24"/>
      <w:szCs w:val="24"/>
      <w:u w:val="none"/>
    </w:rPr>
  </w:style>
  <w:style w:type="character" w:customStyle="1" w:styleId="55">
    <w:name w:val="闻政-正文二级标题 Char"/>
    <w:link w:val="56"/>
    <w:uiPriority w:val="3"/>
    <w:rPr>
      <w:rFonts w:ascii="Times New Roman" w:hAnsi="Times New Roman" w:eastAsia="仿宋_GB2312"/>
      <w:b/>
      <w:bCs/>
      <w:sz w:val="28"/>
      <w:szCs w:val="32"/>
    </w:rPr>
  </w:style>
  <w:style w:type="paragraph" w:customStyle="1" w:styleId="56">
    <w:name w:val="闻政-正文二级标题"/>
    <w:basedOn w:val="2"/>
    <w:next w:val="46"/>
    <w:link w:val="55"/>
    <w:qFormat/>
    <w:uiPriority w:val="3"/>
    <w:pPr>
      <w:spacing w:before="120" w:after="60" w:line="500" w:lineRule="exact"/>
      <w:ind w:left="200" w:leftChars="200" w:firstLine="0" w:firstLineChars="0"/>
    </w:pPr>
    <w:rPr>
      <w:rFonts w:ascii="Times New Roman" w:hAnsi="Times New Roman"/>
      <w:sz w:val="28"/>
    </w:rPr>
  </w:style>
  <w:style w:type="paragraph" w:customStyle="1" w:styleId="57">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paragraph" w:styleId="58">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D2952AC3342B44788565F6442BB2F3A5_13</vt:lpwstr>
  </property>
  <property fmtid="{D5CDD505-2E9C-101B-9397-08002B2CF9AE}" pid="4" name="KSOTemplateDocerSaveRecord">
    <vt:lpwstr>eyJoZGlkIjoiMDljYzUzMWQ4OWI0YzBkYjYzMDRhZTY5ZjZkYmFmYTgiLCJ1c2VySWQiOiI2NTE5NDIwMjYifQ==</vt:lpwstr>
  </property>
</Properties>
</file>

<file path=customXml/itemProps1.xml><?xml version="1.0" encoding="utf-8"?>
<ds:datastoreItem xmlns:ds="http://schemas.openxmlformats.org/officeDocument/2006/customXml" ds:itemID="{20eaf2fa-9d3a-40db-ab15-05a0d248d57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26</Pages>
  <Words>14102</Words>
  <Characters>15180</Characters>
  <Lines>44</Lines>
  <Paragraphs>12</Paragraphs>
  <TotalTime>5</TotalTime>
  <ScaleCrop>false</ScaleCrop>
  <LinksUpToDate>false</LinksUpToDate>
  <CharactersWithSpaces>15246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2021-04-03T17:53:00Z</dcterms:created>
  <dc:creator>User</dc:creator>
  <cp:lastModifiedBy>Administrator</cp:lastModifiedBy>
  <dcterms:modified xsi:type="dcterms:W3CDTF">2025-10-10T10:23:07Z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D2952AC3342B44788565F6442BB2F3A5_13</vt:lpwstr>
  </property>
  <property fmtid="{D5CDD505-2E9C-101B-9397-08002B2CF9AE}" pid="4" name="KSOTemplateDocerSaveRecord">
    <vt:lpwstr>eyJoZGlkIjoiMDljYzUzMWQ4OWI0YzBkYjYzMDRhZTY5ZjZkYmFmYTgiLCJ1c2VySWQiOiI2NTE5NDIwMjYifQ_x003D__x003D_</vt:lpwstr>
  </property>
</Properties>
</file>