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7C75D">
      <w:bookmarkStart w:id="18" w:name="_GoBack"/>
      <w:bookmarkEnd w:id="18"/>
    </w:p>
    <w:p w14:paraId="09EBFBF3">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45F8E5A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lang w:val="en-US" w:eastAsia="zh-CN"/>
        </w:rPr>
      </w:pPr>
      <w:r>
        <w:rPr>
          <w:rFonts w:hint="eastAsia" w:ascii="黑体" w:hAnsi="黑体" w:eastAsia="黑体" w:cs="黑体"/>
          <w:b/>
          <w:color w:val="auto"/>
          <w:sz w:val="36"/>
          <w:szCs w:val="36"/>
          <w:lang w:val="en-US" w:eastAsia="zh-CN"/>
        </w:rPr>
        <w:t>和田地区洛浦县村干部及村民小组长2024年2月-2024年4月工资报酬工资报酬项目支出绩效评价报告</w:t>
      </w:r>
    </w:p>
    <w:p w14:paraId="7EEECA23">
      <w:pPr>
        <w:pStyle w:val="6"/>
        <w:jc w:val="center"/>
        <w:rPr>
          <w:rFonts w:hint="eastAsia" w:ascii="Times New Roman" w:hAnsi="Times New Roman" w:cs="Times New Roman"/>
          <w:bCs/>
          <w:color w:val="auto"/>
          <w:lang w:eastAsia="zh-CN"/>
        </w:rPr>
      </w:pPr>
      <w:r>
        <w:rPr>
          <w:rFonts w:hint="eastAsia" w:ascii="Times New Roman" w:hAnsi="Times New Roman" w:cs="Times New Roman"/>
          <w:bCs/>
          <w:color w:val="auto"/>
          <w:lang w:eastAsia="zh-CN"/>
        </w:rPr>
        <w:t>（</w:t>
      </w:r>
      <w:r>
        <w:rPr>
          <w:rFonts w:hint="eastAsia" w:ascii="Times New Roman" w:hAnsi="Times New Roman" w:cs="Times New Roman"/>
          <w:bCs/>
          <w:color w:val="auto"/>
          <w:lang w:val="en-US" w:eastAsia="zh-CN"/>
        </w:rPr>
        <w:t>202</w:t>
      </w:r>
      <w:r>
        <w:rPr>
          <w:rFonts w:hint="default" w:ascii="Times New Roman" w:hAnsi="Times New Roman" w:cs="Times New Roman"/>
          <w:bCs/>
          <w:color w:val="auto"/>
          <w:lang w:eastAsia="zh-CN"/>
        </w:rPr>
        <w:t>4</w:t>
      </w:r>
      <w:r>
        <w:rPr>
          <w:rFonts w:hint="eastAsia" w:ascii="Times New Roman" w:hAnsi="Times New Roman" w:cs="Times New Roman"/>
          <w:bCs/>
          <w:color w:val="auto"/>
          <w:lang w:val="en-US" w:eastAsia="zh-CN"/>
        </w:rPr>
        <w:t>年度</w:t>
      </w:r>
      <w:r>
        <w:rPr>
          <w:rFonts w:hint="eastAsia" w:ascii="Times New Roman" w:hAnsi="Times New Roman" w:cs="Times New Roman"/>
          <w:bCs/>
          <w:color w:val="auto"/>
          <w:lang w:eastAsia="zh-CN"/>
        </w:rPr>
        <w:t>）</w:t>
      </w:r>
    </w:p>
    <w:p w14:paraId="2FD20DDD">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6D9F814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489DAF43">
      <w:pPr>
        <w:pStyle w:val="6"/>
        <w:rPr>
          <w:rFonts w:hint="eastAsia" w:eastAsia="方正仿宋_GBK" w:cs="方正仿宋_GBK"/>
          <w:b/>
          <w:kern w:val="0"/>
          <w:sz w:val="32"/>
          <w:szCs w:val="32"/>
          <w:lang w:bidi="en-US"/>
        </w:rPr>
      </w:pPr>
    </w:p>
    <w:p w14:paraId="51CF5A2C">
      <w:pPr>
        <w:rPr>
          <w:rFonts w:hint="eastAsia" w:eastAsia="方正仿宋_GBK" w:cs="方正仿宋_GBK"/>
          <w:b/>
          <w:kern w:val="0"/>
          <w:sz w:val="32"/>
          <w:szCs w:val="32"/>
          <w:lang w:bidi="en-US"/>
        </w:rPr>
      </w:pPr>
    </w:p>
    <w:p w14:paraId="4227C3AE">
      <w:pPr>
        <w:pStyle w:val="6"/>
        <w:rPr>
          <w:rFonts w:hint="eastAsia"/>
        </w:rPr>
      </w:pPr>
    </w:p>
    <w:p w14:paraId="47FDD27F">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5D736CBA">
      <w:pPr>
        <w:pageBreakBefore w:val="0"/>
        <w:widowControl w:val="0"/>
        <w:kinsoku/>
        <w:wordWrap/>
        <w:topLinePunct w:val="0"/>
        <w:autoSpaceDE/>
        <w:autoSpaceDN/>
        <w:bidi w:val="0"/>
        <w:spacing w:line="560" w:lineRule="exact"/>
        <w:ind w:left="0" w:leftChars="0" w:firstLine="560"/>
        <w:textAlignment w:val="auto"/>
        <w:rPr>
          <w:rFonts w:hint="eastAsia"/>
        </w:rPr>
      </w:pPr>
    </w:p>
    <w:p w14:paraId="2DE1EDC3">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4C5682DB">
      <w:pPr>
        <w:pageBreakBefore w:val="0"/>
        <w:widowControl w:val="0"/>
        <w:kinsoku/>
        <w:wordWrap/>
        <w:topLinePunct w:val="0"/>
        <w:autoSpaceDE/>
        <w:autoSpaceDN/>
        <w:bidi w:val="0"/>
        <w:spacing w:line="560" w:lineRule="exact"/>
        <w:ind w:left="2240" w:leftChars="400" w:hanging="1120" w:hangingChars="400"/>
        <w:jc w:val="left"/>
        <w:textAlignment w:val="auto"/>
        <w:rPr>
          <w:rFonts w:hint="eastAsia" w:ascii="宋体" w:hAnsi="宋体" w:eastAsia="宋体" w:cs="宋体"/>
          <w:color w:val="auto"/>
          <w:kern w:val="0"/>
          <w:sz w:val="28"/>
          <w:szCs w:val="28"/>
          <w:highlight w:val="none"/>
          <w:lang w:eastAsia="zh-CN" w:bidi="en-US"/>
        </w:rPr>
      </w:pPr>
      <w:r>
        <w:rPr>
          <w:rFonts w:hint="eastAsia" w:ascii="宋体" w:hAnsi="宋体" w:eastAsia="宋体" w:cs="宋体"/>
          <w:color w:val="auto"/>
          <w:kern w:val="0"/>
          <w:sz w:val="28"/>
          <w:szCs w:val="28"/>
          <w:highlight w:val="none"/>
          <w:lang w:bidi="en-US"/>
        </w:rPr>
        <w:t>项目名称：</w:t>
      </w:r>
      <w:r>
        <w:rPr>
          <w:rFonts w:hint="eastAsia" w:ascii="宋体" w:hAnsi="宋体" w:eastAsia="宋体" w:cs="宋体"/>
          <w:color w:val="auto"/>
          <w:kern w:val="0"/>
          <w:sz w:val="28"/>
          <w:szCs w:val="28"/>
          <w:highlight w:val="none"/>
          <w:lang w:eastAsia="zh-CN" w:bidi="en-US"/>
        </w:rPr>
        <w:t>村干部及村民小组长2024年2月-2024年4月</w:t>
      </w:r>
    </w:p>
    <w:p w14:paraId="7A0EFD18">
      <w:pPr>
        <w:pageBreakBefore w:val="0"/>
        <w:widowControl w:val="0"/>
        <w:kinsoku/>
        <w:wordWrap/>
        <w:topLinePunct w:val="0"/>
        <w:autoSpaceDE/>
        <w:autoSpaceDN/>
        <w:bidi w:val="0"/>
        <w:spacing w:line="560" w:lineRule="exact"/>
        <w:ind w:left="2240" w:leftChars="800" w:firstLine="280" w:firstLineChars="100"/>
        <w:jc w:val="left"/>
        <w:textAlignment w:val="auto"/>
        <w:rPr>
          <w:rFonts w:hint="default" w:ascii="宋体" w:hAnsi="宋体" w:eastAsia="宋体" w:cs="宋体"/>
          <w:color w:val="auto"/>
          <w:kern w:val="0"/>
          <w:sz w:val="28"/>
          <w:szCs w:val="28"/>
          <w:highlight w:val="none"/>
          <w:lang w:val="en-US" w:eastAsia="zh-CN" w:bidi="en-US"/>
        </w:rPr>
      </w:pPr>
      <w:r>
        <w:rPr>
          <w:rFonts w:hint="eastAsia" w:ascii="宋体" w:hAnsi="宋体" w:eastAsia="宋体" w:cs="宋体"/>
          <w:color w:val="auto"/>
          <w:kern w:val="0"/>
          <w:sz w:val="28"/>
          <w:szCs w:val="28"/>
          <w:highlight w:val="none"/>
          <w:lang w:eastAsia="zh-CN" w:bidi="en-US"/>
        </w:rPr>
        <w:t>工资报酬</w:t>
      </w:r>
      <w:r>
        <w:rPr>
          <w:rFonts w:hint="eastAsia" w:ascii="宋体" w:hAnsi="宋体" w:eastAsia="宋体" w:cs="宋体"/>
          <w:color w:val="auto"/>
          <w:kern w:val="0"/>
          <w:sz w:val="28"/>
          <w:szCs w:val="28"/>
          <w:highlight w:val="none"/>
          <w:lang w:val="en-US" w:eastAsia="zh-CN" w:bidi="en-US"/>
        </w:rPr>
        <w:t>项目</w:t>
      </w:r>
    </w:p>
    <w:p w14:paraId="4E8CDEB7">
      <w:pPr>
        <w:pageBreakBefore w:val="0"/>
        <w:widowControl w:val="0"/>
        <w:kinsoku/>
        <w:wordWrap/>
        <w:topLinePunct w:val="0"/>
        <w:autoSpaceDE/>
        <w:autoSpaceDN/>
        <w:bidi w:val="0"/>
        <w:spacing w:line="560" w:lineRule="exact"/>
        <w:ind w:left="2240" w:leftChars="400" w:hanging="1120" w:hangingChars="400"/>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项目单位：中共洛浦县委组织部</w:t>
      </w:r>
    </w:p>
    <w:p w14:paraId="08663ABD">
      <w:pPr>
        <w:pageBreakBefore w:val="0"/>
        <w:widowControl w:val="0"/>
        <w:kinsoku/>
        <w:wordWrap/>
        <w:topLinePunct w:val="0"/>
        <w:autoSpaceDE/>
        <w:autoSpaceDN/>
        <w:bidi w:val="0"/>
        <w:spacing w:line="560" w:lineRule="exact"/>
        <w:ind w:firstLine="1120" w:firstLineChars="400"/>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主管部门：中共洛浦县委组织部</w:t>
      </w:r>
    </w:p>
    <w:p w14:paraId="66DBB431">
      <w:pPr>
        <w:pageBreakBefore w:val="0"/>
        <w:widowControl w:val="0"/>
        <w:kinsoku/>
        <w:wordWrap/>
        <w:topLinePunct w:val="0"/>
        <w:autoSpaceDE/>
        <w:autoSpaceDN/>
        <w:bidi w:val="0"/>
        <w:spacing w:line="560" w:lineRule="exact"/>
        <w:ind w:firstLine="1120" w:firstLineChars="400"/>
        <w:jc w:val="left"/>
        <w:textAlignment w:val="auto"/>
        <w:rPr>
          <w:rFonts w:hint="default" w:ascii="宋体" w:hAnsi="宋体" w:eastAsia="宋体" w:cs="宋体"/>
          <w:color w:val="auto"/>
          <w:kern w:val="0"/>
          <w:sz w:val="28"/>
          <w:szCs w:val="28"/>
          <w:highlight w:val="none"/>
          <w:lang w:val="en-US" w:eastAsia="zh-CN" w:bidi="en-US"/>
        </w:rPr>
      </w:pPr>
      <w:r>
        <w:rPr>
          <w:rFonts w:hint="eastAsia" w:ascii="宋体" w:hAnsi="宋体" w:eastAsia="宋体" w:cs="宋体"/>
          <w:color w:val="auto"/>
          <w:kern w:val="0"/>
          <w:sz w:val="28"/>
          <w:szCs w:val="28"/>
          <w:highlight w:val="none"/>
          <w:lang w:bidi="en-US"/>
        </w:rPr>
        <w:t>项目负责人：</w:t>
      </w:r>
      <w:r>
        <w:rPr>
          <w:rFonts w:hint="eastAsia" w:ascii="宋体" w:hAnsi="宋体" w:eastAsia="宋体" w:cs="宋体"/>
          <w:color w:val="auto"/>
          <w:kern w:val="0"/>
          <w:sz w:val="28"/>
          <w:szCs w:val="28"/>
          <w:highlight w:val="none"/>
          <w:lang w:eastAsia="zh-CN" w:bidi="en-US"/>
        </w:rPr>
        <w:t>奥古丽妮萨</w:t>
      </w:r>
      <w:r>
        <w:rPr>
          <w:rFonts w:hint="eastAsia" w:ascii="宋体" w:hAnsi="宋体" w:eastAsia="宋体" w:cs="宋体"/>
          <w:color w:val="auto"/>
          <w:kern w:val="0"/>
          <w:sz w:val="28"/>
          <w:szCs w:val="28"/>
          <w:highlight w:val="none"/>
          <w:lang w:val="en-US" w:eastAsia="zh-CN" w:bidi="en-US"/>
        </w:rPr>
        <w:t>·阿卜杜拉</w:t>
      </w:r>
    </w:p>
    <w:p w14:paraId="06D6DE02">
      <w:pPr>
        <w:pageBreakBefore w:val="0"/>
        <w:widowControl w:val="0"/>
        <w:kinsoku/>
        <w:wordWrap/>
        <w:topLinePunct w:val="0"/>
        <w:autoSpaceDE/>
        <w:autoSpaceDN/>
        <w:bidi w:val="0"/>
        <w:spacing w:line="560" w:lineRule="exact"/>
        <w:ind w:firstLine="1120" w:firstLineChars="400"/>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填报时间：</w:t>
      </w:r>
      <w:r>
        <w:rPr>
          <w:rFonts w:hint="default" w:ascii="宋体" w:hAnsi="宋体" w:eastAsia="宋体" w:cs="宋体"/>
          <w:color w:val="auto"/>
          <w:kern w:val="0"/>
          <w:sz w:val="28"/>
          <w:szCs w:val="28"/>
          <w:highlight w:val="none"/>
          <w:lang w:bidi="en-US"/>
        </w:rPr>
        <w:t>2024</w:t>
      </w:r>
      <w:r>
        <w:rPr>
          <w:rFonts w:hint="eastAsia" w:ascii="宋体" w:hAnsi="宋体" w:eastAsia="宋体" w:cs="宋体"/>
          <w:color w:val="auto"/>
          <w:kern w:val="0"/>
          <w:sz w:val="28"/>
          <w:szCs w:val="28"/>
          <w:highlight w:val="none"/>
          <w:lang w:bidi="en-US"/>
        </w:rPr>
        <w:t>年</w:t>
      </w:r>
      <w:r>
        <w:rPr>
          <w:rFonts w:hint="eastAsia" w:ascii="宋体" w:hAnsi="宋体" w:eastAsia="宋体" w:cs="宋体"/>
          <w:color w:val="auto"/>
          <w:kern w:val="0"/>
          <w:sz w:val="28"/>
          <w:szCs w:val="28"/>
          <w:highlight w:val="none"/>
          <w:lang w:val="en-US" w:eastAsia="zh-CN" w:bidi="en-US"/>
        </w:rPr>
        <w:t>3</w:t>
      </w:r>
      <w:r>
        <w:rPr>
          <w:rFonts w:hint="eastAsia" w:ascii="宋体" w:hAnsi="宋体" w:eastAsia="宋体" w:cs="宋体"/>
          <w:color w:val="auto"/>
          <w:kern w:val="0"/>
          <w:sz w:val="28"/>
          <w:szCs w:val="28"/>
          <w:highlight w:val="none"/>
          <w:lang w:bidi="en-US"/>
        </w:rPr>
        <w:t>月</w:t>
      </w:r>
      <w:r>
        <w:rPr>
          <w:rFonts w:hint="eastAsia" w:ascii="宋体" w:hAnsi="宋体" w:eastAsia="宋体" w:cs="宋体"/>
          <w:color w:val="auto"/>
          <w:kern w:val="0"/>
          <w:sz w:val="28"/>
          <w:szCs w:val="28"/>
          <w:highlight w:val="none"/>
          <w:lang w:val="en-US" w:eastAsia="zh-CN" w:bidi="en-US"/>
        </w:rPr>
        <w:t>31</w:t>
      </w:r>
      <w:r>
        <w:rPr>
          <w:rFonts w:hint="eastAsia" w:ascii="宋体" w:hAnsi="宋体" w:eastAsia="宋体" w:cs="宋体"/>
          <w:color w:val="auto"/>
          <w:kern w:val="0"/>
          <w:sz w:val="28"/>
          <w:szCs w:val="28"/>
          <w:highlight w:val="none"/>
          <w:lang w:bidi="en-US"/>
        </w:rPr>
        <w:t>日</w:t>
      </w:r>
    </w:p>
    <w:p w14:paraId="4B61CF48">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064E5318">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1DECEBB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35DDD64B">
      <w:pPr>
        <w:pStyle w:val="58"/>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u w:val="none"/>
          <w:lang w:eastAsia="zh-CN"/>
        </w:rPr>
        <w:t>以习近平新时代中国特色社会主义思想为指导，全面学习贯彻党的二十大精神，贯彻落实习近平总书记视察新疆重要讲话重要指示精神，贯彻落实自治区党委重点工作部署</w:t>
      </w:r>
      <w:r>
        <w:rPr>
          <w:rFonts w:hint="eastAsia" w:ascii="宋体" w:hAnsi="宋体" w:eastAsia="宋体" w:cs="宋体"/>
          <w:color w:val="auto"/>
          <w:sz w:val="24"/>
          <w:szCs w:val="24"/>
          <w:u w:val="none"/>
          <w:lang w:val="en-US" w:eastAsia="zh-CN"/>
        </w:rPr>
        <w:t>，按照</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村‘两委’正职接近达到当地新录用乡镇公务员工资标准，其他成员可按照正职报酬的80%确定，建立正常增长机制”要求，坚持</w:t>
      </w:r>
      <w:r>
        <w:rPr>
          <w:rFonts w:hint="eastAsia" w:ascii="宋体" w:hAnsi="宋体" w:eastAsia="宋体" w:cs="宋体"/>
          <w:color w:val="auto"/>
          <w:sz w:val="24"/>
          <w:szCs w:val="24"/>
          <w:u w:val="none"/>
          <w:lang w:eastAsia="zh-CN"/>
        </w:rPr>
        <w:t>树立重视基层、关心基层、支持基层的鲜明导向，构建各级财政投入、集体经济收入自给等多渠道资金保障体系。</w:t>
      </w:r>
    </w:p>
    <w:p w14:paraId="4FC45F3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主要内容及实施情况</w:t>
      </w:r>
    </w:p>
    <w:p w14:paraId="4FB7678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1CA2E9A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t>该项目预算资金为1792.46万元，主要用途如下：给予农牧民村干部人工资报酬、到村任职国家公职人人生活补助、村民小组长、人工资报酬。通过实施本项目，可有效提高重视村干部的程度，持续激励村干部（村民小组长）工作积极性。</w:t>
      </w:r>
    </w:p>
    <w:p w14:paraId="3891DAD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104DE43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5E2CFE6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本项目主管部门为洛浦县委组织部，实施单位为洛浦县委组织部。</w:t>
      </w:r>
    </w:p>
    <w:p w14:paraId="239758F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b w:val="0"/>
          <w:bCs w:val="0"/>
          <w:color w:val="auto"/>
          <w:sz w:val="24"/>
          <w:szCs w:val="24"/>
          <w:highlight w:val="none"/>
          <w:lang w:val="en-US" w:eastAsia="zh-CN"/>
        </w:rPr>
        <w:t>2024年1月-2024年5月</w:t>
      </w:r>
    </w:p>
    <w:p w14:paraId="7423B9A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（3）项目实施情况：</w:t>
      </w:r>
      <w:r>
        <w:rPr>
          <w:rFonts w:hint="eastAsia" w:ascii="宋体" w:hAnsi="宋体" w:eastAsia="宋体" w:cs="宋体"/>
          <w:sz w:val="24"/>
          <w:szCs w:val="24"/>
          <w:lang w:val="en-US" w:eastAsia="zh-CN"/>
        </w:rPr>
        <w:t>截止2024年12月31日，该项目已实施完毕，已支付资金1790.88万元，项目已完成的主要内容:保障村干部（村民小组长）报酬补助，通过实施本项目，有效提高重视村干部的程度，持续激励村干部（村民小组长）工作积极性。</w:t>
      </w:r>
    </w:p>
    <w:p w14:paraId="3F0E362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资金投入和使用情况</w:t>
      </w:r>
    </w:p>
    <w:p w14:paraId="245EDF2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3D8B219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eastAsia="zh-CN"/>
        </w:rPr>
        <w:t>1792.46</w:t>
      </w:r>
      <w:r>
        <w:rPr>
          <w:rFonts w:hint="eastAsia" w:ascii="宋体" w:hAnsi="宋体" w:eastAsia="宋体" w:cs="宋体"/>
          <w:color w:val="auto"/>
          <w:sz w:val="24"/>
          <w:szCs w:val="24"/>
        </w:rPr>
        <w:t>万元，资金来源为</w:t>
      </w:r>
      <w:r>
        <w:rPr>
          <w:rFonts w:hint="eastAsia" w:ascii="宋体" w:hAnsi="宋体" w:eastAsia="宋体" w:cs="宋体"/>
          <w:color w:val="auto"/>
          <w:sz w:val="24"/>
          <w:szCs w:val="24"/>
          <w:lang w:eastAsia="zh-CN"/>
        </w:rPr>
        <w:t>县财政资金</w:t>
      </w:r>
      <w:r>
        <w:rPr>
          <w:rFonts w:hint="eastAsia" w:ascii="宋体" w:hAnsi="宋体" w:eastAsia="宋体" w:cs="宋体"/>
          <w:color w:val="auto"/>
          <w:sz w:val="24"/>
          <w:szCs w:val="24"/>
        </w:rPr>
        <w:t>，其中：财政资金</w:t>
      </w:r>
      <w:r>
        <w:rPr>
          <w:rFonts w:hint="eastAsia" w:ascii="宋体" w:hAnsi="宋体" w:eastAsia="宋体" w:cs="宋体"/>
          <w:color w:val="auto"/>
          <w:sz w:val="24"/>
          <w:szCs w:val="24"/>
          <w:lang w:eastAsia="zh-CN"/>
        </w:rPr>
        <w:t>1792.46</w:t>
      </w:r>
      <w:r>
        <w:rPr>
          <w:rFonts w:hint="eastAsia" w:ascii="宋体" w:hAnsi="宋体" w:eastAsia="宋体" w:cs="宋体"/>
          <w:color w:val="auto"/>
          <w:sz w:val="24"/>
          <w:szCs w:val="24"/>
        </w:rPr>
        <w:t>0万元，其他资金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含自有资金、社会资金及以前年度结转结余资金）0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eastAsia="zh-CN"/>
        </w:rPr>
        <w:t>1792.46</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375874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6FB878A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eastAsia="zh-CN"/>
        </w:rPr>
        <w:t>1790.88</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eastAsia="zh-CN"/>
        </w:rPr>
        <w:t>99.9%。</w:t>
      </w:r>
      <w:r>
        <w:rPr>
          <w:rFonts w:hint="eastAsia" w:ascii="宋体" w:hAnsi="宋体" w:eastAsia="宋体" w:cs="宋体"/>
          <w:sz w:val="24"/>
          <w:szCs w:val="24"/>
          <w:lang w:val="en-US" w:eastAsia="zh-CN"/>
        </w:rPr>
        <w:t>剩余资金退回国库。</w:t>
      </w:r>
      <w:r>
        <w:rPr>
          <w:rFonts w:hint="eastAsia" w:ascii="宋体" w:hAnsi="宋体" w:eastAsia="宋体" w:cs="宋体"/>
          <w:color w:val="auto"/>
          <w:sz w:val="24"/>
          <w:szCs w:val="24"/>
        </w:rPr>
        <w:t>本项目资金主要用于支付村干部（村民小组长）报酬补贴费用</w:t>
      </w:r>
      <w:r>
        <w:rPr>
          <w:rFonts w:hint="eastAsia" w:ascii="宋体" w:hAnsi="宋体" w:eastAsia="宋体" w:cs="宋体"/>
          <w:color w:val="auto"/>
          <w:sz w:val="24"/>
          <w:szCs w:val="24"/>
          <w:lang w:eastAsia="zh-CN"/>
        </w:rPr>
        <w:t>1790.88</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p>
    <w:p w14:paraId="2B2B6D20">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7A33426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6EDE561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51F8D80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根据《自治区党委办公厅印发&lt;关于加强南疆四地州村党组织和带头人队伍建设的若干规定（试行）&gt;的通知》（新党办发〔2020〕32号）、《关于建立村干部报酬正常增长机制的通知》（和党建〔2022〕2号）：保障村干部（村民小组长）报酬补助，通过实施本项目，可有效提高重视村干部的程度，持续激励村干部（村民小组长）工作积极性。</w:t>
      </w:r>
    </w:p>
    <w:p w14:paraId="2519055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阶段性目标</w:t>
      </w:r>
    </w:p>
    <w:p w14:paraId="2CAC5F9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lang w:eastAsia="zh-CN"/>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241B4A24">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66EAEEDB">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数量指标:</w:t>
      </w:r>
    </w:p>
    <w:p w14:paraId="5300D11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指标1：村干部（村民小组长）报酬补贴人数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eastAsia="zh-CN"/>
        </w:rPr>
        <w:t>≥1923人</w:t>
      </w:r>
      <w:r>
        <w:rPr>
          <w:rFonts w:hint="eastAsia" w:ascii="宋体" w:hAnsi="宋体" w:eastAsia="宋体" w:cs="宋体"/>
          <w:color w:val="auto"/>
          <w:sz w:val="24"/>
          <w:szCs w:val="24"/>
          <w:highlight w:val="none"/>
        </w:rPr>
        <w:t>；</w:t>
      </w:r>
    </w:p>
    <w:p w14:paraId="1726ACF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371FD0D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指标1：资金使用合规率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250DE9E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指标2：补助发放覆盖率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28EAAB3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7A084C4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指标1：资金支付及时率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49D9219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预期指标值为2024年</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月；</w:t>
      </w:r>
    </w:p>
    <w:p w14:paraId="5D0CABE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2CC6E31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1AA27E8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指标1：村干部（村民小组长）报酬补贴金额</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1792.46</w:t>
      </w:r>
      <w:r>
        <w:rPr>
          <w:rFonts w:hint="eastAsia" w:ascii="宋体" w:hAnsi="宋体" w:eastAsia="宋体" w:cs="宋体"/>
          <w:color w:val="auto"/>
          <w:sz w:val="24"/>
          <w:szCs w:val="24"/>
        </w:rPr>
        <w:t>万元；</w:t>
      </w:r>
    </w:p>
    <w:p w14:paraId="3176CEA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737C8AC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该项目无社会成本指标；</w:t>
      </w:r>
    </w:p>
    <w:p w14:paraId="0C0387F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3）生态成本指标</w:t>
      </w:r>
    </w:p>
    <w:p w14:paraId="1AED2B1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该项目无生态成本指标</w:t>
      </w:r>
    </w:p>
    <w:p w14:paraId="2400BDB2">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效益指标：</w:t>
      </w:r>
    </w:p>
    <w:p w14:paraId="155CF1ED">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经济</w:t>
      </w:r>
      <w:r>
        <w:rPr>
          <w:rFonts w:hint="eastAsia" w:ascii="宋体" w:hAnsi="宋体" w:eastAsia="宋体" w:cs="宋体"/>
          <w:color w:val="auto"/>
          <w:sz w:val="24"/>
          <w:szCs w:val="24"/>
        </w:rPr>
        <w:t>效益指标：</w:t>
      </w:r>
    </w:p>
    <w:p w14:paraId="3F79F889">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该项目无经济效益指标；</w:t>
      </w:r>
    </w:p>
    <w:p w14:paraId="0BB28734">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564F644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指标1：村干部（村民小组长）工作积极性</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有效提高</w:t>
      </w:r>
      <w:r>
        <w:rPr>
          <w:rFonts w:hint="eastAsia" w:ascii="宋体" w:hAnsi="宋体" w:eastAsia="宋体" w:cs="宋体"/>
          <w:color w:val="auto"/>
          <w:sz w:val="24"/>
          <w:szCs w:val="24"/>
        </w:rPr>
        <w:t>；</w:t>
      </w:r>
    </w:p>
    <w:p w14:paraId="14E96362">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生态</w:t>
      </w:r>
      <w:r>
        <w:rPr>
          <w:rFonts w:hint="eastAsia" w:ascii="宋体" w:hAnsi="宋体" w:eastAsia="宋体" w:cs="宋体"/>
          <w:color w:val="auto"/>
          <w:sz w:val="24"/>
          <w:szCs w:val="24"/>
        </w:rPr>
        <w:t>效益指标：</w:t>
      </w:r>
    </w:p>
    <w:p w14:paraId="08E2F3FA">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该项目无生态效益指标；</w:t>
      </w:r>
    </w:p>
    <w:p w14:paraId="4F0F494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）服务对象满意度指标：</w:t>
      </w:r>
    </w:p>
    <w:p w14:paraId="5D1802E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指标1：受益干部满意度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rPr>
        <w:t>；</w:t>
      </w:r>
    </w:p>
    <w:p w14:paraId="5F391096">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161A0722">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1B5ADD94">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563137F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7D5AC7E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自治区财政厅《关于印发〈自治区项目支出绩效目标设置指引〉的通知》（新财预〔2022〕42号）等相关政策文件与规定，对</w:t>
      </w:r>
      <w:r>
        <w:rPr>
          <w:rFonts w:hint="eastAsia" w:ascii="宋体" w:hAnsi="宋体" w:eastAsia="宋体" w:cs="宋体"/>
          <w:sz w:val="24"/>
          <w:szCs w:val="24"/>
          <w:lang w:eastAsia="zh-CN"/>
        </w:rPr>
        <w:t>村干部及村民小组长2024年2月-2024年4月工资报酬</w:t>
      </w:r>
      <w:r>
        <w:rPr>
          <w:rFonts w:hint="eastAsia" w:ascii="宋体" w:hAnsi="宋体" w:eastAsia="宋体" w:cs="宋体"/>
          <w:sz w:val="24"/>
          <w:szCs w:val="24"/>
        </w:rPr>
        <w:t>项目开展本次部门项目支出绩效评价工作。全面了解</w:t>
      </w:r>
      <w:r>
        <w:rPr>
          <w:rFonts w:hint="eastAsia" w:ascii="宋体" w:hAnsi="宋体" w:eastAsia="宋体" w:cs="宋体"/>
          <w:sz w:val="24"/>
          <w:szCs w:val="24"/>
          <w:lang w:val="en-US" w:eastAsia="zh-CN"/>
        </w:rPr>
        <w:t>村干部及村民小组长2024年2月-2024年4月工资报酬</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75F0623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F90D68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1799E2B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7FACD83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72EE2F8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村干部及村民小组长2024年2月-2024年4月工资报酬</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30731657">
      <w:pPr>
        <w:pStyle w:val="46"/>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2E9DA0E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绩效评价主要围绕村干部及村民小组长2024年2月-2024年4月工资报酬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highlight w:val="none"/>
          <w:lang w:val="en-US" w:eastAsia="zh-CN"/>
        </w:rPr>
        <w:t>，覆盖预算资金支出项目的所有内容进行评价。</w:t>
      </w:r>
    </w:p>
    <w:p w14:paraId="11445D8B">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77D58EB7">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2B4A02E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29EDEA9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0535009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E7C445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67514680">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188DA28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根据以上原则，绩效评价应遵循如下要求:</w:t>
      </w:r>
    </w:p>
    <w:p w14:paraId="19E7E43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48EEC1C6">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35EACB87">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205F70E4">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16885E20">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42C131A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6EF51246">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7B11797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46566FA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50F7D15F">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234B394F">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338EF15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7BD34E70">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760834A6">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2ED26B83">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13C1684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3F6D666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31BED53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49E0464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03E1169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AF67D74">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7C0828C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6BE5C1A8">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绩效评价标准通常包括计划标准、行业标准、历史标准等，用于对绩效指标完成情况进行比较、分析、评价。本次评价主要采用了</w:t>
      </w:r>
      <w:r>
        <w:rPr>
          <w:rFonts w:hint="eastAsia" w:ascii="宋体" w:hAnsi="宋体" w:eastAsia="宋体" w:cs="宋体"/>
          <w:sz w:val="24"/>
          <w:szCs w:val="24"/>
          <w:lang w:eastAsia="zh-CN"/>
        </w:rPr>
        <w:t>计划</w:t>
      </w:r>
      <w:r>
        <w:rPr>
          <w:rFonts w:hint="eastAsia" w:ascii="宋体" w:hAnsi="宋体" w:eastAsia="宋体" w:cs="宋体"/>
          <w:sz w:val="24"/>
          <w:szCs w:val="24"/>
        </w:rPr>
        <w:t>标准。</w:t>
      </w:r>
    </w:p>
    <w:p w14:paraId="7554D1F6">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7" w:name="_Toc17882"/>
      <w:bookmarkStart w:id="8" w:name="_Toc31464"/>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66319E09">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302303A6">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9" w:name="_Toc68364664"/>
      <w:r>
        <w:rPr>
          <w:rFonts w:hint="eastAsia" w:ascii="宋体" w:hAnsi="宋体" w:eastAsia="宋体" w:cs="宋体"/>
          <w:sz w:val="24"/>
          <w:szCs w:val="24"/>
        </w:rPr>
        <w:t>1.前期准备</w:t>
      </w:r>
    </w:p>
    <w:p w14:paraId="56B5327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2A21430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崔显春</w:t>
      </w:r>
      <w:r>
        <w:rPr>
          <w:rFonts w:hint="eastAsia" w:ascii="宋体" w:hAnsi="宋体" w:eastAsia="宋体" w:cs="宋体"/>
          <w:sz w:val="24"/>
          <w:szCs w:val="24"/>
        </w:rPr>
        <w:t>（评价小组组长）：主要负责项目的</w:t>
      </w:r>
      <w:r>
        <w:rPr>
          <w:rFonts w:hint="eastAsia" w:ascii="宋体" w:hAnsi="宋体" w:eastAsia="宋体" w:cs="宋体"/>
          <w:sz w:val="24"/>
          <w:szCs w:val="24"/>
          <w:lang w:val="en-US" w:eastAsia="zh-CN"/>
        </w:rPr>
        <w:t>评价</w:t>
      </w:r>
      <w:r>
        <w:rPr>
          <w:rFonts w:hint="eastAsia" w:ascii="宋体" w:hAnsi="宋体" w:eastAsia="宋体" w:cs="宋体"/>
          <w:sz w:val="24"/>
          <w:szCs w:val="24"/>
        </w:rPr>
        <w:t>工作;</w:t>
      </w:r>
    </w:p>
    <w:p w14:paraId="6426E60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王伟</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项目评价</w:t>
      </w:r>
      <w:r>
        <w:rPr>
          <w:rFonts w:hint="eastAsia" w:ascii="宋体" w:hAnsi="宋体" w:eastAsia="宋体" w:cs="宋体"/>
          <w:sz w:val="24"/>
          <w:szCs w:val="24"/>
        </w:rPr>
        <w:t>实施工作;</w:t>
      </w:r>
    </w:p>
    <w:p w14:paraId="5C432EB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奥古丽妮萨</w:t>
      </w:r>
      <w:r>
        <w:rPr>
          <w:rFonts w:hint="eastAsia" w:ascii="宋体" w:hAnsi="宋体" w:eastAsia="宋体" w:cs="宋体"/>
          <w:sz w:val="24"/>
          <w:szCs w:val="24"/>
          <w:lang w:val="en-US" w:eastAsia="zh-CN"/>
        </w:rPr>
        <w:t>·阿卜杜拉</w:t>
      </w:r>
      <w:r>
        <w:rPr>
          <w:rFonts w:hint="eastAsia" w:ascii="宋体" w:hAnsi="宋体" w:eastAsia="宋体" w:cs="宋体"/>
          <w:sz w:val="24"/>
          <w:szCs w:val="24"/>
        </w:rPr>
        <w:t>（评价小组组员）：主要负责项目</w:t>
      </w:r>
      <w:r>
        <w:rPr>
          <w:rFonts w:hint="eastAsia" w:ascii="宋体" w:hAnsi="宋体" w:eastAsia="宋体" w:cs="宋体"/>
          <w:sz w:val="24"/>
          <w:szCs w:val="24"/>
          <w:lang w:val="en-US" w:eastAsia="zh-CN"/>
        </w:rPr>
        <w:t>评价工作</w:t>
      </w:r>
      <w:r>
        <w:rPr>
          <w:rFonts w:hint="eastAsia" w:ascii="宋体" w:hAnsi="宋体" w:eastAsia="宋体" w:cs="宋体"/>
          <w:sz w:val="24"/>
          <w:szCs w:val="24"/>
        </w:rPr>
        <w:t>监督管理、工作。</w:t>
      </w:r>
    </w:p>
    <w:p w14:paraId="46A89F62">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742978E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260F13EA">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4B28741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6D2C11BA">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1B05226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40A653E0">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18A6F17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61CBFDD7">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6FE7D67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2F9BE571">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4F32CF5C">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9"/>
    </w:p>
    <w:p w14:paraId="57D1D442">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0" w:name="_Toc68364665"/>
      <w:r>
        <w:rPr>
          <w:rFonts w:hint="eastAsia" w:ascii="宋体" w:hAnsi="宋体" w:eastAsia="宋体" w:cs="宋体"/>
          <w:sz w:val="24"/>
          <w:szCs w:val="24"/>
        </w:rPr>
        <w:t>（一）综合评价情况</w:t>
      </w:r>
      <w:bookmarkEnd w:id="10"/>
    </w:p>
    <w:p w14:paraId="4B9BB74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11" w:name="_Toc68364666"/>
      <w:r>
        <w:rPr>
          <w:rFonts w:hint="eastAsia" w:ascii="宋体" w:hAnsi="宋体" w:eastAsia="宋体" w:cs="宋体"/>
          <w:sz w:val="24"/>
          <w:szCs w:val="24"/>
        </w:rPr>
        <w:t>通过实施</w:t>
      </w:r>
      <w:r>
        <w:rPr>
          <w:rFonts w:hint="eastAsia" w:ascii="宋体" w:hAnsi="宋体" w:eastAsia="宋体" w:cs="宋体"/>
          <w:sz w:val="24"/>
          <w:szCs w:val="24"/>
          <w:lang w:eastAsia="zh-CN"/>
        </w:rPr>
        <w:t>村干部及村民小组长2024年2月-2024年4月工资报酬</w:t>
      </w:r>
      <w:r>
        <w:rPr>
          <w:rFonts w:hint="eastAsia" w:ascii="宋体" w:hAnsi="宋体" w:eastAsia="宋体" w:cs="宋体"/>
          <w:sz w:val="24"/>
          <w:szCs w:val="24"/>
        </w:rPr>
        <w:t>项目产生</w:t>
      </w:r>
      <w:r>
        <w:rPr>
          <w:rFonts w:hint="eastAsia" w:ascii="宋体" w:hAnsi="宋体" w:eastAsia="宋体" w:cs="宋体"/>
          <w:sz w:val="24"/>
          <w:szCs w:val="24"/>
          <w:lang w:val="en-US" w:eastAsia="zh-CN"/>
        </w:rPr>
        <w:t>有效提高</w:t>
      </w:r>
      <w:r>
        <w:rPr>
          <w:rFonts w:hint="eastAsia" w:ascii="宋体" w:hAnsi="宋体" w:eastAsia="宋体" w:cs="宋体"/>
          <w:sz w:val="24"/>
          <w:szCs w:val="24"/>
        </w:rPr>
        <w:t>村干部（村民小组长）工作积极性效益。项目实施主要通过项目决策、项目过程、项目产出以及项目效益等方面进行评价，其中：</w:t>
      </w:r>
    </w:p>
    <w:p w14:paraId="245191E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项目决策：该项目主要通过</w:t>
      </w:r>
      <w:r>
        <w:rPr>
          <w:rFonts w:hint="eastAsia" w:ascii="宋体" w:hAnsi="宋体" w:eastAsia="宋体" w:cs="宋体"/>
          <w:sz w:val="24"/>
          <w:szCs w:val="24"/>
          <w:lang w:val="en-US" w:eastAsia="zh-CN"/>
        </w:rPr>
        <w:t>《自治区党委办公厅印发&lt;关于加强南疆四地州村党组织和带头人队伍建设的若干规定（试行）&gt;的通知》（新党办发〔2020〕32号）、《关于建立村干部报酬正常增长机制的通知》（和党建〔2022〕2号）</w:t>
      </w:r>
      <w:r>
        <w:rPr>
          <w:rFonts w:hint="eastAsia" w:ascii="宋体" w:hAnsi="宋体" w:eastAsia="宋体" w:cs="宋体"/>
          <w:sz w:val="24"/>
          <w:szCs w:val="24"/>
        </w:rPr>
        <w:t xml:space="preserve">文件立项，项目实施符合要求，项目立项依据充分，立项程序规范。 </w:t>
      </w:r>
    </w:p>
    <w:p w14:paraId="6240A9C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项目过程：</w:t>
      </w:r>
      <w:r>
        <w:rPr>
          <w:rFonts w:hint="eastAsia" w:ascii="宋体" w:hAnsi="宋体" w:eastAsia="宋体" w:cs="宋体"/>
          <w:sz w:val="24"/>
          <w:szCs w:val="24"/>
          <w:lang w:eastAsia="zh-CN"/>
        </w:rPr>
        <w:t>村干部及村民小组长2024年2月-2024年4月工资报酬</w:t>
      </w:r>
      <w:r>
        <w:rPr>
          <w:rFonts w:hint="eastAsia" w:ascii="宋体" w:hAnsi="宋体" w:eastAsia="宋体" w:cs="宋体"/>
          <w:sz w:val="24"/>
          <w:szCs w:val="24"/>
        </w:rPr>
        <w:t xml:space="preserve">项目预算安排 </w:t>
      </w:r>
      <w:r>
        <w:rPr>
          <w:rFonts w:hint="eastAsia" w:ascii="宋体" w:hAnsi="宋体" w:eastAsia="宋体" w:cs="宋体"/>
          <w:sz w:val="24"/>
          <w:szCs w:val="24"/>
          <w:lang w:eastAsia="zh-CN"/>
        </w:rPr>
        <w:t>1792.46</w:t>
      </w:r>
      <w:r>
        <w:rPr>
          <w:rFonts w:hint="eastAsia" w:ascii="宋体" w:hAnsi="宋体" w:eastAsia="宋体" w:cs="宋体"/>
          <w:sz w:val="24"/>
          <w:szCs w:val="24"/>
        </w:rPr>
        <w:t>万元，实际支出</w:t>
      </w:r>
      <w:r>
        <w:rPr>
          <w:rFonts w:hint="eastAsia" w:ascii="宋体" w:hAnsi="宋体" w:eastAsia="宋体" w:cs="宋体"/>
          <w:sz w:val="24"/>
          <w:szCs w:val="24"/>
          <w:lang w:eastAsia="zh-CN"/>
        </w:rPr>
        <w:t>1790.88</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99.9%</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7A1FCAE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项目产出：项目实施产生的数量、质量等</w:t>
      </w:r>
      <w:r>
        <w:rPr>
          <w:rFonts w:hint="eastAsia" w:ascii="宋体" w:hAnsi="宋体" w:eastAsia="宋体" w:cs="宋体"/>
          <w:sz w:val="24"/>
          <w:szCs w:val="24"/>
          <w:lang w:val="en-US" w:eastAsia="zh-CN"/>
        </w:rPr>
        <w:t>完成情况（</w:t>
      </w:r>
      <w:r>
        <w:rPr>
          <w:rFonts w:hint="eastAsia" w:ascii="宋体" w:hAnsi="宋体" w:eastAsia="宋体" w:cs="宋体"/>
          <w:sz w:val="24"/>
          <w:szCs w:val="24"/>
        </w:rPr>
        <w:t>截止2024年12月31日，该项目已实施完毕，已支付资金</w:t>
      </w:r>
      <w:r>
        <w:rPr>
          <w:rFonts w:hint="eastAsia" w:ascii="宋体" w:hAnsi="宋体" w:eastAsia="宋体" w:cs="宋体"/>
          <w:sz w:val="24"/>
          <w:szCs w:val="24"/>
          <w:lang w:eastAsia="zh-CN"/>
        </w:rPr>
        <w:t>1790.88</w:t>
      </w:r>
      <w:r>
        <w:rPr>
          <w:rFonts w:hint="eastAsia" w:ascii="宋体" w:hAnsi="宋体" w:eastAsia="宋体" w:cs="宋体"/>
          <w:sz w:val="24"/>
          <w:szCs w:val="24"/>
        </w:rPr>
        <w:t>万元，项目已完成的主要内容:保障村干部（村民小组长）报酬补助，</w:t>
      </w:r>
      <w:r>
        <w:rPr>
          <w:rFonts w:hint="eastAsia" w:ascii="宋体" w:hAnsi="宋体" w:eastAsia="宋体" w:cs="宋体"/>
          <w:sz w:val="24"/>
          <w:szCs w:val="24"/>
          <w:lang w:val="en-US" w:eastAsia="zh-CN"/>
        </w:rPr>
        <w:t>）。</w:t>
      </w:r>
    </w:p>
    <w:p w14:paraId="03C5138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项目效益：通过实施本项目，有效提高重视村干部的程度，持续激励村干部（村民小组长）工作积极性。</w:t>
      </w:r>
    </w:p>
    <w:p w14:paraId="4F629F4F">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4E6A749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333333"/>
          <w:sz w:val="24"/>
          <w:szCs w:val="24"/>
          <w:lang w:eastAsia="zh-CN"/>
        </w:rPr>
        <w:t>村干部及村民小组长2024年2月-2024年4月工资报酬</w:t>
      </w:r>
      <w:r>
        <w:rPr>
          <w:rFonts w:hint="eastAsia" w:ascii="宋体" w:hAnsi="宋体" w:eastAsia="宋体" w:cs="宋体"/>
          <w:color w:val="333333"/>
          <w:sz w:val="24"/>
          <w:szCs w:val="24"/>
        </w:rPr>
        <w:t>项目进行客观评价，最终评分结果：评价总分</w:t>
      </w:r>
      <w:r>
        <w:rPr>
          <w:rFonts w:hint="eastAsia" w:ascii="宋体" w:hAnsi="宋体" w:eastAsia="宋体" w:cs="宋体"/>
          <w:color w:val="333333"/>
          <w:sz w:val="24"/>
          <w:szCs w:val="24"/>
          <w:lang w:val="en-US" w:eastAsia="zh-CN"/>
        </w:rPr>
        <w:t>99.98</w:t>
      </w:r>
      <w:r>
        <w:rPr>
          <w:rFonts w:hint="eastAsia" w:ascii="宋体" w:hAnsi="宋体" w:eastAsia="宋体" w:cs="宋体"/>
          <w:color w:val="333333"/>
          <w:sz w:val="24"/>
          <w:szCs w:val="24"/>
        </w:rPr>
        <w:t>分，绩效等级为“</w:t>
      </w:r>
      <w:r>
        <w:rPr>
          <w:rFonts w:hint="eastAsia" w:ascii="宋体" w:hAnsi="宋体" w:eastAsia="宋体" w:cs="宋体"/>
          <w:color w:val="333333"/>
          <w:sz w:val="24"/>
          <w:szCs w:val="24"/>
          <w:lang w:eastAsia="zh-CN"/>
        </w:rPr>
        <w:t>优</w:t>
      </w:r>
      <w:r>
        <w:rPr>
          <w:rFonts w:hint="eastAsia" w:ascii="宋体" w:hAnsi="宋体" w:eastAsia="宋体" w:cs="宋体"/>
          <w:color w:val="333333"/>
          <w:sz w:val="24"/>
          <w:szCs w:val="24"/>
        </w:rPr>
        <w:t>”。</w:t>
      </w:r>
      <w:bookmarkEnd w:id="11"/>
    </w:p>
    <w:p w14:paraId="5699285D">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2" w:name="_Toc68364667"/>
    </w:p>
    <w:p w14:paraId="0973E55B">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四、绩效评价指标分析</w:t>
      </w:r>
      <w:bookmarkEnd w:id="12"/>
    </w:p>
    <w:p w14:paraId="38823CDB">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8"/>
      <w:r>
        <w:rPr>
          <w:rFonts w:hint="eastAsia" w:ascii="宋体" w:hAnsi="宋体" w:eastAsia="宋体" w:cs="宋体"/>
          <w:sz w:val="24"/>
          <w:szCs w:val="24"/>
        </w:rPr>
        <w:t>（一）项目决策情况</w:t>
      </w:r>
    </w:p>
    <w:p w14:paraId="3D291F8E">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B9F4D11">
      <w:pPr>
        <w:keepNext w:val="0"/>
        <w:keepLines w:val="0"/>
        <w:pageBreakBefore w:val="0"/>
        <w:widowControl w:val="0"/>
        <w:numPr>
          <w:ilvl w:val="0"/>
          <w:numId w:val="2"/>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25B3A817">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立项符合《自治区党委办公厅印发&lt;关于加强南疆四地州村党组织和带头人队伍建设的若干规定（试行）&gt;的通知》（新党办发〔2020〕32号）、《关于建立村干部报酬正常增长机制的通知》（和党建〔2022〕2号）中：“</w:t>
      </w:r>
      <w:r>
        <w:rPr>
          <w:rFonts w:hint="eastAsia" w:ascii="宋体" w:hAnsi="宋体" w:eastAsia="宋体" w:cs="宋体"/>
          <w:color w:val="000000"/>
          <w:sz w:val="24"/>
          <w:szCs w:val="24"/>
          <w:lang w:val="en-US" w:eastAsia="zh-CN"/>
        </w:rPr>
        <w:t>发放</w:t>
      </w:r>
      <w:r>
        <w:rPr>
          <w:rFonts w:hint="eastAsia" w:ascii="宋体" w:hAnsi="宋体" w:eastAsia="宋体" w:cs="宋体"/>
          <w:color w:val="000000"/>
          <w:sz w:val="24"/>
          <w:szCs w:val="24"/>
        </w:rPr>
        <w:t>村干部及村民小组长2024年2月-2024年4月工资报酬”</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本项目立项符合行业发展规划和政策要求；本项目立项符合《</w:t>
      </w:r>
      <w:r>
        <w:rPr>
          <w:rFonts w:hint="eastAsia" w:ascii="宋体" w:hAnsi="宋体" w:eastAsia="宋体" w:cs="宋体"/>
          <w:color w:val="000000"/>
          <w:sz w:val="24"/>
          <w:szCs w:val="24"/>
          <w:lang w:eastAsia="zh-CN"/>
        </w:rPr>
        <w:t>中共洛浦县委员会组织部</w:t>
      </w:r>
      <w:r>
        <w:rPr>
          <w:rFonts w:hint="eastAsia" w:ascii="宋体" w:hAnsi="宋体" w:eastAsia="宋体" w:cs="宋体"/>
          <w:color w:val="000000"/>
          <w:sz w:val="24"/>
          <w:szCs w:val="24"/>
        </w:rPr>
        <w:t>单位配置内设机构和人员编制规定》中职责范围中的“</w:t>
      </w:r>
      <w:r>
        <w:rPr>
          <w:rFonts w:hint="eastAsia" w:ascii="宋体" w:hAnsi="宋体" w:eastAsia="宋体" w:cs="宋体"/>
          <w:color w:val="000000"/>
          <w:sz w:val="24"/>
          <w:szCs w:val="24"/>
          <w:lang w:eastAsia="zh-CN"/>
        </w:rPr>
        <w:t>基层组织建设职责</w:t>
      </w:r>
      <w:r>
        <w:rPr>
          <w:rFonts w:hint="eastAsia" w:ascii="宋体" w:hAnsi="宋体" w:eastAsia="宋体" w:cs="宋体"/>
          <w:color w:val="000000"/>
          <w:sz w:val="24"/>
          <w:szCs w:val="24"/>
        </w:rPr>
        <w:t>，属于我单位履职所需；根据《财政资金直接支付申请书》，本项目资金性质为“公共财政预算”功能分类为“</w:t>
      </w:r>
      <w:r>
        <w:rPr>
          <w:rFonts w:hint="eastAsia" w:ascii="宋体" w:hAnsi="宋体" w:eastAsia="宋体" w:cs="宋体"/>
          <w:color w:val="000000"/>
          <w:sz w:val="24"/>
          <w:szCs w:val="24"/>
          <w:lang w:val="en-US" w:eastAsia="zh-CN"/>
        </w:rPr>
        <w:t>2013299</w:t>
      </w:r>
      <w:r>
        <w:rPr>
          <w:rFonts w:hint="eastAsia" w:ascii="宋体" w:hAnsi="宋体" w:eastAsia="宋体" w:cs="宋体"/>
          <w:color w:val="000000"/>
          <w:sz w:val="24"/>
          <w:szCs w:val="24"/>
        </w:rPr>
        <w:t>”经济分类为“</w:t>
      </w:r>
      <w:r>
        <w:rPr>
          <w:rFonts w:hint="eastAsia" w:ascii="宋体" w:hAnsi="宋体" w:eastAsia="宋体" w:cs="宋体"/>
          <w:color w:val="000000"/>
          <w:sz w:val="24"/>
          <w:szCs w:val="24"/>
          <w:lang w:eastAsia="zh-CN"/>
        </w:rPr>
        <w:t>生活补助</w:t>
      </w:r>
      <w:r>
        <w:rPr>
          <w:rFonts w:hint="eastAsia" w:ascii="宋体" w:hAnsi="宋体" w:eastAsia="宋体" w:cs="宋体"/>
          <w:color w:val="000000"/>
          <w:sz w:val="24"/>
          <w:szCs w:val="24"/>
        </w:rPr>
        <w:t>”属于公共财政支持范围，符合中央、地方事权支出责任划分原则；经检查我单位财政应用平台指标，本项目不存在重复。</w:t>
      </w:r>
    </w:p>
    <w:p w14:paraId="056943F4">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7B0A428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2C5BA14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根据《自治区党委办公厅印发&lt;关于加强南疆四地州村党组织和带头人队伍建设的若干规定（试行）&gt;的通知》（新党办发〔2020〕32号）、《关于建立村干部报酬正常增长机制的通知》（和党建〔2022〕2号）：保障村干部（村民小组长）报酬补助，通过实施本项目，可有效提高重视村干部的程度，持续激励村干部（村民小组长）工作积极性，项目立项过程中产生的文件均符合相关要求。本项目为</w:t>
      </w:r>
      <w:r>
        <w:rPr>
          <w:rFonts w:hint="eastAsia" w:ascii="宋体" w:hAnsi="宋体" w:eastAsia="宋体" w:cs="宋体"/>
          <w:color w:val="auto"/>
          <w:sz w:val="24"/>
          <w:szCs w:val="24"/>
          <w:highlight w:val="none"/>
          <w:lang w:eastAsia="zh-CN"/>
        </w:rPr>
        <w:t>中共洛浦县委员会组织部</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eastAsia="zh-CN"/>
        </w:rPr>
        <w:t>1792.46</w:t>
      </w:r>
      <w:r>
        <w:rPr>
          <w:rFonts w:hint="eastAsia" w:ascii="宋体" w:hAnsi="宋体" w:eastAsia="宋体" w:cs="宋体"/>
          <w:color w:val="auto"/>
          <w:sz w:val="24"/>
          <w:szCs w:val="24"/>
          <w:highlight w:val="none"/>
        </w:rPr>
        <w:t>万元，不涉及事前绩效评估和风险评估，已委托</w:t>
      </w:r>
      <w:r>
        <w:rPr>
          <w:rFonts w:hint="eastAsia" w:ascii="宋体" w:hAnsi="宋体" w:eastAsia="宋体" w:cs="宋体"/>
          <w:color w:val="auto"/>
          <w:sz w:val="24"/>
          <w:szCs w:val="24"/>
          <w:highlight w:val="none"/>
          <w:lang w:eastAsia="zh-CN"/>
        </w:rPr>
        <w:t>中共洛浦县委员会组织部</w:t>
      </w:r>
      <w:r>
        <w:rPr>
          <w:rFonts w:hint="eastAsia" w:ascii="宋体" w:hAnsi="宋体" w:eastAsia="宋体" w:cs="宋体"/>
          <w:color w:val="auto"/>
          <w:sz w:val="24"/>
          <w:szCs w:val="24"/>
          <w:highlight w:val="none"/>
        </w:rPr>
        <w:t>单位完成本项目可行性研究报告的编制，并经过专家论证。</w:t>
      </w:r>
    </w:p>
    <w:p w14:paraId="2C9466B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66EFD2D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highlight w:val="none"/>
        </w:rPr>
        <w:t>（3）绩效目标合理性：</w:t>
      </w:r>
    </w:p>
    <w:p w14:paraId="60A997C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根据《自治区党委办公厅印发&lt;关于加强南疆四地州村党组织和带头人队伍建设的若干规定（试行）&gt;的通知》（新党办发〔2020〕32号）、《关于建立村干部报酬正常增长机制的通知》（和党建〔2022〕2号）：保障村干部（村民小组长）报酬补助，通过实施本项目，可有效提高重视村干部的程度，持续激励村干部（村民小组长）工作积极性。”。</w:t>
      </w:r>
    </w:p>
    <w:p w14:paraId="4DC17F1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②该项目实际工作内容为：截止2024年12月31日，该项目已实施完毕，已支付资金</w:t>
      </w:r>
      <w:r>
        <w:rPr>
          <w:rFonts w:hint="eastAsia" w:ascii="宋体" w:hAnsi="宋体" w:eastAsia="宋体" w:cs="宋体"/>
          <w:color w:val="auto"/>
          <w:sz w:val="24"/>
          <w:szCs w:val="24"/>
          <w:highlight w:val="none"/>
          <w:lang w:eastAsia="zh-CN"/>
        </w:rPr>
        <w:t>1790.88</w:t>
      </w:r>
      <w:r>
        <w:rPr>
          <w:rFonts w:hint="eastAsia" w:ascii="宋体" w:hAnsi="宋体" w:eastAsia="宋体" w:cs="宋体"/>
          <w:color w:val="auto"/>
          <w:sz w:val="24"/>
          <w:szCs w:val="24"/>
          <w:highlight w:val="none"/>
        </w:rPr>
        <w:t>万元，项目已完成的主要内容:保障村干部（村民小组长）报酬补助，通过实施本项目，有效提高重视村干部的程度，持续激励村干部（村民小组长）工作积极性。绩效目标与实际工作内容一致，两者具有相关性。</w:t>
      </w:r>
    </w:p>
    <w:p w14:paraId="22B05A30">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w:t>
      </w:r>
      <w:r>
        <w:rPr>
          <w:rFonts w:hint="eastAsia" w:ascii="宋体" w:hAnsi="宋体" w:eastAsia="宋体" w:cs="宋体"/>
          <w:color w:val="auto"/>
          <w:sz w:val="24"/>
          <w:szCs w:val="24"/>
          <w:highlight w:val="none"/>
          <w:lang w:val="en-US" w:eastAsia="zh-CN"/>
        </w:rPr>
        <w:t>村干部（村民小组长）报酬补贴人数1923人</w:t>
      </w:r>
      <w:r>
        <w:rPr>
          <w:rFonts w:hint="eastAsia" w:ascii="宋体" w:hAnsi="宋体" w:eastAsia="宋体" w:cs="宋体"/>
          <w:color w:val="auto"/>
          <w:sz w:val="24"/>
          <w:szCs w:val="24"/>
          <w:highlight w:val="none"/>
        </w:rPr>
        <w:t>，通过项目的实施，有效提高重视村干部的程度，持续激励村干部（村民小组长）工作积极性。。预期产出效益和效果符合正常的业绩水平。</w:t>
      </w:r>
    </w:p>
    <w:p w14:paraId="78DACF1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eastAsia="zh-CN"/>
        </w:rPr>
        <w:t>1792.46</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eastAsia="zh-CN"/>
        </w:rPr>
        <w:t>1792.46</w:t>
      </w:r>
      <w:r>
        <w:rPr>
          <w:rFonts w:hint="eastAsia" w:ascii="宋体" w:hAnsi="宋体" w:eastAsia="宋体" w:cs="宋体"/>
          <w:color w:val="auto"/>
          <w:sz w:val="24"/>
          <w:szCs w:val="24"/>
          <w:highlight w:val="none"/>
        </w:rPr>
        <w:t>万元，预算确定的项目资金与预算确定的项目投资额相匹配。</w:t>
      </w:r>
    </w:p>
    <w:p w14:paraId="0ED8124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33491875">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5CF3BDC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检查我单位年初设置的《项目支出绩效目标表》，得出如下结论：本项目已将年度绩效目标进行细化为绩效指标体系，共设置一级指标4个，二级指标6个，三级指标10个，定量指标8个，定性指标2个，指标量化率为80%，量化率达70.0%以上，将项目绩效目标细化分解为具体的绩效指标。</w:t>
      </w:r>
    </w:p>
    <w:p w14:paraId="1C3B984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绩效目标申报表》中，数量指标指标值为村干部（村民小组长）报酬补贴人数≥1923人，三级指标的年度指标值与年度绩效目标中任务数一致（或不完全一致），已设置时效指标“资金支付及时率、项目开始时间、项目完成时间”。已设置的绩效目标具备明确性、可衡量性、可实现性、相关性、时限性。根据评分标准，该指标不扣分，得5分。</w:t>
      </w:r>
    </w:p>
    <w:p w14:paraId="1EF59D9F">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预算编制科学性：</w:t>
      </w:r>
    </w:p>
    <w:p w14:paraId="4C61D44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村干部及村民小组长2024年2月-2024年4月工资报酬，即预算编制较科学且经过论证；预算申请内容为村干部及村民小组长2024年2月-2024年4月工资报酬，项目实际内容为村干部及村民小组长2024年2月-2024年4月工资报酬，预算申请与《村干部及村民小组长2024年2月-2024年4月工资报酬项目实施方案》中涉及的项目内容匹配；</w:t>
      </w:r>
    </w:p>
    <w:p w14:paraId="7A35CC5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eastAsia="zh-CN"/>
        </w:rPr>
        <w:t>1792.46</w:t>
      </w:r>
      <w:r>
        <w:rPr>
          <w:rFonts w:hint="eastAsia" w:ascii="宋体" w:hAnsi="宋体" w:eastAsia="宋体" w:cs="宋体"/>
          <w:color w:val="auto"/>
          <w:sz w:val="24"/>
          <w:szCs w:val="24"/>
          <w:highlight w:val="none"/>
        </w:rPr>
        <w:t>万元，我单位在预算申请中严格按照项目实施内容及测算标准进行核算，其中村干部（村民小组长）报酬补贴</w:t>
      </w:r>
      <w:r>
        <w:rPr>
          <w:rFonts w:hint="eastAsia" w:ascii="宋体" w:hAnsi="宋体" w:eastAsia="宋体" w:cs="宋体"/>
          <w:color w:val="auto"/>
          <w:sz w:val="24"/>
          <w:szCs w:val="24"/>
          <w:highlight w:val="none"/>
          <w:lang w:eastAsia="zh-CN"/>
        </w:rPr>
        <w:t>1792.46</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695CD180">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资金分配合理性：</w:t>
      </w:r>
    </w:p>
    <w:p w14:paraId="036F721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color w:val="auto"/>
          <w:sz w:val="24"/>
          <w:szCs w:val="24"/>
          <w:highlight w:val="none"/>
          <w:lang w:eastAsia="zh-CN"/>
        </w:rPr>
        <w:t>村干部及村民小组长2024年2月-2024年4月工资报酬</w:t>
      </w:r>
      <w:r>
        <w:rPr>
          <w:rFonts w:hint="eastAsia" w:ascii="宋体" w:hAnsi="宋体" w:eastAsia="宋体" w:cs="宋体"/>
          <w:color w:val="auto"/>
          <w:sz w:val="24"/>
          <w:szCs w:val="24"/>
          <w:highlight w:val="none"/>
        </w:rPr>
        <w:t>项目资金的请示》和《</w:t>
      </w:r>
      <w:r>
        <w:rPr>
          <w:rFonts w:hint="eastAsia" w:ascii="宋体" w:hAnsi="宋体" w:eastAsia="宋体" w:cs="宋体"/>
          <w:color w:val="auto"/>
          <w:sz w:val="24"/>
          <w:szCs w:val="24"/>
          <w:highlight w:val="none"/>
          <w:lang w:eastAsia="zh-CN"/>
        </w:rPr>
        <w:t>村干部及村民小组长2024年2月-2024年4月工资报酬</w:t>
      </w:r>
      <w:r>
        <w:rPr>
          <w:rFonts w:hint="eastAsia" w:ascii="宋体" w:hAnsi="宋体" w:eastAsia="宋体" w:cs="宋体"/>
          <w:color w:val="auto"/>
          <w:sz w:val="24"/>
          <w:szCs w:val="24"/>
          <w:highlight w:val="none"/>
        </w:rPr>
        <w:t>项目实施方案》为依据进行资金分配，预算资金分配依据充分。根据《自治区党委办公厅印发&lt;关于加强南疆四地州村党组织和带头人队伍建设的若干规定（试行）&gt;的通知》（新党办发〔2020〕32号）、《关于建立村干部报酬正常增长机制的通知》（和党建〔2022〕2号）文件》，本项目实际到位资金</w:t>
      </w:r>
      <w:r>
        <w:rPr>
          <w:rFonts w:hint="eastAsia" w:ascii="宋体" w:hAnsi="宋体" w:eastAsia="宋体" w:cs="宋体"/>
          <w:color w:val="auto"/>
          <w:sz w:val="24"/>
          <w:szCs w:val="24"/>
          <w:highlight w:val="none"/>
          <w:lang w:eastAsia="zh-CN"/>
        </w:rPr>
        <w:t>1792.46</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C8F11E5">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62C03DD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项目过程类指标包括资金管理和组织实施两方面的内容，由 5个三级指标构成，权重分为20分，实际得分</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分，得分率为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w:t>
      </w:r>
    </w:p>
    <w:p w14:paraId="6BCC7C35">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资金到位率：</w:t>
      </w:r>
    </w:p>
    <w:p w14:paraId="41F1F76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本项目预算资金为</w:t>
      </w:r>
      <w:r>
        <w:rPr>
          <w:rFonts w:hint="eastAsia" w:ascii="宋体" w:hAnsi="宋体" w:eastAsia="宋体" w:cs="宋体"/>
          <w:sz w:val="24"/>
          <w:szCs w:val="24"/>
          <w:highlight w:val="none"/>
          <w:lang w:eastAsia="zh-CN"/>
        </w:rPr>
        <w:t>1792.46</w:t>
      </w:r>
      <w:r>
        <w:rPr>
          <w:rFonts w:hint="eastAsia" w:ascii="宋体" w:hAnsi="宋体" w:eastAsia="宋体" w:cs="宋体"/>
          <w:sz w:val="24"/>
          <w:szCs w:val="24"/>
          <w:highlight w:val="none"/>
        </w:rPr>
        <w:t>万元，其中：财政安排资金</w:t>
      </w:r>
      <w:r>
        <w:rPr>
          <w:rFonts w:hint="eastAsia" w:ascii="宋体" w:hAnsi="宋体" w:eastAsia="宋体" w:cs="宋体"/>
          <w:sz w:val="24"/>
          <w:szCs w:val="24"/>
          <w:highlight w:val="none"/>
          <w:lang w:eastAsia="zh-CN"/>
        </w:rPr>
        <w:t>1792.46</w:t>
      </w:r>
      <w:r>
        <w:rPr>
          <w:rFonts w:hint="eastAsia" w:ascii="宋体" w:hAnsi="宋体" w:eastAsia="宋体" w:cs="宋体"/>
          <w:sz w:val="24"/>
          <w:szCs w:val="24"/>
          <w:highlight w:val="none"/>
        </w:rPr>
        <w:t>万元，其他资金</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万元，实际到位资金</w:t>
      </w:r>
      <w:r>
        <w:rPr>
          <w:rFonts w:hint="eastAsia" w:ascii="宋体" w:hAnsi="宋体" w:eastAsia="宋体" w:cs="宋体"/>
          <w:sz w:val="24"/>
          <w:szCs w:val="24"/>
          <w:highlight w:val="none"/>
          <w:lang w:eastAsia="zh-CN"/>
        </w:rPr>
        <w:t>1792.46</w:t>
      </w:r>
      <w:r>
        <w:rPr>
          <w:rFonts w:hint="eastAsia" w:ascii="宋体" w:hAnsi="宋体" w:eastAsia="宋体" w:cs="宋体"/>
          <w:sz w:val="24"/>
          <w:szCs w:val="24"/>
          <w:highlight w:val="none"/>
        </w:rPr>
        <w:t>万元，资金到位率=</w:t>
      </w:r>
      <w:r>
        <w:rPr>
          <w:rFonts w:hint="eastAsia" w:ascii="宋体" w:hAnsi="宋体" w:eastAsia="宋体" w:cs="宋体"/>
          <w:sz w:val="24"/>
          <w:szCs w:val="24"/>
          <w:highlight w:val="none"/>
          <w:lang w:val="en-US" w:eastAsia="zh-CN"/>
        </w:rPr>
        <w:t>100%；通过分析可知，该项目</w:t>
      </w:r>
      <w:r>
        <w:rPr>
          <w:rFonts w:hint="eastAsia" w:ascii="宋体" w:hAnsi="宋体" w:eastAsia="宋体" w:cs="宋体"/>
          <w:sz w:val="24"/>
          <w:szCs w:val="24"/>
          <w:highlight w:val="none"/>
        </w:rPr>
        <w:t>财政资金足额拨付到位，能够及时足额</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给</w:t>
      </w:r>
      <w:r>
        <w:rPr>
          <w:rFonts w:hint="eastAsia" w:ascii="宋体" w:hAnsi="宋体" w:eastAsia="宋体" w:cs="宋体"/>
          <w:sz w:val="24"/>
          <w:szCs w:val="24"/>
          <w:highlight w:val="none"/>
          <w:lang w:val="en-US" w:eastAsia="zh-CN"/>
        </w:rPr>
        <w:t>实施</w:t>
      </w:r>
      <w:r>
        <w:rPr>
          <w:rFonts w:hint="eastAsia" w:ascii="宋体" w:hAnsi="宋体" w:eastAsia="宋体" w:cs="宋体"/>
          <w:sz w:val="24"/>
          <w:szCs w:val="24"/>
          <w:highlight w:val="none"/>
        </w:rPr>
        <w:t>单位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 xml:space="preserve">分。   </w:t>
      </w:r>
    </w:p>
    <w:p w14:paraId="010C31FF">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预算执行率：</w:t>
      </w:r>
    </w:p>
    <w:p w14:paraId="1022BA0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本项目实际支出资金</w:t>
      </w:r>
      <w:r>
        <w:rPr>
          <w:rFonts w:hint="eastAsia" w:ascii="宋体" w:hAnsi="宋体" w:eastAsia="宋体" w:cs="宋体"/>
          <w:sz w:val="24"/>
          <w:szCs w:val="24"/>
          <w:highlight w:val="none"/>
          <w:lang w:eastAsia="zh-CN"/>
        </w:rPr>
        <w:t>1790.88</w:t>
      </w:r>
      <w:r>
        <w:rPr>
          <w:rFonts w:hint="eastAsia" w:ascii="宋体" w:hAnsi="宋体" w:eastAsia="宋体" w:cs="宋体"/>
          <w:sz w:val="24"/>
          <w:szCs w:val="24"/>
          <w:highlight w:val="none"/>
        </w:rPr>
        <w:t>万元，预算执行率=（</w:t>
      </w:r>
      <w:r>
        <w:rPr>
          <w:rFonts w:hint="eastAsia" w:ascii="宋体" w:hAnsi="宋体" w:eastAsia="宋体" w:cs="宋体"/>
          <w:sz w:val="24"/>
          <w:szCs w:val="24"/>
          <w:highlight w:val="none"/>
          <w:lang w:val="en-US" w:eastAsia="zh-CN"/>
        </w:rPr>
        <w:t>1790.88</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1792.46</w:t>
      </w:r>
      <w:r>
        <w:rPr>
          <w:rFonts w:hint="eastAsia" w:ascii="宋体" w:hAnsi="宋体" w:eastAsia="宋体" w:cs="宋体"/>
          <w:sz w:val="24"/>
          <w:szCs w:val="24"/>
          <w:highlight w:val="none"/>
        </w:rPr>
        <w:t>）×100.0%=</w:t>
      </w:r>
      <w:r>
        <w:rPr>
          <w:rFonts w:hint="eastAsia" w:ascii="宋体" w:hAnsi="宋体" w:eastAsia="宋体" w:cs="宋体"/>
          <w:sz w:val="24"/>
          <w:szCs w:val="24"/>
          <w:highlight w:val="none"/>
          <w:lang w:val="en-US" w:eastAsia="zh-CN"/>
        </w:rPr>
        <w:t>99.9%</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通过分析可知，该项目</w:t>
      </w:r>
      <w:r>
        <w:rPr>
          <w:rFonts w:hint="eastAsia" w:ascii="宋体" w:hAnsi="宋体" w:eastAsia="宋体" w:cs="宋体"/>
          <w:sz w:val="24"/>
          <w:szCs w:val="24"/>
          <w:highlight w:val="none"/>
        </w:rPr>
        <w:t>预算编制较为详细，项目资金支出总体能够按照预算执行，根据评分标准，该指标扣</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分，得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w:t>
      </w:r>
    </w:p>
    <w:p w14:paraId="68304262">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资金使用合规性：</w:t>
      </w:r>
    </w:p>
    <w:p w14:paraId="3651D3F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通过检查项目资金申请文件、</w:t>
      </w:r>
      <w:r>
        <w:rPr>
          <w:rFonts w:hint="eastAsia" w:ascii="宋体" w:hAnsi="宋体" w:eastAsia="宋体" w:cs="宋体"/>
          <w:sz w:val="24"/>
          <w:szCs w:val="24"/>
          <w:highlight w:val="none"/>
          <w:lang w:val="en-US" w:eastAsia="zh-CN"/>
        </w:rPr>
        <w:t>国库支付凭证</w:t>
      </w:r>
      <w:r>
        <w:rPr>
          <w:rFonts w:hint="eastAsia" w:ascii="宋体" w:hAnsi="宋体" w:eastAsia="宋体" w:cs="宋体"/>
          <w:sz w:val="24"/>
          <w:szCs w:val="24"/>
          <w:highlight w:val="none"/>
        </w:rPr>
        <w:t>等财务</w:t>
      </w:r>
      <w:r>
        <w:rPr>
          <w:rFonts w:hint="eastAsia" w:ascii="宋体" w:hAnsi="宋体" w:eastAsia="宋体" w:cs="宋体"/>
          <w:sz w:val="24"/>
          <w:szCs w:val="24"/>
          <w:highlight w:val="none"/>
          <w:lang w:val="en-US" w:eastAsia="zh-CN"/>
        </w:rPr>
        <w:t>资料</w:t>
      </w:r>
      <w:r>
        <w:rPr>
          <w:rFonts w:hint="eastAsia" w:ascii="宋体" w:hAnsi="宋体" w:eastAsia="宋体" w:cs="宋体"/>
          <w:sz w:val="24"/>
          <w:szCs w:val="24"/>
          <w:highlight w:val="none"/>
        </w:rPr>
        <w:t>，得出本项目资金支出符合国家财经法规、《政府会计制度》《</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单位资金管理办法》《</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rPr>
        <w:t>制定了相关的制度和管理规定对经费使用进行规范管理，财务制度健全、执行严格，根据评分标准，该指标不扣分，得4分。</w:t>
      </w:r>
    </w:p>
    <w:p w14:paraId="05E67702">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管理制度健全性：</w:t>
      </w:r>
    </w:p>
    <w:p w14:paraId="1D40F5F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我单位已制定《</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资金管理办法》《</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收支业务管理制度》《</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政府采购业务管理制度》《</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合同管理制度》，</w:t>
      </w:r>
      <w:r>
        <w:rPr>
          <w:rFonts w:hint="eastAsia" w:ascii="宋体" w:hAnsi="宋体" w:eastAsia="宋体" w:cs="宋体"/>
          <w:sz w:val="24"/>
          <w:szCs w:val="24"/>
          <w:highlight w:val="none"/>
          <w:lang w:val="en-US" w:eastAsia="zh-CN"/>
        </w:rPr>
        <w:t>相关</w:t>
      </w:r>
      <w:r>
        <w:rPr>
          <w:rFonts w:hint="eastAsia" w:ascii="宋体" w:hAnsi="宋体" w:eastAsia="宋体" w:cs="宋体"/>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w:t>
      </w:r>
    </w:p>
    <w:p w14:paraId="7F7EC2E4">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）制度执行有效性：</w:t>
      </w:r>
    </w:p>
    <w:p w14:paraId="204224B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①该项目的实施符合《</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办法》《</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管理制度》《</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采购业务管理制度》《</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p>
    <w:p w14:paraId="50E7AED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②经现场查证项目财务支付凭证等资料齐全并及时归档。</w:t>
      </w:r>
    </w:p>
    <w:p w14:paraId="18C0FBF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③该项目实施过程中不存在调整事项。</w:t>
      </w:r>
    </w:p>
    <w:p w14:paraId="1A0F131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sz w:val="24"/>
          <w:szCs w:val="24"/>
          <w:highlight w:val="none"/>
          <w:lang w:eastAsia="zh-CN"/>
        </w:rPr>
        <w:t>村干部及村民小组长2024年2月-2024年4月工资报酬</w:t>
      </w:r>
      <w:r>
        <w:rPr>
          <w:rFonts w:hint="eastAsia" w:ascii="宋体" w:hAnsi="宋体" w:eastAsia="宋体" w:cs="宋体"/>
          <w:sz w:val="24"/>
          <w:szCs w:val="24"/>
          <w:highlight w:val="none"/>
        </w:rPr>
        <w:t>项目工作领导小组，由</w:t>
      </w:r>
      <w:r>
        <w:rPr>
          <w:rFonts w:hint="eastAsia" w:ascii="宋体" w:hAnsi="宋体" w:eastAsia="宋体" w:cs="宋体"/>
          <w:sz w:val="24"/>
          <w:szCs w:val="24"/>
          <w:highlight w:val="none"/>
          <w:lang w:val="en-US" w:eastAsia="zh-CN"/>
        </w:rPr>
        <w:t>崔显春</w:t>
      </w:r>
      <w:r>
        <w:rPr>
          <w:rFonts w:hint="eastAsia" w:ascii="宋体" w:hAnsi="宋体" w:eastAsia="宋体" w:cs="宋体"/>
          <w:sz w:val="24"/>
          <w:szCs w:val="24"/>
          <w:highlight w:val="none"/>
        </w:rPr>
        <w:t>任组长，负责项目的组织工作；</w:t>
      </w:r>
      <w:r>
        <w:rPr>
          <w:rFonts w:hint="eastAsia" w:ascii="宋体" w:hAnsi="宋体" w:eastAsia="宋体" w:cs="宋体"/>
          <w:sz w:val="24"/>
          <w:szCs w:val="24"/>
          <w:highlight w:val="none"/>
          <w:lang w:val="en-US" w:eastAsia="zh-CN"/>
        </w:rPr>
        <w:t>王伟</w:t>
      </w:r>
      <w:r>
        <w:rPr>
          <w:rFonts w:hint="eastAsia" w:ascii="宋体" w:hAnsi="宋体" w:eastAsia="宋体" w:cs="宋体"/>
          <w:sz w:val="24"/>
          <w:szCs w:val="24"/>
          <w:highlight w:val="none"/>
        </w:rPr>
        <w:t>任副组长，负责项目的实施工作；组员包括：</w:t>
      </w:r>
      <w:r>
        <w:rPr>
          <w:rFonts w:hint="eastAsia" w:ascii="宋体" w:hAnsi="宋体" w:eastAsia="宋体" w:cs="宋体"/>
          <w:sz w:val="24"/>
          <w:szCs w:val="24"/>
          <w:highlight w:val="none"/>
          <w:lang w:val="en-US" w:eastAsia="zh-CN"/>
        </w:rPr>
        <w:t>奥古丽妮萨·阿卜杜拉</w:t>
      </w:r>
      <w:r>
        <w:rPr>
          <w:rFonts w:hint="eastAsia" w:ascii="宋体" w:hAnsi="宋体" w:eastAsia="宋体" w:cs="宋体"/>
          <w:sz w:val="24"/>
          <w:szCs w:val="24"/>
          <w:highlight w:val="none"/>
        </w:rPr>
        <w:t>和</w:t>
      </w:r>
      <w:r>
        <w:rPr>
          <w:rFonts w:hint="eastAsia" w:ascii="宋体" w:hAnsi="宋体" w:eastAsia="宋体" w:cs="宋体"/>
          <w:sz w:val="24"/>
          <w:szCs w:val="24"/>
          <w:highlight w:val="none"/>
          <w:lang w:val="en-US" w:eastAsia="zh-CN"/>
        </w:rPr>
        <w:t>阿卜杜萨拉木·阿卜杜拉</w:t>
      </w:r>
      <w:r>
        <w:rPr>
          <w:rFonts w:hint="eastAsia" w:ascii="宋体" w:hAnsi="宋体" w:eastAsia="宋体" w:cs="宋体"/>
          <w:sz w:val="24"/>
          <w:szCs w:val="24"/>
          <w:highlight w:val="none"/>
        </w:rPr>
        <w:t>，主要负责项目监督管理、验收以及资金核拨等工作。根据评分标准，该指标不扣分，得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w:t>
      </w:r>
    </w:p>
    <w:p w14:paraId="11C01ABD">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7421698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39.98</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99.95</w:t>
      </w:r>
      <w:r>
        <w:rPr>
          <w:rFonts w:hint="eastAsia" w:ascii="宋体" w:hAnsi="宋体" w:eastAsia="宋体" w:cs="宋体"/>
          <w:color w:val="auto"/>
          <w:sz w:val="24"/>
          <w:szCs w:val="24"/>
          <w:highlight w:val="none"/>
        </w:rPr>
        <w:t>%。</w:t>
      </w:r>
    </w:p>
    <w:p w14:paraId="3EA92434">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639F094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村干部（村民小组长）报酬补贴人数指标，预期指标值为</w:t>
      </w:r>
      <w:r>
        <w:rPr>
          <w:rFonts w:hint="eastAsia" w:ascii="宋体" w:hAnsi="宋体" w:eastAsia="宋体" w:cs="宋体"/>
          <w:color w:val="auto"/>
          <w:sz w:val="24"/>
          <w:szCs w:val="24"/>
          <w:highlight w:val="none"/>
          <w:lang w:eastAsia="zh-CN"/>
        </w:rPr>
        <w:t>≥1923人</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1923人</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0CC8CFB9">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对于“产出质量”：</w:t>
      </w:r>
    </w:p>
    <w:p w14:paraId="1ACAB0E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326EC3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补助发放覆盖率指标，预期指标值为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705775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补助资金发放准确率指标，预期指标值为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75AFAD3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0B30E24E">
      <w:pPr>
        <w:pStyle w:val="10"/>
        <w:pageBreakBefore w:val="0"/>
        <w:widowControl w:val="0"/>
        <w:numPr>
          <w:ilvl w:val="0"/>
          <w:numId w:val="3"/>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对于“产出时效”：</w:t>
      </w:r>
    </w:p>
    <w:p w14:paraId="62D8438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资金支付及时率指标，预期指标值为=100%，实际完成值为100%，指标完成率为100%，与预期目标一致，根据评分标准，该指标不扣分，得3分。</w:t>
      </w:r>
    </w:p>
    <w:p w14:paraId="64D03AB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项目开始时间指标，预期指标值为2024年1月，实际完成值为2024年1月，指标完成率为100%，与预期目标一致，根据评分标准，该指标不扣分，得3分。</w:t>
      </w:r>
    </w:p>
    <w:p w14:paraId="314727E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项目完成时间指标，预期指标值为2024年5月，实际完成值为2024年5月，指标完成率为100%，与预期目标一致，根据评分标准，该指标不扣分，得4分。</w:t>
      </w:r>
    </w:p>
    <w:p w14:paraId="3A72529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合计得10分。</w:t>
      </w:r>
    </w:p>
    <w:p w14:paraId="00CA08FF">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（4）对于“产出成本”：</w:t>
      </w:r>
    </w:p>
    <w:p w14:paraId="3AFF0BA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村干部（村民小组长）报酬补贴指标，预期指标值为=1792.46万元，实际完成值为1790.88万元，指标完成率为99.9%，项目经费都能控制绩效目标范围内，根据评分标准，该指标扣0.02分，得9.98分。</w:t>
      </w:r>
    </w:p>
    <w:p w14:paraId="3E3D8A4E">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1F1F24A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项目效益类指标包括项目效益1个方面的内容，由2个三级指标构成，权重分为20分，实际得分20分，得分率为100%。</w:t>
      </w:r>
    </w:p>
    <w:p w14:paraId="572CBF7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473493F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村干部（村民小组长）工作积极性指标，该指标预期指标值为</w:t>
      </w:r>
      <w:r>
        <w:rPr>
          <w:rFonts w:hint="eastAsia" w:ascii="宋体" w:hAnsi="宋体" w:eastAsia="宋体" w:cs="宋体"/>
          <w:sz w:val="24"/>
          <w:szCs w:val="24"/>
          <w:highlight w:val="none"/>
          <w:lang w:val="en-US" w:eastAsia="zh-CN"/>
        </w:rPr>
        <w:t>有效提高</w:t>
      </w:r>
      <w:r>
        <w:rPr>
          <w:rFonts w:hint="eastAsia" w:ascii="宋体" w:hAnsi="宋体" w:eastAsia="宋体" w:cs="宋体"/>
          <w:sz w:val="24"/>
          <w:szCs w:val="24"/>
          <w:highlight w:val="none"/>
        </w:rPr>
        <w:t>，实际完成值为</w:t>
      </w:r>
      <w:r>
        <w:rPr>
          <w:rFonts w:hint="eastAsia" w:ascii="宋体" w:hAnsi="宋体" w:eastAsia="宋体" w:cs="宋体"/>
          <w:sz w:val="24"/>
          <w:szCs w:val="24"/>
          <w:highlight w:val="none"/>
          <w:lang w:val="en-US" w:eastAsia="zh-CN"/>
        </w:rPr>
        <w:t>有效提高</w:t>
      </w:r>
      <w:r>
        <w:rPr>
          <w:rFonts w:hint="eastAsia" w:ascii="宋体" w:hAnsi="宋体" w:eastAsia="宋体" w:cs="宋体"/>
          <w:sz w:val="24"/>
          <w:szCs w:val="24"/>
          <w:highlight w:val="none"/>
        </w:rPr>
        <w:t>，指标完成率为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，与预期指标一致，根据评分标准，该指标不扣分，得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p w14:paraId="0F9B622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2</w:t>
      </w:r>
      <w:r>
        <w:rPr>
          <w:rFonts w:hint="eastAsia" w:ascii="宋体" w:hAnsi="宋体" w:eastAsia="宋体" w:cs="宋体"/>
          <w:bCs/>
          <w:sz w:val="24"/>
          <w:szCs w:val="24"/>
        </w:rPr>
        <w:t>）满意度指标分析</w:t>
      </w:r>
    </w:p>
    <w:p w14:paraId="5D4AB8DE">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对于“满意度指标：受益干部满意度，该指标预期指标值为=100%，实际完成值为100%，指标完成率为100%，与预期目标一致，根据评分标准，该指标不扣分,得10分。</w:t>
      </w:r>
      <w:bookmarkEnd w:id="13"/>
    </w:p>
    <w:p w14:paraId="5B5F874B">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53424799">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65DD9F1E">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本项目年初预算资金总额为</w:t>
      </w:r>
      <w:r>
        <w:rPr>
          <w:rFonts w:hint="eastAsia" w:ascii="宋体" w:hAnsi="宋体" w:eastAsia="宋体" w:cs="宋体"/>
          <w:sz w:val="24"/>
          <w:szCs w:val="24"/>
          <w:lang w:val="en-US" w:eastAsia="zh-CN"/>
        </w:rPr>
        <w:t>1792.46</w:t>
      </w:r>
      <w:r>
        <w:rPr>
          <w:rFonts w:hint="eastAsia" w:ascii="宋体" w:hAnsi="宋体" w:eastAsia="宋体" w:cs="宋体"/>
          <w:sz w:val="24"/>
          <w:szCs w:val="24"/>
        </w:rPr>
        <w:t>万元，全年预算数为</w:t>
      </w:r>
      <w:r>
        <w:rPr>
          <w:rFonts w:hint="eastAsia" w:ascii="宋体" w:hAnsi="宋体" w:eastAsia="宋体" w:cs="宋体"/>
          <w:sz w:val="24"/>
          <w:szCs w:val="24"/>
          <w:lang w:val="en-US" w:eastAsia="zh-CN"/>
        </w:rPr>
        <w:t>1792.46</w:t>
      </w:r>
      <w:r>
        <w:rPr>
          <w:rFonts w:hint="eastAsia" w:ascii="宋体" w:hAnsi="宋体" w:eastAsia="宋体" w:cs="宋体"/>
          <w:sz w:val="24"/>
          <w:szCs w:val="24"/>
        </w:rPr>
        <w:t>万元，全年执行数为</w:t>
      </w:r>
      <w:r>
        <w:rPr>
          <w:rFonts w:hint="eastAsia" w:ascii="宋体" w:hAnsi="宋体" w:eastAsia="宋体" w:cs="宋体"/>
          <w:sz w:val="24"/>
          <w:szCs w:val="24"/>
          <w:lang w:eastAsia="zh-CN"/>
        </w:rPr>
        <w:t>1790.88</w:t>
      </w:r>
      <w:r>
        <w:rPr>
          <w:rFonts w:hint="eastAsia" w:ascii="宋体" w:hAnsi="宋体" w:eastAsia="宋体" w:cs="宋体"/>
          <w:sz w:val="24"/>
          <w:szCs w:val="24"/>
        </w:rPr>
        <w:t>万元，预算执行率为</w:t>
      </w:r>
      <w:r>
        <w:rPr>
          <w:rFonts w:hint="eastAsia" w:ascii="宋体" w:hAnsi="宋体" w:eastAsia="宋体" w:cs="宋体"/>
          <w:sz w:val="24"/>
          <w:szCs w:val="24"/>
          <w:lang w:val="en-US" w:eastAsia="zh-CN"/>
        </w:rPr>
        <w:t>99.9%</w:t>
      </w:r>
      <w:r>
        <w:rPr>
          <w:rFonts w:hint="eastAsia" w:ascii="宋体" w:hAnsi="宋体" w:eastAsia="宋体" w:cs="宋体"/>
          <w:sz w:val="24"/>
          <w:szCs w:val="24"/>
        </w:rPr>
        <w:t>。</w:t>
      </w:r>
    </w:p>
    <w:p w14:paraId="23C4FE62">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本项目共设置三级指标数量</w:t>
      </w:r>
      <w:r>
        <w:rPr>
          <w:rFonts w:hint="eastAsia" w:ascii="宋体" w:hAnsi="宋体" w:eastAsia="宋体" w:cs="宋体"/>
          <w:sz w:val="24"/>
          <w:szCs w:val="24"/>
          <w:lang w:val="en-US" w:eastAsia="zh-CN"/>
        </w:rPr>
        <w:t>10</w:t>
      </w:r>
      <w:r>
        <w:rPr>
          <w:rFonts w:hint="eastAsia" w:ascii="宋体" w:hAnsi="宋体" w:eastAsia="宋体" w:cs="宋体"/>
          <w:sz w:val="24"/>
          <w:szCs w:val="24"/>
        </w:rPr>
        <w:t>个，满分指标数量</w:t>
      </w:r>
      <w:r>
        <w:rPr>
          <w:rFonts w:hint="eastAsia" w:ascii="宋体" w:hAnsi="宋体" w:eastAsia="宋体" w:cs="宋体"/>
          <w:sz w:val="24"/>
          <w:szCs w:val="24"/>
          <w:lang w:val="en-US" w:eastAsia="zh-CN"/>
        </w:rPr>
        <w:t>9</w:t>
      </w:r>
      <w:r>
        <w:rPr>
          <w:rFonts w:hint="eastAsia" w:ascii="宋体" w:hAnsi="宋体" w:eastAsia="宋体" w:cs="宋体"/>
          <w:sz w:val="24"/>
          <w:szCs w:val="24"/>
        </w:rPr>
        <w:t>个，扣分指标数量</w:t>
      </w:r>
      <w:r>
        <w:rPr>
          <w:rFonts w:hint="eastAsia" w:ascii="宋体" w:hAnsi="宋体" w:eastAsia="宋体" w:cs="宋体"/>
          <w:sz w:val="24"/>
          <w:szCs w:val="24"/>
          <w:lang w:val="en-US" w:eastAsia="zh-CN"/>
        </w:rPr>
        <w:t>1</w:t>
      </w:r>
      <w:r>
        <w:rPr>
          <w:rFonts w:hint="eastAsia" w:ascii="宋体" w:hAnsi="宋体" w:eastAsia="宋体" w:cs="宋体"/>
          <w:sz w:val="24"/>
          <w:szCs w:val="24"/>
        </w:rPr>
        <w:t>个，经分析计算所有三级指标完成率得出，本项目总体完成率为</w:t>
      </w:r>
      <w:r>
        <w:rPr>
          <w:rFonts w:hint="eastAsia" w:ascii="宋体" w:hAnsi="宋体" w:eastAsia="宋体" w:cs="宋体"/>
          <w:sz w:val="24"/>
          <w:szCs w:val="24"/>
          <w:lang w:val="en-US" w:eastAsia="zh-CN"/>
        </w:rPr>
        <w:t>99.98%</w:t>
      </w:r>
      <w:r>
        <w:rPr>
          <w:rFonts w:hint="eastAsia" w:ascii="宋体" w:hAnsi="宋体" w:eastAsia="宋体" w:cs="宋体"/>
          <w:sz w:val="24"/>
          <w:szCs w:val="24"/>
        </w:rPr>
        <w:t>。</w:t>
      </w:r>
    </w:p>
    <w:p w14:paraId="431D1D5B">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综上所述本项目预算执行率与总体完成率之间的偏差为</w:t>
      </w:r>
      <w:r>
        <w:rPr>
          <w:rFonts w:hint="eastAsia" w:ascii="宋体" w:hAnsi="宋体" w:eastAsia="宋体" w:cs="宋体"/>
          <w:sz w:val="24"/>
          <w:szCs w:val="24"/>
          <w:lang w:val="en-US" w:eastAsia="zh-CN"/>
        </w:rPr>
        <w:t>0.08</w:t>
      </w:r>
      <w:r>
        <w:rPr>
          <w:rFonts w:hint="eastAsia" w:ascii="宋体" w:hAnsi="宋体" w:eastAsia="宋体" w:cs="宋体"/>
          <w:sz w:val="24"/>
          <w:szCs w:val="24"/>
        </w:rPr>
        <w:t>%。</w:t>
      </w:r>
      <w:bookmarkStart w:id="14" w:name="_Toc68364673"/>
    </w:p>
    <w:p w14:paraId="0CF0D2CB">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p>
    <w:p w14:paraId="580E88AD">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lang w:val="en-US" w:eastAsia="zh-CN"/>
        </w:rPr>
        <w:t>六、</w:t>
      </w:r>
      <w:r>
        <w:rPr>
          <w:rFonts w:hint="eastAsia" w:ascii="黑体" w:hAnsi="黑体" w:eastAsia="黑体" w:cs="黑体"/>
          <w:b/>
          <w:bCs/>
          <w:sz w:val="24"/>
          <w:szCs w:val="24"/>
        </w:rPr>
        <w:t>主要经验及做法、存在的问题及原因分析</w:t>
      </w:r>
    </w:p>
    <w:p w14:paraId="0D6A7E27">
      <w:pPr>
        <w:pStyle w:val="46"/>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（一）主要经验及做法</w:t>
      </w:r>
      <w:bookmarkEnd w:id="14"/>
    </w:p>
    <w:p w14:paraId="19FE344B">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根据《自治区党委办公厅印发&lt;关于加强南疆四地州村党组织和带头人队伍建设的若干规定（试行）&gt;的通知》（新党办发〔2020〕32号）、《关于建立村干部报酬正常增长机制的通知》（和党建〔2022〕2号）执行。二是保障村干部（村民小组长）报酬补助，通过实施本项目，有效提高重视村干部的程度，持续激励村干部（村民小组长）工作积极性。</w:t>
      </w:r>
      <w:bookmarkStart w:id="15" w:name="_Toc68364674"/>
    </w:p>
    <w:p w14:paraId="2437DC33">
      <w:pPr>
        <w:pStyle w:val="46"/>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w:t>
      </w:r>
      <w:r>
        <w:rPr>
          <w:rFonts w:hint="eastAsia" w:ascii="宋体" w:hAnsi="宋体" w:eastAsia="宋体" w:cs="宋体"/>
          <w:b/>
          <w:bCs/>
          <w:sz w:val="24"/>
          <w:szCs w:val="24"/>
        </w:rPr>
        <w:t>存在问题及原因分析</w:t>
      </w:r>
      <w:bookmarkEnd w:id="15"/>
    </w:p>
    <w:p w14:paraId="1DEF1177">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1.是对各项指标和指标值要进一步优化、完善，主要在细化、量化上改进；</w:t>
      </w:r>
    </w:p>
    <w:p w14:paraId="70673BBD">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2.是部门评价工作还存在自我审定的局限性，会影响评价质量，容易造成问题的疏漏，在客观性和公正性上说服力不强；</w:t>
      </w:r>
    </w:p>
    <w:p w14:paraId="2323D4F4">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3.是缺少带着问题去评价的意识；</w:t>
      </w:r>
    </w:p>
    <w:p w14:paraId="524591AF">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4.是现场评价的工作量少，后续效益评价具体措施和方法较少。</w:t>
      </w:r>
      <w:bookmarkStart w:id="16" w:name="_Toc68364675"/>
    </w:p>
    <w:p w14:paraId="2D106244">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p>
    <w:p w14:paraId="547347AC">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七、有关建议</w:t>
      </w:r>
      <w:bookmarkEnd w:id="16"/>
      <w:r>
        <w:rPr>
          <w:rFonts w:hint="eastAsia" w:ascii="黑体" w:hAnsi="黑体" w:eastAsia="黑体" w:cs="黑体"/>
          <w:b/>
          <w:bCs/>
          <w:sz w:val="24"/>
          <w:szCs w:val="24"/>
          <w:lang w:val="en-US" w:eastAsia="zh-CN"/>
        </w:rPr>
        <w:t>：</w:t>
      </w:r>
    </w:p>
    <w:p w14:paraId="6392EF2B">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1604F26C">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2.项目评价资料有待进一步完善。项目启动时同步做好档案的归纳与整理，及时整理、收集、汇总，健全档案资料。项目后续管理有待进一步加强和跟踪。</w:t>
      </w:r>
    </w:p>
    <w:p w14:paraId="236D14E8">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3.通过绩效管理，发现实施中存在漏洞，以后加强管理，及时掌握与之相关的各类信息，减少成本，使资金效益最大化。</w:t>
      </w:r>
    </w:p>
    <w:p w14:paraId="39D9744A">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4．评价工作应从项目实施方案源头抓起，评价工作和意识应贯穿项目整个过程。</w:t>
      </w:r>
      <w:bookmarkStart w:id="17" w:name="_Toc68364676"/>
    </w:p>
    <w:p w14:paraId="01913ACC">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p>
    <w:p w14:paraId="325671ED">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八、其他需要说明的问题</w:t>
      </w:r>
      <w:bookmarkEnd w:id="17"/>
    </w:p>
    <w:p w14:paraId="5E936133">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我单位对上述项目支出绩效评价报告内反映内容的真实性、完整性负责，愿接受上级部门及社会公众监督。</w:t>
      </w:r>
    </w:p>
    <w:p w14:paraId="1C9DB86E">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p>
    <w:p w14:paraId="372FD873">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附件1：村干部及村民小组长2024年2月-2024年4月工资报酬项目</w:t>
      </w:r>
    </w:p>
    <w:p w14:paraId="67D61FE5">
      <w:pPr>
        <w:pStyle w:val="46"/>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绩效评价指标体系</w:t>
      </w:r>
    </w:p>
    <w:p w14:paraId="28FC3AD8">
      <w:pPr>
        <w:pStyle w:val="46"/>
        <w:pageBreakBefore w:val="0"/>
        <w:widowControl w:val="0"/>
        <w:kinsoku/>
        <w:wordWrap/>
        <w:topLinePunct w:val="0"/>
        <w:autoSpaceDE/>
        <w:autoSpaceDN/>
        <w:bidi w:val="0"/>
        <w:adjustRightInd/>
        <w:snapToGrid/>
        <w:spacing w:line="360" w:lineRule="auto"/>
        <w:ind w:left="1436" w:leftChars="170" w:hanging="960" w:hangingChars="4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附件2：村干部及村民小组长2024年2月-2024年4月工资报酬项目</w:t>
      </w:r>
    </w:p>
    <w:p w14:paraId="0158A8DC">
      <w:pPr>
        <w:pStyle w:val="46"/>
        <w:pageBreakBefore w:val="0"/>
        <w:widowControl w:val="0"/>
        <w:kinsoku/>
        <w:wordWrap/>
        <w:topLinePunct w:val="0"/>
        <w:autoSpaceDE/>
        <w:autoSpaceDN/>
        <w:bidi w:val="0"/>
        <w:adjustRightInd/>
        <w:snapToGrid/>
        <w:spacing w:line="360" w:lineRule="auto"/>
        <w:ind w:left="1428" w:leftChars="510" w:firstLine="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综合得分表</w:t>
      </w:r>
    </w:p>
    <w:p w14:paraId="23ADC543">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附件3：满意度调查问分析情况</w:t>
      </w:r>
    </w:p>
    <w:p w14:paraId="05B0CC9B">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15119" w:type="dxa"/>
        <w:tblInd w:w="-44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0"/>
        <w:gridCol w:w="633"/>
        <w:gridCol w:w="717"/>
        <w:gridCol w:w="583"/>
        <w:gridCol w:w="717"/>
        <w:gridCol w:w="750"/>
        <w:gridCol w:w="2402"/>
        <w:gridCol w:w="1050"/>
        <w:gridCol w:w="5680"/>
        <w:gridCol w:w="812"/>
        <w:gridCol w:w="975"/>
      </w:tblGrid>
      <w:tr w14:paraId="130C1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433" w:type="dxa"/>
            <w:gridSpan w:val="2"/>
            <w:tcBorders>
              <w:top w:val="nil"/>
              <w:left w:val="nil"/>
              <w:bottom w:val="nil"/>
              <w:right w:val="nil"/>
            </w:tcBorders>
            <w:noWrap/>
            <w:vAlign w:val="center"/>
          </w:tcPr>
          <w:p w14:paraId="2535927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auto"/>
                <w:kern w:val="0"/>
                <w:sz w:val="24"/>
                <w:szCs w:val="24"/>
                <w:u w:val="none"/>
                <w:lang w:val="en-US" w:eastAsia="zh-CN"/>
              </w:rPr>
              <w:t>附件1：</w:t>
            </w:r>
          </w:p>
        </w:tc>
        <w:tc>
          <w:tcPr>
            <w:tcW w:w="717" w:type="dxa"/>
            <w:tcBorders>
              <w:top w:val="nil"/>
              <w:left w:val="nil"/>
              <w:bottom w:val="nil"/>
              <w:right w:val="nil"/>
            </w:tcBorders>
            <w:noWrap/>
            <w:vAlign w:val="center"/>
          </w:tcPr>
          <w:p w14:paraId="0FE225E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583" w:type="dxa"/>
            <w:tcBorders>
              <w:top w:val="nil"/>
              <w:left w:val="nil"/>
              <w:bottom w:val="nil"/>
              <w:right w:val="nil"/>
            </w:tcBorders>
            <w:noWrap/>
            <w:vAlign w:val="center"/>
          </w:tcPr>
          <w:p w14:paraId="4CC179C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717" w:type="dxa"/>
            <w:tcBorders>
              <w:top w:val="nil"/>
              <w:left w:val="nil"/>
              <w:bottom w:val="nil"/>
              <w:right w:val="nil"/>
            </w:tcBorders>
            <w:noWrap/>
            <w:vAlign w:val="center"/>
          </w:tcPr>
          <w:p w14:paraId="277E0D2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750" w:type="dxa"/>
            <w:tcBorders>
              <w:top w:val="nil"/>
              <w:left w:val="nil"/>
              <w:bottom w:val="nil"/>
              <w:right w:val="nil"/>
            </w:tcBorders>
            <w:noWrap/>
            <w:vAlign w:val="center"/>
          </w:tcPr>
          <w:p w14:paraId="4F6BD63C">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402" w:type="dxa"/>
            <w:tcBorders>
              <w:top w:val="nil"/>
              <w:left w:val="nil"/>
              <w:bottom w:val="nil"/>
              <w:right w:val="nil"/>
            </w:tcBorders>
            <w:noWrap/>
            <w:vAlign w:val="center"/>
          </w:tcPr>
          <w:p w14:paraId="0FA4B10C">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1050" w:type="dxa"/>
            <w:tcBorders>
              <w:top w:val="nil"/>
              <w:left w:val="nil"/>
              <w:bottom w:val="nil"/>
              <w:right w:val="nil"/>
            </w:tcBorders>
            <w:noWrap/>
            <w:vAlign w:val="center"/>
          </w:tcPr>
          <w:p w14:paraId="2DD0C37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5680" w:type="dxa"/>
            <w:tcBorders>
              <w:top w:val="nil"/>
              <w:left w:val="nil"/>
              <w:bottom w:val="nil"/>
              <w:right w:val="nil"/>
            </w:tcBorders>
            <w:noWrap/>
            <w:vAlign w:val="center"/>
          </w:tcPr>
          <w:p w14:paraId="1DC23BDF">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812" w:type="dxa"/>
            <w:tcBorders>
              <w:top w:val="nil"/>
              <w:left w:val="nil"/>
              <w:bottom w:val="nil"/>
              <w:right w:val="nil"/>
            </w:tcBorders>
            <w:noWrap/>
            <w:vAlign w:val="center"/>
          </w:tcPr>
          <w:p w14:paraId="2E0474A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975" w:type="dxa"/>
            <w:tcBorders>
              <w:top w:val="nil"/>
              <w:left w:val="nil"/>
              <w:bottom w:val="nil"/>
              <w:right w:val="nil"/>
            </w:tcBorders>
            <w:noWrap/>
            <w:vAlign w:val="center"/>
          </w:tcPr>
          <w:p w14:paraId="5E17CCF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r>
      <w:tr w14:paraId="2640B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5119" w:type="dxa"/>
            <w:gridSpan w:val="11"/>
            <w:tcBorders>
              <w:top w:val="nil"/>
              <w:left w:val="nil"/>
              <w:bottom w:val="nil"/>
              <w:right w:val="nil"/>
            </w:tcBorders>
            <w:noWrap w:val="0"/>
            <w:vAlign w:val="center"/>
          </w:tcPr>
          <w:p w14:paraId="0B0AC0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FF0000"/>
                <w:sz w:val="21"/>
                <w:szCs w:val="21"/>
                <w:u w:val="none"/>
              </w:rPr>
            </w:pPr>
            <w:r>
              <w:rPr>
                <w:rFonts w:hint="eastAsia" w:ascii="宋体" w:hAnsi="宋体" w:eastAsia="宋体" w:cs="宋体"/>
                <w:b/>
                <w:bCs/>
                <w:i w:val="0"/>
                <w:iCs w:val="0"/>
                <w:color w:val="auto"/>
                <w:kern w:val="0"/>
                <w:sz w:val="21"/>
                <w:szCs w:val="21"/>
                <w:u w:val="none"/>
                <w:lang w:val="en-US" w:eastAsia="zh-CN"/>
              </w:rPr>
              <w:t>村干部及村民小组长2024年2月-2024年4月工资报酬项目绩效评价指标体系综合评分表</w:t>
            </w:r>
          </w:p>
        </w:tc>
      </w:tr>
      <w:tr w14:paraId="4BA59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00" w:type="dxa"/>
            <w:tcBorders>
              <w:top w:val="single" w:color="auto" w:sz="4" w:space="0"/>
              <w:left w:val="single" w:color="auto" w:sz="4" w:space="0"/>
              <w:bottom w:val="single" w:color="auto" w:sz="4" w:space="0"/>
              <w:right w:val="single" w:color="auto" w:sz="4" w:space="0"/>
            </w:tcBorders>
            <w:noWrap w:val="0"/>
            <w:vAlign w:val="center"/>
          </w:tcPr>
          <w:p w14:paraId="18E97B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08BB8D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77FE0C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30D39D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766CF5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C734A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707FEA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ED27E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0A8183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4C301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572B6C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566A4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5"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042BBD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2B50F9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20</w:t>
            </w: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11E4EF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7B1757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C07DC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63C3E6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53ED17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A32BF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1F805F2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15B77B4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35BC8D7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05E8499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47C7F85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3868CE1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E3866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43E0F1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4FAB8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4D1514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1C27DD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1DCFCF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2B4ED0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415020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19D675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6C663C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F4081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6CBA60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098428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4379AF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3F9248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9D379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418E49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53730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10933A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7AF929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7E9BE9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0B79E0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497250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6585D8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28D26C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6ACDE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36CB8E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4067A4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784B6C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40E14D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553138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FA307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E191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5739C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475618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15292E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568B27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599F54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6B03AE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763DD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3CD083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4A997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5A4945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432F22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1C2142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4B6440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5DD00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626346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1E616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3D4824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16E802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5B9C1B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7309B6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08899B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125E3E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5EB3A1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608350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45C93E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222B12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3FADBE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7CA857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3BE443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2348B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30A349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3FE2C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62C395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5F8E0B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3D1198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1E8115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163AF6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4F5764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21EFD4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E69F8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1EE112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59A795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618301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7DA1E9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0411FD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15969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464D1B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23B27B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20</w:t>
            </w: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6D172D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6B2A97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12</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313C0D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224F30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236540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A2E04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36B99E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7B317F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4F409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171BFA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4</w:t>
            </w:r>
          </w:p>
        </w:tc>
      </w:tr>
      <w:tr w14:paraId="7E4FD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7513CC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73169E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40618D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172E3A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1CD235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239EB8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54065A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57813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5D03A8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287853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41C3A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99.9% </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7FA3BD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4</w:t>
            </w:r>
          </w:p>
        </w:tc>
      </w:tr>
      <w:tr w14:paraId="74CD3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9"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18302F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155D53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575A16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3D376B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1B055B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2F3319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32ADC9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EDB95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568D2A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7C947E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689803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5BFC81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33F403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7863F4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73B1F5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4</w:t>
            </w:r>
          </w:p>
        </w:tc>
      </w:tr>
      <w:tr w14:paraId="07D6C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2"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076564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5365F6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1CC1CE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5902E1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52CB7D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461090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2C81DD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91DA5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346AD6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0E2ABF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460355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C6B90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061F26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4</w:t>
            </w:r>
          </w:p>
        </w:tc>
      </w:tr>
      <w:tr w14:paraId="3A6A9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142236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268750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2FF6C7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64C907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692936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制度执行有效性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39DA1C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024133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项目实施是否符合相关管理规定，用以反映和考核相关管理制度的有效执行情况。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67121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7ADBAB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①否遵守相关法律法规和相关管理规定；</w:t>
            </w:r>
          </w:p>
          <w:p w14:paraId="6B749E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②项目调整及支出调整手续是否完备；</w:t>
            </w:r>
          </w:p>
          <w:p w14:paraId="24E10F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③项目资料是否齐全并及时归档。</w:t>
            </w:r>
          </w:p>
          <w:p w14:paraId="510934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①②③齐全得权重分的100%，缺①扣权重分的30%，缺②扣权重分的40%，缺③扣权重分的30%。</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A1AD6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3218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4</w:t>
            </w:r>
          </w:p>
        </w:tc>
      </w:tr>
      <w:tr w14:paraId="32B1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7"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62689C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项目产出</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129E54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40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2537C9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产出数量</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0F649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3FDC67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实际完成率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1AA095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7ADB8DF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村干部（村民小组长）报酬补贴人数</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B715E2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≥1923人</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63DB5B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实际完成率=（实际完成/预期完成）×100%。</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①实际完成率≥100%，且偏离程度＜20%，得满分；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②实际完成率≥100%，偏离程度≥20%，得0分；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③实际完成率×100%＜100%，得分=实际完成率×指标分值。</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D0F3C7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1923人</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F057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w:t>
            </w:r>
          </w:p>
        </w:tc>
      </w:tr>
      <w:tr w14:paraId="7D032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36F477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6DB235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restart"/>
            <w:tcBorders>
              <w:top w:val="single" w:color="auto" w:sz="4" w:space="0"/>
              <w:left w:val="single" w:color="auto" w:sz="4" w:space="0"/>
              <w:right w:val="single" w:color="auto" w:sz="4" w:space="0"/>
            </w:tcBorders>
            <w:noWrap w:val="0"/>
            <w:vAlign w:val="center"/>
          </w:tcPr>
          <w:p w14:paraId="59BA23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产出质量</w:t>
            </w:r>
          </w:p>
        </w:tc>
        <w:tc>
          <w:tcPr>
            <w:tcW w:w="583" w:type="dxa"/>
            <w:vMerge w:val="restart"/>
            <w:tcBorders>
              <w:top w:val="single" w:color="auto" w:sz="4" w:space="0"/>
              <w:left w:val="single" w:color="auto" w:sz="4" w:space="0"/>
              <w:right w:val="single" w:color="auto" w:sz="4" w:space="0"/>
            </w:tcBorders>
            <w:noWrap w:val="0"/>
            <w:vAlign w:val="center"/>
          </w:tcPr>
          <w:p w14:paraId="0E0AC9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vMerge w:val="restart"/>
            <w:tcBorders>
              <w:top w:val="single" w:color="auto" w:sz="4" w:space="0"/>
              <w:left w:val="single" w:color="auto" w:sz="4" w:space="0"/>
              <w:right w:val="single" w:color="auto" w:sz="4" w:space="0"/>
            </w:tcBorders>
            <w:noWrap w:val="0"/>
            <w:vAlign w:val="center"/>
          </w:tcPr>
          <w:p w14:paraId="43E8EB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质量达标率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290607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6556EE5F">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lang w:eastAsia="zh-CN"/>
              </w:rPr>
            </w:pPr>
            <w:r>
              <w:rPr>
                <w:rFonts w:hint="eastAsia" w:ascii="宋体" w:hAnsi="宋体" w:eastAsia="宋体" w:cs="宋体"/>
                <w:i w:val="0"/>
                <w:iCs w:val="0"/>
                <w:color w:val="000000"/>
                <w:kern w:val="0"/>
                <w:sz w:val="21"/>
                <w:szCs w:val="21"/>
                <w:highlight w:val="none"/>
                <w:u w:val="none"/>
                <w:lang w:val="en-US" w:eastAsia="zh-CN"/>
              </w:rPr>
              <w:t>资金使用合规率</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5E8FBB4">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rPr>
              <w:t>=100%</w:t>
            </w:r>
          </w:p>
        </w:tc>
        <w:tc>
          <w:tcPr>
            <w:tcW w:w="5680" w:type="dxa"/>
            <w:vMerge w:val="restart"/>
            <w:tcBorders>
              <w:top w:val="single" w:color="auto" w:sz="4" w:space="0"/>
              <w:left w:val="single" w:color="auto" w:sz="4" w:space="0"/>
              <w:right w:val="single" w:color="auto" w:sz="4" w:space="0"/>
            </w:tcBorders>
            <w:noWrap w:val="0"/>
            <w:vAlign w:val="center"/>
          </w:tcPr>
          <w:p w14:paraId="5F42E7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若指标达到标杆值，则得100%权重分；否则，得分=（实际完成/预期完成）×100%×指标分值。</w:t>
            </w:r>
          </w:p>
          <w:p w14:paraId="001D1E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若指标完成值达到标杆值，则得100%权重分；否则，不得分。</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3F3590F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59B4FB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3</w:t>
            </w:r>
          </w:p>
        </w:tc>
      </w:tr>
      <w:tr w14:paraId="4C34B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 w:hRule="atLeast"/>
        </w:trPr>
        <w:tc>
          <w:tcPr>
            <w:tcW w:w="800" w:type="dxa"/>
            <w:vMerge w:val="continue"/>
            <w:tcBorders>
              <w:left w:val="single" w:color="auto" w:sz="4" w:space="0"/>
              <w:bottom w:val="single" w:color="auto" w:sz="4" w:space="0"/>
              <w:right w:val="single" w:color="auto" w:sz="4" w:space="0"/>
            </w:tcBorders>
            <w:noWrap w:val="0"/>
            <w:vAlign w:val="center"/>
          </w:tcPr>
          <w:p w14:paraId="12E5CB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633" w:type="dxa"/>
            <w:vMerge w:val="continue"/>
            <w:tcBorders>
              <w:left w:val="single" w:color="auto" w:sz="4" w:space="0"/>
              <w:bottom w:val="single" w:color="auto" w:sz="4" w:space="0"/>
              <w:right w:val="single" w:color="auto" w:sz="4" w:space="0"/>
            </w:tcBorders>
            <w:noWrap w:val="0"/>
            <w:vAlign w:val="center"/>
          </w:tcPr>
          <w:p w14:paraId="6AE66B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right w:val="single" w:color="auto" w:sz="4" w:space="0"/>
            </w:tcBorders>
            <w:noWrap w:val="0"/>
            <w:vAlign w:val="center"/>
          </w:tcPr>
          <w:p w14:paraId="689280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583" w:type="dxa"/>
            <w:vMerge w:val="continue"/>
            <w:tcBorders>
              <w:left w:val="single" w:color="auto" w:sz="4" w:space="0"/>
              <w:right w:val="single" w:color="auto" w:sz="4" w:space="0"/>
            </w:tcBorders>
            <w:noWrap w:val="0"/>
            <w:vAlign w:val="center"/>
          </w:tcPr>
          <w:p w14:paraId="78E216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right w:val="single" w:color="auto" w:sz="4" w:space="0"/>
            </w:tcBorders>
            <w:noWrap w:val="0"/>
            <w:vAlign w:val="center"/>
          </w:tcPr>
          <w:p w14:paraId="055A3D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51F0DA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70A4E3A7">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rPr>
            </w:pPr>
            <w:r>
              <w:rPr>
                <w:rFonts w:hint="eastAsia" w:ascii="宋体" w:hAnsi="宋体" w:eastAsia="宋体" w:cs="宋体"/>
                <w:i w:val="0"/>
                <w:iCs w:val="0"/>
                <w:color w:val="000000"/>
                <w:kern w:val="0"/>
                <w:sz w:val="21"/>
                <w:szCs w:val="21"/>
                <w:highlight w:val="none"/>
                <w:u w:val="none"/>
                <w:lang w:val="en-US" w:eastAsia="zh-CN"/>
              </w:rPr>
              <w:t>补助发放覆盖率</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65B935F">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rPr>
              <w:t>=100%</w:t>
            </w:r>
          </w:p>
        </w:tc>
        <w:tc>
          <w:tcPr>
            <w:tcW w:w="5680" w:type="dxa"/>
            <w:vMerge w:val="continue"/>
            <w:tcBorders>
              <w:left w:val="single" w:color="auto" w:sz="4" w:space="0"/>
              <w:right w:val="single" w:color="auto" w:sz="4" w:space="0"/>
            </w:tcBorders>
            <w:noWrap w:val="0"/>
            <w:vAlign w:val="center"/>
          </w:tcPr>
          <w:p w14:paraId="65953F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auto"/>
                <w:sz w:val="21"/>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6C38741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285B20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FF0000"/>
                <w:sz w:val="21"/>
                <w:szCs w:val="21"/>
                <w:highlight w:val="none"/>
              </w:rPr>
            </w:pPr>
            <w:r>
              <w:rPr>
                <w:rFonts w:hint="eastAsia" w:ascii="宋体" w:hAnsi="宋体" w:eastAsia="宋体" w:cs="宋体"/>
                <w:sz w:val="21"/>
                <w:szCs w:val="21"/>
                <w:lang w:val="en-US" w:eastAsia="zh-CN"/>
              </w:rPr>
              <w:t>3</w:t>
            </w:r>
          </w:p>
        </w:tc>
      </w:tr>
      <w:tr w14:paraId="1DC1F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left w:val="single" w:color="auto" w:sz="4" w:space="0"/>
              <w:bottom w:val="single" w:color="auto" w:sz="4" w:space="0"/>
              <w:right w:val="single" w:color="auto" w:sz="4" w:space="0"/>
            </w:tcBorders>
            <w:noWrap w:val="0"/>
            <w:vAlign w:val="center"/>
          </w:tcPr>
          <w:p w14:paraId="6D2D8B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633" w:type="dxa"/>
            <w:vMerge w:val="continue"/>
            <w:tcBorders>
              <w:left w:val="single" w:color="auto" w:sz="4" w:space="0"/>
              <w:bottom w:val="single" w:color="auto" w:sz="4" w:space="0"/>
              <w:right w:val="single" w:color="auto" w:sz="4" w:space="0"/>
            </w:tcBorders>
            <w:noWrap w:val="0"/>
            <w:vAlign w:val="center"/>
          </w:tcPr>
          <w:p w14:paraId="064E88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50B263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583" w:type="dxa"/>
            <w:vMerge w:val="continue"/>
            <w:tcBorders>
              <w:left w:val="single" w:color="auto" w:sz="4" w:space="0"/>
              <w:bottom w:val="single" w:color="auto" w:sz="4" w:space="0"/>
              <w:right w:val="single" w:color="auto" w:sz="4" w:space="0"/>
            </w:tcBorders>
            <w:noWrap w:val="0"/>
            <w:vAlign w:val="center"/>
          </w:tcPr>
          <w:p w14:paraId="10416A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246916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3936F3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17A69F1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补助资金发放准确率</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DDD583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5680" w:type="dxa"/>
            <w:vMerge w:val="continue"/>
            <w:tcBorders>
              <w:left w:val="single" w:color="auto" w:sz="4" w:space="0"/>
              <w:bottom w:val="single" w:color="auto" w:sz="4" w:space="0"/>
              <w:right w:val="single" w:color="auto" w:sz="4" w:space="0"/>
            </w:tcBorders>
            <w:noWrap w:val="0"/>
            <w:vAlign w:val="center"/>
          </w:tcPr>
          <w:p w14:paraId="59FF90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auto"/>
                <w:sz w:val="21"/>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404AE65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73D4DE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r>
      <w:tr w14:paraId="73A83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4B2D35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4D1757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restart"/>
            <w:tcBorders>
              <w:top w:val="single" w:color="auto" w:sz="4" w:space="0"/>
              <w:left w:val="single" w:color="auto" w:sz="4" w:space="0"/>
              <w:right w:val="single" w:color="auto" w:sz="4" w:space="0"/>
            </w:tcBorders>
            <w:noWrap w:val="0"/>
            <w:vAlign w:val="center"/>
          </w:tcPr>
          <w:p w14:paraId="71D6C0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产出时效</w:t>
            </w:r>
          </w:p>
        </w:tc>
        <w:tc>
          <w:tcPr>
            <w:tcW w:w="583" w:type="dxa"/>
            <w:vMerge w:val="restart"/>
            <w:tcBorders>
              <w:top w:val="single" w:color="auto" w:sz="4" w:space="0"/>
              <w:left w:val="single" w:color="auto" w:sz="4" w:space="0"/>
              <w:right w:val="single" w:color="auto" w:sz="4" w:space="0"/>
            </w:tcBorders>
            <w:noWrap w:val="0"/>
            <w:vAlign w:val="center"/>
          </w:tcPr>
          <w:p w14:paraId="5042EC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vMerge w:val="restart"/>
            <w:tcBorders>
              <w:top w:val="single" w:color="auto" w:sz="4" w:space="0"/>
              <w:left w:val="single" w:color="auto" w:sz="4" w:space="0"/>
              <w:right w:val="single" w:color="auto" w:sz="4" w:space="0"/>
            </w:tcBorders>
            <w:noWrap w:val="0"/>
            <w:vAlign w:val="center"/>
          </w:tcPr>
          <w:p w14:paraId="512B12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完成及时率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34521A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24F49E26">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rPr>
            </w:pPr>
            <w:r>
              <w:rPr>
                <w:rFonts w:hint="eastAsia" w:ascii="宋体" w:hAnsi="宋体" w:eastAsia="宋体" w:cs="宋体"/>
                <w:i w:val="0"/>
                <w:iCs w:val="0"/>
                <w:color w:val="000000"/>
                <w:kern w:val="0"/>
                <w:sz w:val="21"/>
                <w:szCs w:val="21"/>
                <w:highlight w:val="none"/>
                <w:u w:val="none"/>
                <w:lang w:val="en-US" w:eastAsia="zh-CN"/>
              </w:rPr>
              <w:t>资金支付及时率</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586DCA7">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5680" w:type="dxa"/>
            <w:vMerge w:val="restart"/>
            <w:tcBorders>
              <w:top w:val="single" w:color="auto" w:sz="4" w:space="0"/>
              <w:left w:val="single" w:color="auto" w:sz="4" w:space="0"/>
              <w:right w:val="single" w:color="auto" w:sz="4" w:space="0"/>
            </w:tcBorders>
            <w:noWrap w:val="0"/>
            <w:vAlign w:val="center"/>
          </w:tcPr>
          <w:p w14:paraId="742966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若指标完成值达到标杆值，则得100%权重分；否则，得分=（实际完成/预期完成）×100%×指标分值。</w:t>
            </w:r>
          </w:p>
          <w:p w14:paraId="2058DD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若在规定时间内完成，得100%权重分；若未在规定的时间内完成，得分=（1-未在规定时间内完成工作数/实际完成工作总数）×分值。</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4E2227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48CAD8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3</w:t>
            </w:r>
          </w:p>
        </w:tc>
      </w:tr>
      <w:tr w14:paraId="74D49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left w:val="single" w:color="auto" w:sz="4" w:space="0"/>
              <w:bottom w:val="single" w:color="auto" w:sz="4" w:space="0"/>
              <w:right w:val="single" w:color="auto" w:sz="4" w:space="0"/>
            </w:tcBorders>
            <w:noWrap w:val="0"/>
            <w:vAlign w:val="center"/>
          </w:tcPr>
          <w:p w14:paraId="7162E9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633" w:type="dxa"/>
            <w:vMerge w:val="continue"/>
            <w:tcBorders>
              <w:left w:val="single" w:color="auto" w:sz="4" w:space="0"/>
              <w:bottom w:val="single" w:color="auto" w:sz="4" w:space="0"/>
              <w:right w:val="single" w:color="auto" w:sz="4" w:space="0"/>
            </w:tcBorders>
            <w:noWrap w:val="0"/>
            <w:vAlign w:val="center"/>
          </w:tcPr>
          <w:p w14:paraId="26CE45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52DC9E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583" w:type="dxa"/>
            <w:vMerge w:val="continue"/>
            <w:tcBorders>
              <w:left w:val="single" w:color="auto" w:sz="4" w:space="0"/>
              <w:bottom w:val="single" w:color="auto" w:sz="4" w:space="0"/>
              <w:right w:val="single" w:color="auto" w:sz="4" w:space="0"/>
            </w:tcBorders>
            <w:noWrap w:val="0"/>
            <w:vAlign w:val="center"/>
          </w:tcPr>
          <w:p w14:paraId="75E453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0B572B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338ADC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6B418A8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项目开始时间</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7E2847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=2024年1月</w:t>
            </w:r>
          </w:p>
        </w:tc>
        <w:tc>
          <w:tcPr>
            <w:tcW w:w="5680" w:type="dxa"/>
            <w:vMerge w:val="continue"/>
            <w:tcBorders>
              <w:left w:val="single" w:color="auto" w:sz="4" w:space="0"/>
              <w:right w:val="single" w:color="auto" w:sz="4" w:space="0"/>
            </w:tcBorders>
            <w:noWrap w:val="0"/>
            <w:vAlign w:val="center"/>
          </w:tcPr>
          <w:p w14:paraId="6B77E2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FF0000"/>
                <w:sz w:val="21"/>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08B0D07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2024年1月</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7CC630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r>
      <w:tr w14:paraId="120B1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left w:val="single" w:color="auto" w:sz="4" w:space="0"/>
              <w:bottom w:val="single" w:color="auto" w:sz="4" w:space="0"/>
              <w:right w:val="single" w:color="auto" w:sz="4" w:space="0"/>
            </w:tcBorders>
            <w:noWrap w:val="0"/>
            <w:vAlign w:val="center"/>
          </w:tcPr>
          <w:p w14:paraId="6DFB4E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633" w:type="dxa"/>
            <w:vMerge w:val="continue"/>
            <w:tcBorders>
              <w:left w:val="single" w:color="auto" w:sz="4" w:space="0"/>
              <w:bottom w:val="single" w:color="auto" w:sz="4" w:space="0"/>
              <w:right w:val="single" w:color="auto" w:sz="4" w:space="0"/>
            </w:tcBorders>
            <w:noWrap w:val="0"/>
            <w:vAlign w:val="center"/>
          </w:tcPr>
          <w:p w14:paraId="772524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5064FF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583" w:type="dxa"/>
            <w:vMerge w:val="continue"/>
            <w:tcBorders>
              <w:left w:val="single" w:color="auto" w:sz="4" w:space="0"/>
              <w:bottom w:val="single" w:color="auto" w:sz="4" w:space="0"/>
              <w:right w:val="single" w:color="auto" w:sz="4" w:space="0"/>
            </w:tcBorders>
            <w:noWrap w:val="0"/>
            <w:vAlign w:val="center"/>
          </w:tcPr>
          <w:p w14:paraId="1EAD81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3B7440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1CD38C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053571EF">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rPr>
            </w:pPr>
            <w:r>
              <w:rPr>
                <w:rFonts w:hint="eastAsia" w:ascii="宋体" w:hAnsi="宋体" w:eastAsia="宋体" w:cs="宋体"/>
                <w:i w:val="0"/>
                <w:iCs w:val="0"/>
                <w:color w:val="000000"/>
                <w:kern w:val="0"/>
                <w:sz w:val="21"/>
                <w:szCs w:val="21"/>
                <w:highlight w:val="none"/>
                <w:u w:val="none"/>
                <w:lang w:val="en-US" w:eastAsia="zh-CN"/>
              </w:rPr>
              <w:t>项目完成时间</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4AA2AD9">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rPr>
              <w:t>=2024年5月</w:t>
            </w:r>
          </w:p>
        </w:tc>
        <w:tc>
          <w:tcPr>
            <w:tcW w:w="5680" w:type="dxa"/>
            <w:vMerge w:val="continue"/>
            <w:tcBorders>
              <w:left w:val="single" w:color="auto" w:sz="4" w:space="0"/>
              <w:right w:val="single" w:color="auto" w:sz="4" w:space="0"/>
            </w:tcBorders>
            <w:noWrap w:val="0"/>
            <w:vAlign w:val="center"/>
          </w:tcPr>
          <w:p w14:paraId="5334DE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FF0000"/>
                <w:sz w:val="21"/>
                <w:szCs w:val="21"/>
                <w:highlight w:val="none"/>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6819A08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2024年5月</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7AD502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FF0000"/>
                <w:sz w:val="21"/>
                <w:szCs w:val="21"/>
                <w:highlight w:val="none"/>
              </w:rPr>
            </w:pPr>
            <w:r>
              <w:rPr>
                <w:rFonts w:hint="eastAsia" w:ascii="宋体" w:hAnsi="宋体" w:eastAsia="宋体" w:cs="宋体"/>
                <w:sz w:val="21"/>
                <w:szCs w:val="21"/>
                <w:lang w:val="en-US" w:eastAsia="zh-CN"/>
              </w:rPr>
              <w:t>4</w:t>
            </w:r>
          </w:p>
        </w:tc>
      </w:tr>
      <w:tr w14:paraId="4A702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7"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416DC6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353CBE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2BD890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产出成本</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487533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02BE14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成本节约率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14F1F0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527B28A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村干部（村民小组长）报酬补贴</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E31067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≤1792.460万元</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421483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实际完成率=（实际支付资金数/计划应支付资金数）×100%。</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①实际完成率＞年度指标值，得0得分；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②实际完成率≤年度指标值，且偏离程度＜20%，得满分；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③实际完成率＜年度指标值，且偏离程度≥20%，得分=实际完成率×分值。</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7D35979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1790.88万元</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EE86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9.98</w:t>
            </w:r>
          </w:p>
        </w:tc>
      </w:tr>
      <w:tr w14:paraId="081D9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0BF01E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01C760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20</w:t>
            </w: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4E9034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32D31D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20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A142C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社会效益</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47355E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33B0FBE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村干部（村民小组长）工作积极性</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690CC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有效提高</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1FBB5F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按评判等级赋分。分为基本达成目标、部分实现目标、实现目标程度较低三个档次，并分别按照该指标对应分值区间100%-80%（含）、80%-60%（含）、60%-0%合理确定分值。</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732F91B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有效提高</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6BC805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14:paraId="00735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12952A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5DB858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6BA7F6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136AA7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6284C4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服务对象满意度</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23B78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5A303E9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受益干部满意度</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92E8F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≥95%</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5D28CA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根据问卷调查，满意度达到标杆值，得权重分的100%；否则低于95%，得分=实际满意度*指标分值。</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D028FB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975" w:type="dxa"/>
            <w:tcBorders>
              <w:top w:val="single" w:color="auto" w:sz="4" w:space="0"/>
              <w:left w:val="single" w:color="auto" w:sz="4" w:space="0"/>
              <w:bottom w:val="single" w:color="auto" w:sz="4" w:space="0"/>
              <w:right w:val="single" w:color="auto" w:sz="4" w:space="0"/>
            </w:tcBorders>
            <w:noWrap w:val="0"/>
            <w:vAlign w:val="center"/>
          </w:tcPr>
          <w:p w14:paraId="193018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14:paraId="2E64B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00" w:type="dxa"/>
            <w:tcBorders>
              <w:top w:val="single" w:color="auto" w:sz="4" w:space="0"/>
              <w:left w:val="single" w:color="auto" w:sz="4" w:space="0"/>
              <w:bottom w:val="single" w:color="auto" w:sz="4" w:space="0"/>
              <w:right w:val="single" w:color="auto" w:sz="4" w:space="0"/>
            </w:tcBorders>
            <w:noWrap w:val="0"/>
            <w:vAlign w:val="center"/>
          </w:tcPr>
          <w:p w14:paraId="670CE0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总分</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0DC47A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54768D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791BC0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0E5CF2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6639A8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740656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67FF2B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w:t>
            </w:r>
          </w:p>
        </w:tc>
        <w:tc>
          <w:tcPr>
            <w:tcW w:w="5680" w:type="dxa"/>
            <w:tcBorders>
              <w:top w:val="single" w:color="auto" w:sz="4" w:space="0"/>
              <w:left w:val="single" w:color="auto" w:sz="4" w:space="0"/>
              <w:bottom w:val="single" w:color="auto" w:sz="4" w:space="0"/>
              <w:right w:val="single" w:color="auto" w:sz="4" w:space="0"/>
            </w:tcBorders>
            <w:noWrap w:val="0"/>
            <w:vAlign w:val="center"/>
          </w:tcPr>
          <w:p w14:paraId="339CFB5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182349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FF0000"/>
                <w:sz w:val="21"/>
                <w:szCs w:val="21"/>
                <w:highlight w:val="none"/>
                <w:u w:val="none"/>
                <w:lang w:val="en-US" w:eastAsia="zh-CN"/>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ABECC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99.98</w:t>
            </w:r>
          </w:p>
        </w:tc>
      </w:tr>
    </w:tbl>
    <w:p w14:paraId="2D013444">
      <w:pPr>
        <w:pStyle w:val="10"/>
        <w:ind w:left="0" w:leftChars="0" w:firstLine="0" w:firstLineChars="0"/>
        <w:jc w:val="both"/>
        <w:rPr>
          <w:rFonts w:hint="eastAsia" w:ascii="宋体" w:hAnsi="宋体" w:eastAsia="宋体" w:cs="宋体"/>
          <w:color w:val="auto"/>
          <w:sz w:val="24"/>
          <w:szCs w:val="24"/>
          <w:lang w:val="en-US" w:eastAsia="zh-CN"/>
        </w:rPr>
      </w:pPr>
    </w:p>
    <w:p w14:paraId="7EB015C5">
      <w:pPr>
        <w:pStyle w:val="10"/>
        <w:ind w:left="0" w:leftChars="0" w:firstLine="0" w:firstLineChars="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07623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3E1696E3">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5B9835DC">
            <w:pPr>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1BAA3B3E">
            <w:pPr>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56E40EAF">
            <w:pPr>
              <w:rPr>
                <w:rFonts w:hint="eastAsia" w:ascii="宋体" w:hAnsi="宋体" w:eastAsia="宋体" w:cs="宋体"/>
                <w:i w:val="0"/>
                <w:iCs w:val="0"/>
                <w:color w:val="000000"/>
                <w:sz w:val="22"/>
                <w:szCs w:val="22"/>
                <w:highlight w:val="none"/>
                <w:u w:val="none"/>
              </w:rPr>
            </w:pPr>
          </w:p>
        </w:tc>
        <w:tc>
          <w:tcPr>
            <w:tcW w:w="3449" w:type="dxa"/>
            <w:tcBorders>
              <w:top w:val="nil"/>
              <w:left w:val="nil"/>
              <w:bottom w:val="nil"/>
              <w:right w:val="nil"/>
            </w:tcBorders>
            <w:noWrap/>
            <w:vAlign w:val="center"/>
          </w:tcPr>
          <w:p w14:paraId="0F2088B8">
            <w:pPr>
              <w:rPr>
                <w:rFonts w:hint="eastAsia" w:ascii="宋体" w:hAnsi="宋体" w:eastAsia="宋体" w:cs="宋体"/>
                <w:i w:val="0"/>
                <w:iCs w:val="0"/>
                <w:color w:val="000000"/>
                <w:sz w:val="22"/>
                <w:szCs w:val="22"/>
                <w:highlight w:val="none"/>
                <w:u w:val="none"/>
              </w:rPr>
            </w:pPr>
          </w:p>
        </w:tc>
        <w:tc>
          <w:tcPr>
            <w:tcW w:w="1331" w:type="dxa"/>
            <w:tcBorders>
              <w:top w:val="nil"/>
              <w:left w:val="nil"/>
              <w:bottom w:val="nil"/>
              <w:right w:val="nil"/>
            </w:tcBorders>
            <w:noWrap/>
            <w:vAlign w:val="center"/>
          </w:tcPr>
          <w:p w14:paraId="68360737">
            <w:pPr>
              <w:rPr>
                <w:rFonts w:hint="eastAsia" w:ascii="宋体" w:hAnsi="宋体" w:eastAsia="宋体" w:cs="宋体"/>
                <w:i w:val="0"/>
                <w:iCs w:val="0"/>
                <w:color w:val="000000"/>
                <w:sz w:val="22"/>
                <w:szCs w:val="22"/>
                <w:highlight w:val="none"/>
                <w:u w:val="none"/>
              </w:rPr>
            </w:pPr>
          </w:p>
        </w:tc>
      </w:tr>
      <w:tr w14:paraId="71F6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147BE20A">
            <w:pPr>
              <w:keepNext w:val="0"/>
              <w:keepLines w:val="0"/>
              <w:widowControl/>
              <w:suppressLineNumbers w:val="0"/>
              <w:jc w:val="center"/>
              <w:textAlignment w:val="center"/>
              <w:rPr>
                <w:rFonts w:hint="eastAsia" w:ascii="宋体" w:hAnsi="宋体" w:eastAsia="宋体" w:cs="宋体"/>
                <w:b/>
                <w:bCs/>
                <w:i w:val="0"/>
                <w:iCs w:val="0"/>
                <w:color w:val="FF0000"/>
                <w:sz w:val="36"/>
                <w:szCs w:val="36"/>
                <w:highlight w:val="none"/>
                <w:u w:val="none"/>
              </w:rPr>
            </w:pPr>
            <w:r>
              <w:rPr>
                <w:rFonts w:hint="eastAsia" w:ascii="宋体" w:hAnsi="宋体" w:eastAsia="宋体" w:cs="宋体"/>
                <w:b/>
                <w:bCs/>
                <w:i w:val="0"/>
                <w:iCs w:val="0"/>
                <w:color w:val="auto"/>
                <w:kern w:val="0"/>
                <w:sz w:val="36"/>
                <w:szCs w:val="36"/>
                <w:u w:val="none"/>
                <w:lang w:val="en-US" w:eastAsia="zh-CN"/>
              </w:rPr>
              <w:t>村干部及村民小组长2024年2月-2024年4月工资报酬项目综合得分表</w:t>
            </w:r>
          </w:p>
        </w:tc>
      </w:tr>
      <w:tr w14:paraId="35A07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2D04FA7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00D20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A0EFC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7933F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B5BAF6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AF994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合计</w:t>
            </w:r>
          </w:p>
        </w:tc>
      </w:tr>
      <w:tr w14:paraId="093D8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584A708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CDF06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56921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9D241F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E7A39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937075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r w14:paraId="29CF8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5C9C793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450071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20.00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71374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67B9F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39.98</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1D82D3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09495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99.98</w:t>
            </w:r>
          </w:p>
        </w:tc>
      </w:tr>
      <w:tr w14:paraId="5E8A0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346BD6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2DEFC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84372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D691AB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99.95%</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012E8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1ABE72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99.98%</w:t>
            </w:r>
          </w:p>
        </w:tc>
      </w:tr>
    </w:tbl>
    <w:p w14:paraId="2E887538">
      <w:pPr>
        <w:pStyle w:val="10"/>
        <w:ind w:left="0" w:leftChars="0" w:firstLine="0" w:firstLineChars="0"/>
        <w:jc w:val="both"/>
        <w:rPr>
          <w:rFonts w:hint="default" w:ascii="宋体" w:hAnsi="宋体" w:eastAsia="宋体" w:cs="宋体"/>
          <w:sz w:val="24"/>
          <w:szCs w:val="24"/>
          <w:highlight w:val="none"/>
          <w:lang w:val="en-US" w:eastAsia="zh-CN"/>
        </w:rPr>
      </w:pPr>
    </w:p>
    <w:p w14:paraId="3414EAFD">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1DD2287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1E467CD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村干部及村民小组长2024年2月-2024年4月工资报酬项目</w:t>
      </w:r>
    </w:p>
    <w:p w14:paraId="11E299C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满意度调查问卷分析报告</w:t>
      </w:r>
    </w:p>
    <w:p w14:paraId="2A9E620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434D83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一、该问卷调查从2025年1月1日开始至2025年3月1日结束，调查问卷共设置3道题目。</w:t>
      </w:r>
    </w:p>
    <w:p w14:paraId="1B89795C">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372330F0">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本次</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的受益对象为</w:t>
      </w:r>
      <w:r>
        <w:rPr>
          <w:rFonts w:hint="eastAsia" w:ascii="宋体" w:hAnsi="宋体" w:eastAsia="宋体" w:cs="宋体"/>
          <w:b/>
          <w:bCs/>
          <w:color w:val="auto"/>
          <w:sz w:val="24"/>
          <w:szCs w:val="24"/>
          <w:highlight w:val="none"/>
          <w:lang w:val="en-US" w:eastAsia="zh-CN"/>
        </w:rPr>
        <w:t>村干部和村民小组长</w:t>
      </w:r>
      <w:r>
        <w:rPr>
          <w:rFonts w:hint="eastAsia" w:ascii="宋体" w:hAnsi="宋体" w:eastAsia="宋体" w:cs="宋体"/>
          <w:b/>
          <w:bCs/>
          <w:color w:val="auto"/>
          <w:sz w:val="24"/>
          <w:szCs w:val="24"/>
          <w:highlight w:val="none"/>
        </w:rPr>
        <w:t>。</w:t>
      </w:r>
    </w:p>
    <w:p w14:paraId="5672619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2.调查内容</w:t>
      </w:r>
    </w:p>
    <w:p w14:paraId="6ED4872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①您对村干部及村民小组长2024年2月-2024年4月工资报酬项目中提高村干部工作积极性是否满意?</w:t>
      </w:r>
    </w:p>
    <w:p w14:paraId="2C822F8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②您对村干部及村民小组长2024年2月-2024年4月工资报酬项目的补助发放及时性是否满意和对工作强度和工资待遇匹配是否满意？</w:t>
      </w:r>
    </w:p>
    <w:p w14:paraId="3175370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③总的来说，村干部及村民小组长2024年2月-2024年4月工资报酬项目，项目实施后的整体满意程度如何？</w:t>
      </w:r>
    </w:p>
    <w:p w14:paraId="56E3A2FB">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3.调查方法</w:t>
      </w:r>
    </w:p>
    <w:p w14:paraId="7D521243">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问卷调查采取分层抽样和随机抽样相结合的方式进行。在全面调查开展之前会先进行论证，依据论证结果对问卷和抽样方案再进行一次修改和调整之后再付诸实施。</w:t>
      </w:r>
    </w:p>
    <w:p w14:paraId="425829C5">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4.抽样方式</w:t>
      </w:r>
    </w:p>
    <w:p w14:paraId="40856B2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为确保问卷调查的全面性和代表性，本次调查问卷调查采取随机抽样和分层抽样相结合方式进行。</w:t>
      </w:r>
    </w:p>
    <w:p w14:paraId="473F95BC">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5.问卷的发放和回收</w:t>
      </w:r>
    </w:p>
    <w:p w14:paraId="1F67E7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3A44BD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6.问卷调查分析结果</w:t>
      </w:r>
    </w:p>
    <w:p w14:paraId="271AE5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本次调查过程中，评价小组实际发放问卷30份，回收问卷30份，问卷回收率为100.00%，有效问卷30份，有效回收率100.00%，本次调查的整体情况如下：</w:t>
      </w:r>
    </w:p>
    <w:p w14:paraId="63BAFF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第一个问题：该项统计有效问卷数量30份，选择非常满意的人数为30人。选择比较满意的人数为0人，选择一般的人数0人，选择不满意的人数0人，选择非常不满意的人数0人。</w:t>
      </w:r>
    </w:p>
    <w:p w14:paraId="109004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第二个问题：该项统计有效问卷数量30份，选择非常满意的人数为30人。选择比较满意的人数为0人，选择一般的人数0人，选择不满意的人数0人，选择非常不满意的人数0人。</w:t>
      </w:r>
    </w:p>
    <w:p w14:paraId="402EFB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第三个问题：该项统计有效问卷数量30份，选择非常满意的人数为30人。选择比较满意的人数为0人，选择一般的人数0人，选择不满意的人数0人，选择非常不满意的人数0人。</w:t>
      </w:r>
    </w:p>
    <w:p w14:paraId="537B83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二、调查结果统计</w:t>
      </w:r>
    </w:p>
    <w:p w14:paraId="57DEE2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村干部及村民小组长2024年2月-2024年4月工资报酬项目针对受益人员发放30份调查问卷，最终统计受益人群满意度为100%。</w:t>
      </w:r>
    </w:p>
    <w:p w14:paraId="20A74F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b w:val="0"/>
          <w:color w:val="auto"/>
          <w:kern w:val="2"/>
          <w:sz w:val="24"/>
          <w:szCs w:val="24"/>
          <w:highlight w:val="none"/>
          <w:lang w:val="en-US" w:eastAsia="zh-CN" w:bidi="ar-SA"/>
        </w:rPr>
      </w:pPr>
    </w:p>
    <w:p w14:paraId="3580BB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中共洛浦县委员会组织部</w:t>
      </w:r>
    </w:p>
    <w:p w14:paraId="637D27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lang w:eastAsia="zh-CN"/>
        </w:rPr>
      </w:pPr>
      <w:r>
        <w:rPr>
          <w:rFonts w:hint="eastAsia" w:ascii="宋体" w:hAnsi="宋体" w:eastAsia="宋体" w:cs="宋体"/>
          <w:b w:val="0"/>
          <w:color w:val="auto"/>
          <w:kern w:val="2"/>
          <w:sz w:val="24"/>
          <w:szCs w:val="24"/>
          <w:highlight w:val="none"/>
          <w:lang w:val="en-US" w:eastAsia="zh-CN" w:bidi="ar-SA"/>
        </w:rPr>
        <w:t xml:space="preserve">                                              2025年3月6日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327DD">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109A9">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1"/>
      <w:numFmt w:val="decimal"/>
      <w:suff w:val="nothing"/>
      <w:lvlText w:val="（%1）"/>
      <w:lvlJc w:val="left"/>
    </w:lvl>
  </w:abstractNum>
  <w:abstractNum w:abstractNumId="2">
    <w:nsid w:val="59ADCABA"/>
    <w:multiLevelType w:val="singleLevel"/>
    <w:tmpl w:val="59ADCAB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73FF1ED2"/>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qFormat="1"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2">
    <w:name w:val="heading 2"/>
    <w:basedOn w:val="1"/>
    <w:next w:val="1"/>
    <w:link w:val="30"/>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3"/>
    <w:unhideWhenUsed/>
    <w:uiPriority w:val="0"/>
    <w:pPr>
      <w:ind w:firstLine="420"/>
    </w:pPr>
  </w:style>
  <w:style w:type="paragraph" w:styleId="5">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标题 2 Char"/>
    <w:link w:val="2"/>
    <w:uiPriority w:val="0"/>
    <w:rPr>
      <w:rFonts w:ascii="Cambria" w:hAnsi="Cambria" w:eastAsia="仿宋_GB2312" w:cs="Times New Roman"/>
      <w:b/>
      <w:bCs/>
      <w:kern w:val="0"/>
      <w:sz w:val="30"/>
      <w:szCs w:val="32"/>
    </w:rPr>
  </w:style>
  <w:style w:type="character" w:customStyle="1" w:styleId="31">
    <w:name w:val="标题 1 Char"/>
    <w:link w:val="3"/>
    <w:uiPriority w:val="9"/>
    <w:rPr>
      <w:rFonts w:ascii="Times New Roman" w:hAnsi="Times New Roman" w:eastAsia="仿宋_GB2312" w:cs="Times New Roman"/>
      <w:b/>
      <w:bCs/>
      <w:kern w:val="44"/>
      <w:sz w:val="32"/>
      <w:szCs w:val="44"/>
    </w:rPr>
  </w:style>
  <w:style w:type="character" w:customStyle="1" w:styleId="32">
    <w:name w:val="正文文本缩进 Char"/>
    <w:link w:val="5"/>
    <w:semiHidden/>
    <w:uiPriority w:val="99"/>
    <w:rPr>
      <w:rFonts w:ascii="Calibri" w:hAnsi="Calibri" w:eastAsia="仿宋_GB2312" w:cs="黑体"/>
      <w:sz w:val="28"/>
    </w:rPr>
  </w:style>
  <w:style w:type="character" w:customStyle="1" w:styleId="33">
    <w:name w:val="正文首行缩进 2 Char"/>
    <w:link w:val="4"/>
    <w:uiPriority w:val="0"/>
    <w:rPr>
      <w:rFonts w:ascii="Calibri" w:hAnsi="Calibri" w:eastAsia="仿宋_GB2312" w:cs="黑体"/>
      <w:sz w:val="28"/>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无间隔 Char"/>
    <w:link w:val="44"/>
    <w:uiPriority w:val="1"/>
    <w:rPr>
      <w:rFonts w:eastAsia="仿宋_GB2312" w:cs="黑体"/>
      <w:kern w:val="2"/>
      <w:sz w:val="28"/>
      <w:szCs w:val="22"/>
      <w:lang w:val="en-US" w:eastAsia="zh-CN" w:bidi="ar-SA"/>
    </w:rPr>
  </w:style>
  <w:style w:type="paragraph" w:styleId="44">
    <w:name w:val="No Spacing"/>
    <w:link w:val="43"/>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45">
    <w:name w:val="闻政-正文段落文字 Char"/>
    <w:link w:val="46"/>
    <w:uiPriority w:val="3"/>
    <w:rPr>
      <w:rFonts w:ascii="Times New Roman" w:hAnsi="Times New Roman" w:eastAsia="仿宋_GB2312"/>
      <w:sz w:val="28"/>
      <w:szCs w:val="28"/>
    </w:rPr>
  </w:style>
  <w:style w:type="paragraph" w:customStyle="1" w:styleId="46">
    <w:name w:val="闻政-正文段落文字"/>
    <w:basedOn w:val="1"/>
    <w:link w:val="45"/>
    <w:qFormat/>
    <w:uiPriority w:val="3"/>
    <w:pPr>
      <w:spacing w:line="500" w:lineRule="exact"/>
      <w:ind w:firstLine="200"/>
    </w:pPr>
    <w:rPr>
      <w:rFonts w:ascii="Times New Roman" w:hAnsi="Times New Roman" w:cs="Times New Roman"/>
      <w:kern w:val="0"/>
      <w:szCs w:val="28"/>
    </w:rPr>
  </w:style>
  <w:style w:type="character" w:customStyle="1" w:styleId="47">
    <w:name w:val="47"/>
    <w:qFormat/>
    <w:uiPriority w:val="0"/>
    <w:rPr>
      <w:b/>
      <w:bCs/>
      <w:smallCaps/>
      <w:color w:val="C0504D"/>
      <w:spacing w:val="5"/>
      <w:u w:val="single"/>
    </w:rPr>
  </w:style>
  <w:style w:type="character" w:customStyle="1" w:styleId="48">
    <w:name w:val="font11"/>
    <w:uiPriority w:val="0"/>
    <w:rPr>
      <w:rFonts w:hint="eastAsia" w:ascii="方正仿宋_GBK" w:hAnsi="方正仿宋_GBK" w:eastAsia="方正仿宋_GBK" w:cs="方正仿宋_GBK"/>
      <w:color w:val="000000"/>
      <w:sz w:val="24"/>
      <w:szCs w:val="24"/>
      <w:u w:val="none"/>
    </w:rPr>
  </w:style>
  <w:style w:type="character" w:customStyle="1" w:styleId="49">
    <w:name w:val="闻政-正文三级标题 Char"/>
    <w:link w:val="50"/>
    <w:uiPriority w:val="3"/>
    <w:rPr>
      <w:rFonts w:ascii="Times New Roman" w:hAnsi="Times New Roman" w:eastAsia="仿宋_GB2312"/>
      <w:b/>
      <w:snapToGrid w:val="0"/>
      <w:sz w:val="28"/>
      <w:szCs w:val="28"/>
    </w:rPr>
  </w:style>
  <w:style w:type="paragraph" w:customStyle="1" w:styleId="50">
    <w:name w:val="闻政-正文三级标题"/>
    <w:basedOn w:val="1"/>
    <w:next w:val="46"/>
    <w:link w:val="49"/>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1">
    <w:name w:val="font71"/>
    <w:basedOn w:val="25"/>
    <w:uiPriority w:val="0"/>
    <w:rPr>
      <w:rFonts w:hint="eastAsia" w:ascii="微软雅黑" w:hAnsi="微软雅黑" w:eastAsia="微软雅黑" w:cs="微软雅黑"/>
      <w:b/>
      <w:bCs/>
      <w:color w:val="000000"/>
      <w:sz w:val="32"/>
      <w:szCs w:val="32"/>
      <w:u w:val="none"/>
    </w:rPr>
  </w:style>
  <w:style w:type="character" w:customStyle="1" w:styleId="52">
    <w:name w:val="闻政-正文一级标题 Char"/>
    <w:link w:val="53"/>
    <w:uiPriority w:val="3"/>
    <w:rPr>
      <w:rFonts w:ascii="黑体" w:hAnsi="黑体" w:eastAsia="黑体"/>
      <w:bCs/>
      <w:sz w:val="32"/>
      <w:szCs w:val="32"/>
    </w:rPr>
  </w:style>
  <w:style w:type="paragraph" w:customStyle="1" w:styleId="53">
    <w:name w:val="闻政-正文一级标题"/>
    <w:basedOn w:val="6"/>
    <w:next w:val="46"/>
    <w:link w:val="52"/>
    <w:qFormat/>
    <w:uiPriority w:val="3"/>
    <w:pPr>
      <w:spacing w:before="120" w:after="60" w:line="500" w:lineRule="exact"/>
      <w:ind w:firstLine="0" w:firstLineChars="0"/>
      <w:outlineLvl w:val="0"/>
    </w:pPr>
    <w:rPr>
      <w:rFonts w:ascii="黑体" w:hAnsi="黑体" w:eastAsia="黑体"/>
      <w:sz w:val="32"/>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闻政-正文二级标题 Char"/>
    <w:link w:val="56"/>
    <w:uiPriority w:val="3"/>
    <w:rPr>
      <w:rFonts w:ascii="Times New Roman" w:hAnsi="Times New Roman" w:eastAsia="仿宋_GB2312"/>
      <w:b/>
      <w:bCs/>
      <w:sz w:val="28"/>
      <w:szCs w:val="32"/>
    </w:rPr>
  </w:style>
  <w:style w:type="paragraph" w:customStyle="1" w:styleId="56">
    <w:name w:val="闻政-正文二级标题"/>
    <w:basedOn w:val="2"/>
    <w:next w:val="46"/>
    <w:link w:val="55"/>
    <w:qFormat/>
    <w:uiPriority w:val="3"/>
    <w:pPr>
      <w:spacing w:before="120" w:after="60" w:line="500" w:lineRule="exact"/>
      <w:ind w:left="200" w:leftChars="200" w:firstLine="0" w:firstLineChars="0"/>
    </w:pPr>
    <w:rPr>
      <w:rFonts w:ascii="Times New Roman" w:hAnsi="Times New Roman"/>
      <w:sz w:val="28"/>
    </w:r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58">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9ABA70E352F9453F85E8665B1A994ECF_13</vt:lpwstr>
  </property>
  <property fmtid="{D5CDD505-2E9C-101B-9397-08002B2CF9AE}" pid="4" name="KSOTemplateDocerSaveRecord">
    <vt:lpwstr>eyJoZGlkIjoiMDljYzUzMWQ4OWI0YzBkYjYzMDRhZTY5ZjZkYmFmYTgiLCJ1c2VySWQiOiI2NTE5NDIwMjYifQ==</vt:lpwstr>
  </property>
</Properties>
</file>

<file path=customXml/itemProps1.xml><?xml version="1.0" encoding="utf-8"?>
<ds:datastoreItem xmlns:ds="http://schemas.openxmlformats.org/officeDocument/2006/customXml" ds:itemID="{ac704376-94d8-40d2-a7d5-f1814837339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14241</Words>
  <Characters>15320</Characters>
  <Lines>44</Lines>
  <Paragraphs>12</Paragraphs>
  <TotalTime>5</TotalTime>
  <ScaleCrop>false</ScaleCrop>
  <LinksUpToDate>false</LinksUpToDate>
  <CharactersWithSpaces>15386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2021-04-03T17:53:00Z</dcterms:created>
  <dc:creator>User</dc:creator>
  <cp:lastModifiedBy>Administrator</cp:lastModifiedBy>
  <dcterms:modified xsi:type="dcterms:W3CDTF">2025-10-10T10:22:43Z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9ABA70E352F9453F85E8665B1A994ECF_13</vt:lpwstr>
  </property>
  <property fmtid="{D5CDD505-2E9C-101B-9397-08002B2CF9AE}" pid="4" name="KSOTemplateDocerSaveRecord">
    <vt:lpwstr>eyJoZGlkIjoiMDljYzUzMWQ4OWI0YzBkYjYzMDRhZTY5ZjZkYmFmYTgiLCJ1c2VySWQiOiI2NTE5NDIwMjYifQ_x003D__x003D_</vt:lpwstr>
  </property>
</Properties>
</file>