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8AD02">
      <w:bookmarkStart w:id="25" w:name="_GoBack"/>
      <w:bookmarkEnd w:id="25"/>
    </w:p>
    <w:p w14:paraId="7BF8BEED">
      <w:pPr>
        <w:pageBreakBefore w:val="0"/>
        <w:widowControl w:val="0"/>
        <w:kinsoku/>
        <w:wordWrap/>
        <w:topLinePunct w:val="0"/>
        <w:autoSpaceDE/>
        <w:autoSpaceDN/>
        <w:bidi w:val="0"/>
        <w:spacing w:line="560" w:lineRule="exact"/>
        <w:ind w:left="0" w:leftChars="0" w:firstLine="0" w:firstLineChars="0"/>
        <w:jc w:val="center"/>
        <w:textAlignment w:val="auto"/>
        <w:rPr>
          <w:rFonts w:hint="default" w:eastAsia="方正仿宋_GBK" w:cs="方正仿宋_GBK"/>
          <w:b/>
          <w:kern w:val="0"/>
          <w:sz w:val="32"/>
          <w:szCs w:val="32"/>
          <w:lang w:val="en-US" w:eastAsia="zh-CN" w:bidi="en-US"/>
        </w:rPr>
      </w:pPr>
    </w:p>
    <w:p w14:paraId="44F0E5F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bCs/>
          <w:sz w:val="36"/>
          <w:szCs w:val="36"/>
          <w:highlight w:val="none"/>
          <w:lang w:val="en-US" w:eastAsia="zh-CN"/>
        </w:rPr>
      </w:pPr>
      <w:r>
        <w:rPr>
          <w:rFonts w:hint="eastAsia" w:ascii="黑体" w:hAnsi="黑体" w:eastAsia="黑体" w:cs="黑体"/>
          <w:b/>
          <w:sz w:val="36"/>
          <w:szCs w:val="36"/>
          <w:lang w:val="en-US" w:eastAsia="zh-CN"/>
        </w:rPr>
        <w:t>和田地区洛浦县2</w:t>
      </w:r>
      <w:r>
        <w:rPr>
          <w:rFonts w:hint="eastAsia" w:ascii="黑体" w:hAnsi="黑体" w:eastAsia="黑体" w:cs="黑体"/>
          <w:b/>
          <w:bCs/>
          <w:sz w:val="36"/>
          <w:szCs w:val="36"/>
          <w:highlight w:val="none"/>
          <w:lang w:val="en-US" w:eastAsia="zh-CN"/>
        </w:rPr>
        <w:t>024年度自治区基层政协补助经费</w:t>
      </w:r>
    </w:p>
    <w:p w14:paraId="0396DB6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pPr>
      <w:r>
        <w:rPr>
          <w:rFonts w:hint="eastAsia" w:ascii="黑体" w:hAnsi="黑体" w:eastAsia="黑体" w:cs="黑体"/>
          <w:b/>
          <w:sz w:val="36"/>
          <w:szCs w:val="36"/>
        </w:rPr>
        <w:t>项目支出绩效评价报告</w:t>
      </w:r>
    </w:p>
    <w:p w14:paraId="3590959D">
      <w:pPr>
        <w:pStyle w:val="6"/>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2024年度</w:t>
      </w:r>
      <w:r>
        <w:rPr>
          <w:rFonts w:hint="eastAsia" w:ascii="宋体" w:hAnsi="宋体" w:eastAsia="宋体" w:cs="宋体"/>
          <w:b/>
          <w:bCs w:val="0"/>
          <w:sz w:val="24"/>
          <w:szCs w:val="24"/>
          <w:lang w:eastAsia="zh-CN"/>
        </w:rPr>
        <w:t>）</w:t>
      </w:r>
    </w:p>
    <w:p w14:paraId="5443F48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936C3A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81DC94E">
      <w:pPr>
        <w:pStyle w:val="6"/>
        <w:rPr>
          <w:rFonts w:hint="eastAsia" w:eastAsia="方正仿宋_GBK" w:cs="方正仿宋_GBK"/>
          <w:b/>
          <w:kern w:val="0"/>
          <w:sz w:val="32"/>
          <w:szCs w:val="32"/>
          <w:lang w:bidi="en-US"/>
        </w:rPr>
      </w:pPr>
    </w:p>
    <w:p w14:paraId="65C32A3A">
      <w:pPr>
        <w:rPr>
          <w:rFonts w:hint="eastAsia" w:eastAsia="方正仿宋_GBK" w:cs="方正仿宋_GBK"/>
          <w:b/>
          <w:kern w:val="0"/>
          <w:sz w:val="32"/>
          <w:szCs w:val="32"/>
          <w:lang w:bidi="en-US"/>
        </w:rPr>
      </w:pPr>
    </w:p>
    <w:p w14:paraId="2AC90305">
      <w:pPr>
        <w:pStyle w:val="6"/>
        <w:rPr>
          <w:rFonts w:hint="eastAsia"/>
        </w:rPr>
      </w:pPr>
    </w:p>
    <w:p w14:paraId="3B42DB4F">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354EAF87">
      <w:pPr>
        <w:pageBreakBefore w:val="0"/>
        <w:widowControl w:val="0"/>
        <w:kinsoku/>
        <w:wordWrap/>
        <w:topLinePunct w:val="0"/>
        <w:autoSpaceDE/>
        <w:autoSpaceDN/>
        <w:bidi w:val="0"/>
        <w:spacing w:line="560" w:lineRule="exact"/>
        <w:ind w:left="0" w:leftChars="0" w:firstLine="560"/>
        <w:textAlignment w:val="auto"/>
        <w:rPr>
          <w:rFonts w:hint="eastAsia"/>
        </w:rPr>
      </w:pPr>
    </w:p>
    <w:p w14:paraId="6B5CF5D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71F1596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项目名称：</w:t>
      </w:r>
      <w:r>
        <w:rPr>
          <w:rFonts w:hint="eastAsia" w:ascii="宋体" w:hAnsi="宋体" w:eastAsia="宋体" w:cs="宋体"/>
          <w:kern w:val="0"/>
          <w:sz w:val="28"/>
          <w:szCs w:val="28"/>
          <w:lang w:val="en-US" w:eastAsia="zh-CN" w:bidi="en-US"/>
        </w:rPr>
        <w:t>2024年度自治区基层政协补助经费</w:t>
      </w:r>
      <w:r>
        <w:rPr>
          <w:rFonts w:hint="eastAsia" w:ascii="宋体" w:hAnsi="宋体" w:eastAsia="宋体" w:cs="宋体"/>
          <w:kern w:val="0"/>
          <w:sz w:val="28"/>
          <w:szCs w:val="28"/>
          <w:lang w:bidi="en-US"/>
        </w:rPr>
        <w:t>项目</w:t>
      </w:r>
    </w:p>
    <w:p w14:paraId="7ED6E5C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FF0000"/>
          <w:kern w:val="0"/>
          <w:sz w:val="28"/>
          <w:szCs w:val="28"/>
          <w:lang w:bidi="en-US"/>
        </w:rPr>
      </w:pPr>
      <w:r>
        <w:rPr>
          <w:rFonts w:hint="eastAsia" w:ascii="宋体" w:hAnsi="宋体" w:eastAsia="宋体" w:cs="宋体"/>
          <w:kern w:val="0"/>
          <w:sz w:val="28"/>
          <w:szCs w:val="28"/>
          <w:lang w:bidi="en-US"/>
        </w:rPr>
        <w:t>项目单位：</w:t>
      </w:r>
      <w:r>
        <w:rPr>
          <w:rFonts w:hint="eastAsia" w:ascii="宋体" w:hAnsi="宋体" w:eastAsia="宋体" w:cs="宋体"/>
          <w:kern w:val="0"/>
          <w:sz w:val="28"/>
          <w:szCs w:val="28"/>
          <w:lang w:val="en-US" w:eastAsia="zh-CN" w:bidi="en-US"/>
        </w:rPr>
        <w:t>中国人民政治协商会议新疆洛浦县委员会</w:t>
      </w:r>
    </w:p>
    <w:p w14:paraId="48FF9C6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FF0000"/>
          <w:kern w:val="0"/>
          <w:sz w:val="28"/>
          <w:szCs w:val="28"/>
          <w:lang w:bidi="en-US"/>
        </w:rPr>
      </w:pPr>
      <w:r>
        <w:rPr>
          <w:rFonts w:hint="eastAsia" w:ascii="宋体" w:hAnsi="宋体" w:eastAsia="宋体" w:cs="宋体"/>
          <w:kern w:val="0"/>
          <w:sz w:val="28"/>
          <w:szCs w:val="28"/>
          <w:lang w:bidi="en-US"/>
        </w:rPr>
        <w:t>主管部门：</w:t>
      </w:r>
      <w:r>
        <w:rPr>
          <w:rFonts w:hint="eastAsia" w:ascii="宋体" w:hAnsi="宋体" w:eastAsia="宋体" w:cs="宋体"/>
          <w:kern w:val="0"/>
          <w:sz w:val="28"/>
          <w:szCs w:val="28"/>
          <w:lang w:val="en-US" w:eastAsia="zh-CN" w:bidi="en-US"/>
        </w:rPr>
        <w:t>中国人民政治协商会议新疆洛浦县委员会</w:t>
      </w:r>
    </w:p>
    <w:p w14:paraId="1A80F35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甄宏超</w:t>
      </w:r>
    </w:p>
    <w:p w14:paraId="0577B08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 xml:space="preserve">填报时间： </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10</w:t>
      </w:r>
      <w:r>
        <w:rPr>
          <w:rFonts w:hint="eastAsia" w:ascii="宋体" w:hAnsi="宋体" w:eastAsia="宋体" w:cs="宋体"/>
          <w:kern w:val="0"/>
          <w:sz w:val="28"/>
          <w:szCs w:val="28"/>
          <w:lang w:bidi="en-US"/>
        </w:rPr>
        <w:t>日</w:t>
      </w:r>
    </w:p>
    <w:p w14:paraId="6CA553C4">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4658E6A0">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1730CBB1">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2CFB7907">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6DC6190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2022年1月，国务院提出《关于加强基层治理体系和治理能力现代化建设的意见》，意见指出“推进基层治理体系和治理能力现代化建设，是全面建设社会主义现代化国家的一项重要工作。各地区各部门要从巩固党的执政基础和维护国家政权安全的高度，深刻认识做好基层治理工作的重要性。”的文件精神，在自治区政协在自治区党委的关心、自治区人民政府的重视和自治区财政厅的支持下，为加强基层政协工作，改善基层政协工作条件，经财政部门批准设立“基层政协建设补助经费”，更好的发挥专门协商机构作用，组织政协委员开展调研视察、参政议政活动，补充基层政协机关经费不足，加强基层政协工作。</w:t>
      </w:r>
    </w:p>
    <w:p w14:paraId="35FA4649">
      <w:pPr>
        <w:pStyle w:val="6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为进一步改善基层政协基础设施和办公条件，保障基层政协更好地履行职责，发挥职能，政协洛浦县委员会为加强基层政协建设、改善基础设施和办公设备、提升公共服务能力、保障政协机关工作正常运转，根据《关于提前下达2024年度自治区基层政协补助经费的通知》和地财行〔2023〕42号文件实施此项目开展2024年度自治区基层政协补助经费项目。     </w:t>
      </w:r>
    </w:p>
    <w:p w14:paraId="35D6F645">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7B672D15">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3A8BC8F7">
      <w:pPr>
        <w:pStyle w:val="6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val="en-US" w:eastAsia="zh-CN"/>
        </w:rPr>
        <w:t>根据《关于提前下达2024年度自治区基层政协补助经费的通知》和地财行〔2023〕42号文件实施此项目，主要内容为：保障视频专网数量1条，购置办公用品1批，正常运行车辆数5辆，项目总投资5万元，其中1条视频会议专网费2.83万元，购置办公用品经费1.17万元，保障5辆公务用车运行费1万元。通过实施本项目可有效保障视频会议专网通畅，提高召开政协会议对社会的影响力，持续提高政协委员监督水平，确保单位各项目常工作正常运行，受益职工满意度达到90%以上。</w:t>
      </w:r>
    </w:p>
    <w:p w14:paraId="370002A5">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5FB54B96">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E0A091B">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sz w:val="24"/>
          <w:szCs w:val="24"/>
          <w:lang w:val="en-US" w:eastAsia="zh-CN"/>
        </w:rPr>
        <w:t>本项目主管部门为</w:t>
      </w:r>
      <w:r>
        <w:rPr>
          <w:rFonts w:hint="eastAsia" w:ascii="宋体" w:hAnsi="宋体" w:eastAsia="宋体" w:cs="宋体"/>
          <w:sz w:val="24"/>
          <w:szCs w:val="24"/>
        </w:rPr>
        <w:t>中国人民政治协商会议新疆洛浦县委员会</w:t>
      </w:r>
      <w:r>
        <w:rPr>
          <w:rFonts w:hint="eastAsia" w:ascii="宋体" w:hAnsi="宋体" w:eastAsia="宋体" w:cs="宋体"/>
          <w:sz w:val="24"/>
          <w:szCs w:val="24"/>
          <w:lang w:val="en-US" w:eastAsia="zh-CN"/>
        </w:rPr>
        <w:t>，实施单位为</w:t>
      </w:r>
      <w:r>
        <w:rPr>
          <w:rFonts w:hint="eastAsia" w:ascii="宋体" w:hAnsi="宋体" w:eastAsia="宋体" w:cs="宋体"/>
          <w:sz w:val="24"/>
          <w:szCs w:val="24"/>
        </w:rPr>
        <w:t>中国人民政治协商会议新疆洛浦县委员会</w:t>
      </w:r>
      <w:r>
        <w:rPr>
          <w:rFonts w:hint="eastAsia" w:ascii="宋体" w:hAnsi="宋体" w:eastAsia="宋体" w:cs="宋体"/>
          <w:sz w:val="24"/>
          <w:szCs w:val="24"/>
          <w:lang w:eastAsia="zh-CN"/>
        </w:rPr>
        <w:t>。</w:t>
      </w:r>
    </w:p>
    <w:p w14:paraId="3B7F578B">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78E0F30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6B056C6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本项目于2024年10月30日前全部完工。</w:t>
      </w:r>
    </w:p>
    <w:p w14:paraId="0A74837F">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2023年12月21日经地区财政局下达《关于提前下达2024年度自治区基层政协补助经费的通知》（和地财行〔2023〕42号），该项目的主管部门为中国人民政治协商会议新疆洛浦县委员会,实施单位为中国人民政治协商会议新疆洛浦县委员会，主要职责通过实施本项目可有效保障视频会议专网通畅，提高召开政协会议对社会的影响力，持续提高政协委员监督水平，确保单位各项日常工作正常运行，受益职工满意度达到90%以上。项目实施前进行充分调研，并制定项目实施方案，项目实施过程中严格按照实施方案进行实施并及时进行监督管理，项目实施后进行及时验收及后期维护。</w:t>
      </w:r>
    </w:p>
    <w:p w14:paraId="2D5AD770">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资金投入和使用情况</w:t>
      </w:r>
    </w:p>
    <w:p w14:paraId="67E7DDE8">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7BFF2F6F">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万元，资金来源为部门预算自治区专项资金，其中：财政资金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 xml:space="preserve"> %。</w:t>
      </w:r>
    </w:p>
    <w:p w14:paraId="71D0A625">
      <w:pPr>
        <w:pStyle w:val="4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1CB140A9">
      <w:pPr>
        <w:pStyle w:val="4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视频会议专网费用2.83万元</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保障5辆公务用车运行费</w:t>
      </w:r>
      <w:r>
        <w:rPr>
          <w:rFonts w:hint="eastAsia" w:ascii="宋体" w:hAnsi="宋体" w:eastAsia="宋体" w:cs="宋体"/>
          <w:color w:val="auto"/>
          <w:sz w:val="24"/>
          <w:szCs w:val="24"/>
        </w:rPr>
        <w:t>用</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购置办公用品经费用1.17万元等</w:t>
      </w:r>
      <w:r>
        <w:rPr>
          <w:rFonts w:hint="eastAsia" w:ascii="宋体" w:hAnsi="宋体" w:eastAsia="宋体" w:cs="宋体"/>
          <w:color w:val="auto"/>
          <w:sz w:val="24"/>
          <w:szCs w:val="24"/>
        </w:rPr>
        <w:t>。</w:t>
      </w:r>
    </w:p>
    <w:p w14:paraId="5696D632">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212D03D9">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608ED9E2">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315E73FB">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b/>
          <w:bCs/>
          <w:sz w:val="24"/>
          <w:szCs w:val="24"/>
        </w:rPr>
      </w:pPr>
      <w:r>
        <w:rPr>
          <w:rFonts w:ascii="宋体" w:hAnsi="宋体" w:eastAsia="宋体" w:cs="宋体"/>
          <w:sz w:val="24"/>
          <w:szCs w:val="24"/>
        </w:rPr>
        <w:t>根据《关于提前下达2024年度自治区基层政协补助经费的通知》和地财行〔2023〕42号文件实施此项目，主要内容为：保障视频专网数量1条，购置办公用品1批，正常运行车辆数5辆，项目总投资5万元，其中1条视频会议专网费2.83万元，购置办公用品经费1.17万元，保障5辆公务用车运行费1万元。通过实施本项目可有效保障视频会议专网通畅，提高召开政协会议对社会的影响力，持续提高政协委员监督水平，确保单位各项日常工作正常运行，受益职工满意度达到90%以上。</w:t>
      </w:r>
    </w:p>
    <w:p w14:paraId="2F23A19A">
      <w:pPr>
        <w:pStyle w:val="49"/>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3D38BE10">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8E26081">
      <w:pPr>
        <w:pStyle w:val="49"/>
        <w:pageBreakBefore w:val="0"/>
        <w:widowControl w:val="0"/>
        <w:numPr>
          <w:ilvl w:val="0"/>
          <w:numId w:val="5"/>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45B25783">
      <w:pPr>
        <w:pStyle w:val="49"/>
        <w:pageBreakBefore w:val="0"/>
        <w:widowControl w:val="0"/>
        <w:numPr>
          <w:ilvl w:val="0"/>
          <w:numId w:val="6"/>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4139741E">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ascii="宋体" w:hAnsi="宋体" w:eastAsia="宋体" w:cs="宋体"/>
          <w:color w:val="auto"/>
          <w:sz w:val="24"/>
          <w:szCs w:val="24"/>
        </w:rPr>
        <w:t>基层政协数量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预期指标值为：=1个</w:t>
      </w:r>
      <w:r>
        <w:rPr>
          <w:rFonts w:hint="eastAsia" w:ascii="宋体" w:hAnsi="宋体" w:eastAsia="宋体" w:cs="宋体"/>
          <w:color w:val="auto"/>
          <w:sz w:val="24"/>
          <w:szCs w:val="24"/>
        </w:rPr>
        <w:t>；</w:t>
      </w:r>
    </w:p>
    <w:p w14:paraId="69C50B86">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w:t>
      </w:r>
      <w:r>
        <w:rPr>
          <w:rFonts w:ascii="宋体" w:hAnsi="宋体" w:eastAsia="宋体" w:cs="宋体"/>
          <w:color w:val="auto"/>
          <w:sz w:val="24"/>
          <w:szCs w:val="24"/>
        </w:rPr>
        <w:t>保障视频专网数量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预期指标值为：=1条</w:t>
      </w:r>
      <w:r>
        <w:rPr>
          <w:rFonts w:hint="eastAsia" w:ascii="宋体" w:hAnsi="宋体" w:eastAsia="宋体" w:cs="宋体"/>
          <w:color w:val="auto"/>
          <w:sz w:val="24"/>
          <w:szCs w:val="24"/>
        </w:rPr>
        <w:t>；</w:t>
      </w:r>
    </w:p>
    <w:p w14:paraId="45B6AA46">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预期指标值为</w:t>
      </w:r>
      <w:r>
        <w:rPr>
          <w:rFonts w:ascii="宋体" w:hAnsi="宋体" w:eastAsia="宋体" w:cs="宋体"/>
          <w:color w:val="auto"/>
          <w:sz w:val="24"/>
          <w:szCs w:val="24"/>
        </w:rPr>
        <w:t>购置办公用品批数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预期指标值为：=1批；</w:t>
      </w:r>
    </w:p>
    <w:p w14:paraId="764EF980">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指标4：</w:t>
      </w:r>
      <w:r>
        <w:rPr>
          <w:rFonts w:hint="eastAsia" w:ascii="宋体" w:hAnsi="宋体" w:eastAsia="宋体" w:cs="宋体"/>
          <w:color w:val="auto"/>
          <w:sz w:val="24"/>
          <w:szCs w:val="24"/>
        </w:rPr>
        <w:t>预期指标值为</w:t>
      </w:r>
      <w:r>
        <w:rPr>
          <w:rFonts w:ascii="宋体" w:hAnsi="宋体" w:eastAsia="宋体" w:cs="宋体"/>
          <w:color w:val="auto"/>
          <w:sz w:val="24"/>
          <w:szCs w:val="24"/>
        </w:rPr>
        <w:t>保障正常运行车辆数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预期指标值为：=5辆；</w:t>
      </w:r>
    </w:p>
    <w:p w14:paraId="33B2DD09">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011DC4C2">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ascii="宋体" w:hAnsi="宋体" w:eastAsia="宋体" w:cs="宋体"/>
          <w:color w:val="auto"/>
          <w:sz w:val="24"/>
          <w:szCs w:val="24"/>
        </w:rPr>
        <w:t>补充基层政协经费覆盖率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预期指标值为：=100%</w:t>
      </w:r>
      <w:r>
        <w:rPr>
          <w:rFonts w:hint="eastAsia" w:ascii="宋体" w:hAnsi="宋体" w:eastAsia="宋体" w:cs="宋体"/>
          <w:color w:val="auto"/>
          <w:sz w:val="24"/>
          <w:szCs w:val="24"/>
        </w:rPr>
        <w:t>；</w:t>
      </w:r>
    </w:p>
    <w:p w14:paraId="76CE6A6E">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w:t>
      </w:r>
      <w:r>
        <w:rPr>
          <w:rFonts w:ascii="宋体" w:hAnsi="宋体" w:eastAsia="宋体" w:cs="宋体"/>
          <w:color w:val="auto"/>
          <w:sz w:val="24"/>
          <w:szCs w:val="24"/>
        </w:rPr>
        <w:t>办公用品质量合格率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预期指标值为：=100%；</w:t>
      </w:r>
    </w:p>
    <w:p w14:paraId="2486B801">
      <w:pPr>
        <w:pStyle w:val="49"/>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1C5445D1">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ascii="宋体" w:hAnsi="宋体" w:eastAsia="宋体" w:cs="宋体"/>
          <w:color w:val="auto"/>
          <w:sz w:val="24"/>
          <w:szCs w:val="24"/>
        </w:rPr>
        <w:t>项目结束时间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ascii="宋体" w:hAnsi="宋体" w:eastAsia="宋体" w:cs="宋体"/>
          <w:color w:val="auto"/>
          <w:sz w:val="24"/>
          <w:szCs w:val="24"/>
        </w:rPr>
        <w:t>=2024年12月</w:t>
      </w:r>
      <w:r>
        <w:rPr>
          <w:rFonts w:hint="eastAsia" w:ascii="宋体" w:hAnsi="宋体" w:eastAsia="宋体" w:cs="宋体"/>
          <w:color w:val="auto"/>
          <w:sz w:val="24"/>
          <w:szCs w:val="24"/>
        </w:rPr>
        <w:t>；</w:t>
      </w:r>
    </w:p>
    <w:p w14:paraId="20FE2A5F">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w:t>
      </w:r>
      <w:r>
        <w:rPr>
          <w:rFonts w:ascii="宋体" w:hAnsi="宋体" w:eastAsia="宋体" w:cs="宋体"/>
          <w:color w:val="auto"/>
          <w:sz w:val="24"/>
          <w:szCs w:val="24"/>
        </w:rPr>
        <w:t>资金发放及时率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ascii="宋体" w:hAnsi="宋体" w:eastAsia="宋体" w:cs="宋体"/>
          <w:color w:val="auto"/>
          <w:sz w:val="24"/>
          <w:szCs w:val="24"/>
        </w:rPr>
        <w:t>=100%</w:t>
      </w:r>
      <w:r>
        <w:rPr>
          <w:rFonts w:hint="eastAsia" w:ascii="宋体" w:hAnsi="宋体" w:eastAsia="宋体" w:cs="宋体"/>
          <w:color w:val="auto"/>
          <w:sz w:val="24"/>
          <w:szCs w:val="24"/>
        </w:rPr>
        <w:t>；</w:t>
      </w:r>
    </w:p>
    <w:p w14:paraId="06080040">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153CB3D2">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4DBF3EA6">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ascii="宋体" w:hAnsi="宋体" w:eastAsia="宋体" w:cs="宋体"/>
          <w:color w:val="auto"/>
          <w:sz w:val="24"/>
          <w:szCs w:val="24"/>
        </w:rPr>
        <w:t>视频会议专网费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ascii="宋体" w:hAnsi="宋体" w:eastAsia="宋体" w:cs="宋体"/>
          <w:color w:val="auto"/>
          <w:sz w:val="24"/>
          <w:szCs w:val="24"/>
        </w:rPr>
        <w:t>=2.83万元</w:t>
      </w:r>
      <w:r>
        <w:rPr>
          <w:rFonts w:hint="eastAsia" w:ascii="宋体" w:hAnsi="宋体" w:eastAsia="宋体" w:cs="宋体"/>
          <w:color w:val="auto"/>
          <w:sz w:val="24"/>
          <w:szCs w:val="24"/>
        </w:rPr>
        <w:t>；</w:t>
      </w:r>
    </w:p>
    <w:p w14:paraId="710D7ADA">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指标2：预期指标值为</w:t>
      </w:r>
      <w:r>
        <w:rPr>
          <w:rFonts w:ascii="宋体" w:hAnsi="宋体" w:eastAsia="宋体" w:cs="宋体"/>
          <w:color w:val="auto"/>
          <w:sz w:val="24"/>
          <w:szCs w:val="24"/>
        </w:rPr>
        <w:t>保障车辆运行费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ascii="宋体" w:hAnsi="宋体" w:eastAsia="宋体" w:cs="宋体"/>
          <w:color w:val="auto"/>
          <w:sz w:val="24"/>
          <w:szCs w:val="24"/>
        </w:rPr>
        <w:t>=1万元</w:t>
      </w:r>
      <w:r>
        <w:rPr>
          <w:rFonts w:hint="eastAsia" w:ascii="宋体" w:hAnsi="宋体" w:eastAsia="宋体" w:cs="宋体"/>
          <w:color w:val="auto"/>
          <w:sz w:val="24"/>
          <w:szCs w:val="24"/>
          <w:lang w:eastAsia="zh-CN"/>
        </w:rPr>
        <w:t>；</w:t>
      </w:r>
    </w:p>
    <w:p w14:paraId="20D1D85A">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预期指标值为</w:t>
      </w:r>
      <w:r>
        <w:rPr>
          <w:rFonts w:ascii="宋体" w:hAnsi="宋体" w:eastAsia="宋体" w:cs="宋体"/>
          <w:color w:val="auto"/>
          <w:sz w:val="24"/>
          <w:szCs w:val="24"/>
        </w:rPr>
        <w:t>购置办公用品经费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ascii="宋体" w:hAnsi="宋体" w:eastAsia="宋体" w:cs="宋体"/>
          <w:color w:val="auto"/>
          <w:sz w:val="24"/>
          <w:szCs w:val="24"/>
        </w:rPr>
        <w:t>=1.17万元</w:t>
      </w:r>
      <w:r>
        <w:rPr>
          <w:rFonts w:hint="eastAsia" w:ascii="宋体" w:hAnsi="宋体" w:eastAsia="宋体" w:cs="宋体"/>
          <w:color w:val="auto"/>
          <w:sz w:val="24"/>
          <w:szCs w:val="24"/>
          <w:lang w:eastAsia="zh-CN"/>
        </w:rPr>
        <w:t>；</w:t>
      </w:r>
    </w:p>
    <w:p w14:paraId="3EA0A82E">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571D264C">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6D44B39A">
      <w:pPr>
        <w:pStyle w:val="49"/>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6BD02901">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该项目无生态成本指标；</w:t>
      </w:r>
    </w:p>
    <w:p w14:paraId="0F2D49F7">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15CC1DF9">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3E0ED145">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w:t>
      </w:r>
      <w:r>
        <w:rPr>
          <w:rFonts w:hint="eastAsia" w:ascii="宋体" w:hAnsi="宋体" w:eastAsia="宋体" w:cs="宋体"/>
          <w:color w:val="auto"/>
          <w:sz w:val="24"/>
          <w:szCs w:val="24"/>
        </w:rPr>
        <w:t>经济</w:t>
      </w:r>
      <w:r>
        <w:rPr>
          <w:rFonts w:hint="eastAsia" w:ascii="宋体" w:hAnsi="宋体" w:eastAsia="宋体" w:cs="宋体"/>
          <w:color w:val="auto"/>
          <w:sz w:val="24"/>
          <w:szCs w:val="24"/>
          <w:lang w:val="en-US" w:eastAsia="zh-CN"/>
        </w:rPr>
        <w:t>效益指标；</w:t>
      </w:r>
    </w:p>
    <w:p w14:paraId="25478FCB">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5FA0B87C">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：预期指标值为</w:t>
      </w:r>
      <w:r>
        <w:rPr>
          <w:rFonts w:ascii="宋体" w:hAnsi="宋体" w:eastAsia="宋体" w:cs="宋体"/>
          <w:color w:val="auto"/>
          <w:sz w:val="24"/>
          <w:szCs w:val="24"/>
        </w:rPr>
        <w:t>促进基层政协工作开展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ascii="宋体" w:hAnsi="宋体" w:eastAsia="宋体" w:cs="宋体"/>
          <w:color w:val="auto"/>
          <w:sz w:val="24"/>
          <w:szCs w:val="24"/>
        </w:rPr>
        <w:t>有效促进</w:t>
      </w:r>
      <w:r>
        <w:rPr>
          <w:rFonts w:hint="eastAsia" w:ascii="宋体" w:hAnsi="宋体" w:eastAsia="宋体" w:cs="宋体"/>
          <w:color w:val="auto"/>
          <w:sz w:val="24"/>
          <w:szCs w:val="24"/>
        </w:rPr>
        <w:t>；</w:t>
      </w:r>
    </w:p>
    <w:p w14:paraId="7D6C1FAE">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6D64E0DD">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该项目无生态效益指标；</w:t>
      </w:r>
    </w:p>
    <w:p w14:paraId="69E589C2">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08B434A1">
      <w:pPr>
        <w:pStyle w:val="49"/>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：预期指标值为</w:t>
      </w:r>
      <w:r>
        <w:rPr>
          <w:rFonts w:ascii="宋体" w:hAnsi="宋体" w:eastAsia="宋体" w:cs="宋体"/>
          <w:color w:val="auto"/>
          <w:sz w:val="24"/>
          <w:szCs w:val="24"/>
        </w:rPr>
        <w:t>受益干部职工满意度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hint="eastAsia" w:ascii="宋体" w:hAnsi="宋体" w:eastAsia="宋体" w:cs="宋体"/>
          <w:color w:val="auto"/>
          <w:sz w:val="24"/>
          <w:szCs w:val="24"/>
        </w:rPr>
        <w:t>≥90%</w:t>
      </w:r>
      <w:r>
        <w:rPr>
          <w:rFonts w:hint="eastAsia" w:ascii="宋体" w:hAnsi="宋体" w:eastAsia="宋体" w:cs="宋体"/>
          <w:color w:val="auto"/>
          <w:sz w:val="24"/>
          <w:szCs w:val="24"/>
          <w:lang w:eastAsia="zh-CN"/>
        </w:rPr>
        <w:t>。</w:t>
      </w:r>
    </w:p>
    <w:p w14:paraId="5287551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4BB478B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76F4AD17">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79F285A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6ED4AD83">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sz w:val="24"/>
          <w:szCs w:val="24"/>
          <w:highlight w:val="none"/>
          <w:lang w:val="en-US" w:eastAsia="zh-CN"/>
        </w:rPr>
        <w:t>2024年度自治区基层政协补助经费</w:t>
      </w: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sz w:val="24"/>
          <w:szCs w:val="24"/>
          <w:highlight w:val="none"/>
          <w:lang w:val="en-US" w:eastAsia="zh-CN"/>
        </w:rPr>
        <w:t>2024年度自治区基层政协补助经费</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79D9DFBB">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5A8F8C40">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37F7A8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24"/>
          <w:szCs w:val="24"/>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58B21F2D">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4F3BE77">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1F4B3A0C">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7A0FAC5A">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color w:val="auto"/>
          <w:sz w:val="24"/>
          <w:szCs w:val="24"/>
          <w:highlight w:val="none"/>
        </w:rPr>
        <w:t>以</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19EB38C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50BD9439">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155E69DE">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w:t>
      </w:r>
      <w:r>
        <w:rPr>
          <w:rFonts w:hint="eastAsia" w:ascii="宋体" w:hAnsi="宋体" w:eastAsia="宋体" w:cs="宋体"/>
          <w:sz w:val="24"/>
          <w:szCs w:val="24"/>
        </w:rPr>
        <w:t>（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210C4AE">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75A3345">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B5DAA57">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2C1F1853">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C7F634A">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213C3189">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6B183F9B">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2249EDD8">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8EFB115">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rPr>
        <w:t>2. 绩效评价指标体系</w:t>
      </w:r>
    </w:p>
    <w:p w14:paraId="73D48F55">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个二级指标。项目绩效评价体系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详细指标体系见“附件1：项目支出绩效评价体系”。</w:t>
      </w:r>
    </w:p>
    <w:p w14:paraId="75F993BA">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 绩效评价方法</w:t>
      </w:r>
    </w:p>
    <w:p w14:paraId="46E64E48">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highlight w:val="none"/>
        </w:rPr>
        <w:t>绩效评价方法主要包括成本效益分析法、比较法、因素分析法、最低成本法、公众评判法、标杆管理法等。我单位根据本项目资金</w:t>
      </w:r>
      <w:r>
        <w:rPr>
          <w:rFonts w:hint="eastAsia" w:ascii="宋体" w:hAnsi="宋体" w:eastAsia="宋体" w:cs="宋体"/>
          <w:b w:val="0"/>
          <w:bCs/>
          <w:sz w:val="24"/>
          <w:szCs w:val="24"/>
        </w:rPr>
        <w:t>的性质和特点，选用比较法、因素分析法、公众评判法以及文献法对项目进行评价，旨在通过综合分析影响绩效目标实现、实施效果的内外部因素，从而评价本项目绩效。</w:t>
      </w:r>
    </w:p>
    <w:p w14:paraId="5B31F549">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BD436AC">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24A982ED">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4D33E9B3">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BF65AB4">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1E66D55">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44705C54">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523FA5AE">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EFA418D">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5A9AA02F">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25B5B649">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76FAFC31">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0D4F21D">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8E153E0">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4046DFA0">
      <w:pPr>
        <w:pStyle w:val="49"/>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228A22F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绩效评价标准通常包括计划标准、行业标准、历史标准等，用于对绩效指标完成情况进行比较、分析、评价。本次评价主要采用了计划标准。</w:t>
      </w:r>
    </w:p>
    <w:p w14:paraId="0622061F">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23B4FC0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9" w:name="_Toc5633"/>
      <w:bookmarkStart w:id="10"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9"/>
      <w:bookmarkEnd w:id="10"/>
    </w:p>
    <w:p w14:paraId="10C7201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11" w:name="_Toc430"/>
      <w:bookmarkStart w:id="12"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1"/>
      <w:bookmarkEnd w:id="12"/>
    </w:p>
    <w:p w14:paraId="4876026D">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297EBB97">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bookmarkStart w:id="13" w:name="_Toc68364664"/>
      <w:r>
        <w:rPr>
          <w:rFonts w:hint="eastAsia" w:ascii="宋体" w:hAnsi="宋体" w:eastAsia="宋体" w:cs="宋体"/>
          <w:sz w:val="24"/>
          <w:szCs w:val="24"/>
        </w:rPr>
        <w:t>1.前期准备</w:t>
      </w:r>
    </w:p>
    <w:p w14:paraId="31A5C6F4">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49D83E6">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sz w:val="24"/>
          <w:szCs w:val="24"/>
        </w:rPr>
        <w:t>姚宇民</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全面负责评价小组的运作，制定评价计划和方案，把控整体进度和方向，与项目相关方沟通协调，对评价结果负责</w:t>
      </w:r>
      <w:r>
        <w:rPr>
          <w:rFonts w:hint="eastAsia" w:ascii="宋体" w:hAnsi="宋体" w:eastAsia="宋体" w:cs="宋体"/>
          <w:sz w:val="24"/>
          <w:szCs w:val="24"/>
        </w:rPr>
        <w:t>;</w:t>
      </w:r>
    </w:p>
    <w:p w14:paraId="1C570130">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甄宏超</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sz w:val="24"/>
          <w:szCs w:val="24"/>
        </w:rPr>
        <w:t>;</w:t>
      </w:r>
    </w:p>
    <w:p w14:paraId="42DC6719">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郑艳平</w:t>
      </w:r>
      <w:r>
        <w:rPr>
          <w:rFonts w:hint="eastAsia" w:ascii="宋体" w:hAnsi="宋体" w:eastAsia="宋体" w:cs="宋体"/>
          <w:sz w:val="24"/>
          <w:szCs w:val="24"/>
        </w:rPr>
        <w:t>（评价小组组员）：主要负责</w:t>
      </w:r>
      <w:r>
        <w:rPr>
          <w:rFonts w:hint="eastAsia" w:ascii="宋体" w:hAnsi="宋体" w:eastAsia="宋体" w:cs="宋体"/>
          <w:sz w:val="24"/>
          <w:szCs w:val="24"/>
          <w:lang w:eastAsia="zh-CN"/>
        </w:rPr>
        <w:t>负责项目的预算执行情况，提供财务方面的评价意见和建议，根据评价小组的工作成果，撰写项目绩效评价报告。</w:t>
      </w:r>
    </w:p>
    <w:p w14:paraId="50F3C850">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0F8F0991">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43CAE7EA">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08ACCE89">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00B20844">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0A89F806">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3054AA88">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0DF9AA71">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195D338">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499E6C89">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744E3879">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31EB8D4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3"/>
    </w:p>
    <w:p w14:paraId="48363B10">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4" w:name="_Toc68364665"/>
      <w:r>
        <w:rPr>
          <w:rFonts w:hint="eastAsia" w:ascii="宋体" w:hAnsi="宋体" w:eastAsia="宋体" w:cs="宋体"/>
          <w:sz w:val="24"/>
          <w:szCs w:val="24"/>
        </w:rPr>
        <w:t>（一）综合评价情况</w:t>
      </w:r>
      <w:bookmarkEnd w:id="14"/>
    </w:p>
    <w:p w14:paraId="49FB8B5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rPr>
        <w:t>项目产生</w:t>
      </w:r>
      <w:r>
        <w:rPr>
          <w:rFonts w:hint="eastAsia" w:ascii="宋体" w:hAnsi="宋体" w:eastAsia="宋体" w:cs="宋体"/>
          <w:bCs/>
          <w:color w:val="auto"/>
          <w:sz w:val="24"/>
          <w:szCs w:val="24"/>
          <w:highlight w:val="none"/>
          <w:lang w:val="en-US" w:eastAsia="zh-CN"/>
        </w:rPr>
        <w:t>有效提高政协委员参政议政职能水平，提高政协委员建言献策质量和监督水平，提升召开政协会议对社会的影响力，确保单位各项工作正常运行。实施本项目不仅有利于确保政协各项工作的正常运转，促进基层政协更好的开展工作，而且有利于提高政协委员履职能力。</w:t>
      </w:r>
      <w:r>
        <w:rPr>
          <w:rFonts w:hint="eastAsia" w:ascii="宋体" w:hAnsi="宋体" w:eastAsia="宋体" w:cs="宋体"/>
          <w:color w:val="auto"/>
          <w:sz w:val="24"/>
          <w:szCs w:val="24"/>
        </w:rPr>
        <w:t>项目实施主要通过项目决策、项目过程、项目产出以及项目效益等方面进行评价，其中：</w:t>
      </w:r>
    </w:p>
    <w:p w14:paraId="5E50368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w:t>
      </w:r>
      <w:r>
        <w:rPr>
          <w:rFonts w:hint="eastAsia" w:ascii="宋体" w:hAnsi="宋体" w:eastAsia="宋体" w:cs="宋体"/>
          <w:color w:val="auto"/>
          <w:sz w:val="24"/>
          <w:szCs w:val="24"/>
          <w:lang w:val="en-US" w:eastAsia="zh-CN"/>
        </w:rPr>
        <w:t>根据《关于提前下达2024年度自治区基层政协补助经费的通知》和地财行〔2023〕42号</w:t>
      </w:r>
      <w:r>
        <w:rPr>
          <w:rFonts w:hint="eastAsia" w:ascii="宋体" w:hAnsi="宋体" w:eastAsia="宋体" w:cs="宋体"/>
          <w:color w:val="auto"/>
          <w:sz w:val="24"/>
          <w:szCs w:val="24"/>
        </w:rPr>
        <w:t>文件立项，项目实施符合</w:t>
      </w:r>
      <w:r>
        <w:rPr>
          <w:rFonts w:hint="eastAsia" w:ascii="宋体" w:hAnsi="宋体" w:eastAsia="宋体" w:cs="宋体"/>
          <w:color w:val="auto"/>
          <w:sz w:val="24"/>
          <w:szCs w:val="24"/>
          <w:lang w:val="en-US" w:eastAsia="zh-CN"/>
        </w:rPr>
        <w:t>根据《关于提前下达2024年度自治区基层政协补助经费的通知》和地财行〔2023〕42号文件</w:t>
      </w:r>
      <w:r>
        <w:rPr>
          <w:rFonts w:hint="eastAsia" w:ascii="宋体" w:hAnsi="宋体" w:eastAsia="宋体" w:cs="宋体"/>
          <w:color w:val="auto"/>
          <w:sz w:val="24"/>
          <w:szCs w:val="24"/>
        </w:rPr>
        <w:t xml:space="preserve">要求，项目立项依据充分，立项程序规范。 </w:t>
      </w:r>
    </w:p>
    <w:p w14:paraId="54EC10F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rPr>
        <w:t xml:space="preserve">项目预算安排 </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3C22C0C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lang w:eastAsia="zh-CN"/>
        </w:rPr>
        <w:t>该项目实际完成</w:t>
      </w:r>
      <w:r>
        <w:rPr>
          <w:rFonts w:ascii="宋体" w:hAnsi="宋体" w:eastAsia="宋体" w:cs="宋体"/>
          <w:color w:val="auto"/>
          <w:sz w:val="24"/>
          <w:szCs w:val="24"/>
        </w:rPr>
        <w:t>基层政协数量</w:t>
      </w:r>
      <w:r>
        <w:rPr>
          <w:rFonts w:hint="eastAsia" w:ascii="宋体" w:hAnsi="宋体" w:eastAsia="宋体" w:cs="宋体"/>
          <w:color w:val="auto"/>
          <w:sz w:val="24"/>
          <w:szCs w:val="24"/>
          <w:lang w:val="en-US" w:eastAsia="zh-CN"/>
        </w:rPr>
        <w:t>1个，</w:t>
      </w:r>
      <w:r>
        <w:rPr>
          <w:rFonts w:ascii="宋体" w:hAnsi="宋体" w:eastAsia="宋体" w:cs="宋体"/>
          <w:color w:val="auto"/>
          <w:sz w:val="24"/>
          <w:szCs w:val="24"/>
        </w:rPr>
        <w:t>保障视频专网数量</w:t>
      </w:r>
      <w:r>
        <w:rPr>
          <w:rFonts w:hint="eastAsia" w:ascii="宋体" w:hAnsi="宋体" w:eastAsia="宋体" w:cs="宋体"/>
          <w:color w:val="auto"/>
          <w:sz w:val="24"/>
          <w:szCs w:val="24"/>
          <w:lang w:val="en-US" w:eastAsia="zh-CN"/>
        </w:rPr>
        <w:t>1条，</w:t>
      </w:r>
      <w:r>
        <w:rPr>
          <w:rFonts w:ascii="宋体" w:hAnsi="宋体" w:eastAsia="宋体" w:cs="宋体"/>
          <w:color w:val="auto"/>
          <w:sz w:val="24"/>
          <w:szCs w:val="24"/>
        </w:rPr>
        <w:t>购置办公用品批数</w:t>
      </w:r>
      <w:r>
        <w:rPr>
          <w:rFonts w:hint="eastAsia" w:ascii="宋体" w:hAnsi="宋体" w:eastAsia="宋体" w:cs="宋体"/>
          <w:color w:val="auto"/>
          <w:sz w:val="24"/>
          <w:szCs w:val="24"/>
          <w:lang w:val="en-US" w:eastAsia="zh-CN"/>
        </w:rPr>
        <w:t>1批，</w:t>
      </w:r>
      <w:r>
        <w:rPr>
          <w:rFonts w:ascii="宋体" w:hAnsi="宋体" w:eastAsia="宋体" w:cs="宋体"/>
          <w:color w:val="auto"/>
          <w:sz w:val="24"/>
          <w:szCs w:val="24"/>
        </w:rPr>
        <w:t>保障正常运行车辆数</w:t>
      </w:r>
      <w:r>
        <w:rPr>
          <w:rFonts w:hint="eastAsia" w:ascii="宋体" w:hAnsi="宋体" w:eastAsia="宋体" w:cs="宋体"/>
          <w:color w:val="auto"/>
          <w:sz w:val="24"/>
          <w:szCs w:val="24"/>
          <w:lang w:val="en-US" w:eastAsia="zh-CN"/>
        </w:rPr>
        <w:t>5辆，</w:t>
      </w:r>
      <w:r>
        <w:rPr>
          <w:rFonts w:ascii="宋体" w:hAnsi="宋体" w:eastAsia="宋体" w:cs="宋体"/>
          <w:color w:val="auto"/>
          <w:sz w:val="24"/>
          <w:szCs w:val="24"/>
        </w:rPr>
        <w:t>补充基层政协经费覆盖率</w:t>
      </w:r>
      <w:r>
        <w:rPr>
          <w:rFonts w:hint="eastAsia" w:ascii="宋体" w:hAnsi="宋体" w:eastAsia="宋体" w:cs="宋体"/>
          <w:color w:val="auto"/>
          <w:sz w:val="24"/>
          <w:szCs w:val="24"/>
          <w:lang w:val="en-US" w:eastAsia="zh-CN"/>
        </w:rPr>
        <w:t>100%，购置</w:t>
      </w:r>
      <w:r>
        <w:rPr>
          <w:rFonts w:ascii="宋体" w:hAnsi="宋体" w:eastAsia="宋体" w:cs="宋体"/>
          <w:color w:val="auto"/>
          <w:sz w:val="24"/>
          <w:szCs w:val="24"/>
        </w:rPr>
        <w:t>办公用品质量合格率</w:t>
      </w:r>
      <w:r>
        <w:rPr>
          <w:rFonts w:hint="eastAsia" w:ascii="宋体" w:hAnsi="宋体" w:eastAsia="宋体" w:cs="宋体"/>
          <w:color w:val="auto"/>
          <w:sz w:val="24"/>
          <w:szCs w:val="24"/>
          <w:lang w:val="en-US" w:eastAsia="zh-CN"/>
        </w:rPr>
        <w:t>100%，指标达到预算目标。</w:t>
      </w:r>
    </w:p>
    <w:p w14:paraId="7B23E27D">
      <w:pPr>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rPr>
        <w:t>项目效益：通过实施此项目产生</w:t>
      </w:r>
      <w:r>
        <w:rPr>
          <w:rFonts w:hint="eastAsia" w:ascii="宋体" w:hAnsi="宋体" w:eastAsia="宋体" w:cs="宋体"/>
          <w:color w:val="auto"/>
          <w:sz w:val="24"/>
          <w:szCs w:val="24"/>
          <w:lang w:val="en-US" w:eastAsia="zh-CN"/>
        </w:rPr>
        <w:t>有效提高政协委员参政议政职能水平，提高政协委员建言献策质量和监督水平，提升召开政协会议对社会的影响力，确保单位各项工作正常运行。实施</w:t>
      </w:r>
      <w:r>
        <w:rPr>
          <w:rFonts w:hint="eastAsia" w:ascii="宋体" w:hAnsi="宋体" w:eastAsia="宋体" w:cs="宋体"/>
          <w:color w:val="auto"/>
          <w:sz w:val="24"/>
          <w:szCs w:val="24"/>
          <w:highlight w:val="none"/>
          <w:lang w:val="en-US" w:eastAsia="zh-CN"/>
        </w:rPr>
        <w:t>本项目不仅有利于确保政协各项工作的正常运转，</w:t>
      </w:r>
      <w:r>
        <w:rPr>
          <w:rFonts w:hint="eastAsia" w:ascii="宋体" w:hAnsi="宋体" w:eastAsia="宋体" w:cs="宋体"/>
          <w:sz w:val="24"/>
          <w:szCs w:val="24"/>
          <w:highlight w:val="none"/>
          <w:lang w:val="en-US" w:eastAsia="zh-CN"/>
        </w:rPr>
        <w:t>促进基层政协更好的开展工作，而且有利于提高政协委员履职能力。</w:t>
      </w:r>
    </w:p>
    <w:p w14:paraId="5B312BB1">
      <w:pPr>
        <w:pStyle w:val="56"/>
        <w:pageBreakBefore w:val="0"/>
        <w:widowControl w:val="0"/>
        <w:kinsoku/>
        <w:wordWrap/>
        <w:overflowPunct/>
        <w:topLinePunct w:val="0"/>
        <w:autoSpaceDE/>
        <w:autoSpaceDN/>
        <w:bidi w:val="0"/>
        <w:adjustRightInd w:val="0"/>
        <w:snapToGrid w:val="0"/>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（二）综合评价结论</w:t>
      </w:r>
    </w:p>
    <w:p w14:paraId="588FCAE5">
      <w:pPr>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333333"/>
          <w:sz w:val="24"/>
          <w:szCs w:val="24"/>
          <w:highlight w:val="none"/>
        </w:rPr>
      </w:pPr>
      <w:r>
        <w:rPr>
          <w:rFonts w:hint="eastAsia" w:ascii="宋体" w:hAnsi="宋体" w:eastAsia="宋体" w:cs="宋体"/>
          <w:color w:val="333333"/>
          <w:sz w:val="24"/>
          <w:szCs w:val="24"/>
          <w:highlight w:val="none"/>
        </w:rPr>
        <w:t>依据《</w:t>
      </w:r>
      <w:r>
        <w:rPr>
          <w:rFonts w:hint="eastAsia" w:ascii="宋体" w:hAnsi="宋体" w:eastAsia="宋体" w:cs="宋体"/>
          <w:color w:val="auto"/>
          <w:sz w:val="24"/>
          <w:szCs w:val="24"/>
          <w:highlight w:val="none"/>
        </w:rPr>
        <w:t>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分，绩效等级为“优”。</w:t>
      </w:r>
      <w:bookmarkEnd w:id="15"/>
    </w:p>
    <w:p w14:paraId="23F6E9CB">
      <w:pPr>
        <w:pStyle w:val="4"/>
        <w:pageBreakBefore w:val="0"/>
        <w:widowControl w:val="0"/>
        <w:kinsoku/>
        <w:wordWrap/>
        <w:topLinePunct w:val="0"/>
        <w:autoSpaceDE/>
        <w:autoSpaceDN/>
        <w:bidi w:val="0"/>
        <w:adjustRightInd w:val="0"/>
        <w:snapToGrid w:val="0"/>
        <w:spacing w:before="0" w:after="0" w:line="360" w:lineRule="auto"/>
        <w:ind w:left="0" w:leftChars="0" w:firstLine="480" w:firstLineChars="200"/>
        <w:jc w:val="both"/>
        <w:textAlignment w:val="auto"/>
        <w:rPr>
          <w:rFonts w:hint="eastAsia" w:ascii="黑体" w:hAnsi="黑体" w:eastAsia="黑体" w:cs="黑体"/>
          <w:sz w:val="24"/>
          <w:szCs w:val="24"/>
          <w:highlight w:val="yellow"/>
        </w:rPr>
      </w:pPr>
      <w:bookmarkStart w:id="16" w:name="_Toc68364667"/>
    </w:p>
    <w:p w14:paraId="1E063467">
      <w:pPr>
        <w:pStyle w:val="4"/>
        <w:pageBreakBefore w:val="0"/>
        <w:widowControl w:val="0"/>
        <w:kinsoku/>
        <w:wordWrap/>
        <w:topLinePunct w:val="0"/>
        <w:autoSpaceDE/>
        <w:autoSpaceDN/>
        <w:bidi w:val="0"/>
        <w:adjustRightInd w:val="0"/>
        <w:snapToGrid w:val="0"/>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6"/>
    </w:p>
    <w:p w14:paraId="343B048E">
      <w:pPr>
        <w:pStyle w:val="56"/>
        <w:pageBreakBefore w:val="0"/>
        <w:widowControl w:val="0"/>
        <w:kinsoku/>
        <w:wordWrap/>
        <w:topLinePunct w:val="0"/>
        <w:autoSpaceDE/>
        <w:autoSpaceDN/>
        <w:bidi w:val="0"/>
        <w:adjustRightInd w:val="0"/>
        <w:snapToGrid w:val="0"/>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7" w:name="_Toc68364668"/>
      <w:r>
        <w:rPr>
          <w:rFonts w:hint="eastAsia" w:ascii="宋体" w:hAnsi="宋体" w:eastAsia="宋体" w:cs="宋体"/>
          <w:color w:val="auto"/>
          <w:sz w:val="24"/>
          <w:szCs w:val="24"/>
          <w:highlight w:val="none"/>
        </w:rPr>
        <w:t>（一）项目决策情况</w:t>
      </w:r>
    </w:p>
    <w:p w14:paraId="7FCB05D0">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C91ADB1">
      <w:pPr>
        <w:keepNext w:val="0"/>
        <w:keepLines w:val="0"/>
        <w:pageBreakBefore w:val="0"/>
        <w:widowControl w:val="0"/>
        <w:numPr>
          <w:ilvl w:val="0"/>
          <w:numId w:val="7"/>
        </w:numPr>
        <w:kinsoku/>
        <w:wordWrap/>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60019CB9">
      <w:pPr>
        <w:keepNext w:val="0"/>
        <w:keepLines w:val="0"/>
        <w:pageBreakBefore w:val="0"/>
        <w:widowControl w:val="0"/>
        <w:numPr>
          <w:ilvl w:val="0"/>
          <w:numId w:val="0"/>
        </w:numPr>
        <w:kinsoku/>
        <w:wordWrap/>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自治区财政厅</w:t>
      </w:r>
      <w:r>
        <w:rPr>
          <w:rFonts w:hint="eastAsia" w:ascii="宋体" w:hAnsi="宋体" w:eastAsia="宋体" w:cs="宋体"/>
          <w:color w:val="auto"/>
          <w:sz w:val="24"/>
          <w:szCs w:val="24"/>
          <w:highlight w:val="none"/>
        </w:rPr>
        <w:t>颁发的《</w:t>
      </w:r>
      <w:r>
        <w:rPr>
          <w:rFonts w:hint="eastAsia" w:ascii="宋体" w:hAnsi="宋体" w:eastAsia="宋体" w:cs="宋体"/>
          <w:color w:val="auto"/>
          <w:sz w:val="24"/>
          <w:szCs w:val="24"/>
          <w:highlight w:val="none"/>
          <w:lang w:val="en-US" w:eastAsia="zh-CN"/>
        </w:rPr>
        <w:t>关于提前下达2024年度自治区基层政协补助经费的通知》</w:t>
      </w:r>
      <w:r>
        <w:rPr>
          <w:rFonts w:hint="eastAsia" w:ascii="宋体" w:hAnsi="宋体" w:eastAsia="宋体" w:cs="宋体"/>
          <w:color w:val="auto"/>
          <w:sz w:val="24"/>
          <w:szCs w:val="24"/>
          <w:highlight w:val="none"/>
          <w:lang w:eastAsia="zh-CN"/>
        </w:rPr>
        <w:t>（新财行〔</w:t>
      </w:r>
      <w:r>
        <w:rPr>
          <w:rFonts w:hint="eastAsia" w:ascii="宋体" w:hAnsi="宋体" w:eastAsia="宋体" w:cs="宋体"/>
          <w:color w:val="auto"/>
          <w:sz w:val="24"/>
          <w:szCs w:val="24"/>
          <w:highlight w:val="none"/>
          <w:lang w:val="en-US" w:eastAsia="zh-CN"/>
        </w:rPr>
        <w:t>2023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357号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w:t>
      </w:r>
      <w:r>
        <w:rPr>
          <w:rFonts w:hint="eastAsia" w:ascii="宋体" w:hAnsi="宋体" w:eastAsia="宋体" w:cs="宋体"/>
          <w:color w:val="auto"/>
          <w:sz w:val="24"/>
          <w:szCs w:val="24"/>
          <w:highlight w:val="none"/>
          <w:lang w:val="en-US" w:eastAsia="zh-CN"/>
        </w:rPr>
        <w:t>20102政协事务支出</w:t>
      </w: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关于提前下达2024年度自治区基层政协补助经费的通知</w:t>
      </w:r>
      <w:r>
        <w:rPr>
          <w:rFonts w:hint="eastAsia" w:ascii="宋体" w:hAnsi="宋体" w:eastAsia="宋体" w:cs="宋体"/>
          <w:color w:val="auto"/>
          <w:sz w:val="24"/>
          <w:szCs w:val="24"/>
          <w:highlight w:val="none"/>
        </w:rPr>
        <w:t>》中：“</w:t>
      </w:r>
      <w:r>
        <w:rPr>
          <w:rFonts w:hint="eastAsia" w:ascii="宋体" w:hAnsi="宋体" w:eastAsia="宋体" w:cs="宋体"/>
          <w:color w:val="auto"/>
          <w:sz w:val="24"/>
          <w:szCs w:val="24"/>
          <w:highlight w:val="none"/>
          <w:lang w:val="en-US" w:eastAsia="zh-CN"/>
        </w:rPr>
        <w:t>20102政协事务支出</w:t>
      </w:r>
      <w:r>
        <w:rPr>
          <w:rFonts w:hint="eastAsia" w:ascii="宋体" w:hAnsi="宋体" w:eastAsia="宋体" w:cs="宋体"/>
          <w:color w:val="auto"/>
          <w:sz w:val="24"/>
          <w:szCs w:val="24"/>
          <w:highlight w:val="none"/>
        </w:rPr>
        <w:t>”内容，符合</w:t>
      </w:r>
      <w:r>
        <w:rPr>
          <w:rFonts w:hint="eastAsia" w:ascii="宋体" w:hAnsi="宋体" w:eastAsia="宋体" w:cs="宋体"/>
          <w:color w:val="auto"/>
          <w:sz w:val="24"/>
          <w:szCs w:val="24"/>
          <w:highlight w:val="none"/>
          <w:lang w:val="en-US" w:eastAsia="zh-CN"/>
        </w:rPr>
        <w:t>项目立项是否符合法律法规、相关政策、发展规划以及部门职责，用以反映和考核项目立项依据情况</w:t>
      </w:r>
      <w:r>
        <w:rPr>
          <w:rFonts w:hint="eastAsia" w:ascii="宋体" w:hAnsi="宋体" w:eastAsia="宋体" w:cs="宋体"/>
          <w:color w:val="auto"/>
          <w:sz w:val="24"/>
          <w:szCs w:val="24"/>
          <w:highlight w:val="none"/>
        </w:rPr>
        <w:t>；根据《财政资金直接支付申请书》，本项目资金性质为“公共财政预算”功能分类为“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2010299</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50203培训费、50201办公经费、50208公务用车运行维护费</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76FB46DA">
      <w:pPr>
        <w:keepNext w:val="0"/>
        <w:keepLines w:val="0"/>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w:t>
      </w:r>
    </w:p>
    <w:p w14:paraId="436B21CC">
      <w:pPr>
        <w:keepNext w:val="0"/>
        <w:keepLines w:val="0"/>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736D022E">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该项目</w:t>
      </w:r>
      <w:r>
        <w:rPr>
          <w:rFonts w:hint="eastAsia" w:ascii="宋体" w:hAnsi="宋体" w:eastAsia="宋体" w:cs="宋体"/>
          <w:color w:val="auto"/>
          <w:sz w:val="24"/>
          <w:szCs w:val="24"/>
          <w:highlight w:val="none"/>
          <w:lang w:val="en-US" w:eastAsia="zh-CN"/>
        </w:rPr>
        <w:t>按照规定的程序申请设立</w:t>
      </w:r>
      <w:r>
        <w:rPr>
          <w:rFonts w:hint="eastAsia" w:ascii="宋体" w:hAnsi="宋体" w:eastAsia="宋体" w:cs="宋体"/>
          <w:color w:val="auto"/>
          <w:sz w:val="24"/>
          <w:szCs w:val="24"/>
          <w:highlight w:val="none"/>
        </w:rPr>
        <w:t>，具体内容为“</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lang w:val="en-US" w:eastAsia="zh-CN"/>
        </w:rPr>
        <w:t>审批文件、材料符合相关要求，均按照</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关于提前下达2024年度自治区基层政协补助经费的通知》</w:t>
      </w:r>
      <w:r>
        <w:rPr>
          <w:rFonts w:hint="eastAsia" w:ascii="宋体" w:hAnsi="宋体" w:eastAsia="宋体" w:cs="宋体"/>
          <w:color w:val="auto"/>
          <w:sz w:val="24"/>
          <w:szCs w:val="24"/>
          <w:highlight w:val="none"/>
          <w:lang w:eastAsia="zh-CN"/>
        </w:rPr>
        <w:t>（新财行〔</w:t>
      </w:r>
      <w:r>
        <w:rPr>
          <w:rFonts w:hint="eastAsia" w:ascii="宋体" w:hAnsi="宋体" w:eastAsia="宋体" w:cs="宋体"/>
          <w:color w:val="auto"/>
          <w:sz w:val="24"/>
          <w:szCs w:val="24"/>
          <w:highlight w:val="none"/>
          <w:lang w:val="en-US" w:eastAsia="zh-CN"/>
        </w:rPr>
        <w:t>2023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357号</w:t>
      </w:r>
      <w:r>
        <w:rPr>
          <w:rFonts w:hint="eastAsia" w:ascii="宋体" w:hAnsi="宋体" w:eastAsia="宋体" w:cs="宋体"/>
          <w:color w:val="auto"/>
          <w:sz w:val="24"/>
          <w:szCs w:val="24"/>
          <w:highlight w:val="none"/>
          <w:lang w:eastAsia="zh-CN"/>
        </w:rPr>
        <w:t>）文件精神，制定本单位《资金使用方案》、做好绩效目标</w:t>
      </w:r>
      <w:r>
        <w:rPr>
          <w:rFonts w:hint="eastAsia" w:ascii="宋体" w:hAnsi="宋体" w:eastAsia="宋体" w:cs="宋体"/>
          <w:color w:val="auto"/>
          <w:sz w:val="24"/>
          <w:szCs w:val="24"/>
          <w:highlight w:val="none"/>
          <w:lang w:val="en-US" w:eastAsia="zh-CN"/>
        </w:rPr>
        <w:t>；该项目</w:t>
      </w:r>
      <w:r>
        <w:rPr>
          <w:rFonts w:hint="eastAsia" w:ascii="宋体" w:hAnsi="宋体" w:eastAsia="宋体" w:cs="宋体"/>
          <w:color w:val="auto"/>
          <w:sz w:val="24"/>
          <w:szCs w:val="24"/>
          <w:highlight w:val="none"/>
        </w:rPr>
        <w:t>不涉及事前绩效评估和风险评估</w:t>
      </w:r>
      <w:r>
        <w:rPr>
          <w:rFonts w:hint="eastAsia" w:ascii="宋体" w:hAnsi="宋体" w:eastAsia="宋体" w:cs="宋体"/>
          <w:color w:val="auto"/>
          <w:sz w:val="24"/>
          <w:szCs w:val="24"/>
          <w:highlight w:val="none"/>
          <w:lang w:val="en-US" w:eastAsia="zh-CN"/>
        </w:rPr>
        <w:t>，但经过单位集体决策。</w:t>
      </w:r>
    </w:p>
    <w:p w14:paraId="39B499B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w:t>
      </w:r>
    </w:p>
    <w:p w14:paraId="13A695C1">
      <w:pPr>
        <w:keepNext w:val="0"/>
        <w:keepLines w:val="0"/>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249054D8">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保障视频专网数量1条，购置办公用品1批，正常运行车辆数5辆，项目总投资5万元，其中1条视频会议专网费2.83万元，购置办公用品经费1.17万元，保障5辆公务用车运行费1万元，通过实施本项目，该项目目标与实际工作内容具有相关性；</w:t>
      </w:r>
      <w:r>
        <w:rPr>
          <w:rFonts w:hint="eastAsia" w:ascii="宋体" w:hAnsi="宋体" w:eastAsia="宋体" w:cs="宋体"/>
          <w:color w:val="auto"/>
          <w:sz w:val="24"/>
          <w:szCs w:val="24"/>
          <w:highlight w:val="none"/>
        </w:rPr>
        <w:t>该项目按照绩效目标完成数量指标、质量指标、时效指标、成本指标，完成</w:t>
      </w:r>
      <w:r>
        <w:rPr>
          <w:rFonts w:hint="eastAsia" w:ascii="宋体" w:hAnsi="宋体" w:eastAsia="宋体" w:cs="宋体"/>
          <w:color w:val="auto"/>
          <w:sz w:val="24"/>
          <w:szCs w:val="24"/>
          <w:highlight w:val="none"/>
          <w:lang w:eastAsia="zh-CN"/>
        </w:rPr>
        <w:t>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有效提高政协委员参政议政职能水平，提高政协委员建言献策质量和监督水平，提升召开政协会议对社会的影响力，确保单位各项工作正常运行，</w:t>
      </w:r>
      <w:r>
        <w:rPr>
          <w:rFonts w:hint="eastAsia" w:ascii="宋体" w:hAnsi="宋体" w:eastAsia="宋体" w:cs="宋体"/>
          <w:color w:val="auto"/>
          <w:sz w:val="24"/>
          <w:szCs w:val="24"/>
          <w:highlight w:val="none"/>
        </w:rPr>
        <w:t>预期产出效益和效果是</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符合正常的业绩水平</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该项目批复预算金额为</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与预算确定的项目投资额或资金量相匹配。</w:t>
      </w:r>
    </w:p>
    <w:p w14:paraId="5E8A00AC">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p>
    <w:p w14:paraId="11BD2CE4">
      <w:pPr>
        <w:pageBreakBefore w:val="0"/>
        <w:widowControl w:val="0"/>
        <w:numPr>
          <w:ilvl w:val="0"/>
          <w:numId w:val="8"/>
        </w:numPr>
        <w:kinsoku/>
        <w:wordWrap/>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16F47D74">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置《2024年度自治区基层政协补助经费项目支出绩效目标表》，明确了总体思路及目标、并对任务进行了详细分解，对目标进行了细化，已将年度绩效目标进行细化为绩效指标体系，共设置一级指标4个，二级指标6个，三级指标13个，定量指标11个，定性指标2个，指标量化率为84.6%，量化率达75%以上，将项目绩效目标细化分解为具体的绩效指标。</w:t>
      </w:r>
    </w:p>
    <w:p w14:paraId="525C39C8">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2024年度自治区基层政协补助经费项目绩效目标申报表》中，数量指标指标值为基层政协数量、保障视频专网数量、购置办公用品批数、保障正常运行车辆数，三级指标的年度指标值与年度绩效目标中任务数一致，已设置时效指标“项目结束时间=2024年12月、资金发放及时率=100%”。已设置的绩效目标具备明确性、可衡量性、可实现性、相关性、时限性。</w:t>
      </w:r>
    </w:p>
    <w:p w14:paraId="35CAF8CE">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078D81D2">
      <w:pPr>
        <w:pageBreakBefore w:val="0"/>
        <w:widowControl w:val="0"/>
        <w:numPr>
          <w:ilvl w:val="0"/>
          <w:numId w:val="8"/>
        </w:numPr>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73F05D0F">
      <w:pPr>
        <w:pageBreakBefore w:val="0"/>
        <w:widowControl w:val="0"/>
        <w:numPr>
          <w:ilvl w:val="0"/>
          <w:numId w:val="0"/>
        </w:numPr>
        <w:kinsoku/>
        <w:wordWrap/>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该</w:t>
      </w:r>
      <w:r>
        <w:rPr>
          <w:rFonts w:hint="eastAsia" w:ascii="宋体" w:hAnsi="宋体" w:eastAsia="宋体" w:cs="宋体"/>
          <w:color w:val="auto"/>
          <w:sz w:val="24"/>
          <w:szCs w:val="24"/>
          <w:highlight w:val="none"/>
        </w:rPr>
        <w:t>项目预算编制较科学且经过论证；预算申请内容为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项目实施方案》中涉及的项目内容匹配；本项目预算申请资金</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rPr>
        <w:t>万元，其中：</w:t>
      </w:r>
      <w:r>
        <w:rPr>
          <w:rFonts w:ascii="宋体" w:hAnsi="宋体" w:eastAsia="宋体" w:cs="宋体"/>
          <w:color w:val="auto"/>
          <w:sz w:val="24"/>
          <w:szCs w:val="24"/>
          <w:highlight w:val="none"/>
        </w:rPr>
        <w:t>视频会议专网费</w:t>
      </w:r>
      <w:r>
        <w:rPr>
          <w:rFonts w:hint="eastAsia" w:ascii="宋体" w:hAnsi="宋体" w:eastAsia="宋体" w:cs="宋体"/>
          <w:color w:val="auto"/>
          <w:sz w:val="24"/>
          <w:szCs w:val="24"/>
          <w:highlight w:val="none"/>
        </w:rPr>
        <w:t>用</w:t>
      </w:r>
      <w:r>
        <w:rPr>
          <w:rFonts w:hint="eastAsia" w:ascii="宋体" w:hAnsi="宋体" w:eastAsia="宋体" w:cs="宋体"/>
          <w:color w:val="auto"/>
          <w:sz w:val="24"/>
          <w:szCs w:val="24"/>
          <w:highlight w:val="none"/>
          <w:lang w:val="en-US" w:eastAsia="zh-CN"/>
        </w:rPr>
        <w:t>2.83</w:t>
      </w:r>
      <w:r>
        <w:rPr>
          <w:rFonts w:hint="eastAsia" w:ascii="宋体" w:hAnsi="宋体" w:eastAsia="宋体" w:cs="宋体"/>
          <w:color w:val="auto"/>
          <w:sz w:val="24"/>
          <w:szCs w:val="24"/>
          <w:highlight w:val="none"/>
        </w:rPr>
        <w:t>万元、</w:t>
      </w:r>
      <w:r>
        <w:rPr>
          <w:rFonts w:ascii="宋体" w:hAnsi="宋体" w:eastAsia="宋体" w:cs="宋体"/>
          <w:color w:val="auto"/>
          <w:sz w:val="24"/>
          <w:szCs w:val="24"/>
          <w:highlight w:val="none"/>
        </w:rPr>
        <w:t>保障车辆运行费</w:t>
      </w:r>
      <w:r>
        <w:rPr>
          <w:rFonts w:hint="eastAsia" w:ascii="宋体" w:hAnsi="宋体" w:eastAsia="宋体" w:cs="宋体"/>
          <w:color w:val="auto"/>
          <w:sz w:val="24"/>
          <w:szCs w:val="24"/>
          <w:highlight w:val="none"/>
        </w:rPr>
        <w:t>用</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万元、</w:t>
      </w:r>
      <w:r>
        <w:rPr>
          <w:rFonts w:ascii="宋体" w:hAnsi="宋体" w:eastAsia="宋体" w:cs="宋体"/>
          <w:color w:val="auto"/>
          <w:sz w:val="24"/>
          <w:szCs w:val="24"/>
          <w:highlight w:val="none"/>
        </w:rPr>
        <w:t>购置办公用品经费</w:t>
      </w:r>
      <w:r>
        <w:rPr>
          <w:rFonts w:hint="eastAsia" w:ascii="宋体" w:hAnsi="宋体" w:eastAsia="宋体" w:cs="宋体"/>
          <w:color w:val="auto"/>
          <w:sz w:val="24"/>
          <w:szCs w:val="24"/>
          <w:highlight w:val="none"/>
        </w:rPr>
        <w:t>用</w:t>
      </w:r>
      <w:r>
        <w:rPr>
          <w:rFonts w:hint="eastAsia" w:ascii="宋体" w:hAnsi="宋体" w:eastAsia="宋体" w:cs="宋体"/>
          <w:color w:val="auto"/>
          <w:sz w:val="24"/>
          <w:szCs w:val="24"/>
          <w:highlight w:val="none"/>
          <w:lang w:val="en-US" w:eastAsia="zh-CN"/>
        </w:rPr>
        <w:t>1.17</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，单位</w:t>
      </w:r>
      <w:r>
        <w:rPr>
          <w:rFonts w:hint="eastAsia" w:ascii="宋体" w:hAnsi="宋体" w:eastAsia="宋体" w:cs="宋体"/>
          <w:i w:val="0"/>
          <w:iCs w:val="0"/>
          <w:color w:val="auto"/>
          <w:kern w:val="0"/>
          <w:sz w:val="24"/>
          <w:szCs w:val="24"/>
          <w:highlight w:val="none"/>
          <w:u w:val="none"/>
          <w:lang w:val="en-US" w:eastAsia="zh-CN"/>
        </w:rPr>
        <w:t>预算额度测算依据充分，严格按照标准编制；</w:t>
      </w:r>
      <w:r>
        <w:rPr>
          <w:rFonts w:hint="eastAsia" w:ascii="宋体" w:hAnsi="宋体" w:eastAsia="宋体" w:cs="宋体"/>
          <w:color w:val="auto"/>
          <w:sz w:val="24"/>
          <w:szCs w:val="24"/>
          <w:highlight w:val="none"/>
        </w:rPr>
        <w:t>预算确定资金量与实际工作任务相匹配。</w:t>
      </w:r>
    </w:p>
    <w:p w14:paraId="3FA6B1FE">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23D8A6D">
      <w:pPr>
        <w:pageBreakBefore w:val="0"/>
        <w:widowControl w:val="0"/>
        <w:numPr>
          <w:ilvl w:val="0"/>
          <w:numId w:val="8"/>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37BC84C6">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项目实施方案》为依据进行资金分配，</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预算资金分配依据充分</w:t>
      </w:r>
      <w:r>
        <w:rPr>
          <w:rFonts w:hint="eastAsia" w:ascii="宋体" w:hAnsi="宋体" w:eastAsia="宋体" w:cs="宋体"/>
          <w:color w:val="auto"/>
          <w:sz w:val="24"/>
          <w:szCs w:val="24"/>
          <w:highlight w:val="none"/>
          <w:lang w:eastAsia="zh-CN"/>
        </w:rPr>
        <w:t>；该项目</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关于提前下达2024年度自治区基层政协补助经费的通知》</w:t>
      </w:r>
      <w:r>
        <w:rPr>
          <w:rFonts w:hint="eastAsia" w:ascii="宋体" w:hAnsi="宋体" w:eastAsia="宋体" w:cs="宋体"/>
          <w:color w:val="auto"/>
          <w:sz w:val="24"/>
          <w:szCs w:val="24"/>
          <w:highlight w:val="none"/>
          <w:lang w:eastAsia="zh-CN"/>
        </w:rPr>
        <w:t>（新财行〔</w:t>
      </w:r>
      <w:r>
        <w:rPr>
          <w:rFonts w:hint="eastAsia" w:ascii="宋体" w:hAnsi="宋体" w:eastAsia="宋体" w:cs="宋体"/>
          <w:color w:val="auto"/>
          <w:sz w:val="24"/>
          <w:szCs w:val="24"/>
          <w:highlight w:val="none"/>
          <w:lang w:val="en-US" w:eastAsia="zh-CN"/>
        </w:rPr>
        <w:t>2023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357号</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rPr>
        <w:t>万元，资金分配额度合理，与我单位实际需求相适应。</w:t>
      </w:r>
    </w:p>
    <w:p w14:paraId="762A19A8">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CFFE899">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（二）项目过程情况</w:t>
      </w:r>
    </w:p>
    <w:p w14:paraId="309B502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D16D943">
      <w:pPr>
        <w:pageBreakBefore w:val="0"/>
        <w:widowControl w:val="0"/>
        <w:numPr>
          <w:ilvl w:val="0"/>
          <w:numId w:val="9"/>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28F1F043">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该</w:t>
      </w:r>
      <w:r>
        <w:rPr>
          <w:rFonts w:hint="eastAsia" w:ascii="宋体" w:hAnsi="宋体" w:eastAsia="宋体" w:cs="宋体"/>
          <w:b w:val="0"/>
          <w:bCs w:val="0"/>
          <w:color w:val="auto"/>
          <w:sz w:val="24"/>
          <w:szCs w:val="24"/>
          <w:highlight w:val="none"/>
        </w:rPr>
        <w:t>项目预算资金为</w:t>
      </w:r>
      <w:r>
        <w:rPr>
          <w:rFonts w:hint="eastAsia" w:ascii="宋体" w:hAnsi="宋体" w:eastAsia="宋体" w:cs="宋体"/>
          <w:b w:val="0"/>
          <w:bCs w:val="0"/>
          <w:color w:val="auto"/>
          <w:sz w:val="24"/>
          <w:szCs w:val="24"/>
          <w:highlight w:val="none"/>
          <w:lang w:val="en-US" w:eastAsia="zh-CN"/>
        </w:rPr>
        <w:t>5.00</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5.00</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0.00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5.00</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eastAsia="zh-CN"/>
        </w:rPr>
        <w:t>达到</w:t>
      </w:r>
      <w:r>
        <w:rPr>
          <w:rFonts w:hint="eastAsia" w:ascii="宋体" w:hAnsi="宋体" w:eastAsia="宋体" w:cs="宋体"/>
          <w:b w:val="0"/>
          <w:bCs w:val="0"/>
          <w:color w:val="auto"/>
          <w:sz w:val="24"/>
          <w:szCs w:val="24"/>
          <w:highlight w:val="none"/>
          <w:lang w:val="en-US" w:eastAsia="zh-CN"/>
        </w:rPr>
        <w:t>100%。</w:t>
      </w:r>
    </w:p>
    <w:p w14:paraId="752F2B7B">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049B8C63">
      <w:pPr>
        <w:pageBreakBefore w:val="0"/>
        <w:widowControl w:val="0"/>
        <w:numPr>
          <w:ilvl w:val="0"/>
          <w:numId w:val="9"/>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预算执行率：</w:t>
      </w:r>
    </w:p>
    <w:p w14:paraId="3073D159">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该</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于</w:t>
      </w:r>
      <w:r>
        <w:rPr>
          <w:rFonts w:hint="eastAsia" w:ascii="宋体" w:hAnsi="宋体" w:eastAsia="宋体" w:cs="宋体"/>
          <w:color w:val="auto"/>
          <w:sz w:val="24"/>
          <w:szCs w:val="24"/>
          <w:highlight w:val="none"/>
          <w:lang w:val="en-US" w:eastAsia="zh-CN"/>
        </w:rPr>
        <w:t>2024年1月1日开始，2024年10月31日结束，该项目全年安排预算资金5万元，</w:t>
      </w:r>
      <w:r>
        <w:rPr>
          <w:rFonts w:hint="eastAsia" w:ascii="宋体" w:hAnsi="宋体" w:eastAsia="宋体" w:cs="宋体"/>
          <w:color w:val="auto"/>
          <w:sz w:val="24"/>
          <w:szCs w:val="24"/>
          <w:highlight w:val="none"/>
        </w:rPr>
        <w:t>实际支出资金</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rPr>
        <w:t>万元，预算编制较为详细，项目资金支出总体能够按照预算执行，</w:t>
      </w:r>
      <w:r>
        <w:rPr>
          <w:rFonts w:hint="eastAsia" w:ascii="宋体" w:hAnsi="宋体" w:eastAsia="宋体" w:cs="宋体"/>
          <w:color w:val="auto"/>
          <w:sz w:val="24"/>
          <w:szCs w:val="24"/>
          <w:highlight w:val="none"/>
          <w:lang w:eastAsia="zh-CN"/>
        </w:rPr>
        <w:t>预算执行率达到</w:t>
      </w:r>
      <w:r>
        <w:rPr>
          <w:rFonts w:hint="eastAsia" w:ascii="宋体" w:hAnsi="宋体" w:eastAsia="宋体" w:cs="宋体"/>
          <w:color w:val="auto"/>
          <w:sz w:val="24"/>
          <w:szCs w:val="24"/>
          <w:highlight w:val="none"/>
          <w:lang w:val="en-US" w:eastAsia="zh-CN"/>
        </w:rPr>
        <w:t>100%。</w:t>
      </w:r>
    </w:p>
    <w:p w14:paraId="63642913">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5339602">
      <w:pPr>
        <w:pageBreakBefore w:val="0"/>
        <w:widowControl w:val="0"/>
        <w:numPr>
          <w:ilvl w:val="0"/>
          <w:numId w:val="9"/>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资金使用合规性：</w:t>
      </w:r>
    </w:p>
    <w:p w14:paraId="4070D1DF">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由该</w:t>
      </w:r>
      <w:r>
        <w:rPr>
          <w:rFonts w:hint="eastAsia" w:ascii="宋体" w:hAnsi="宋体" w:eastAsia="宋体" w:cs="宋体"/>
          <w:color w:val="auto"/>
          <w:sz w:val="24"/>
          <w:szCs w:val="24"/>
          <w:highlight w:val="none"/>
        </w:rPr>
        <w:t>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符合国家财经法规、《政府会计制度》《</w:t>
      </w:r>
      <w:r>
        <w:rPr>
          <w:rFonts w:hint="eastAsia" w:ascii="宋体" w:hAnsi="宋体" w:eastAsia="宋体" w:cs="宋体"/>
          <w:color w:val="auto"/>
          <w:sz w:val="24"/>
          <w:szCs w:val="24"/>
          <w:highlight w:val="none"/>
          <w:lang w:eastAsia="zh-CN"/>
        </w:rPr>
        <w:t>洛浦县政协机关</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洛浦县政协机关</w:t>
      </w:r>
      <w:r>
        <w:rPr>
          <w:rFonts w:hint="eastAsia" w:ascii="宋体" w:hAnsi="宋体" w:eastAsia="宋体" w:cs="宋体"/>
          <w:color w:val="auto"/>
          <w:sz w:val="24"/>
          <w:szCs w:val="24"/>
          <w:highlight w:val="none"/>
        </w:rPr>
        <w:t>专项资金管理办法》</w:t>
      </w:r>
      <w:r>
        <w:rPr>
          <w:rFonts w:hint="eastAsia" w:ascii="宋体" w:hAnsi="宋体" w:eastAsia="宋体" w:cs="宋体"/>
          <w:color w:val="auto"/>
          <w:sz w:val="24"/>
          <w:szCs w:val="24"/>
          <w:highlight w:val="none"/>
          <w:lang w:eastAsia="zh-CN"/>
        </w:rPr>
        <w:t>规定；项目</w:t>
      </w:r>
      <w:r>
        <w:rPr>
          <w:rFonts w:hint="eastAsia" w:ascii="宋体" w:hAnsi="宋体" w:eastAsia="宋体" w:cs="宋体"/>
          <w:color w:val="auto"/>
          <w:sz w:val="24"/>
          <w:szCs w:val="24"/>
          <w:highlight w:val="none"/>
        </w:rPr>
        <w:t>资金</w:t>
      </w:r>
      <w:r>
        <w:rPr>
          <w:rFonts w:hint="eastAsia" w:ascii="宋体" w:hAnsi="宋体" w:eastAsia="宋体" w:cs="宋体"/>
          <w:color w:val="auto"/>
          <w:sz w:val="24"/>
          <w:szCs w:val="24"/>
          <w:highlight w:val="none"/>
          <w:lang w:eastAsia="zh-CN"/>
        </w:rPr>
        <w:t>严格按照财政相关相求进行申报，</w:t>
      </w:r>
      <w:r>
        <w:rPr>
          <w:rFonts w:hint="eastAsia" w:ascii="宋体" w:hAnsi="宋体" w:eastAsia="宋体" w:cs="宋体"/>
          <w:color w:val="auto"/>
          <w:sz w:val="24"/>
          <w:szCs w:val="24"/>
          <w:highlight w:val="none"/>
        </w:rPr>
        <w:t>有完整的审批程序和手续</w:t>
      </w:r>
      <w:r>
        <w:rPr>
          <w:rFonts w:hint="eastAsia" w:ascii="宋体" w:hAnsi="宋体" w:eastAsia="宋体" w:cs="宋体"/>
          <w:color w:val="auto"/>
          <w:sz w:val="24"/>
          <w:szCs w:val="24"/>
          <w:highlight w:val="none"/>
          <w:lang w:eastAsia="zh-CN"/>
        </w:rPr>
        <w:t>；按照年初制定《</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eastAsia="zh-CN"/>
        </w:rPr>
        <w:t>》落实资金使用，</w:t>
      </w:r>
      <w:r>
        <w:rPr>
          <w:rFonts w:hint="eastAsia" w:ascii="宋体" w:hAnsi="宋体" w:eastAsia="宋体" w:cs="宋体"/>
          <w:color w:val="auto"/>
          <w:sz w:val="24"/>
          <w:szCs w:val="24"/>
          <w:highlight w:val="none"/>
        </w:rPr>
        <w:t>资金实际使用方向与预算批复用途一致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不存在截留、挤占、挪用、虚列支出的情况。</w:t>
      </w:r>
    </w:p>
    <w:p w14:paraId="5B87D65D">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1119747">
      <w:pPr>
        <w:pageBreakBefore w:val="0"/>
        <w:widowControl w:val="0"/>
        <w:numPr>
          <w:ilvl w:val="0"/>
          <w:numId w:val="9"/>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管理制度健全性：</w:t>
      </w:r>
    </w:p>
    <w:p w14:paraId="6BB54D6D">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年初本</w:t>
      </w:r>
      <w:r>
        <w:rPr>
          <w:rFonts w:hint="eastAsia" w:ascii="宋体" w:hAnsi="宋体" w:eastAsia="宋体" w:cs="宋体"/>
          <w:b w:val="0"/>
          <w:bCs w:val="0"/>
          <w:color w:val="auto"/>
          <w:sz w:val="24"/>
          <w:szCs w:val="24"/>
          <w:highlight w:val="none"/>
        </w:rPr>
        <w:t>单位已制定《</w:t>
      </w:r>
      <w:r>
        <w:rPr>
          <w:rFonts w:hint="eastAsia" w:ascii="宋体" w:hAnsi="宋体" w:eastAsia="宋体" w:cs="宋体"/>
          <w:b w:val="0"/>
          <w:bCs w:val="0"/>
          <w:color w:val="auto"/>
          <w:sz w:val="24"/>
          <w:szCs w:val="24"/>
          <w:highlight w:val="none"/>
          <w:lang w:eastAsia="zh-CN"/>
        </w:rPr>
        <w:t>洛浦县政协机关</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eastAsia="zh-CN"/>
        </w:rPr>
        <w:t>洛浦县政协机关</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eastAsia="zh-CN"/>
        </w:rPr>
        <w:t>洛浦县政协机关</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eastAsia="zh-CN"/>
        </w:rPr>
        <w:t>洛浦县政协机关</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w:t>
      </w:r>
      <w:r>
        <w:rPr>
          <w:rFonts w:hint="eastAsia" w:ascii="宋体" w:hAnsi="宋体" w:eastAsia="宋体" w:cs="宋体"/>
          <w:b w:val="0"/>
          <w:bCs w:val="0"/>
          <w:color w:val="auto"/>
          <w:sz w:val="24"/>
          <w:szCs w:val="24"/>
          <w:highlight w:val="none"/>
          <w:lang w:eastAsia="zh-CN"/>
        </w:rPr>
        <w:t>。</w:t>
      </w:r>
    </w:p>
    <w:p w14:paraId="76AE9A39">
      <w:pPr>
        <w:pageBreakBefore w:val="0"/>
        <w:widowControl w:val="0"/>
        <w:kinsoku/>
        <w:wordWrap/>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0F778D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w:t>
      </w:r>
    </w:p>
    <w:p w14:paraId="4BF54E4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该项目的实施符合《</w:t>
      </w:r>
      <w:r>
        <w:rPr>
          <w:rFonts w:hint="eastAsia" w:ascii="宋体" w:hAnsi="宋体" w:eastAsia="宋体" w:cs="宋体"/>
          <w:color w:val="auto"/>
          <w:sz w:val="24"/>
          <w:szCs w:val="24"/>
          <w:highlight w:val="none"/>
          <w:lang w:eastAsia="zh-CN"/>
        </w:rPr>
        <w:t>洛浦县政协机关</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洛浦县政协机关</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洛浦县政协机关</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洛浦县政协机关</w:t>
      </w:r>
      <w:r>
        <w:rPr>
          <w:rFonts w:hint="eastAsia" w:ascii="宋体" w:hAnsi="宋体" w:eastAsia="宋体" w:cs="宋体"/>
          <w:color w:val="auto"/>
          <w:sz w:val="24"/>
          <w:szCs w:val="24"/>
          <w:highlight w:val="none"/>
        </w:rPr>
        <w:t>合同管理制度》等相关法律法规及管理规定，项目具备完整规范的立项程序；项目采购、实施、验收等过程均按照采购管理办法和合同管理办法等相关制度执行，该项目实施过程中不存在调整事项</w:t>
      </w:r>
      <w:r>
        <w:rPr>
          <w:rFonts w:hint="eastAsia" w:ascii="宋体" w:hAnsi="宋体" w:eastAsia="宋体" w:cs="宋体"/>
          <w:color w:val="auto"/>
          <w:sz w:val="24"/>
          <w:szCs w:val="24"/>
          <w:highlight w:val="none"/>
          <w:lang w:val="en-US" w:eastAsia="zh-CN"/>
        </w:rPr>
        <w:t>；2024年10月31日项目结束，各类</w:t>
      </w:r>
      <w:r>
        <w:rPr>
          <w:rFonts w:hint="eastAsia" w:ascii="宋体" w:hAnsi="宋体" w:eastAsia="宋体" w:cs="宋体"/>
          <w:color w:val="auto"/>
          <w:sz w:val="24"/>
          <w:szCs w:val="24"/>
          <w:highlight w:val="none"/>
        </w:rPr>
        <w:t>会议纪要、项目资金支付审批表、</w:t>
      </w:r>
      <w:r>
        <w:rPr>
          <w:rFonts w:hint="eastAsia" w:ascii="宋体" w:hAnsi="宋体" w:eastAsia="宋体" w:cs="宋体"/>
          <w:color w:val="auto"/>
          <w:sz w:val="24"/>
          <w:szCs w:val="24"/>
          <w:highlight w:val="none"/>
          <w:lang w:eastAsia="zh-CN"/>
        </w:rPr>
        <w:t>合同、验收单、</w:t>
      </w:r>
      <w:r>
        <w:rPr>
          <w:rFonts w:hint="eastAsia" w:ascii="宋体" w:hAnsi="宋体" w:eastAsia="宋体" w:cs="宋体"/>
          <w:color w:val="auto"/>
          <w:sz w:val="24"/>
          <w:szCs w:val="24"/>
          <w:highlight w:val="none"/>
        </w:rPr>
        <w:t>记账凭证等</w:t>
      </w:r>
      <w:r>
        <w:rPr>
          <w:rFonts w:hint="eastAsia" w:ascii="宋体" w:hAnsi="宋体" w:eastAsia="宋体" w:cs="宋体"/>
          <w:color w:val="auto"/>
          <w:sz w:val="24"/>
          <w:szCs w:val="24"/>
          <w:highlight w:val="none"/>
          <w:lang w:eastAsia="zh-CN"/>
        </w:rPr>
        <w:t>财务</w:t>
      </w:r>
      <w:r>
        <w:rPr>
          <w:rFonts w:hint="eastAsia" w:ascii="宋体" w:hAnsi="宋体" w:eastAsia="宋体" w:cs="宋体"/>
          <w:color w:val="auto"/>
          <w:sz w:val="24"/>
          <w:szCs w:val="24"/>
          <w:highlight w:val="none"/>
        </w:rPr>
        <w:t>资料齐全并及时归档。</w:t>
      </w:r>
    </w:p>
    <w:p w14:paraId="3B5A30E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根据评分标准，该指标不扣分，得5分。</w:t>
      </w:r>
    </w:p>
    <w:p w14:paraId="09B2AD84">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74153A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CCFA367">
      <w:pPr>
        <w:pageBreakBefore w:val="0"/>
        <w:widowControl w:val="0"/>
        <w:numPr>
          <w:ilvl w:val="0"/>
          <w:numId w:val="1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0DE4ED8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截止2024年12月31日，该项目已经实施完毕。</w:t>
      </w:r>
      <w:r>
        <w:rPr>
          <w:rFonts w:ascii="宋体" w:hAnsi="宋体" w:eastAsia="宋体" w:cs="宋体"/>
          <w:color w:val="auto"/>
          <w:sz w:val="24"/>
          <w:szCs w:val="24"/>
          <w:highlight w:val="none"/>
        </w:rPr>
        <w:t>数量指标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ascii="宋体" w:hAnsi="宋体" w:eastAsia="宋体" w:cs="宋体"/>
          <w:color w:val="auto"/>
          <w:sz w:val="24"/>
          <w:szCs w:val="24"/>
          <w:highlight w:val="none"/>
        </w:rPr>
        <w:t>基层政协数量</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，实际完成</w:t>
      </w:r>
      <w:r>
        <w:rPr>
          <w:rFonts w:hint="eastAsia" w:ascii="宋体" w:hAnsi="宋体" w:eastAsia="宋体" w:cs="宋体"/>
          <w:color w:val="auto"/>
          <w:sz w:val="24"/>
          <w:szCs w:val="24"/>
          <w:highlight w:val="none"/>
          <w:lang w:eastAsia="zh-CN"/>
        </w:rPr>
        <w:t>基层政协数量</w:t>
      </w:r>
      <w:r>
        <w:rPr>
          <w:rFonts w:hint="eastAsia" w:ascii="宋体" w:hAnsi="宋体" w:eastAsia="宋体" w:cs="宋体"/>
          <w:color w:val="auto"/>
          <w:sz w:val="24"/>
          <w:szCs w:val="24"/>
          <w:highlight w:val="none"/>
        </w:rPr>
        <w:t>值为</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ascii="宋体" w:hAnsi="宋体" w:eastAsia="宋体" w:cs="宋体"/>
          <w:color w:val="auto"/>
          <w:sz w:val="24"/>
          <w:szCs w:val="24"/>
          <w:highlight w:val="none"/>
        </w:rPr>
        <w:t>数量指标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预期指标值为</w:t>
      </w:r>
      <w:r>
        <w:rPr>
          <w:rFonts w:ascii="宋体" w:hAnsi="宋体" w:eastAsia="宋体" w:cs="宋体"/>
          <w:color w:val="auto"/>
          <w:sz w:val="24"/>
          <w:szCs w:val="24"/>
          <w:highlight w:val="none"/>
        </w:rPr>
        <w:t>保障视频专网数量</w:t>
      </w:r>
      <w:r>
        <w:rPr>
          <w:rFonts w:hint="eastAsia" w:ascii="宋体" w:hAnsi="宋体" w:eastAsia="宋体" w:cs="宋体"/>
          <w:color w:val="auto"/>
          <w:sz w:val="24"/>
          <w:szCs w:val="24"/>
          <w:highlight w:val="none"/>
          <w:lang w:val="en-US" w:eastAsia="zh-CN"/>
        </w:rPr>
        <w:t>=1条</w:t>
      </w:r>
      <w:r>
        <w:rPr>
          <w:rFonts w:hint="eastAsia" w:ascii="宋体" w:hAnsi="宋体" w:eastAsia="宋体" w:cs="宋体"/>
          <w:color w:val="auto"/>
          <w:sz w:val="24"/>
          <w:szCs w:val="24"/>
          <w:highlight w:val="none"/>
        </w:rPr>
        <w:t>，实际完成</w:t>
      </w:r>
      <w:r>
        <w:rPr>
          <w:rFonts w:ascii="宋体" w:hAnsi="宋体" w:eastAsia="宋体" w:cs="宋体"/>
          <w:color w:val="auto"/>
          <w:sz w:val="24"/>
          <w:szCs w:val="24"/>
          <w:highlight w:val="none"/>
        </w:rPr>
        <w:t>视频专网数量</w:t>
      </w:r>
      <w:r>
        <w:rPr>
          <w:rFonts w:hint="eastAsia" w:ascii="宋体" w:hAnsi="宋体" w:eastAsia="宋体" w:cs="宋体"/>
          <w:color w:val="auto"/>
          <w:sz w:val="24"/>
          <w:szCs w:val="24"/>
          <w:highlight w:val="none"/>
        </w:rPr>
        <w:t>值为</w:t>
      </w:r>
      <w:r>
        <w:rPr>
          <w:rFonts w:hint="eastAsia" w:ascii="宋体" w:hAnsi="宋体" w:eastAsia="宋体" w:cs="宋体"/>
          <w:color w:val="auto"/>
          <w:sz w:val="24"/>
          <w:szCs w:val="24"/>
          <w:highlight w:val="none"/>
          <w:lang w:val="en-US" w:eastAsia="zh-CN"/>
        </w:rPr>
        <w:t>1条</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ascii="宋体" w:hAnsi="宋体" w:eastAsia="宋体" w:cs="宋体"/>
          <w:b w:val="0"/>
          <w:color w:val="auto"/>
          <w:kern w:val="2"/>
          <w:sz w:val="24"/>
          <w:szCs w:val="24"/>
          <w:highlight w:val="none"/>
          <w:lang w:val="en-US" w:eastAsia="zh-CN" w:bidi="ar-SA"/>
        </w:rPr>
        <w:t>数量指标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b w:val="0"/>
          <w:color w:val="auto"/>
          <w:kern w:val="2"/>
          <w:sz w:val="24"/>
          <w:szCs w:val="24"/>
          <w:highlight w:val="none"/>
          <w:lang w:val="en-US" w:eastAsia="zh-CN" w:bidi="ar-SA"/>
        </w:rPr>
        <w:t>预期指标值为</w:t>
      </w:r>
      <w:r>
        <w:rPr>
          <w:rFonts w:ascii="宋体" w:hAnsi="宋体" w:eastAsia="宋体" w:cs="宋体"/>
          <w:b w:val="0"/>
          <w:color w:val="auto"/>
          <w:kern w:val="2"/>
          <w:sz w:val="24"/>
          <w:szCs w:val="24"/>
          <w:highlight w:val="none"/>
          <w:lang w:val="en-US" w:eastAsia="zh-CN" w:bidi="ar-SA"/>
        </w:rPr>
        <w:t>购置办公用品批数</w:t>
      </w:r>
      <w:r>
        <w:rPr>
          <w:rFonts w:hint="eastAsia" w:ascii="宋体" w:hAnsi="宋体" w:eastAsia="宋体" w:cs="宋体"/>
          <w:b w:val="0"/>
          <w:color w:val="auto"/>
          <w:kern w:val="2"/>
          <w:sz w:val="24"/>
          <w:szCs w:val="24"/>
          <w:highlight w:val="none"/>
          <w:lang w:val="en-US" w:eastAsia="zh-CN" w:bidi="ar-SA"/>
        </w:rPr>
        <w:t>=1批，</w:t>
      </w:r>
      <w:r>
        <w:rPr>
          <w:rFonts w:hint="eastAsia" w:ascii="宋体" w:hAnsi="宋体" w:eastAsia="宋体" w:cs="宋体"/>
          <w:color w:val="auto"/>
          <w:sz w:val="24"/>
          <w:szCs w:val="24"/>
          <w:highlight w:val="none"/>
        </w:rPr>
        <w:t>实际完成</w:t>
      </w:r>
      <w:r>
        <w:rPr>
          <w:rFonts w:ascii="宋体" w:hAnsi="宋体" w:eastAsia="宋体" w:cs="宋体"/>
          <w:b w:val="0"/>
          <w:color w:val="auto"/>
          <w:kern w:val="2"/>
          <w:sz w:val="24"/>
          <w:szCs w:val="24"/>
          <w:highlight w:val="none"/>
          <w:lang w:val="en-US" w:eastAsia="zh-CN" w:bidi="ar-SA"/>
        </w:rPr>
        <w:t>购置办公用品</w:t>
      </w:r>
      <w:r>
        <w:rPr>
          <w:rFonts w:hint="eastAsia" w:ascii="宋体" w:hAnsi="宋体" w:eastAsia="宋体" w:cs="宋体"/>
          <w:color w:val="auto"/>
          <w:sz w:val="24"/>
          <w:szCs w:val="24"/>
          <w:highlight w:val="none"/>
        </w:rPr>
        <w:t>值为</w:t>
      </w:r>
      <w:r>
        <w:rPr>
          <w:rFonts w:hint="eastAsia" w:ascii="宋体" w:hAnsi="宋体" w:eastAsia="宋体" w:cs="宋体"/>
          <w:color w:val="auto"/>
          <w:sz w:val="24"/>
          <w:szCs w:val="24"/>
          <w:highlight w:val="none"/>
          <w:lang w:val="en-US" w:eastAsia="zh-CN"/>
        </w:rPr>
        <w:t>1</w:t>
      </w:r>
      <w:r>
        <w:rPr>
          <w:rFonts w:hint="eastAsia" w:ascii="宋体" w:hAnsi="宋体" w:eastAsia="宋体" w:cs="宋体"/>
          <w:b w:val="0"/>
          <w:color w:val="auto"/>
          <w:kern w:val="2"/>
          <w:sz w:val="24"/>
          <w:szCs w:val="24"/>
          <w:highlight w:val="none"/>
          <w:lang w:val="en-US" w:eastAsia="zh-CN" w:bidi="ar-SA"/>
        </w:rPr>
        <w:t>批</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r>
        <w:rPr>
          <w:rFonts w:ascii="宋体" w:hAnsi="宋体" w:eastAsia="宋体" w:cs="宋体"/>
          <w:b w:val="0"/>
          <w:color w:val="auto"/>
          <w:kern w:val="2"/>
          <w:sz w:val="24"/>
          <w:szCs w:val="24"/>
          <w:highlight w:val="none"/>
          <w:lang w:val="en-US" w:eastAsia="zh-CN" w:bidi="ar-SA"/>
        </w:rPr>
        <w:t>数量指标</w:t>
      </w:r>
      <w:r>
        <w:rPr>
          <w:rFonts w:hint="eastAsia" w:ascii="宋体" w:hAnsi="宋体" w:eastAsia="宋体" w:cs="宋体"/>
          <w:b w:val="0"/>
          <w:color w:val="auto"/>
          <w:kern w:val="2"/>
          <w:sz w:val="24"/>
          <w:szCs w:val="24"/>
          <w:highlight w:val="none"/>
          <w:lang w:val="en-US" w:eastAsia="zh-CN" w:bidi="ar-SA"/>
        </w:rPr>
        <w:t>4：</w:t>
      </w:r>
      <w:r>
        <w:rPr>
          <w:rFonts w:hint="eastAsia" w:ascii="宋体" w:hAnsi="宋体" w:eastAsia="宋体" w:cs="宋体"/>
          <w:color w:val="auto"/>
          <w:sz w:val="24"/>
          <w:szCs w:val="24"/>
          <w:highlight w:val="none"/>
        </w:rPr>
        <w:t>预期指标值为</w:t>
      </w:r>
      <w:r>
        <w:rPr>
          <w:rFonts w:ascii="宋体" w:hAnsi="宋体" w:eastAsia="宋体" w:cs="宋体"/>
          <w:color w:val="auto"/>
          <w:sz w:val="24"/>
          <w:szCs w:val="24"/>
          <w:highlight w:val="none"/>
        </w:rPr>
        <w:t>保障正常运行车辆数</w:t>
      </w:r>
      <w:r>
        <w:rPr>
          <w:rFonts w:hint="eastAsia" w:ascii="宋体" w:hAnsi="宋体" w:eastAsia="宋体" w:cs="宋体"/>
          <w:color w:val="auto"/>
          <w:sz w:val="24"/>
          <w:szCs w:val="24"/>
          <w:highlight w:val="none"/>
          <w:lang w:val="en-US" w:eastAsia="zh-CN"/>
        </w:rPr>
        <w:t>=5辆</w:t>
      </w:r>
      <w:r>
        <w:rPr>
          <w:rFonts w:hint="eastAsia" w:ascii="宋体" w:hAnsi="宋体" w:eastAsia="宋体" w:cs="宋体"/>
          <w:b w:val="0"/>
          <w:color w:val="auto"/>
          <w:kern w:val="2"/>
          <w:sz w:val="24"/>
          <w:szCs w:val="24"/>
          <w:highlight w:val="none"/>
          <w:lang w:val="en-US" w:eastAsia="zh-CN" w:bidi="ar-SA"/>
        </w:rPr>
        <w:t>，</w:t>
      </w:r>
      <w:r>
        <w:rPr>
          <w:rFonts w:hint="eastAsia" w:ascii="宋体" w:hAnsi="宋体" w:eastAsia="宋体" w:cs="宋体"/>
          <w:color w:val="auto"/>
          <w:sz w:val="24"/>
          <w:szCs w:val="24"/>
          <w:highlight w:val="none"/>
        </w:rPr>
        <w:t>实际完成</w:t>
      </w:r>
      <w:r>
        <w:rPr>
          <w:rFonts w:ascii="宋体" w:hAnsi="宋体" w:eastAsia="宋体" w:cs="宋体"/>
          <w:color w:val="auto"/>
          <w:sz w:val="24"/>
          <w:szCs w:val="24"/>
          <w:highlight w:val="none"/>
        </w:rPr>
        <w:t>保障正常运行车辆数</w:t>
      </w:r>
      <w:r>
        <w:rPr>
          <w:rFonts w:hint="eastAsia" w:ascii="宋体" w:hAnsi="宋体" w:eastAsia="宋体" w:cs="宋体"/>
          <w:color w:val="auto"/>
          <w:sz w:val="24"/>
          <w:szCs w:val="24"/>
          <w:highlight w:val="none"/>
        </w:rPr>
        <w:t>值为</w:t>
      </w:r>
      <w:r>
        <w:rPr>
          <w:rFonts w:hint="eastAsia" w:ascii="宋体" w:hAnsi="宋体" w:eastAsia="宋体" w:cs="宋体"/>
          <w:color w:val="auto"/>
          <w:sz w:val="24"/>
          <w:szCs w:val="24"/>
          <w:highlight w:val="none"/>
          <w:lang w:val="en-US" w:eastAsia="zh-CN"/>
        </w:rPr>
        <w:t>5辆</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11156F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597321AD">
      <w:pPr>
        <w:pageBreakBefore w:val="0"/>
        <w:widowControl w:val="0"/>
        <w:numPr>
          <w:ilvl w:val="0"/>
          <w:numId w:val="1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5DA5088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截止2024年12月31日，该项目实施</w:t>
      </w:r>
      <w:r>
        <w:rPr>
          <w:rFonts w:ascii="宋体" w:hAnsi="宋体" w:eastAsia="宋体" w:cs="宋体"/>
          <w:b w:val="0"/>
          <w:bCs/>
          <w:color w:val="auto"/>
          <w:sz w:val="24"/>
          <w:szCs w:val="24"/>
          <w:highlight w:val="none"/>
        </w:rPr>
        <w:t>补充基层政协经费覆盖率</w:t>
      </w:r>
      <w:r>
        <w:rPr>
          <w:rFonts w:hint="eastAsia" w:ascii="宋体" w:hAnsi="宋体" w:eastAsia="宋体" w:cs="宋体"/>
          <w:b w:val="0"/>
          <w:bCs/>
          <w:color w:val="auto"/>
          <w:sz w:val="24"/>
          <w:szCs w:val="24"/>
          <w:highlight w:val="none"/>
          <w:lang w:val="en-US" w:eastAsia="zh-CN"/>
        </w:rPr>
        <w:t>已达到100%</w:t>
      </w:r>
      <w:r>
        <w:rPr>
          <w:rFonts w:hint="eastAsia" w:ascii="宋体" w:hAnsi="宋体" w:eastAsia="宋体" w:cs="宋体"/>
          <w:b w:val="0"/>
          <w:bCs/>
          <w:color w:val="auto"/>
          <w:sz w:val="24"/>
          <w:szCs w:val="24"/>
          <w:highlight w:val="none"/>
        </w:rPr>
        <w:t>，实际完成值为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购置</w:t>
      </w:r>
      <w:r>
        <w:rPr>
          <w:rFonts w:ascii="宋体" w:hAnsi="宋体" w:eastAsia="宋体" w:cs="宋体"/>
          <w:b w:val="0"/>
          <w:bCs/>
          <w:color w:val="auto"/>
          <w:sz w:val="24"/>
          <w:szCs w:val="24"/>
          <w:highlight w:val="none"/>
        </w:rPr>
        <w:t>办公用品</w:t>
      </w:r>
      <w:r>
        <w:rPr>
          <w:rFonts w:hint="eastAsia" w:ascii="宋体" w:hAnsi="宋体" w:eastAsia="宋体" w:cs="宋体"/>
          <w:b w:val="0"/>
          <w:bCs/>
          <w:color w:val="auto"/>
          <w:sz w:val="24"/>
          <w:szCs w:val="24"/>
          <w:highlight w:val="none"/>
          <w:lang w:val="en-US" w:eastAsia="zh-CN"/>
        </w:rPr>
        <w:t>1批次，于2024年6月6日进行了项目采购办公用品验收，办公用品质量合格率达到100%</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产出质量</w:t>
      </w:r>
      <w:r>
        <w:rPr>
          <w:rFonts w:hint="eastAsia" w:ascii="宋体" w:hAnsi="宋体" w:eastAsia="宋体" w:cs="宋体"/>
          <w:b w:val="0"/>
          <w:bCs/>
          <w:color w:val="auto"/>
          <w:sz w:val="24"/>
          <w:szCs w:val="24"/>
          <w:highlight w:val="none"/>
        </w:rPr>
        <w:t>指标</w:t>
      </w:r>
      <w:r>
        <w:rPr>
          <w:rFonts w:hint="eastAsia" w:ascii="宋体" w:hAnsi="宋体" w:eastAsia="宋体" w:cs="宋体"/>
          <w:b w:val="0"/>
          <w:bCs/>
          <w:color w:val="auto"/>
          <w:sz w:val="24"/>
          <w:szCs w:val="24"/>
          <w:highlight w:val="none"/>
          <w:lang w:val="en-US" w:eastAsia="zh-CN"/>
        </w:rPr>
        <w:t>均已达到100%。</w:t>
      </w:r>
    </w:p>
    <w:p w14:paraId="617E504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61E88155">
      <w:pPr>
        <w:pStyle w:val="10"/>
        <w:pageBreakBefore w:val="0"/>
        <w:widowControl w:val="0"/>
        <w:numPr>
          <w:ilvl w:val="0"/>
          <w:numId w:val="10"/>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6B98908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该项目实际开始实施为2024年1月，项目时间结束时间为2024年10月，项目资金按时发放，产出时效完成及时率均达到100%。</w:t>
      </w:r>
    </w:p>
    <w:p w14:paraId="11A0DE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D3E7DC0">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6E01677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截止2024年12月31日，该项目资金已全部支付完毕，</w:t>
      </w:r>
      <w:r>
        <w:rPr>
          <w:rFonts w:ascii="宋体" w:hAnsi="宋体" w:eastAsia="宋体" w:cs="宋体"/>
          <w:color w:val="auto"/>
          <w:sz w:val="24"/>
          <w:szCs w:val="24"/>
          <w:highlight w:val="none"/>
        </w:rPr>
        <w:t>经济成本指标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预期指标值为</w:t>
      </w:r>
      <w:r>
        <w:rPr>
          <w:rFonts w:ascii="宋体" w:hAnsi="宋体" w:eastAsia="宋体" w:cs="宋体"/>
          <w:color w:val="auto"/>
          <w:sz w:val="24"/>
          <w:szCs w:val="24"/>
          <w:highlight w:val="none"/>
        </w:rPr>
        <w:t>视频会议专网费=2.83万元</w:t>
      </w:r>
      <w:r>
        <w:rPr>
          <w:rFonts w:hint="eastAsia" w:ascii="宋体" w:hAnsi="宋体" w:eastAsia="宋体" w:cs="宋体"/>
          <w:color w:val="auto"/>
          <w:sz w:val="24"/>
          <w:szCs w:val="24"/>
          <w:highlight w:val="none"/>
        </w:rPr>
        <w:t>，实际完成值为</w:t>
      </w:r>
      <w:r>
        <w:rPr>
          <w:rFonts w:ascii="宋体" w:hAnsi="宋体" w:eastAsia="宋体" w:cs="宋体"/>
          <w:color w:val="auto"/>
          <w:sz w:val="24"/>
          <w:szCs w:val="24"/>
          <w:highlight w:val="none"/>
        </w:rPr>
        <w:t>2.83万元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ascii="宋体" w:hAnsi="宋体" w:eastAsia="宋体" w:cs="宋体"/>
          <w:color w:val="auto"/>
          <w:sz w:val="24"/>
          <w:szCs w:val="24"/>
          <w:highlight w:val="none"/>
        </w:rPr>
        <w:t>经济成本指标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预期指标值为</w:t>
      </w:r>
      <w:r>
        <w:rPr>
          <w:rFonts w:ascii="宋体" w:hAnsi="宋体" w:eastAsia="宋体" w:cs="宋体"/>
          <w:color w:val="auto"/>
          <w:sz w:val="24"/>
          <w:szCs w:val="24"/>
          <w:highlight w:val="none"/>
        </w:rPr>
        <w:t>保障车辆运行费=1万元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rPr>
        <w:t>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ascii="宋体" w:hAnsi="宋体" w:eastAsia="宋体" w:cs="宋体"/>
          <w:color w:val="auto"/>
          <w:sz w:val="24"/>
          <w:szCs w:val="24"/>
          <w:highlight w:val="none"/>
        </w:rPr>
        <w:t>经济成本指标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预期指标值为</w:t>
      </w:r>
      <w:r>
        <w:rPr>
          <w:rFonts w:ascii="宋体" w:hAnsi="宋体" w:eastAsia="宋体" w:cs="宋体"/>
          <w:color w:val="auto"/>
          <w:sz w:val="24"/>
          <w:szCs w:val="24"/>
          <w:highlight w:val="none"/>
        </w:rPr>
        <w:t>购置办公用品经费=1.17万元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1.17</w:t>
      </w:r>
      <w:r>
        <w:rPr>
          <w:rFonts w:ascii="宋体" w:hAnsi="宋体" w:eastAsia="宋体" w:cs="宋体"/>
          <w:color w:val="auto"/>
          <w:sz w:val="24"/>
          <w:szCs w:val="24"/>
          <w:highlight w:val="none"/>
        </w:rPr>
        <w:t>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p>
    <w:p w14:paraId="6A3E630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w:t>
      </w:r>
      <w:r>
        <w:rPr>
          <w:rFonts w:hint="eastAsia" w:ascii="宋体" w:hAnsi="宋体" w:eastAsia="宋体" w:cs="宋体"/>
          <w:color w:val="auto"/>
          <w:sz w:val="24"/>
          <w:szCs w:val="24"/>
          <w:highlight w:val="none"/>
        </w:rPr>
        <w:t>项目经费</w:t>
      </w:r>
      <w:r>
        <w:rPr>
          <w:rFonts w:hint="eastAsia" w:ascii="宋体" w:hAnsi="宋体" w:eastAsia="宋体" w:cs="宋体"/>
          <w:color w:val="auto"/>
          <w:sz w:val="24"/>
          <w:szCs w:val="24"/>
          <w:highlight w:val="none"/>
          <w:lang w:val="en-US" w:eastAsia="zh-CN"/>
        </w:rPr>
        <w:t>未超出</w:t>
      </w:r>
      <w:r>
        <w:rPr>
          <w:rFonts w:hint="eastAsia" w:ascii="宋体" w:hAnsi="宋体" w:eastAsia="宋体" w:cs="宋体"/>
          <w:color w:val="auto"/>
          <w:sz w:val="24"/>
          <w:szCs w:val="24"/>
          <w:highlight w:val="none"/>
        </w:rPr>
        <w:t>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2B6C559">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24F6E57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项目效益类指标包括项目效益1个方面的内容，由2个三级指标构成，权重分为20分，实际得分20分，得分率为100%。</w:t>
      </w:r>
    </w:p>
    <w:p w14:paraId="1B420C4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138CA47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ascii="宋体" w:hAnsi="宋体" w:eastAsia="宋体" w:cs="宋体"/>
          <w:color w:val="auto"/>
          <w:sz w:val="24"/>
          <w:szCs w:val="24"/>
          <w:highlight w:val="none"/>
        </w:rPr>
        <w:t>促进基层政协工作开展</w:t>
      </w:r>
      <w:r>
        <w:rPr>
          <w:rFonts w:hint="eastAsia" w:ascii="宋体" w:hAnsi="宋体" w:eastAsia="宋体" w:cs="宋体"/>
          <w:color w:val="auto"/>
          <w:sz w:val="24"/>
          <w:szCs w:val="24"/>
          <w:highlight w:val="none"/>
          <w:lang w:eastAsia="zh-CN"/>
        </w:rPr>
        <w:t>指标</w:t>
      </w:r>
      <w:r>
        <w:rPr>
          <w:rFonts w:hint="eastAsia" w:ascii="宋体" w:hAnsi="宋体" w:eastAsia="宋体" w:cs="宋体"/>
          <w:color w:val="auto"/>
          <w:sz w:val="24"/>
          <w:szCs w:val="24"/>
          <w:highlight w:val="none"/>
        </w:rPr>
        <w:t>，该指标预期指标值为</w:t>
      </w:r>
      <w:r>
        <w:rPr>
          <w:rFonts w:ascii="宋体" w:hAnsi="宋体" w:eastAsia="宋体" w:cs="宋体"/>
          <w:color w:val="auto"/>
          <w:sz w:val="24"/>
          <w:szCs w:val="24"/>
          <w:highlight w:val="none"/>
        </w:rPr>
        <w:t>有效促进</w:t>
      </w:r>
      <w:r>
        <w:rPr>
          <w:rFonts w:hint="eastAsia" w:ascii="宋体" w:hAnsi="宋体" w:eastAsia="宋体" w:cs="宋体"/>
          <w:color w:val="auto"/>
          <w:sz w:val="24"/>
          <w:szCs w:val="24"/>
          <w:highlight w:val="none"/>
        </w:rPr>
        <w:t>，实际完成值为</w:t>
      </w:r>
      <w:r>
        <w:rPr>
          <w:rFonts w:ascii="宋体" w:hAnsi="宋体" w:eastAsia="宋体" w:cs="宋体"/>
          <w:color w:val="auto"/>
          <w:sz w:val="24"/>
          <w:szCs w:val="24"/>
          <w:highlight w:val="none"/>
        </w:rPr>
        <w:t>有效促进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我单位根据《问卷调查分析报告》分析得知，该项指标已达到有效促进标准，</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w:t>
      </w:r>
      <w:r>
        <w:rPr>
          <w:rFonts w:hint="eastAsia" w:ascii="宋体" w:hAnsi="宋体" w:eastAsia="宋体" w:cs="宋体"/>
          <w:color w:val="auto"/>
          <w:sz w:val="24"/>
          <w:szCs w:val="24"/>
          <w:highlight w:val="none"/>
          <w:lang w:eastAsia="zh-CN"/>
        </w:rPr>
        <w:t>。</w:t>
      </w:r>
    </w:p>
    <w:p w14:paraId="32EB0A6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E52B4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（2）对于“经济效益指标”：</w:t>
      </w:r>
    </w:p>
    <w:p w14:paraId="0119C20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该项目无经济效益指标。</w:t>
      </w:r>
    </w:p>
    <w:p w14:paraId="000C4E8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（3）对于“生态效益指标”：</w:t>
      </w:r>
    </w:p>
    <w:p w14:paraId="4B43908D">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该项目无生态效益指标。</w:t>
      </w:r>
    </w:p>
    <w:p w14:paraId="1B1625EE">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p>
    <w:p w14:paraId="41B19C0C">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对于“满意度指标：</w:t>
      </w:r>
      <w:r>
        <w:rPr>
          <w:rFonts w:hint="eastAsia" w:ascii="宋体" w:hAnsi="宋体" w:eastAsia="宋体" w:cs="宋体"/>
          <w:color w:val="auto"/>
          <w:sz w:val="24"/>
          <w:szCs w:val="24"/>
          <w:highlight w:val="none"/>
          <w:lang w:val="en-US" w:eastAsia="zh-CN"/>
        </w:rPr>
        <w:t>群众</w:t>
      </w:r>
      <w:r>
        <w:rPr>
          <w:rFonts w:hint="eastAsia" w:ascii="宋体" w:hAnsi="宋体" w:eastAsia="宋体" w:cs="宋体"/>
          <w:color w:val="auto"/>
          <w:sz w:val="24"/>
          <w:szCs w:val="24"/>
          <w:highlight w:val="none"/>
        </w:rPr>
        <w:t>满意度，该指标预期指标值为</w:t>
      </w:r>
      <w:r>
        <w:rPr>
          <w:rFonts w:ascii="宋体" w:hAnsi="宋体" w:eastAsia="宋体" w:cs="宋体"/>
          <w:color w:val="auto"/>
          <w:sz w:val="24"/>
          <w:szCs w:val="24"/>
          <w:highlight w:val="none"/>
        </w:rPr>
        <w:t>受益干部职工满意度</w:t>
      </w:r>
      <w:r>
        <w:rPr>
          <w:rFonts w:hint="eastAsia" w:ascii="宋体" w:hAnsi="宋体" w:eastAsia="宋体" w:cs="宋体"/>
          <w:color w:val="auto"/>
          <w:sz w:val="24"/>
          <w:szCs w:val="24"/>
          <w:highlight w:val="none"/>
        </w:rPr>
        <w:t>≥90%，</w:t>
      </w:r>
      <w:r>
        <w:rPr>
          <w:rFonts w:hint="eastAsia" w:ascii="宋体" w:hAnsi="宋体" w:eastAsia="宋体" w:cs="宋体"/>
          <w:color w:val="auto"/>
          <w:sz w:val="24"/>
          <w:szCs w:val="24"/>
          <w:highlight w:val="none"/>
          <w:lang w:val="en-US" w:eastAsia="zh-CN"/>
        </w:rPr>
        <w:t>我单位根据《问卷调查分析报告》分析得知，该项指标</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w:t>
      </w:r>
      <w:r>
        <w:rPr>
          <w:rFonts w:hint="eastAsia" w:ascii="宋体" w:hAnsi="宋体" w:eastAsia="宋体" w:cs="宋体"/>
          <w:color w:val="auto"/>
          <w:sz w:val="24"/>
          <w:szCs w:val="24"/>
          <w:highlight w:val="none"/>
          <w:lang w:eastAsia="zh-CN"/>
        </w:rPr>
        <w:t>。</w:t>
      </w:r>
    </w:p>
    <w:p w14:paraId="0CFFC6D8">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根据评分标准，该指标不扣分,得10分。</w:t>
      </w:r>
      <w:bookmarkEnd w:id="17"/>
    </w:p>
    <w:p w14:paraId="0440464E">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yellow"/>
        </w:rPr>
      </w:pPr>
    </w:p>
    <w:p w14:paraId="1EE75A1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五、预算执行进度与绩效指标偏差情况</w:t>
      </w:r>
    </w:p>
    <w:p w14:paraId="0D111181">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93ABCC1">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7D4B729">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w:t>
      </w:r>
      <w:r>
        <w:rPr>
          <w:rFonts w:hint="eastAsia" w:ascii="宋体" w:hAnsi="宋体" w:eastAsia="宋体" w:cs="宋体"/>
          <w:color w:val="auto"/>
          <w:sz w:val="24"/>
          <w:szCs w:val="24"/>
          <w:highlight w:val="none"/>
          <w:lang w:eastAsia="zh-CN"/>
        </w:rPr>
        <w:t>无偏差</w:t>
      </w:r>
      <w:r>
        <w:rPr>
          <w:rFonts w:hint="eastAsia" w:ascii="宋体" w:hAnsi="宋体" w:eastAsia="宋体" w:cs="宋体"/>
          <w:color w:val="auto"/>
          <w:sz w:val="24"/>
          <w:szCs w:val="24"/>
          <w:highlight w:val="none"/>
        </w:rPr>
        <w:t>。</w:t>
      </w:r>
    </w:p>
    <w:p w14:paraId="40A27D1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18" w:name="_Toc68364673"/>
    </w:p>
    <w:p w14:paraId="683BEA2D">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100944F0">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FF0000"/>
          <w:sz w:val="24"/>
          <w:szCs w:val="24"/>
          <w:lang w:val="en-US" w:eastAsia="zh-CN"/>
        </w:rPr>
      </w:pPr>
      <w:r>
        <w:rPr>
          <w:rFonts w:hint="eastAsia" w:ascii="宋体" w:hAnsi="宋体" w:eastAsia="宋体" w:cs="宋体"/>
          <w:sz w:val="24"/>
          <w:szCs w:val="24"/>
        </w:rPr>
        <w:t>（一）主要经验及做法</w:t>
      </w:r>
      <w:bookmarkEnd w:id="18"/>
    </w:p>
    <w:p w14:paraId="779055F0">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0799EDD0">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2FD6AC60">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21B9419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FF0000"/>
          <w:sz w:val="24"/>
          <w:szCs w:val="24"/>
          <w:lang w:val="en-US" w:eastAsia="zh-CN"/>
        </w:rPr>
      </w:pPr>
      <w:bookmarkStart w:id="19" w:name="_Toc68364674"/>
      <w:r>
        <w:rPr>
          <w:rFonts w:hint="eastAsia" w:ascii="宋体" w:hAnsi="宋体" w:eastAsia="宋体" w:cs="宋体"/>
          <w:b/>
          <w:bCs/>
          <w:sz w:val="24"/>
          <w:szCs w:val="24"/>
        </w:rPr>
        <w:t>（二）存在问题及原因分析</w:t>
      </w:r>
      <w:bookmarkEnd w:id="19"/>
    </w:p>
    <w:p w14:paraId="162903F0">
      <w:pPr>
        <w:pStyle w:val="49"/>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415E2022">
      <w:pPr>
        <w:pStyle w:val="49"/>
        <w:pageBreakBefore w:val="0"/>
        <w:widowControl w:val="0"/>
        <w:numPr>
          <w:ilvl w:val="0"/>
          <w:numId w:val="0"/>
        </w:numPr>
        <w:kinsoku/>
        <w:wordWrap/>
        <w:overflowPunct/>
        <w:topLinePunct w:val="0"/>
        <w:autoSpaceDE/>
        <w:autoSpaceDN/>
        <w:bidi w:val="0"/>
        <w:adjustRightInd/>
        <w:snapToGrid/>
        <w:spacing w:line="360" w:lineRule="auto"/>
        <w:ind w:leftChars="0" w:right="0" w:firstLine="480" w:firstLineChars="200"/>
        <w:textAlignment w:val="auto"/>
        <w:rPr>
          <w:rFonts w:hint="default"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对资金使用缺乏有效的资金监控机制，无法实时掌握资金流向和使用情况；</w:t>
      </w:r>
    </w:p>
    <w:p w14:paraId="3FC870F2">
      <w:pPr>
        <w:pStyle w:val="49"/>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2.项目管理环节：</w:t>
      </w:r>
    </w:p>
    <w:p w14:paraId="20885133">
      <w:pPr>
        <w:pStyle w:val="49"/>
        <w:pageBreakBefore w:val="0"/>
        <w:widowControl w:val="0"/>
        <w:numPr>
          <w:ilvl w:val="0"/>
          <w:numId w:val="0"/>
        </w:numPr>
        <w:kinsoku/>
        <w:wordWrap/>
        <w:overflowPunct/>
        <w:topLinePunct w:val="0"/>
        <w:autoSpaceDE/>
        <w:autoSpaceDN/>
        <w:bidi w:val="0"/>
        <w:adjustRightInd/>
        <w:snapToGrid/>
        <w:spacing w:line="360" w:lineRule="auto"/>
        <w:ind w:leftChars="0" w:right="0" w:firstLine="480" w:firstLineChars="200"/>
        <w:textAlignment w:val="auto"/>
        <w:rPr>
          <w:rFonts w:hint="default"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527FA0EE">
      <w:pPr>
        <w:pStyle w:val="49"/>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3.项目绩效管理环节</w:t>
      </w:r>
    </w:p>
    <w:p w14:paraId="147B3939">
      <w:pPr>
        <w:pageBreakBefore w:val="0"/>
        <w:widowControl w:val="0"/>
        <w:kinsoku/>
        <w:wordWrap/>
        <w:overflowPunct/>
        <w:topLinePunct w:val="0"/>
        <w:autoSpaceDE/>
        <w:autoSpaceDN/>
        <w:bidi w:val="0"/>
        <w:adjustRightInd/>
        <w:snapToGrid/>
        <w:spacing w:line="360" w:lineRule="auto"/>
        <w:ind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成本控制情况：严格按照相关的专项资金管理办法，实行多重审批控制专项经费的支出。</w:t>
      </w:r>
    </w:p>
    <w:p w14:paraId="6D4C2DA3">
      <w:pPr>
        <w:pStyle w:val="49"/>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val="0"/>
          <w:color w:val="000000"/>
          <w:kern w:val="2"/>
          <w:sz w:val="24"/>
          <w:szCs w:val="24"/>
          <w:highlight w:val="none"/>
          <w:lang w:val="en-US" w:eastAsia="zh-CN" w:bidi="ar-SA"/>
        </w:rPr>
        <w:t>成本节约情况：项目根据实际情况做出合理预算，支出严格控制在预算范围内，本着节约成本，防止资源浪费的原则将项目成效最大化。</w:t>
      </w:r>
      <w:r>
        <w:rPr>
          <w:rFonts w:hint="eastAsia" w:ascii="宋体" w:hAnsi="宋体" w:eastAsia="宋体" w:cs="宋体"/>
          <w:color w:val="auto"/>
          <w:sz w:val="24"/>
          <w:szCs w:val="24"/>
          <w:lang w:val="en-US" w:eastAsia="zh-CN"/>
        </w:rPr>
        <w:t>4.各级监督检查（项目管理、资金管理、绩效管理）发现问题及原因分析</w:t>
      </w:r>
    </w:p>
    <w:p w14:paraId="7945D2A0">
      <w:pPr>
        <w:pStyle w:val="49"/>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bookmarkStart w:id="20" w:name="_Toc68364675"/>
      <w:r>
        <w:rPr>
          <w:rFonts w:hint="eastAsia" w:ascii="宋体" w:hAnsi="宋体" w:eastAsia="宋体" w:cs="宋体"/>
          <w:color w:val="auto"/>
          <w:sz w:val="24"/>
          <w:szCs w:val="24"/>
          <w:lang w:val="en-US" w:eastAsia="zh-CN"/>
        </w:rPr>
        <w:t>4.各级监督检查（项目管理、资金管理、绩效管理）发现问题及原因分析</w:t>
      </w:r>
    </w:p>
    <w:p w14:paraId="5DDE6099">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一是对各项指标和指标值要进一步优化、完善，主要在细化、量化上改进；</w:t>
      </w:r>
    </w:p>
    <w:p w14:paraId="47D9675B">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二是部门评价工作还存在自我审定的局限性，会影响评价质量，容易造成问题的疏漏，在客观性和公正性上说服力不强；</w:t>
      </w:r>
    </w:p>
    <w:p w14:paraId="573ADDD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三是缺少带着问题去评价的意识；</w:t>
      </w:r>
    </w:p>
    <w:p w14:paraId="21450114">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四是现场评价的工作量少，后续效益评价具体措施和方法较少。</w:t>
      </w:r>
    </w:p>
    <w:p w14:paraId="7B11F6C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sz w:val="24"/>
          <w:szCs w:val="24"/>
        </w:rPr>
      </w:pPr>
    </w:p>
    <w:p w14:paraId="6F8CEE26">
      <w:pPr>
        <w:pStyle w:val="60"/>
        <w:keepNext w:val="0"/>
        <w:keepLines w:val="0"/>
        <w:pageBreakBefore w:val="0"/>
        <w:widowControl w:val="0"/>
        <w:numPr>
          <w:ilvl w:val="0"/>
          <w:numId w:val="11"/>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有关建议</w:t>
      </w:r>
      <w:bookmarkEnd w:id="20"/>
    </w:p>
    <w:p w14:paraId="6A4FD42A">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kern w:val="2"/>
          <w:sz w:val="24"/>
          <w:szCs w:val="24"/>
        </w:rPr>
      </w:pPr>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2D7FD426">
      <w:pPr>
        <w:pStyle w:val="5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开展进度的跟踪，确保项目绩效目标的完成。规范程序，严格把关。进一步完善项目申报、审核、公示、审批等程序，严格审核切实做好项目信息公开，公开内容要及时、完整、真实，确保项目公平、公开、公正。</w:t>
      </w:r>
    </w:p>
    <w:p w14:paraId="1449F678">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kern w:val="2"/>
          <w:sz w:val="24"/>
          <w:szCs w:val="24"/>
          <w:lang w:val="en-US" w:eastAsia="zh-CN" w:bidi="ar-SA"/>
        </w:rPr>
        <w:t>健全制度，加强督促。针对项目实施中存在的问题，进一步完善相关制度，加强督促检查，确保质量安全和建设进度；同时及时完善资料。</w:t>
      </w:r>
    </w:p>
    <w:p w14:paraId="6DFCBC2F">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21" w:name="_Toc68364676"/>
    </w:p>
    <w:p w14:paraId="339F0FB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八、其他需要说明的问题</w:t>
      </w:r>
      <w:bookmarkEnd w:id="21"/>
    </w:p>
    <w:p w14:paraId="0A55511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r>
        <w:rPr>
          <w:rFonts w:hint="eastAsia" w:ascii="宋体" w:hAnsi="宋体" w:eastAsia="宋体" w:cs="宋体"/>
          <w:sz w:val="24"/>
          <w:szCs w:val="24"/>
          <w:lang w:eastAsia="zh-CN"/>
        </w:rPr>
        <w:t>。</w:t>
      </w:r>
    </w:p>
    <w:p w14:paraId="020432B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kern w:val="0"/>
          <w:sz w:val="24"/>
          <w:szCs w:val="24"/>
          <w:lang w:val="en-US" w:eastAsia="zh-CN" w:bidi="ar-SA"/>
        </w:rPr>
        <w:t>项目绩效评价指标体系</w:t>
      </w:r>
    </w:p>
    <w:p w14:paraId="26C4E9D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kern w:val="0"/>
          <w:sz w:val="24"/>
          <w:szCs w:val="24"/>
          <w:lang w:val="en-US" w:eastAsia="zh-CN" w:bidi="ar-SA"/>
        </w:rPr>
        <w:t>项目综合得分表</w:t>
      </w:r>
    </w:p>
    <w:p w14:paraId="2C51BB84">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bidi="ar-SA"/>
        </w:rPr>
        <w:t>附件3：满意度调查问分析情况</w:t>
      </w:r>
    </w:p>
    <w:p w14:paraId="26F06E13">
      <w:pPr>
        <w:pStyle w:val="10"/>
        <w:pageBreakBefore w:val="0"/>
        <w:widowControl w:val="0"/>
        <w:kinsoku/>
        <w:wordWrap/>
        <w:topLinePunct w:val="0"/>
        <w:autoSpaceDE/>
        <w:bidi w:val="0"/>
        <w:ind w:left="0" w:leftChars="0" w:firstLine="480" w:firstLineChars="200"/>
        <w:jc w:val="both"/>
        <w:textAlignment w:val="auto"/>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0"/>
        <w:gridCol w:w="701"/>
        <w:gridCol w:w="496"/>
        <w:gridCol w:w="543"/>
        <w:gridCol w:w="894"/>
        <w:gridCol w:w="766"/>
        <w:gridCol w:w="2184"/>
        <w:gridCol w:w="900"/>
        <w:gridCol w:w="4033"/>
        <w:gridCol w:w="1167"/>
        <w:gridCol w:w="741"/>
      </w:tblGrid>
      <w:tr w14:paraId="54349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47" w:type="dxa"/>
            <w:gridSpan w:val="3"/>
            <w:tcBorders>
              <w:top w:val="nil"/>
              <w:left w:val="nil"/>
              <w:bottom w:val="nil"/>
              <w:right w:val="nil"/>
            </w:tcBorders>
            <w:noWrap/>
            <w:vAlign w:val="center"/>
          </w:tcPr>
          <w:p w14:paraId="45FF204B">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543" w:type="dxa"/>
            <w:tcBorders>
              <w:top w:val="nil"/>
              <w:left w:val="nil"/>
              <w:bottom w:val="nil"/>
              <w:right w:val="nil"/>
            </w:tcBorders>
            <w:noWrap/>
            <w:vAlign w:val="center"/>
          </w:tcPr>
          <w:p w14:paraId="53E988F2">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c>
          <w:tcPr>
            <w:tcW w:w="894" w:type="dxa"/>
            <w:tcBorders>
              <w:top w:val="nil"/>
              <w:left w:val="nil"/>
              <w:bottom w:val="nil"/>
              <w:right w:val="nil"/>
            </w:tcBorders>
            <w:noWrap/>
            <w:vAlign w:val="center"/>
          </w:tcPr>
          <w:p w14:paraId="317FE3F5">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c>
          <w:tcPr>
            <w:tcW w:w="766" w:type="dxa"/>
            <w:tcBorders>
              <w:top w:val="nil"/>
              <w:left w:val="nil"/>
              <w:bottom w:val="nil"/>
              <w:right w:val="nil"/>
            </w:tcBorders>
            <w:noWrap/>
            <w:vAlign w:val="center"/>
          </w:tcPr>
          <w:p w14:paraId="01C0F7DE">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c>
          <w:tcPr>
            <w:tcW w:w="2184" w:type="dxa"/>
            <w:tcBorders>
              <w:top w:val="nil"/>
              <w:left w:val="nil"/>
              <w:bottom w:val="nil"/>
              <w:right w:val="nil"/>
            </w:tcBorders>
            <w:noWrap/>
            <w:vAlign w:val="center"/>
          </w:tcPr>
          <w:p w14:paraId="002B03E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900" w:type="dxa"/>
            <w:tcBorders>
              <w:top w:val="nil"/>
              <w:left w:val="nil"/>
              <w:bottom w:val="nil"/>
              <w:right w:val="nil"/>
            </w:tcBorders>
            <w:noWrap/>
            <w:vAlign w:val="center"/>
          </w:tcPr>
          <w:p w14:paraId="394320BA">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c>
          <w:tcPr>
            <w:tcW w:w="4033" w:type="dxa"/>
            <w:tcBorders>
              <w:top w:val="nil"/>
              <w:left w:val="nil"/>
              <w:bottom w:val="nil"/>
              <w:right w:val="nil"/>
            </w:tcBorders>
            <w:noWrap/>
            <w:vAlign w:val="center"/>
          </w:tcPr>
          <w:p w14:paraId="526BCF7F">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c>
          <w:tcPr>
            <w:tcW w:w="1167" w:type="dxa"/>
            <w:tcBorders>
              <w:top w:val="nil"/>
              <w:left w:val="nil"/>
              <w:bottom w:val="nil"/>
              <w:right w:val="nil"/>
            </w:tcBorders>
            <w:noWrap/>
            <w:vAlign w:val="center"/>
          </w:tcPr>
          <w:p w14:paraId="5B717475">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c>
          <w:tcPr>
            <w:tcW w:w="741" w:type="dxa"/>
            <w:tcBorders>
              <w:top w:val="nil"/>
              <w:left w:val="nil"/>
              <w:bottom w:val="nil"/>
              <w:right w:val="nil"/>
            </w:tcBorders>
            <w:noWrap/>
            <w:vAlign w:val="center"/>
          </w:tcPr>
          <w:p w14:paraId="3CD94E68">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p>
        </w:tc>
      </w:tr>
      <w:tr w14:paraId="06AC1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275" w:type="dxa"/>
            <w:gridSpan w:val="11"/>
            <w:tcBorders>
              <w:top w:val="nil"/>
              <w:left w:val="nil"/>
              <w:bottom w:val="nil"/>
              <w:right w:val="nil"/>
            </w:tcBorders>
            <w:noWrap w:val="0"/>
            <w:vAlign w:val="center"/>
          </w:tcPr>
          <w:p w14:paraId="4C4219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2024年度自治区基层政协补助经费项目绩效评价指标体系综合评分表</w:t>
            </w:r>
          </w:p>
        </w:tc>
      </w:tr>
      <w:tr w14:paraId="6EA9C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tcBorders>
              <w:top w:val="single" w:color="auto" w:sz="8" w:space="0"/>
              <w:left w:val="single" w:color="auto" w:sz="8" w:space="0"/>
              <w:bottom w:val="single" w:color="auto" w:sz="8" w:space="0"/>
              <w:right w:val="single" w:color="auto" w:sz="8" w:space="0"/>
            </w:tcBorders>
            <w:noWrap w:val="0"/>
            <w:vAlign w:val="center"/>
          </w:tcPr>
          <w:p w14:paraId="0A82F9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701" w:type="dxa"/>
            <w:tcBorders>
              <w:top w:val="single" w:color="auto" w:sz="8" w:space="0"/>
              <w:left w:val="nil"/>
              <w:bottom w:val="single" w:color="auto" w:sz="8" w:space="0"/>
              <w:right w:val="single" w:color="auto" w:sz="8" w:space="0"/>
            </w:tcBorders>
            <w:noWrap w:val="0"/>
            <w:vAlign w:val="center"/>
          </w:tcPr>
          <w:p w14:paraId="6F91A3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496" w:type="dxa"/>
            <w:tcBorders>
              <w:top w:val="single" w:color="auto" w:sz="8" w:space="0"/>
              <w:left w:val="nil"/>
              <w:bottom w:val="single" w:color="auto" w:sz="8" w:space="0"/>
              <w:right w:val="single" w:color="auto" w:sz="8" w:space="0"/>
            </w:tcBorders>
            <w:noWrap w:val="0"/>
            <w:vAlign w:val="center"/>
          </w:tcPr>
          <w:p w14:paraId="518930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543" w:type="dxa"/>
            <w:tcBorders>
              <w:top w:val="single" w:color="auto" w:sz="8" w:space="0"/>
              <w:left w:val="nil"/>
              <w:bottom w:val="single" w:color="auto" w:sz="8" w:space="0"/>
              <w:right w:val="single" w:color="auto" w:sz="8" w:space="0"/>
            </w:tcBorders>
            <w:noWrap w:val="0"/>
            <w:vAlign w:val="center"/>
          </w:tcPr>
          <w:p w14:paraId="36DA05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894" w:type="dxa"/>
            <w:tcBorders>
              <w:top w:val="single" w:color="auto" w:sz="8" w:space="0"/>
              <w:left w:val="nil"/>
              <w:bottom w:val="single" w:color="auto" w:sz="8" w:space="0"/>
              <w:right w:val="single" w:color="auto" w:sz="8" w:space="0"/>
            </w:tcBorders>
            <w:noWrap w:val="0"/>
            <w:vAlign w:val="center"/>
          </w:tcPr>
          <w:p w14:paraId="7FED37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766" w:type="dxa"/>
            <w:tcBorders>
              <w:top w:val="single" w:color="auto" w:sz="8" w:space="0"/>
              <w:left w:val="nil"/>
              <w:bottom w:val="single" w:color="auto" w:sz="8" w:space="0"/>
              <w:right w:val="single" w:color="auto" w:sz="8" w:space="0"/>
            </w:tcBorders>
            <w:noWrap w:val="0"/>
            <w:vAlign w:val="center"/>
          </w:tcPr>
          <w:p w14:paraId="538C55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184" w:type="dxa"/>
            <w:tcBorders>
              <w:top w:val="single" w:color="auto" w:sz="8" w:space="0"/>
              <w:left w:val="nil"/>
              <w:bottom w:val="single" w:color="auto" w:sz="8" w:space="0"/>
              <w:right w:val="single" w:color="auto" w:sz="8" w:space="0"/>
            </w:tcBorders>
            <w:noWrap w:val="0"/>
            <w:vAlign w:val="center"/>
          </w:tcPr>
          <w:p w14:paraId="1ABAFB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900" w:type="dxa"/>
            <w:tcBorders>
              <w:top w:val="single" w:color="auto" w:sz="8" w:space="0"/>
              <w:left w:val="nil"/>
              <w:bottom w:val="single" w:color="auto" w:sz="8" w:space="0"/>
              <w:right w:val="single" w:color="auto" w:sz="8" w:space="0"/>
            </w:tcBorders>
            <w:noWrap w:val="0"/>
            <w:vAlign w:val="center"/>
          </w:tcPr>
          <w:p w14:paraId="22AF64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4033" w:type="dxa"/>
            <w:tcBorders>
              <w:top w:val="single" w:color="auto" w:sz="8" w:space="0"/>
              <w:left w:val="nil"/>
              <w:bottom w:val="single" w:color="auto" w:sz="8" w:space="0"/>
              <w:right w:val="single" w:color="auto" w:sz="8" w:space="0"/>
            </w:tcBorders>
            <w:noWrap w:val="0"/>
            <w:vAlign w:val="center"/>
          </w:tcPr>
          <w:p w14:paraId="3B3C9B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1167" w:type="dxa"/>
            <w:tcBorders>
              <w:top w:val="single" w:color="auto" w:sz="8" w:space="0"/>
              <w:left w:val="nil"/>
              <w:bottom w:val="single" w:color="auto" w:sz="8" w:space="0"/>
              <w:right w:val="single" w:color="auto" w:sz="8" w:space="0"/>
            </w:tcBorders>
            <w:noWrap w:val="0"/>
            <w:vAlign w:val="center"/>
          </w:tcPr>
          <w:p w14:paraId="1BFB7C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741" w:type="dxa"/>
            <w:tcBorders>
              <w:top w:val="single" w:color="auto" w:sz="8" w:space="0"/>
              <w:left w:val="nil"/>
              <w:bottom w:val="single" w:color="auto" w:sz="8" w:space="0"/>
              <w:right w:val="single" w:color="auto" w:sz="8" w:space="0"/>
            </w:tcBorders>
            <w:noWrap w:val="0"/>
            <w:vAlign w:val="center"/>
          </w:tcPr>
          <w:p w14:paraId="1B2323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28144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0" w:hRule="atLeast"/>
        </w:trPr>
        <w:tc>
          <w:tcPr>
            <w:tcW w:w="850" w:type="dxa"/>
            <w:vMerge w:val="restart"/>
            <w:tcBorders>
              <w:top w:val="nil"/>
              <w:left w:val="single" w:color="auto" w:sz="4" w:space="0"/>
              <w:bottom w:val="single" w:color="auto" w:sz="8" w:space="0"/>
              <w:right w:val="single" w:color="auto" w:sz="8" w:space="0"/>
            </w:tcBorders>
            <w:noWrap w:val="0"/>
            <w:vAlign w:val="center"/>
          </w:tcPr>
          <w:p w14:paraId="0C02DB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701" w:type="dxa"/>
            <w:vMerge w:val="restart"/>
            <w:tcBorders>
              <w:top w:val="nil"/>
              <w:left w:val="nil"/>
              <w:bottom w:val="single" w:color="auto" w:sz="8" w:space="0"/>
              <w:right w:val="single" w:color="auto" w:sz="8" w:space="0"/>
            </w:tcBorders>
            <w:noWrap w:val="0"/>
            <w:vAlign w:val="center"/>
          </w:tcPr>
          <w:p w14:paraId="78DFF0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496" w:type="dxa"/>
            <w:vMerge w:val="restart"/>
            <w:tcBorders>
              <w:top w:val="nil"/>
              <w:left w:val="nil"/>
              <w:bottom w:val="single" w:color="auto" w:sz="8" w:space="0"/>
              <w:right w:val="single" w:color="auto" w:sz="8" w:space="0"/>
            </w:tcBorders>
            <w:noWrap w:val="0"/>
            <w:vAlign w:val="center"/>
          </w:tcPr>
          <w:p w14:paraId="3DA0D4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543" w:type="dxa"/>
            <w:vMerge w:val="restart"/>
            <w:tcBorders>
              <w:top w:val="nil"/>
              <w:left w:val="nil"/>
              <w:bottom w:val="single" w:color="auto" w:sz="8" w:space="0"/>
              <w:right w:val="single" w:color="auto" w:sz="8" w:space="0"/>
            </w:tcBorders>
            <w:noWrap w:val="0"/>
            <w:vAlign w:val="center"/>
          </w:tcPr>
          <w:p w14:paraId="1157DD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894" w:type="dxa"/>
            <w:tcBorders>
              <w:top w:val="nil"/>
              <w:left w:val="nil"/>
              <w:bottom w:val="single" w:color="auto" w:sz="8" w:space="0"/>
              <w:right w:val="single" w:color="auto" w:sz="8" w:space="0"/>
            </w:tcBorders>
            <w:noWrap w:val="0"/>
            <w:vAlign w:val="center"/>
          </w:tcPr>
          <w:p w14:paraId="50F499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766" w:type="dxa"/>
            <w:tcBorders>
              <w:top w:val="nil"/>
              <w:left w:val="nil"/>
              <w:bottom w:val="single" w:color="auto" w:sz="8" w:space="0"/>
              <w:right w:val="single" w:color="auto" w:sz="8" w:space="0"/>
            </w:tcBorders>
            <w:noWrap w:val="0"/>
            <w:vAlign w:val="center"/>
          </w:tcPr>
          <w:p w14:paraId="783841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184" w:type="dxa"/>
            <w:tcBorders>
              <w:top w:val="nil"/>
              <w:left w:val="nil"/>
              <w:bottom w:val="single" w:color="auto" w:sz="8" w:space="0"/>
              <w:right w:val="single" w:color="auto" w:sz="8" w:space="0"/>
            </w:tcBorders>
            <w:noWrap w:val="0"/>
            <w:vAlign w:val="center"/>
          </w:tcPr>
          <w:p w14:paraId="039445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900" w:type="dxa"/>
            <w:tcBorders>
              <w:top w:val="nil"/>
              <w:left w:val="nil"/>
              <w:bottom w:val="single" w:color="auto" w:sz="8" w:space="0"/>
              <w:right w:val="single" w:color="auto" w:sz="8" w:space="0"/>
            </w:tcBorders>
            <w:noWrap w:val="0"/>
            <w:vAlign w:val="center"/>
          </w:tcPr>
          <w:p w14:paraId="11A6CE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4033" w:type="dxa"/>
            <w:tcBorders>
              <w:top w:val="nil"/>
              <w:left w:val="nil"/>
              <w:bottom w:val="single" w:color="auto" w:sz="8" w:space="0"/>
              <w:right w:val="single" w:color="auto" w:sz="8" w:space="0"/>
            </w:tcBorders>
            <w:noWrap w:val="0"/>
            <w:vAlign w:val="center"/>
          </w:tcPr>
          <w:p w14:paraId="2281A4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6E5391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6FD5C6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28583D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4BF42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626A81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1167" w:type="dxa"/>
            <w:tcBorders>
              <w:top w:val="nil"/>
              <w:left w:val="nil"/>
              <w:bottom w:val="single" w:color="auto" w:sz="8" w:space="0"/>
              <w:right w:val="single" w:color="auto" w:sz="8" w:space="0"/>
            </w:tcBorders>
            <w:noWrap w:val="0"/>
            <w:vAlign w:val="center"/>
          </w:tcPr>
          <w:p w14:paraId="008814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741" w:type="dxa"/>
            <w:tcBorders>
              <w:top w:val="nil"/>
              <w:left w:val="nil"/>
              <w:bottom w:val="single" w:color="auto" w:sz="8" w:space="0"/>
              <w:right w:val="single" w:color="auto" w:sz="8" w:space="0"/>
            </w:tcBorders>
            <w:noWrap w:val="0"/>
            <w:vAlign w:val="center"/>
          </w:tcPr>
          <w:p w14:paraId="004A11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6F3E0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4"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4BF30F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7AC430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680340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509BFA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nil"/>
              <w:left w:val="nil"/>
              <w:bottom w:val="single" w:color="auto" w:sz="8" w:space="0"/>
              <w:right w:val="single" w:color="auto" w:sz="8" w:space="0"/>
            </w:tcBorders>
            <w:noWrap w:val="0"/>
            <w:vAlign w:val="center"/>
          </w:tcPr>
          <w:p w14:paraId="0F0381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766" w:type="dxa"/>
            <w:tcBorders>
              <w:top w:val="nil"/>
              <w:left w:val="nil"/>
              <w:bottom w:val="single" w:color="auto" w:sz="8" w:space="0"/>
              <w:right w:val="single" w:color="auto" w:sz="8" w:space="0"/>
            </w:tcBorders>
            <w:noWrap w:val="0"/>
            <w:vAlign w:val="center"/>
          </w:tcPr>
          <w:p w14:paraId="36DB91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184" w:type="dxa"/>
            <w:tcBorders>
              <w:top w:val="nil"/>
              <w:left w:val="nil"/>
              <w:bottom w:val="single" w:color="auto" w:sz="8" w:space="0"/>
              <w:right w:val="single" w:color="auto" w:sz="8" w:space="0"/>
            </w:tcBorders>
            <w:noWrap w:val="0"/>
            <w:vAlign w:val="center"/>
          </w:tcPr>
          <w:p w14:paraId="140152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900" w:type="dxa"/>
            <w:tcBorders>
              <w:top w:val="nil"/>
              <w:left w:val="nil"/>
              <w:bottom w:val="single" w:color="auto" w:sz="8" w:space="0"/>
              <w:right w:val="single" w:color="auto" w:sz="8" w:space="0"/>
            </w:tcBorders>
            <w:noWrap w:val="0"/>
            <w:vAlign w:val="center"/>
          </w:tcPr>
          <w:p w14:paraId="5AFE9B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4033" w:type="dxa"/>
            <w:tcBorders>
              <w:top w:val="nil"/>
              <w:left w:val="nil"/>
              <w:bottom w:val="single" w:color="auto" w:sz="4" w:space="0"/>
              <w:right w:val="single" w:color="auto" w:sz="8" w:space="0"/>
            </w:tcBorders>
            <w:noWrap w:val="0"/>
            <w:vAlign w:val="center"/>
          </w:tcPr>
          <w:p w14:paraId="00A2D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722526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6A6514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1A37D4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1167" w:type="dxa"/>
            <w:tcBorders>
              <w:top w:val="nil"/>
              <w:left w:val="nil"/>
              <w:bottom w:val="single" w:color="auto" w:sz="8" w:space="0"/>
              <w:right w:val="single" w:color="auto" w:sz="8" w:space="0"/>
            </w:tcBorders>
            <w:noWrap w:val="0"/>
            <w:vAlign w:val="center"/>
          </w:tcPr>
          <w:p w14:paraId="6CA9E6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741" w:type="dxa"/>
            <w:tcBorders>
              <w:top w:val="nil"/>
              <w:left w:val="nil"/>
              <w:bottom w:val="single" w:color="auto" w:sz="8" w:space="0"/>
              <w:right w:val="single" w:color="auto" w:sz="8" w:space="0"/>
            </w:tcBorders>
            <w:noWrap w:val="0"/>
            <w:vAlign w:val="center"/>
          </w:tcPr>
          <w:p w14:paraId="2C1E58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46C9F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7" w:hRule="atLeast"/>
        </w:trPr>
        <w:tc>
          <w:tcPr>
            <w:tcW w:w="850" w:type="dxa"/>
            <w:vMerge w:val="continue"/>
            <w:tcBorders>
              <w:top w:val="single" w:color="auto" w:sz="4" w:space="0"/>
              <w:left w:val="single" w:color="auto" w:sz="4" w:space="0"/>
              <w:bottom w:val="single" w:color="auto" w:sz="4" w:space="0"/>
              <w:right w:val="single" w:color="auto" w:sz="8" w:space="0"/>
            </w:tcBorders>
            <w:noWrap w:val="0"/>
            <w:vAlign w:val="center"/>
          </w:tcPr>
          <w:p w14:paraId="357108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single" w:color="auto" w:sz="4" w:space="0"/>
              <w:left w:val="nil"/>
              <w:bottom w:val="single" w:color="auto" w:sz="4" w:space="0"/>
              <w:right w:val="single" w:color="auto" w:sz="8" w:space="0"/>
            </w:tcBorders>
            <w:noWrap w:val="0"/>
            <w:vAlign w:val="center"/>
          </w:tcPr>
          <w:p w14:paraId="451F8D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restart"/>
            <w:tcBorders>
              <w:top w:val="single" w:color="auto" w:sz="4" w:space="0"/>
              <w:left w:val="nil"/>
              <w:bottom w:val="single" w:color="auto" w:sz="4" w:space="0"/>
              <w:right w:val="single" w:color="auto" w:sz="8" w:space="0"/>
            </w:tcBorders>
            <w:noWrap w:val="0"/>
            <w:vAlign w:val="center"/>
          </w:tcPr>
          <w:p w14:paraId="179F39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543" w:type="dxa"/>
            <w:vMerge w:val="restart"/>
            <w:tcBorders>
              <w:top w:val="single" w:color="auto" w:sz="4" w:space="0"/>
              <w:left w:val="nil"/>
              <w:bottom w:val="single" w:color="auto" w:sz="4" w:space="0"/>
              <w:right w:val="single" w:color="auto" w:sz="8" w:space="0"/>
            </w:tcBorders>
            <w:noWrap w:val="0"/>
            <w:vAlign w:val="center"/>
          </w:tcPr>
          <w:p w14:paraId="7BAD84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894" w:type="dxa"/>
            <w:tcBorders>
              <w:top w:val="single" w:color="auto" w:sz="4" w:space="0"/>
              <w:left w:val="nil"/>
              <w:bottom w:val="single" w:color="auto" w:sz="4" w:space="0"/>
              <w:right w:val="single" w:color="auto" w:sz="8" w:space="0"/>
            </w:tcBorders>
            <w:noWrap w:val="0"/>
            <w:vAlign w:val="center"/>
          </w:tcPr>
          <w:p w14:paraId="1A7952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766" w:type="dxa"/>
            <w:tcBorders>
              <w:top w:val="single" w:color="auto" w:sz="4" w:space="0"/>
              <w:left w:val="nil"/>
              <w:bottom w:val="single" w:color="auto" w:sz="4" w:space="0"/>
              <w:right w:val="single" w:color="auto" w:sz="8" w:space="0"/>
            </w:tcBorders>
            <w:noWrap w:val="0"/>
            <w:vAlign w:val="center"/>
          </w:tcPr>
          <w:p w14:paraId="4D7A8E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184" w:type="dxa"/>
            <w:tcBorders>
              <w:top w:val="single" w:color="auto" w:sz="4" w:space="0"/>
              <w:left w:val="nil"/>
              <w:bottom w:val="single" w:color="auto" w:sz="4" w:space="0"/>
              <w:right w:val="single" w:color="auto" w:sz="8" w:space="0"/>
            </w:tcBorders>
            <w:noWrap w:val="0"/>
            <w:vAlign w:val="center"/>
          </w:tcPr>
          <w:p w14:paraId="62099C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900" w:type="dxa"/>
            <w:tcBorders>
              <w:top w:val="single" w:color="auto" w:sz="4" w:space="0"/>
              <w:left w:val="nil"/>
              <w:bottom w:val="single" w:color="auto" w:sz="4" w:space="0"/>
              <w:right w:val="single" w:color="auto" w:sz="8" w:space="0"/>
            </w:tcBorders>
            <w:noWrap w:val="0"/>
            <w:vAlign w:val="center"/>
          </w:tcPr>
          <w:p w14:paraId="7E9AB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4033" w:type="dxa"/>
            <w:tcBorders>
              <w:top w:val="single" w:color="auto" w:sz="4" w:space="0"/>
              <w:left w:val="nil"/>
              <w:bottom w:val="single" w:color="auto" w:sz="4" w:space="0"/>
              <w:right w:val="single" w:color="auto" w:sz="8" w:space="0"/>
            </w:tcBorders>
            <w:noWrap w:val="0"/>
            <w:vAlign w:val="center"/>
          </w:tcPr>
          <w:p w14:paraId="19BBF3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401A4E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373987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2DD84E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58FC43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1167" w:type="dxa"/>
            <w:tcBorders>
              <w:top w:val="single" w:color="auto" w:sz="4" w:space="0"/>
              <w:left w:val="nil"/>
              <w:bottom w:val="single" w:color="auto" w:sz="4" w:space="0"/>
              <w:right w:val="single" w:color="auto" w:sz="8" w:space="0"/>
            </w:tcBorders>
            <w:noWrap w:val="0"/>
            <w:vAlign w:val="center"/>
          </w:tcPr>
          <w:p w14:paraId="767A76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741" w:type="dxa"/>
            <w:tcBorders>
              <w:top w:val="single" w:color="auto" w:sz="4" w:space="0"/>
              <w:left w:val="nil"/>
              <w:bottom w:val="single" w:color="auto" w:sz="4" w:space="0"/>
              <w:right w:val="single" w:color="auto" w:sz="4" w:space="0"/>
            </w:tcBorders>
            <w:noWrap w:val="0"/>
            <w:vAlign w:val="center"/>
          </w:tcPr>
          <w:p w14:paraId="26179D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3BC33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850" w:type="dxa"/>
            <w:vMerge w:val="continue"/>
            <w:tcBorders>
              <w:top w:val="single" w:color="auto" w:sz="4" w:space="0"/>
              <w:left w:val="single" w:color="auto" w:sz="4" w:space="0"/>
              <w:bottom w:val="single" w:color="auto" w:sz="8" w:space="0"/>
              <w:right w:val="single" w:color="auto" w:sz="8" w:space="0"/>
            </w:tcBorders>
            <w:noWrap w:val="0"/>
            <w:vAlign w:val="center"/>
          </w:tcPr>
          <w:p w14:paraId="19BC4B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single" w:color="auto" w:sz="4" w:space="0"/>
              <w:left w:val="nil"/>
              <w:bottom w:val="single" w:color="auto" w:sz="8" w:space="0"/>
              <w:right w:val="single" w:color="auto" w:sz="8" w:space="0"/>
            </w:tcBorders>
            <w:noWrap w:val="0"/>
            <w:vAlign w:val="center"/>
          </w:tcPr>
          <w:p w14:paraId="132987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single" w:color="auto" w:sz="4" w:space="0"/>
              <w:left w:val="nil"/>
              <w:bottom w:val="single" w:color="auto" w:sz="8" w:space="0"/>
              <w:right w:val="single" w:color="auto" w:sz="8" w:space="0"/>
            </w:tcBorders>
            <w:noWrap w:val="0"/>
            <w:vAlign w:val="center"/>
          </w:tcPr>
          <w:p w14:paraId="318726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single" w:color="auto" w:sz="4" w:space="0"/>
              <w:left w:val="nil"/>
              <w:bottom w:val="single" w:color="auto" w:sz="8" w:space="0"/>
              <w:right w:val="single" w:color="auto" w:sz="8" w:space="0"/>
            </w:tcBorders>
            <w:noWrap w:val="0"/>
            <w:vAlign w:val="center"/>
          </w:tcPr>
          <w:p w14:paraId="6603B0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single" w:color="auto" w:sz="4" w:space="0"/>
              <w:left w:val="nil"/>
              <w:bottom w:val="single" w:color="auto" w:sz="8" w:space="0"/>
              <w:right w:val="single" w:color="auto" w:sz="8" w:space="0"/>
            </w:tcBorders>
            <w:noWrap w:val="0"/>
            <w:vAlign w:val="center"/>
          </w:tcPr>
          <w:p w14:paraId="4807ED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766" w:type="dxa"/>
            <w:tcBorders>
              <w:top w:val="single" w:color="auto" w:sz="4" w:space="0"/>
              <w:left w:val="nil"/>
              <w:bottom w:val="single" w:color="auto" w:sz="8" w:space="0"/>
              <w:right w:val="single" w:color="auto" w:sz="8" w:space="0"/>
            </w:tcBorders>
            <w:noWrap w:val="0"/>
            <w:vAlign w:val="center"/>
          </w:tcPr>
          <w:p w14:paraId="29421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184" w:type="dxa"/>
            <w:tcBorders>
              <w:top w:val="single" w:color="auto" w:sz="4" w:space="0"/>
              <w:left w:val="nil"/>
              <w:bottom w:val="single" w:color="auto" w:sz="8" w:space="0"/>
              <w:right w:val="single" w:color="auto" w:sz="8" w:space="0"/>
            </w:tcBorders>
            <w:noWrap w:val="0"/>
            <w:vAlign w:val="center"/>
          </w:tcPr>
          <w:p w14:paraId="4C45D7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900" w:type="dxa"/>
            <w:tcBorders>
              <w:top w:val="single" w:color="auto" w:sz="4" w:space="0"/>
              <w:left w:val="nil"/>
              <w:bottom w:val="single" w:color="auto" w:sz="8" w:space="0"/>
              <w:right w:val="single" w:color="auto" w:sz="8" w:space="0"/>
            </w:tcBorders>
            <w:noWrap w:val="0"/>
            <w:vAlign w:val="center"/>
          </w:tcPr>
          <w:p w14:paraId="32CB5A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4033" w:type="dxa"/>
            <w:tcBorders>
              <w:top w:val="single" w:color="auto" w:sz="4" w:space="0"/>
              <w:left w:val="nil"/>
              <w:bottom w:val="single" w:color="auto" w:sz="8" w:space="0"/>
              <w:right w:val="single" w:color="auto" w:sz="8" w:space="0"/>
            </w:tcBorders>
            <w:noWrap w:val="0"/>
            <w:vAlign w:val="center"/>
          </w:tcPr>
          <w:p w14:paraId="75A80B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35FB9A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6967E1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003815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1167" w:type="dxa"/>
            <w:tcBorders>
              <w:top w:val="single" w:color="auto" w:sz="4" w:space="0"/>
              <w:left w:val="nil"/>
              <w:bottom w:val="single" w:color="auto" w:sz="8" w:space="0"/>
              <w:right w:val="single" w:color="auto" w:sz="8" w:space="0"/>
            </w:tcBorders>
            <w:noWrap w:val="0"/>
            <w:vAlign w:val="center"/>
          </w:tcPr>
          <w:p w14:paraId="62E6C4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741" w:type="dxa"/>
            <w:tcBorders>
              <w:top w:val="single" w:color="auto" w:sz="4" w:space="0"/>
              <w:left w:val="nil"/>
              <w:bottom w:val="single" w:color="auto" w:sz="8" w:space="0"/>
              <w:right w:val="single" w:color="auto" w:sz="8" w:space="0"/>
            </w:tcBorders>
            <w:noWrap w:val="0"/>
            <w:vAlign w:val="center"/>
          </w:tcPr>
          <w:p w14:paraId="54A5E3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BCC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5C1D73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3A65C8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restart"/>
            <w:tcBorders>
              <w:top w:val="nil"/>
              <w:left w:val="nil"/>
              <w:bottom w:val="single" w:color="auto" w:sz="8" w:space="0"/>
              <w:right w:val="single" w:color="auto" w:sz="8" w:space="0"/>
            </w:tcBorders>
            <w:noWrap w:val="0"/>
            <w:vAlign w:val="center"/>
          </w:tcPr>
          <w:p w14:paraId="177261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543" w:type="dxa"/>
            <w:vMerge w:val="restart"/>
            <w:tcBorders>
              <w:top w:val="nil"/>
              <w:left w:val="nil"/>
              <w:bottom w:val="single" w:color="auto" w:sz="8" w:space="0"/>
              <w:right w:val="single" w:color="auto" w:sz="8" w:space="0"/>
            </w:tcBorders>
            <w:noWrap w:val="0"/>
            <w:vAlign w:val="center"/>
          </w:tcPr>
          <w:p w14:paraId="57E03F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tcBorders>
              <w:top w:val="nil"/>
              <w:left w:val="nil"/>
              <w:bottom w:val="single" w:color="auto" w:sz="8" w:space="0"/>
              <w:right w:val="single" w:color="auto" w:sz="8" w:space="0"/>
            </w:tcBorders>
            <w:noWrap w:val="0"/>
            <w:vAlign w:val="center"/>
          </w:tcPr>
          <w:p w14:paraId="58F6F8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766" w:type="dxa"/>
            <w:tcBorders>
              <w:top w:val="nil"/>
              <w:left w:val="nil"/>
              <w:bottom w:val="single" w:color="auto" w:sz="8" w:space="0"/>
              <w:right w:val="single" w:color="auto" w:sz="8" w:space="0"/>
            </w:tcBorders>
            <w:noWrap w:val="0"/>
            <w:vAlign w:val="center"/>
          </w:tcPr>
          <w:p w14:paraId="7BFD06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84" w:type="dxa"/>
            <w:tcBorders>
              <w:top w:val="nil"/>
              <w:left w:val="nil"/>
              <w:bottom w:val="single" w:color="auto" w:sz="8" w:space="0"/>
              <w:right w:val="single" w:color="auto" w:sz="8" w:space="0"/>
            </w:tcBorders>
            <w:noWrap w:val="0"/>
            <w:vAlign w:val="center"/>
          </w:tcPr>
          <w:p w14:paraId="5278E4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900" w:type="dxa"/>
            <w:tcBorders>
              <w:top w:val="nil"/>
              <w:left w:val="nil"/>
              <w:bottom w:val="single" w:color="auto" w:sz="8" w:space="0"/>
              <w:right w:val="single" w:color="auto" w:sz="8" w:space="0"/>
            </w:tcBorders>
            <w:noWrap w:val="0"/>
            <w:vAlign w:val="center"/>
          </w:tcPr>
          <w:p w14:paraId="7A22C6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4033" w:type="dxa"/>
            <w:tcBorders>
              <w:top w:val="nil"/>
              <w:left w:val="nil"/>
              <w:bottom w:val="single" w:color="auto" w:sz="4" w:space="0"/>
              <w:right w:val="single" w:color="auto" w:sz="8" w:space="0"/>
            </w:tcBorders>
            <w:noWrap w:val="0"/>
            <w:vAlign w:val="center"/>
          </w:tcPr>
          <w:p w14:paraId="6EE3A8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44E96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7B6249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633E5A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5BA14F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1167" w:type="dxa"/>
            <w:tcBorders>
              <w:top w:val="nil"/>
              <w:left w:val="nil"/>
              <w:bottom w:val="single" w:color="auto" w:sz="4" w:space="0"/>
              <w:right w:val="single" w:color="auto" w:sz="8" w:space="0"/>
            </w:tcBorders>
            <w:noWrap w:val="0"/>
            <w:vAlign w:val="center"/>
          </w:tcPr>
          <w:p w14:paraId="3D557D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741" w:type="dxa"/>
            <w:tcBorders>
              <w:top w:val="nil"/>
              <w:left w:val="nil"/>
              <w:bottom w:val="single" w:color="auto" w:sz="8" w:space="0"/>
              <w:right w:val="single" w:color="auto" w:sz="8" w:space="0"/>
            </w:tcBorders>
            <w:noWrap w:val="0"/>
            <w:vAlign w:val="center"/>
          </w:tcPr>
          <w:p w14:paraId="307011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0F5B8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5"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39E51E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64F1AF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0C02BA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731574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nil"/>
              <w:left w:val="nil"/>
              <w:bottom w:val="single" w:color="auto" w:sz="8" w:space="0"/>
              <w:right w:val="single" w:color="auto" w:sz="8" w:space="0"/>
            </w:tcBorders>
            <w:noWrap w:val="0"/>
            <w:vAlign w:val="center"/>
          </w:tcPr>
          <w:p w14:paraId="682845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766" w:type="dxa"/>
            <w:tcBorders>
              <w:top w:val="nil"/>
              <w:left w:val="nil"/>
              <w:bottom w:val="single" w:color="auto" w:sz="8" w:space="0"/>
              <w:right w:val="single" w:color="auto" w:sz="8" w:space="0"/>
            </w:tcBorders>
            <w:noWrap w:val="0"/>
            <w:vAlign w:val="center"/>
          </w:tcPr>
          <w:p w14:paraId="632264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84" w:type="dxa"/>
            <w:tcBorders>
              <w:top w:val="nil"/>
              <w:left w:val="nil"/>
              <w:bottom w:val="single" w:color="auto" w:sz="8" w:space="0"/>
              <w:right w:val="single" w:color="auto" w:sz="8" w:space="0"/>
            </w:tcBorders>
            <w:noWrap w:val="0"/>
            <w:vAlign w:val="center"/>
          </w:tcPr>
          <w:p w14:paraId="7BEF0F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900" w:type="dxa"/>
            <w:tcBorders>
              <w:top w:val="nil"/>
              <w:left w:val="nil"/>
              <w:bottom w:val="single" w:color="auto" w:sz="8" w:space="0"/>
              <w:right w:val="single" w:color="auto" w:sz="4" w:space="0"/>
            </w:tcBorders>
            <w:noWrap w:val="0"/>
            <w:vAlign w:val="center"/>
          </w:tcPr>
          <w:p w14:paraId="1EC2D4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77806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6C476D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384184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p w14:paraId="02DEF9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1167" w:type="dxa"/>
            <w:tcBorders>
              <w:top w:val="single" w:color="auto" w:sz="4" w:space="0"/>
              <w:left w:val="single" w:color="auto" w:sz="4" w:space="0"/>
              <w:bottom w:val="single" w:color="auto" w:sz="8" w:space="0"/>
              <w:right w:val="single" w:color="auto" w:sz="4" w:space="0"/>
            </w:tcBorders>
            <w:noWrap w:val="0"/>
            <w:vAlign w:val="center"/>
          </w:tcPr>
          <w:p w14:paraId="4B2039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741" w:type="dxa"/>
            <w:tcBorders>
              <w:top w:val="nil"/>
              <w:left w:val="single" w:color="auto" w:sz="4" w:space="0"/>
              <w:bottom w:val="single" w:color="auto" w:sz="8" w:space="0"/>
              <w:right w:val="single" w:color="auto" w:sz="8" w:space="0"/>
            </w:tcBorders>
            <w:noWrap w:val="0"/>
            <w:vAlign w:val="center"/>
          </w:tcPr>
          <w:p w14:paraId="448B0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79115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restart"/>
            <w:tcBorders>
              <w:top w:val="nil"/>
              <w:left w:val="single" w:color="auto" w:sz="8" w:space="0"/>
              <w:bottom w:val="single" w:color="auto" w:sz="8" w:space="0"/>
              <w:right w:val="single" w:color="auto" w:sz="8" w:space="0"/>
            </w:tcBorders>
            <w:noWrap w:val="0"/>
            <w:vAlign w:val="center"/>
          </w:tcPr>
          <w:p w14:paraId="45A169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701" w:type="dxa"/>
            <w:vMerge w:val="restart"/>
            <w:tcBorders>
              <w:top w:val="nil"/>
              <w:left w:val="nil"/>
              <w:bottom w:val="single" w:color="auto" w:sz="8" w:space="0"/>
              <w:right w:val="single" w:color="auto" w:sz="8" w:space="0"/>
            </w:tcBorders>
            <w:noWrap w:val="0"/>
            <w:vAlign w:val="center"/>
          </w:tcPr>
          <w:p w14:paraId="4D901A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496" w:type="dxa"/>
            <w:vMerge w:val="restart"/>
            <w:tcBorders>
              <w:top w:val="nil"/>
              <w:left w:val="nil"/>
              <w:bottom w:val="single" w:color="auto" w:sz="8" w:space="0"/>
              <w:right w:val="single" w:color="auto" w:sz="8" w:space="0"/>
            </w:tcBorders>
            <w:noWrap w:val="0"/>
            <w:vAlign w:val="center"/>
          </w:tcPr>
          <w:p w14:paraId="60FBF5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543" w:type="dxa"/>
            <w:vMerge w:val="restart"/>
            <w:tcBorders>
              <w:top w:val="nil"/>
              <w:left w:val="nil"/>
              <w:bottom w:val="single" w:color="auto" w:sz="8" w:space="0"/>
              <w:right w:val="single" w:color="auto" w:sz="8" w:space="0"/>
            </w:tcBorders>
            <w:noWrap w:val="0"/>
            <w:vAlign w:val="center"/>
          </w:tcPr>
          <w:p w14:paraId="26B966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tcBorders>
              <w:top w:val="nil"/>
              <w:left w:val="nil"/>
              <w:bottom w:val="single" w:color="auto" w:sz="8" w:space="0"/>
              <w:right w:val="single" w:color="auto" w:sz="8" w:space="0"/>
            </w:tcBorders>
            <w:noWrap w:val="0"/>
            <w:vAlign w:val="center"/>
          </w:tcPr>
          <w:p w14:paraId="772F82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766" w:type="dxa"/>
            <w:tcBorders>
              <w:top w:val="nil"/>
              <w:left w:val="nil"/>
              <w:bottom w:val="single" w:color="auto" w:sz="8" w:space="0"/>
              <w:right w:val="single" w:color="auto" w:sz="8" w:space="0"/>
            </w:tcBorders>
            <w:noWrap w:val="0"/>
            <w:vAlign w:val="center"/>
          </w:tcPr>
          <w:p w14:paraId="1E3C7A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184" w:type="dxa"/>
            <w:tcBorders>
              <w:top w:val="nil"/>
              <w:left w:val="nil"/>
              <w:bottom w:val="single" w:color="auto" w:sz="8" w:space="0"/>
              <w:right w:val="single" w:color="auto" w:sz="8" w:space="0"/>
            </w:tcBorders>
            <w:noWrap w:val="0"/>
            <w:vAlign w:val="center"/>
          </w:tcPr>
          <w:p w14:paraId="611044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900" w:type="dxa"/>
            <w:tcBorders>
              <w:top w:val="nil"/>
              <w:left w:val="nil"/>
              <w:bottom w:val="single" w:color="auto" w:sz="8" w:space="0"/>
              <w:right w:val="single" w:color="auto" w:sz="4" w:space="0"/>
            </w:tcBorders>
            <w:noWrap w:val="0"/>
            <w:vAlign w:val="center"/>
          </w:tcPr>
          <w:p w14:paraId="50C7C1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4667D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4FA971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p>
          <w:p w14:paraId="2D0463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1167" w:type="dxa"/>
            <w:tcBorders>
              <w:top w:val="nil"/>
              <w:left w:val="single" w:color="auto" w:sz="4" w:space="0"/>
              <w:bottom w:val="single" w:color="auto" w:sz="4" w:space="0"/>
              <w:right w:val="single" w:color="auto" w:sz="4" w:space="0"/>
            </w:tcBorders>
            <w:noWrap w:val="0"/>
            <w:vAlign w:val="center"/>
          </w:tcPr>
          <w:p w14:paraId="7A85B5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1" w:type="dxa"/>
            <w:tcBorders>
              <w:top w:val="nil"/>
              <w:left w:val="single" w:color="auto" w:sz="4" w:space="0"/>
              <w:bottom w:val="single" w:color="auto" w:sz="8" w:space="0"/>
              <w:right w:val="single" w:color="auto" w:sz="8" w:space="0"/>
            </w:tcBorders>
            <w:noWrap w:val="0"/>
            <w:vAlign w:val="center"/>
          </w:tcPr>
          <w:p w14:paraId="5376E1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5D2E3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850" w:type="dxa"/>
            <w:vMerge w:val="continue"/>
            <w:tcBorders>
              <w:top w:val="nil"/>
              <w:left w:val="single" w:color="auto" w:sz="8" w:space="0"/>
              <w:bottom w:val="single" w:color="auto" w:sz="8" w:space="0"/>
              <w:right w:val="single" w:color="auto" w:sz="8" w:space="0"/>
            </w:tcBorders>
            <w:noWrap w:val="0"/>
            <w:vAlign w:val="center"/>
          </w:tcPr>
          <w:p w14:paraId="3A0463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5182BE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3D4941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258DAD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nil"/>
              <w:left w:val="nil"/>
              <w:bottom w:val="single" w:color="auto" w:sz="8" w:space="0"/>
              <w:right w:val="single" w:color="auto" w:sz="8" w:space="0"/>
            </w:tcBorders>
            <w:noWrap w:val="0"/>
            <w:vAlign w:val="center"/>
          </w:tcPr>
          <w:p w14:paraId="2B04E3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766" w:type="dxa"/>
            <w:tcBorders>
              <w:top w:val="nil"/>
              <w:left w:val="nil"/>
              <w:bottom w:val="single" w:color="auto" w:sz="8" w:space="0"/>
              <w:right w:val="single" w:color="auto" w:sz="8" w:space="0"/>
            </w:tcBorders>
            <w:noWrap w:val="0"/>
            <w:vAlign w:val="center"/>
          </w:tcPr>
          <w:p w14:paraId="74368C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184" w:type="dxa"/>
            <w:tcBorders>
              <w:top w:val="nil"/>
              <w:left w:val="nil"/>
              <w:bottom w:val="single" w:color="auto" w:sz="8" w:space="0"/>
              <w:right w:val="single" w:color="auto" w:sz="8" w:space="0"/>
            </w:tcBorders>
            <w:noWrap w:val="0"/>
            <w:vAlign w:val="center"/>
          </w:tcPr>
          <w:p w14:paraId="16DA5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900" w:type="dxa"/>
            <w:tcBorders>
              <w:top w:val="nil"/>
              <w:left w:val="nil"/>
              <w:bottom w:val="single" w:color="auto" w:sz="8" w:space="0"/>
              <w:right w:val="single" w:color="auto" w:sz="8" w:space="0"/>
            </w:tcBorders>
            <w:noWrap w:val="0"/>
            <w:vAlign w:val="center"/>
          </w:tcPr>
          <w:p w14:paraId="0EFC9D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033" w:type="dxa"/>
            <w:tcBorders>
              <w:top w:val="single" w:color="auto" w:sz="4" w:space="0"/>
              <w:left w:val="nil"/>
              <w:bottom w:val="single" w:color="auto" w:sz="8" w:space="0"/>
              <w:right w:val="single" w:color="auto" w:sz="8" w:space="0"/>
            </w:tcBorders>
            <w:noWrap w:val="0"/>
            <w:vAlign w:val="center"/>
          </w:tcPr>
          <w:p w14:paraId="358615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581B9E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1167" w:type="dxa"/>
            <w:tcBorders>
              <w:top w:val="single" w:color="auto" w:sz="4" w:space="0"/>
              <w:left w:val="nil"/>
              <w:bottom w:val="single" w:color="auto" w:sz="8" w:space="0"/>
              <w:right w:val="single" w:color="auto" w:sz="8" w:space="0"/>
            </w:tcBorders>
            <w:noWrap w:val="0"/>
            <w:vAlign w:val="center"/>
          </w:tcPr>
          <w:p w14:paraId="624AE5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1" w:type="dxa"/>
            <w:tcBorders>
              <w:top w:val="nil"/>
              <w:left w:val="nil"/>
              <w:bottom w:val="single" w:color="auto" w:sz="8" w:space="0"/>
              <w:right w:val="single" w:color="auto" w:sz="8" w:space="0"/>
            </w:tcBorders>
            <w:noWrap w:val="0"/>
            <w:vAlign w:val="center"/>
          </w:tcPr>
          <w:p w14:paraId="4887BF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2 </w:t>
            </w:r>
          </w:p>
        </w:tc>
      </w:tr>
      <w:tr w14:paraId="1150A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0" w:hRule="atLeast"/>
        </w:trPr>
        <w:tc>
          <w:tcPr>
            <w:tcW w:w="850" w:type="dxa"/>
            <w:vMerge w:val="continue"/>
            <w:tcBorders>
              <w:top w:val="nil"/>
              <w:left w:val="single" w:color="auto" w:sz="8" w:space="0"/>
              <w:bottom w:val="single" w:color="auto" w:sz="8" w:space="0"/>
              <w:right w:val="single" w:color="auto" w:sz="8" w:space="0"/>
            </w:tcBorders>
            <w:noWrap w:val="0"/>
            <w:vAlign w:val="center"/>
          </w:tcPr>
          <w:p w14:paraId="289861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3300DC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5024C3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34CFA6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nil"/>
              <w:left w:val="nil"/>
              <w:bottom w:val="single" w:color="auto" w:sz="8" w:space="0"/>
              <w:right w:val="single" w:color="auto" w:sz="8" w:space="0"/>
            </w:tcBorders>
            <w:noWrap w:val="0"/>
            <w:vAlign w:val="center"/>
          </w:tcPr>
          <w:p w14:paraId="45B990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766" w:type="dxa"/>
            <w:tcBorders>
              <w:top w:val="nil"/>
              <w:left w:val="nil"/>
              <w:bottom w:val="single" w:color="auto" w:sz="8" w:space="0"/>
              <w:right w:val="single" w:color="auto" w:sz="8" w:space="0"/>
            </w:tcBorders>
            <w:noWrap w:val="0"/>
            <w:vAlign w:val="center"/>
          </w:tcPr>
          <w:p w14:paraId="356228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84" w:type="dxa"/>
            <w:tcBorders>
              <w:top w:val="nil"/>
              <w:left w:val="nil"/>
              <w:bottom w:val="single" w:color="auto" w:sz="8" w:space="0"/>
              <w:right w:val="single" w:color="auto" w:sz="8" w:space="0"/>
            </w:tcBorders>
            <w:noWrap w:val="0"/>
            <w:vAlign w:val="center"/>
          </w:tcPr>
          <w:p w14:paraId="55EE23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900" w:type="dxa"/>
            <w:tcBorders>
              <w:top w:val="nil"/>
              <w:left w:val="nil"/>
              <w:bottom w:val="single" w:color="auto" w:sz="8" w:space="0"/>
              <w:right w:val="single" w:color="auto" w:sz="8" w:space="0"/>
            </w:tcBorders>
            <w:noWrap w:val="0"/>
            <w:vAlign w:val="center"/>
          </w:tcPr>
          <w:p w14:paraId="7F8EE9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4033" w:type="dxa"/>
            <w:tcBorders>
              <w:top w:val="nil"/>
              <w:left w:val="nil"/>
              <w:bottom w:val="single" w:color="auto" w:sz="8" w:space="0"/>
              <w:right w:val="single" w:color="auto" w:sz="8" w:space="0"/>
            </w:tcBorders>
            <w:noWrap w:val="0"/>
            <w:vAlign w:val="center"/>
          </w:tcPr>
          <w:p w14:paraId="34AD39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24A5CD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188B5D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496839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5D9C94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1167" w:type="dxa"/>
            <w:tcBorders>
              <w:top w:val="nil"/>
              <w:left w:val="nil"/>
              <w:bottom w:val="single" w:color="auto" w:sz="8" w:space="0"/>
              <w:right w:val="single" w:color="auto" w:sz="8" w:space="0"/>
            </w:tcBorders>
            <w:noWrap w:val="0"/>
            <w:vAlign w:val="center"/>
          </w:tcPr>
          <w:p w14:paraId="688411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741" w:type="dxa"/>
            <w:tcBorders>
              <w:top w:val="nil"/>
              <w:left w:val="nil"/>
              <w:bottom w:val="single" w:color="auto" w:sz="8" w:space="0"/>
              <w:right w:val="single" w:color="auto" w:sz="8" w:space="0"/>
            </w:tcBorders>
            <w:noWrap w:val="0"/>
            <w:vAlign w:val="center"/>
          </w:tcPr>
          <w:p w14:paraId="737D4A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5CB9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850" w:type="dxa"/>
            <w:vMerge w:val="continue"/>
            <w:tcBorders>
              <w:top w:val="nil"/>
              <w:left w:val="single" w:color="auto" w:sz="8" w:space="0"/>
              <w:bottom w:val="single" w:color="auto" w:sz="8" w:space="0"/>
              <w:right w:val="single" w:color="auto" w:sz="8" w:space="0"/>
            </w:tcBorders>
            <w:noWrap w:val="0"/>
            <w:vAlign w:val="center"/>
          </w:tcPr>
          <w:p w14:paraId="0776F8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5B27F7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restart"/>
            <w:tcBorders>
              <w:top w:val="nil"/>
              <w:left w:val="nil"/>
              <w:bottom w:val="single" w:color="auto" w:sz="8" w:space="0"/>
              <w:right w:val="single" w:color="auto" w:sz="8" w:space="0"/>
            </w:tcBorders>
            <w:noWrap w:val="0"/>
            <w:vAlign w:val="center"/>
          </w:tcPr>
          <w:p w14:paraId="1F7BDD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543" w:type="dxa"/>
            <w:vMerge w:val="restart"/>
            <w:tcBorders>
              <w:top w:val="nil"/>
              <w:left w:val="nil"/>
              <w:bottom w:val="single" w:color="auto" w:sz="8" w:space="0"/>
              <w:right w:val="single" w:color="auto" w:sz="8" w:space="0"/>
            </w:tcBorders>
            <w:noWrap w:val="0"/>
            <w:vAlign w:val="center"/>
          </w:tcPr>
          <w:p w14:paraId="2423E6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tcBorders>
              <w:top w:val="nil"/>
              <w:left w:val="nil"/>
              <w:bottom w:val="single" w:color="auto" w:sz="8" w:space="0"/>
              <w:right w:val="single" w:color="auto" w:sz="8" w:space="0"/>
            </w:tcBorders>
            <w:noWrap w:val="0"/>
            <w:vAlign w:val="center"/>
          </w:tcPr>
          <w:p w14:paraId="52930C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766" w:type="dxa"/>
            <w:tcBorders>
              <w:top w:val="nil"/>
              <w:left w:val="nil"/>
              <w:bottom w:val="single" w:color="auto" w:sz="8" w:space="0"/>
              <w:right w:val="single" w:color="auto" w:sz="8" w:space="0"/>
            </w:tcBorders>
            <w:noWrap w:val="0"/>
            <w:vAlign w:val="center"/>
          </w:tcPr>
          <w:p w14:paraId="26460B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84" w:type="dxa"/>
            <w:tcBorders>
              <w:top w:val="nil"/>
              <w:left w:val="nil"/>
              <w:bottom w:val="single" w:color="auto" w:sz="8" w:space="0"/>
              <w:right w:val="single" w:color="auto" w:sz="8" w:space="0"/>
            </w:tcBorders>
            <w:noWrap w:val="0"/>
            <w:vAlign w:val="center"/>
          </w:tcPr>
          <w:p w14:paraId="423F70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900" w:type="dxa"/>
            <w:tcBorders>
              <w:top w:val="nil"/>
              <w:left w:val="nil"/>
              <w:bottom w:val="single" w:color="auto" w:sz="8" w:space="0"/>
              <w:right w:val="single" w:color="auto" w:sz="8" w:space="0"/>
            </w:tcBorders>
            <w:noWrap w:val="0"/>
            <w:vAlign w:val="center"/>
          </w:tcPr>
          <w:p w14:paraId="33DBCD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4033" w:type="dxa"/>
            <w:tcBorders>
              <w:top w:val="nil"/>
              <w:left w:val="nil"/>
              <w:bottom w:val="single" w:color="auto" w:sz="8" w:space="0"/>
              <w:right w:val="single" w:color="auto" w:sz="8" w:space="0"/>
            </w:tcBorders>
            <w:noWrap w:val="0"/>
            <w:vAlign w:val="center"/>
          </w:tcPr>
          <w:p w14:paraId="04E54B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6A1ACD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7CC773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1167" w:type="dxa"/>
            <w:tcBorders>
              <w:top w:val="nil"/>
              <w:left w:val="nil"/>
              <w:bottom w:val="single" w:color="auto" w:sz="8" w:space="0"/>
              <w:right w:val="single" w:color="auto" w:sz="8" w:space="0"/>
            </w:tcBorders>
            <w:noWrap w:val="0"/>
            <w:vAlign w:val="center"/>
          </w:tcPr>
          <w:p w14:paraId="01BFB9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741" w:type="dxa"/>
            <w:tcBorders>
              <w:top w:val="nil"/>
              <w:left w:val="nil"/>
              <w:bottom w:val="single" w:color="auto" w:sz="8" w:space="0"/>
              <w:right w:val="single" w:color="auto" w:sz="8" w:space="0"/>
            </w:tcBorders>
            <w:noWrap w:val="0"/>
            <w:vAlign w:val="center"/>
          </w:tcPr>
          <w:p w14:paraId="3685F6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8874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3" w:hRule="atLeast"/>
        </w:trPr>
        <w:tc>
          <w:tcPr>
            <w:tcW w:w="850" w:type="dxa"/>
            <w:vMerge w:val="continue"/>
            <w:tcBorders>
              <w:top w:val="nil"/>
              <w:left w:val="single" w:color="auto" w:sz="8" w:space="0"/>
              <w:bottom w:val="single" w:color="auto" w:sz="4" w:space="0"/>
              <w:right w:val="single" w:color="auto" w:sz="8" w:space="0"/>
            </w:tcBorders>
            <w:noWrap w:val="0"/>
            <w:vAlign w:val="center"/>
          </w:tcPr>
          <w:p w14:paraId="4D6E90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4" w:space="0"/>
              <w:right w:val="single" w:color="auto" w:sz="8" w:space="0"/>
            </w:tcBorders>
            <w:noWrap w:val="0"/>
            <w:vAlign w:val="center"/>
          </w:tcPr>
          <w:p w14:paraId="677C49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4" w:space="0"/>
              <w:right w:val="single" w:color="auto" w:sz="8" w:space="0"/>
            </w:tcBorders>
            <w:noWrap w:val="0"/>
            <w:vAlign w:val="center"/>
          </w:tcPr>
          <w:p w14:paraId="603260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4" w:space="0"/>
              <w:right w:val="single" w:color="auto" w:sz="8" w:space="0"/>
            </w:tcBorders>
            <w:noWrap w:val="0"/>
            <w:vAlign w:val="center"/>
          </w:tcPr>
          <w:p w14:paraId="5054C8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nil"/>
              <w:left w:val="nil"/>
              <w:bottom w:val="single" w:color="auto" w:sz="4" w:space="0"/>
              <w:right w:val="single" w:color="auto" w:sz="8" w:space="0"/>
            </w:tcBorders>
            <w:noWrap w:val="0"/>
            <w:vAlign w:val="center"/>
          </w:tcPr>
          <w:p w14:paraId="4C9DF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766" w:type="dxa"/>
            <w:tcBorders>
              <w:top w:val="nil"/>
              <w:left w:val="nil"/>
              <w:bottom w:val="single" w:color="auto" w:sz="4" w:space="0"/>
              <w:right w:val="single" w:color="auto" w:sz="8" w:space="0"/>
            </w:tcBorders>
            <w:noWrap w:val="0"/>
            <w:vAlign w:val="center"/>
          </w:tcPr>
          <w:p w14:paraId="0AA704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84" w:type="dxa"/>
            <w:tcBorders>
              <w:top w:val="nil"/>
              <w:left w:val="nil"/>
              <w:bottom w:val="single" w:color="auto" w:sz="4" w:space="0"/>
              <w:right w:val="single" w:color="auto" w:sz="8" w:space="0"/>
            </w:tcBorders>
            <w:noWrap w:val="0"/>
            <w:vAlign w:val="center"/>
          </w:tcPr>
          <w:p w14:paraId="028BD6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900" w:type="dxa"/>
            <w:tcBorders>
              <w:top w:val="nil"/>
              <w:left w:val="nil"/>
              <w:bottom w:val="single" w:color="auto" w:sz="4" w:space="0"/>
              <w:right w:val="single" w:color="auto" w:sz="8" w:space="0"/>
            </w:tcBorders>
            <w:noWrap w:val="0"/>
            <w:vAlign w:val="center"/>
          </w:tcPr>
          <w:p w14:paraId="718E5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4033" w:type="dxa"/>
            <w:tcBorders>
              <w:top w:val="nil"/>
              <w:left w:val="nil"/>
              <w:bottom w:val="single" w:color="auto" w:sz="4" w:space="0"/>
              <w:right w:val="single" w:color="auto" w:sz="8" w:space="0"/>
            </w:tcBorders>
            <w:noWrap w:val="0"/>
            <w:vAlign w:val="center"/>
          </w:tcPr>
          <w:p w14:paraId="73DA90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596F79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74BC4B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656699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1167" w:type="dxa"/>
            <w:tcBorders>
              <w:top w:val="nil"/>
              <w:left w:val="nil"/>
              <w:bottom w:val="single" w:color="auto" w:sz="4" w:space="0"/>
              <w:right w:val="single" w:color="auto" w:sz="8" w:space="0"/>
            </w:tcBorders>
            <w:noWrap w:val="0"/>
            <w:vAlign w:val="center"/>
          </w:tcPr>
          <w:p w14:paraId="47608C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741" w:type="dxa"/>
            <w:tcBorders>
              <w:top w:val="nil"/>
              <w:left w:val="nil"/>
              <w:bottom w:val="single" w:color="auto" w:sz="4" w:space="0"/>
              <w:right w:val="single" w:color="auto" w:sz="8" w:space="0"/>
            </w:tcBorders>
            <w:noWrap w:val="0"/>
            <w:vAlign w:val="center"/>
          </w:tcPr>
          <w:p w14:paraId="472BE2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D94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50" w:type="dxa"/>
            <w:vMerge w:val="restart"/>
            <w:tcBorders>
              <w:top w:val="single" w:color="auto" w:sz="4" w:space="0"/>
              <w:left w:val="single" w:color="auto" w:sz="4" w:space="0"/>
              <w:bottom w:val="single" w:color="auto" w:sz="4" w:space="0"/>
              <w:right w:val="single" w:color="auto" w:sz="8" w:space="0"/>
            </w:tcBorders>
            <w:noWrap w:val="0"/>
            <w:vAlign w:val="center"/>
          </w:tcPr>
          <w:p w14:paraId="419A79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701" w:type="dxa"/>
            <w:vMerge w:val="restart"/>
            <w:tcBorders>
              <w:top w:val="single" w:color="auto" w:sz="4" w:space="0"/>
              <w:left w:val="nil"/>
              <w:bottom w:val="single" w:color="auto" w:sz="4" w:space="0"/>
              <w:right w:val="single" w:color="auto" w:sz="8" w:space="0"/>
            </w:tcBorders>
            <w:noWrap w:val="0"/>
            <w:vAlign w:val="center"/>
          </w:tcPr>
          <w:p w14:paraId="518110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496" w:type="dxa"/>
            <w:vMerge w:val="restart"/>
            <w:tcBorders>
              <w:top w:val="single" w:color="auto" w:sz="4" w:space="0"/>
              <w:left w:val="nil"/>
              <w:bottom w:val="single" w:color="auto" w:sz="4" w:space="0"/>
              <w:right w:val="single" w:color="auto" w:sz="8" w:space="0"/>
            </w:tcBorders>
            <w:noWrap w:val="0"/>
            <w:vAlign w:val="center"/>
          </w:tcPr>
          <w:p w14:paraId="5A756A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543" w:type="dxa"/>
            <w:vMerge w:val="restart"/>
            <w:tcBorders>
              <w:top w:val="single" w:color="auto" w:sz="4" w:space="0"/>
              <w:left w:val="nil"/>
              <w:bottom w:val="single" w:color="auto" w:sz="4" w:space="0"/>
              <w:right w:val="single" w:color="auto" w:sz="8" w:space="0"/>
            </w:tcBorders>
            <w:noWrap w:val="0"/>
            <w:vAlign w:val="center"/>
          </w:tcPr>
          <w:p w14:paraId="349178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vMerge w:val="restart"/>
            <w:tcBorders>
              <w:top w:val="single" w:color="auto" w:sz="4" w:space="0"/>
              <w:left w:val="nil"/>
              <w:bottom w:val="single" w:color="auto" w:sz="4" w:space="0"/>
              <w:right w:val="single" w:color="auto" w:sz="8" w:space="0"/>
            </w:tcBorders>
            <w:noWrap w:val="0"/>
            <w:vAlign w:val="center"/>
          </w:tcPr>
          <w:p w14:paraId="01391A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766" w:type="dxa"/>
            <w:vMerge w:val="restart"/>
            <w:tcBorders>
              <w:top w:val="single" w:color="auto" w:sz="4" w:space="0"/>
              <w:left w:val="nil"/>
              <w:bottom w:val="single" w:color="auto" w:sz="4" w:space="0"/>
              <w:right w:val="nil"/>
            </w:tcBorders>
            <w:noWrap w:val="0"/>
            <w:vAlign w:val="center"/>
          </w:tcPr>
          <w:p w14:paraId="066F37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84" w:type="dxa"/>
            <w:tcBorders>
              <w:top w:val="single" w:color="auto" w:sz="4" w:space="0"/>
              <w:left w:val="single" w:color="auto" w:sz="4" w:space="0"/>
              <w:bottom w:val="single" w:color="auto" w:sz="4" w:space="0"/>
              <w:right w:val="single" w:color="auto" w:sz="4" w:space="0"/>
            </w:tcBorders>
            <w:noWrap/>
            <w:vAlign w:val="center"/>
          </w:tcPr>
          <w:p w14:paraId="4E1605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基层政协数量</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6ED81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=1个</w:t>
            </w:r>
          </w:p>
        </w:tc>
        <w:tc>
          <w:tcPr>
            <w:tcW w:w="4033" w:type="dxa"/>
            <w:vMerge w:val="restart"/>
            <w:tcBorders>
              <w:top w:val="single" w:color="auto" w:sz="4" w:space="0"/>
              <w:left w:val="nil"/>
              <w:right w:val="single" w:color="auto" w:sz="8" w:space="0"/>
            </w:tcBorders>
            <w:noWrap w:val="0"/>
            <w:vAlign w:val="center"/>
          </w:tcPr>
          <w:p w14:paraId="3653C5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实际完成率=（实际完成/预期完成）×100%。</w:t>
            </w:r>
          </w:p>
          <w:p w14:paraId="5F4B57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①实际完成率≥100%，且偏离程度＜20%，得满分；</w:t>
            </w:r>
          </w:p>
          <w:p w14:paraId="0ACC49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②实际完成率≥100%，偏离程度≥20%，得0分；</w:t>
            </w:r>
          </w:p>
          <w:p w14:paraId="06DA99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6B9AC0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1个</w:t>
            </w:r>
          </w:p>
        </w:tc>
        <w:tc>
          <w:tcPr>
            <w:tcW w:w="741" w:type="dxa"/>
            <w:tcBorders>
              <w:top w:val="single" w:color="auto" w:sz="4" w:space="0"/>
              <w:left w:val="nil"/>
              <w:bottom w:val="single" w:color="auto" w:sz="4" w:space="0"/>
              <w:right w:val="single" w:color="auto" w:sz="4" w:space="0"/>
            </w:tcBorders>
            <w:noWrap w:val="0"/>
            <w:vAlign w:val="center"/>
          </w:tcPr>
          <w:p w14:paraId="4D0E47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F804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single" w:color="auto" w:sz="4" w:space="0"/>
              <w:left w:val="single" w:color="auto" w:sz="4" w:space="0"/>
              <w:bottom w:val="single" w:color="auto" w:sz="8" w:space="0"/>
              <w:right w:val="single" w:color="auto" w:sz="8" w:space="0"/>
            </w:tcBorders>
            <w:noWrap w:val="0"/>
            <w:vAlign w:val="center"/>
          </w:tcPr>
          <w:p w14:paraId="0D7685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single" w:color="auto" w:sz="4" w:space="0"/>
              <w:left w:val="nil"/>
              <w:bottom w:val="single" w:color="auto" w:sz="8" w:space="0"/>
              <w:right w:val="single" w:color="auto" w:sz="8" w:space="0"/>
            </w:tcBorders>
            <w:noWrap w:val="0"/>
            <w:vAlign w:val="center"/>
          </w:tcPr>
          <w:p w14:paraId="1B3BD6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single" w:color="auto" w:sz="4" w:space="0"/>
              <w:left w:val="nil"/>
              <w:bottom w:val="single" w:color="auto" w:sz="8" w:space="0"/>
              <w:right w:val="single" w:color="auto" w:sz="8" w:space="0"/>
            </w:tcBorders>
            <w:noWrap w:val="0"/>
            <w:vAlign w:val="center"/>
          </w:tcPr>
          <w:p w14:paraId="5A703B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single" w:color="auto" w:sz="4" w:space="0"/>
              <w:left w:val="nil"/>
              <w:bottom w:val="single" w:color="auto" w:sz="8" w:space="0"/>
              <w:right w:val="single" w:color="auto" w:sz="8" w:space="0"/>
            </w:tcBorders>
            <w:noWrap w:val="0"/>
            <w:vAlign w:val="center"/>
          </w:tcPr>
          <w:p w14:paraId="6F28FF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single" w:color="auto" w:sz="4" w:space="0"/>
              <w:left w:val="nil"/>
              <w:bottom w:val="single" w:color="auto" w:sz="8" w:space="0"/>
              <w:right w:val="single" w:color="auto" w:sz="8" w:space="0"/>
            </w:tcBorders>
            <w:noWrap w:val="0"/>
            <w:vAlign w:val="center"/>
          </w:tcPr>
          <w:p w14:paraId="6A4C53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single" w:color="auto" w:sz="4" w:space="0"/>
              <w:left w:val="nil"/>
              <w:bottom w:val="single" w:color="auto" w:sz="8" w:space="0"/>
              <w:right w:val="nil"/>
            </w:tcBorders>
            <w:noWrap w:val="0"/>
            <w:vAlign w:val="center"/>
          </w:tcPr>
          <w:p w14:paraId="1E0885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ign w:val="center"/>
          </w:tcPr>
          <w:p w14:paraId="583C7F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保障视频专网数量</w:t>
            </w:r>
          </w:p>
        </w:tc>
        <w:tc>
          <w:tcPr>
            <w:tcW w:w="900" w:type="dxa"/>
            <w:tcBorders>
              <w:top w:val="single" w:color="auto" w:sz="4" w:space="0"/>
              <w:left w:val="single" w:color="auto" w:sz="4" w:space="0"/>
              <w:bottom w:val="single" w:color="auto" w:sz="4" w:space="0"/>
              <w:right w:val="single" w:color="auto" w:sz="4" w:space="0"/>
            </w:tcBorders>
            <w:noWrap/>
            <w:vAlign w:val="center"/>
          </w:tcPr>
          <w:p w14:paraId="487B0F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=1条</w:t>
            </w:r>
          </w:p>
        </w:tc>
        <w:tc>
          <w:tcPr>
            <w:tcW w:w="4033" w:type="dxa"/>
            <w:vMerge w:val="continue"/>
            <w:tcBorders>
              <w:left w:val="nil"/>
              <w:right w:val="single" w:color="auto" w:sz="8" w:space="0"/>
            </w:tcBorders>
            <w:noWrap w:val="0"/>
            <w:vAlign w:val="center"/>
          </w:tcPr>
          <w:p w14:paraId="0716B9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1167" w:type="dxa"/>
            <w:tcBorders>
              <w:top w:val="single" w:color="auto" w:sz="4" w:space="0"/>
              <w:left w:val="single" w:color="auto" w:sz="4" w:space="0"/>
              <w:bottom w:val="single" w:color="auto" w:sz="4" w:space="0"/>
              <w:right w:val="single" w:color="auto" w:sz="4" w:space="0"/>
            </w:tcBorders>
            <w:noWrap/>
            <w:vAlign w:val="center"/>
          </w:tcPr>
          <w:p w14:paraId="132F78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1条</w:t>
            </w:r>
          </w:p>
        </w:tc>
        <w:tc>
          <w:tcPr>
            <w:tcW w:w="741" w:type="dxa"/>
            <w:tcBorders>
              <w:top w:val="single" w:color="auto" w:sz="4" w:space="0"/>
              <w:left w:val="nil"/>
              <w:bottom w:val="single" w:color="auto" w:sz="8" w:space="0"/>
              <w:right w:val="single" w:color="auto" w:sz="8" w:space="0"/>
            </w:tcBorders>
            <w:noWrap w:val="0"/>
            <w:vAlign w:val="center"/>
          </w:tcPr>
          <w:p w14:paraId="34DAD1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44C8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nil"/>
              <w:left w:val="single" w:color="auto" w:sz="4" w:space="0"/>
              <w:bottom w:val="single" w:color="auto" w:sz="4" w:space="0"/>
              <w:right w:val="single" w:color="auto" w:sz="8" w:space="0"/>
            </w:tcBorders>
            <w:noWrap w:val="0"/>
            <w:vAlign w:val="center"/>
          </w:tcPr>
          <w:p w14:paraId="7AD5C6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4" w:space="0"/>
              <w:right w:val="single" w:color="auto" w:sz="8" w:space="0"/>
            </w:tcBorders>
            <w:noWrap w:val="0"/>
            <w:vAlign w:val="center"/>
          </w:tcPr>
          <w:p w14:paraId="700627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4" w:space="0"/>
              <w:right w:val="single" w:color="auto" w:sz="8" w:space="0"/>
            </w:tcBorders>
            <w:noWrap w:val="0"/>
            <w:vAlign w:val="center"/>
          </w:tcPr>
          <w:p w14:paraId="368E2B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4" w:space="0"/>
              <w:right w:val="single" w:color="auto" w:sz="8" w:space="0"/>
            </w:tcBorders>
            <w:noWrap w:val="0"/>
            <w:vAlign w:val="center"/>
          </w:tcPr>
          <w:p w14:paraId="1F65FA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nil"/>
              <w:left w:val="nil"/>
              <w:bottom w:val="single" w:color="auto" w:sz="4" w:space="0"/>
              <w:right w:val="single" w:color="auto" w:sz="8" w:space="0"/>
            </w:tcBorders>
            <w:noWrap w:val="0"/>
            <w:vAlign w:val="center"/>
          </w:tcPr>
          <w:p w14:paraId="5A2584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nil"/>
              <w:left w:val="nil"/>
              <w:bottom w:val="single" w:color="auto" w:sz="4" w:space="0"/>
              <w:right w:val="nil"/>
            </w:tcBorders>
            <w:noWrap w:val="0"/>
            <w:vAlign w:val="center"/>
          </w:tcPr>
          <w:p w14:paraId="3BC53E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0"/>
            <w:vAlign w:val="center"/>
          </w:tcPr>
          <w:p w14:paraId="79E893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购置办公用品批数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18B78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=1批</w:t>
            </w:r>
          </w:p>
        </w:tc>
        <w:tc>
          <w:tcPr>
            <w:tcW w:w="4033" w:type="dxa"/>
            <w:vMerge w:val="continue"/>
            <w:tcBorders>
              <w:left w:val="nil"/>
              <w:bottom w:val="single" w:color="auto" w:sz="4" w:space="0"/>
              <w:right w:val="single" w:color="auto" w:sz="8" w:space="0"/>
            </w:tcBorders>
            <w:noWrap w:val="0"/>
            <w:vAlign w:val="center"/>
          </w:tcPr>
          <w:p w14:paraId="3C9E5E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1167" w:type="dxa"/>
            <w:tcBorders>
              <w:top w:val="single" w:color="auto" w:sz="4" w:space="0"/>
              <w:left w:val="single" w:color="auto" w:sz="4" w:space="0"/>
              <w:bottom w:val="single" w:color="auto" w:sz="4" w:space="0"/>
              <w:right w:val="single" w:color="auto" w:sz="4" w:space="0"/>
            </w:tcBorders>
            <w:noWrap w:val="0"/>
            <w:vAlign w:val="center"/>
          </w:tcPr>
          <w:p w14:paraId="23F30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1批</w:t>
            </w:r>
          </w:p>
        </w:tc>
        <w:tc>
          <w:tcPr>
            <w:tcW w:w="741" w:type="dxa"/>
            <w:tcBorders>
              <w:top w:val="nil"/>
              <w:left w:val="nil"/>
              <w:bottom w:val="single" w:color="auto" w:sz="4" w:space="0"/>
              <w:right w:val="single" w:color="auto" w:sz="8" w:space="0"/>
            </w:tcBorders>
            <w:noWrap w:val="0"/>
            <w:vAlign w:val="center"/>
          </w:tcPr>
          <w:p w14:paraId="47FC68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2E40E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22C598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single" w:color="auto" w:sz="4" w:space="0"/>
              <w:left w:val="single" w:color="auto" w:sz="4" w:space="0"/>
              <w:bottom w:val="single" w:color="auto" w:sz="4" w:space="0"/>
              <w:right w:val="single" w:color="auto" w:sz="4" w:space="0"/>
            </w:tcBorders>
            <w:noWrap w:val="0"/>
            <w:vAlign w:val="center"/>
          </w:tcPr>
          <w:p w14:paraId="250F65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single" w:color="auto" w:sz="4" w:space="0"/>
              <w:left w:val="single" w:color="auto" w:sz="4" w:space="0"/>
              <w:bottom w:val="single" w:color="auto" w:sz="4" w:space="0"/>
              <w:right w:val="single" w:color="auto" w:sz="4" w:space="0"/>
            </w:tcBorders>
            <w:noWrap w:val="0"/>
            <w:vAlign w:val="center"/>
          </w:tcPr>
          <w:p w14:paraId="7A3267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single" w:color="auto" w:sz="4" w:space="0"/>
              <w:left w:val="single" w:color="auto" w:sz="4" w:space="0"/>
              <w:bottom w:val="single" w:color="auto" w:sz="4" w:space="0"/>
              <w:right w:val="single" w:color="auto" w:sz="4" w:space="0"/>
            </w:tcBorders>
            <w:noWrap w:val="0"/>
            <w:vAlign w:val="center"/>
          </w:tcPr>
          <w:p w14:paraId="758978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14:paraId="49EAFC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single" w:color="auto" w:sz="4" w:space="0"/>
              <w:left w:val="single" w:color="auto" w:sz="4" w:space="0"/>
              <w:bottom w:val="single" w:color="auto" w:sz="4" w:space="0"/>
              <w:right w:val="single" w:color="auto" w:sz="4" w:space="0"/>
            </w:tcBorders>
            <w:noWrap w:val="0"/>
            <w:vAlign w:val="center"/>
          </w:tcPr>
          <w:p w14:paraId="24AC0F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0"/>
            <w:vAlign w:val="center"/>
          </w:tcPr>
          <w:p w14:paraId="0BB26C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保障正常运行车辆数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F4DCA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=5辆</w:t>
            </w:r>
          </w:p>
        </w:tc>
        <w:tc>
          <w:tcPr>
            <w:tcW w:w="4033" w:type="dxa"/>
            <w:vMerge w:val="continue"/>
            <w:tcBorders>
              <w:top w:val="single" w:color="auto" w:sz="4" w:space="0"/>
              <w:left w:val="single" w:color="auto" w:sz="4" w:space="0"/>
              <w:bottom w:val="single" w:color="auto" w:sz="4" w:space="0"/>
              <w:right w:val="single" w:color="auto" w:sz="4" w:space="0"/>
            </w:tcBorders>
            <w:noWrap w:val="0"/>
            <w:vAlign w:val="center"/>
          </w:tcPr>
          <w:p w14:paraId="1DCCFD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1167" w:type="dxa"/>
            <w:tcBorders>
              <w:top w:val="single" w:color="auto" w:sz="4" w:space="0"/>
              <w:left w:val="single" w:color="auto" w:sz="4" w:space="0"/>
              <w:bottom w:val="single" w:color="auto" w:sz="4" w:space="0"/>
              <w:right w:val="single" w:color="auto" w:sz="4" w:space="0"/>
            </w:tcBorders>
            <w:noWrap w:val="0"/>
            <w:vAlign w:val="center"/>
          </w:tcPr>
          <w:p w14:paraId="19E2AA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5辆</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75985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72618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single" w:color="auto" w:sz="4" w:space="0"/>
              <w:left w:val="single" w:color="auto" w:sz="4" w:space="0"/>
              <w:bottom w:val="single" w:color="auto" w:sz="8" w:space="0"/>
              <w:right w:val="single" w:color="auto" w:sz="8" w:space="0"/>
            </w:tcBorders>
            <w:noWrap w:val="0"/>
            <w:vAlign w:val="center"/>
          </w:tcPr>
          <w:p w14:paraId="372763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single" w:color="auto" w:sz="4" w:space="0"/>
              <w:left w:val="nil"/>
              <w:bottom w:val="single" w:color="auto" w:sz="8" w:space="0"/>
              <w:right w:val="single" w:color="auto" w:sz="8" w:space="0"/>
            </w:tcBorders>
            <w:noWrap w:val="0"/>
            <w:vAlign w:val="center"/>
          </w:tcPr>
          <w:p w14:paraId="63F95B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restart"/>
            <w:tcBorders>
              <w:top w:val="single" w:color="auto" w:sz="4" w:space="0"/>
              <w:left w:val="nil"/>
              <w:bottom w:val="single" w:color="auto" w:sz="8" w:space="0"/>
              <w:right w:val="single" w:color="auto" w:sz="8" w:space="0"/>
            </w:tcBorders>
            <w:noWrap w:val="0"/>
            <w:vAlign w:val="center"/>
          </w:tcPr>
          <w:p w14:paraId="3A52FB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543" w:type="dxa"/>
            <w:vMerge w:val="restart"/>
            <w:tcBorders>
              <w:top w:val="single" w:color="auto" w:sz="4" w:space="0"/>
              <w:left w:val="nil"/>
              <w:bottom w:val="single" w:color="auto" w:sz="8" w:space="0"/>
              <w:right w:val="single" w:color="auto" w:sz="8" w:space="0"/>
            </w:tcBorders>
            <w:noWrap w:val="0"/>
            <w:vAlign w:val="center"/>
          </w:tcPr>
          <w:p w14:paraId="5DAE5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vMerge w:val="restart"/>
            <w:tcBorders>
              <w:top w:val="single" w:color="auto" w:sz="4" w:space="0"/>
              <w:left w:val="nil"/>
              <w:bottom w:val="single" w:color="auto" w:sz="8" w:space="0"/>
              <w:right w:val="single" w:color="auto" w:sz="8" w:space="0"/>
            </w:tcBorders>
            <w:noWrap w:val="0"/>
            <w:vAlign w:val="center"/>
          </w:tcPr>
          <w:p w14:paraId="25098F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766" w:type="dxa"/>
            <w:vMerge w:val="restart"/>
            <w:tcBorders>
              <w:top w:val="single" w:color="auto" w:sz="4" w:space="0"/>
              <w:left w:val="nil"/>
              <w:bottom w:val="single" w:color="auto" w:sz="8" w:space="0"/>
              <w:right w:val="nil"/>
            </w:tcBorders>
            <w:noWrap w:val="0"/>
            <w:vAlign w:val="center"/>
          </w:tcPr>
          <w:p w14:paraId="545D72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84" w:type="dxa"/>
            <w:tcBorders>
              <w:top w:val="single" w:color="auto" w:sz="4" w:space="0"/>
              <w:left w:val="single" w:color="auto" w:sz="4" w:space="0"/>
              <w:bottom w:val="single" w:color="auto" w:sz="4" w:space="0"/>
              <w:right w:val="single" w:color="auto" w:sz="4" w:space="0"/>
            </w:tcBorders>
            <w:noWrap w:val="0"/>
            <w:vAlign w:val="center"/>
          </w:tcPr>
          <w:p w14:paraId="35996C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补充基层政协经费覆盖率</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8767F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033" w:type="dxa"/>
            <w:tcBorders>
              <w:top w:val="single" w:color="auto" w:sz="4" w:space="0"/>
              <w:left w:val="nil"/>
              <w:bottom w:val="nil"/>
              <w:right w:val="single" w:color="auto" w:sz="8" w:space="0"/>
            </w:tcBorders>
            <w:noWrap w:val="0"/>
            <w:vAlign w:val="center"/>
          </w:tcPr>
          <w:p w14:paraId="774352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784B16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1" w:type="dxa"/>
            <w:vMerge w:val="restart"/>
            <w:tcBorders>
              <w:top w:val="single" w:color="auto" w:sz="4" w:space="0"/>
              <w:left w:val="nil"/>
              <w:right w:val="single" w:color="auto" w:sz="8" w:space="0"/>
            </w:tcBorders>
            <w:noWrap w:val="0"/>
            <w:vAlign w:val="center"/>
          </w:tcPr>
          <w:p w14:paraId="217D82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48F26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2A4DC9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529227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17941C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463B88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nil"/>
              <w:left w:val="nil"/>
              <w:bottom w:val="single" w:color="auto" w:sz="8" w:space="0"/>
              <w:right w:val="single" w:color="auto" w:sz="8" w:space="0"/>
            </w:tcBorders>
            <w:noWrap w:val="0"/>
            <w:vAlign w:val="center"/>
          </w:tcPr>
          <w:p w14:paraId="37E53A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nil"/>
              <w:left w:val="nil"/>
              <w:bottom w:val="single" w:color="auto" w:sz="8" w:space="0"/>
              <w:right w:val="nil"/>
            </w:tcBorders>
            <w:noWrap w:val="0"/>
            <w:vAlign w:val="center"/>
          </w:tcPr>
          <w:p w14:paraId="4B5B37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0"/>
            <w:vAlign w:val="center"/>
          </w:tcPr>
          <w:p w14:paraId="23C1E2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办公用品质量合格率</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3D623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033" w:type="dxa"/>
            <w:tcBorders>
              <w:top w:val="nil"/>
              <w:left w:val="nil"/>
              <w:bottom w:val="nil"/>
              <w:right w:val="single" w:color="auto" w:sz="8" w:space="0"/>
            </w:tcBorders>
            <w:noWrap w:val="0"/>
            <w:vAlign w:val="center"/>
          </w:tcPr>
          <w:p w14:paraId="2CE2FA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17D308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1" w:type="dxa"/>
            <w:vMerge w:val="continue"/>
            <w:tcBorders>
              <w:left w:val="nil"/>
              <w:bottom w:val="single" w:color="auto" w:sz="8" w:space="0"/>
              <w:right w:val="single" w:color="auto" w:sz="8" w:space="0"/>
            </w:tcBorders>
            <w:noWrap w:val="0"/>
            <w:vAlign w:val="center"/>
          </w:tcPr>
          <w:p w14:paraId="43DDF5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p>
        </w:tc>
      </w:tr>
      <w:tr w14:paraId="3083B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72BC2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68DA98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restart"/>
            <w:tcBorders>
              <w:top w:val="nil"/>
              <w:left w:val="nil"/>
              <w:bottom w:val="single" w:color="auto" w:sz="8" w:space="0"/>
              <w:right w:val="single" w:color="auto" w:sz="8" w:space="0"/>
            </w:tcBorders>
            <w:noWrap w:val="0"/>
            <w:vAlign w:val="center"/>
          </w:tcPr>
          <w:p w14:paraId="4447A8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543" w:type="dxa"/>
            <w:vMerge w:val="restart"/>
            <w:tcBorders>
              <w:top w:val="nil"/>
              <w:left w:val="nil"/>
              <w:bottom w:val="single" w:color="auto" w:sz="8" w:space="0"/>
              <w:right w:val="single" w:color="auto" w:sz="8" w:space="0"/>
            </w:tcBorders>
            <w:noWrap w:val="0"/>
            <w:vAlign w:val="center"/>
          </w:tcPr>
          <w:p w14:paraId="398525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vMerge w:val="restart"/>
            <w:tcBorders>
              <w:top w:val="nil"/>
              <w:left w:val="nil"/>
              <w:bottom w:val="single" w:color="auto" w:sz="8" w:space="0"/>
              <w:right w:val="single" w:color="auto" w:sz="8" w:space="0"/>
            </w:tcBorders>
            <w:noWrap w:val="0"/>
            <w:vAlign w:val="center"/>
          </w:tcPr>
          <w:p w14:paraId="158355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766" w:type="dxa"/>
            <w:vMerge w:val="restart"/>
            <w:tcBorders>
              <w:top w:val="nil"/>
              <w:left w:val="nil"/>
              <w:bottom w:val="single" w:color="auto" w:sz="8" w:space="0"/>
              <w:right w:val="nil"/>
            </w:tcBorders>
            <w:noWrap w:val="0"/>
            <w:vAlign w:val="center"/>
          </w:tcPr>
          <w:p w14:paraId="70E5DF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84" w:type="dxa"/>
            <w:tcBorders>
              <w:top w:val="single" w:color="auto" w:sz="4" w:space="0"/>
              <w:left w:val="single" w:color="auto" w:sz="4" w:space="0"/>
              <w:bottom w:val="single" w:color="auto" w:sz="4" w:space="0"/>
              <w:right w:val="single" w:color="auto" w:sz="4" w:space="0"/>
            </w:tcBorders>
            <w:noWrap/>
            <w:vAlign w:val="center"/>
          </w:tcPr>
          <w:p w14:paraId="4FFCB7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项目结束时间</w:t>
            </w:r>
          </w:p>
        </w:tc>
        <w:tc>
          <w:tcPr>
            <w:tcW w:w="900" w:type="dxa"/>
            <w:tcBorders>
              <w:top w:val="single" w:color="auto" w:sz="4" w:space="0"/>
              <w:left w:val="single" w:color="auto" w:sz="4" w:space="0"/>
              <w:bottom w:val="single" w:color="auto" w:sz="4" w:space="0"/>
              <w:right w:val="single" w:color="auto" w:sz="4" w:space="0"/>
            </w:tcBorders>
            <w:noWrap/>
            <w:vAlign w:val="center"/>
          </w:tcPr>
          <w:p w14:paraId="6B6009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4033" w:type="dxa"/>
            <w:tcBorders>
              <w:top w:val="single" w:color="auto" w:sz="8" w:space="0"/>
              <w:left w:val="nil"/>
              <w:bottom w:val="nil"/>
              <w:right w:val="single" w:color="auto" w:sz="8" w:space="0"/>
            </w:tcBorders>
            <w:noWrap w:val="0"/>
            <w:vAlign w:val="center"/>
          </w:tcPr>
          <w:p w14:paraId="1CF045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tc>
        <w:tc>
          <w:tcPr>
            <w:tcW w:w="1167" w:type="dxa"/>
            <w:tcBorders>
              <w:top w:val="single" w:color="auto" w:sz="4" w:space="0"/>
              <w:left w:val="single" w:color="auto" w:sz="4" w:space="0"/>
              <w:bottom w:val="single" w:color="auto" w:sz="4" w:space="0"/>
              <w:right w:val="single" w:color="auto" w:sz="4" w:space="0"/>
            </w:tcBorders>
            <w:noWrap/>
            <w:vAlign w:val="center"/>
          </w:tcPr>
          <w:p w14:paraId="211E6E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2024年10月</w:t>
            </w:r>
          </w:p>
        </w:tc>
        <w:tc>
          <w:tcPr>
            <w:tcW w:w="741" w:type="dxa"/>
            <w:vMerge w:val="restart"/>
            <w:tcBorders>
              <w:top w:val="nil"/>
              <w:left w:val="nil"/>
              <w:right w:val="single" w:color="auto" w:sz="8" w:space="0"/>
            </w:tcBorders>
            <w:noWrap w:val="0"/>
            <w:vAlign w:val="center"/>
          </w:tcPr>
          <w:p w14:paraId="1A9B4E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5CF81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2"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4F1C34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6A25D7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758F5A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34BF79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nil"/>
              <w:left w:val="nil"/>
              <w:bottom w:val="single" w:color="auto" w:sz="8" w:space="0"/>
              <w:right w:val="single" w:color="auto" w:sz="8" w:space="0"/>
            </w:tcBorders>
            <w:noWrap w:val="0"/>
            <w:vAlign w:val="center"/>
          </w:tcPr>
          <w:p w14:paraId="3DA5FF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nil"/>
              <w:left w:val="nil"/>
              <w:bottom w:val="single" w:color="auto" w:sz="8" w:space="0"/>
              <w:right w:val="nil"/>
            </w:tcBorders>
            <w:noWrap w:val="0"/>
            <w:vAlign w:val="center"/>
          </w:tcPr>
          <w:p w14:paraId="4587B3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0"/>
            <w:vAlign w:val="center"/>
          </w:tcPr>
          <w:p w14:paraId="5EFBCE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资金发放及时率</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3D511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033" w:type="dxa"/>
            <w:tcBorders>
              <w:top w:val="nil"/>
              <w:left w:val="nil"/>
              <w:bottom w:val="nil"/>
              <w:right w:val="single" w:color="auto" w:sz="8" w:space="0"/>
            </w:tcBorders>
            <w:noWrap w:val="0"/>
            <w:vAlign w:val="center"/>
          </w:tcPr>
          <w:p w14:paraId="7F5D3D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2A7BEA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1" w:type="dxa"/>
            <w:vMerge w:val="continue"/>
            <w:tcBorders>
              <w:left w:val="nil"/>
              <w:bottom w:val="single" w:color="auto" w:sz="8" w:space="0"/>
              <w:right w:val="single" w:color="auto" w:sz="8" w:space="0"/>
            </w:tcBorders>
            <w:noWrap w:val="0"/>
            <w:vAlign w:val="center"/>
          </w:tcPr>
          <w:p w14:paraId="2E77D0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p>
        </w:tc>
      </w:tr>
      <w:tr w14:paraId="0E097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66A8D9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469C4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restart"/>
            <w:tcBorders>
              <w:top w:val="nil"/>
              <w:left w:val="nil"/>
              <w:bottom w:val="single" w:color="auto" w:sz="8" w:space="0"/>
              <w:right w:val="single" w:color="auto" w:sz="8" w:space="0"/>
            </w:tcBorders>
            <w:noWrap w:val="0"/>
            <w:vAlign w:val="center"/>
          </w:tcPr>
          <w:p w14:paraId="46DF70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543" w:type="dxa"/>
            <w:vMerge w:val="restart"/>
            <w:tcBorders>
              <w:top w:val="nil"/>
              <w:left w:val="nil"/>
              <w:bottom w:val="single" w:color="auto" w:sz="8" w:space="0"/>
              <w:right w:val="single" w:color="auto" w:sz="8" w:space="0"/>
            </w:tcBorders>
            <w:noWrap w:val="0"/>
            <w:vAlign w:val="center"/>
          </w:tcPr>
          <w:p w14:paraId="0120AF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94" w:type="dxa"/>
            <w:vMerge w:val="restart"/>
            <w:tcBorders>
              <w:top w:val="nil"/>
              <w:left w:val="nil"/>
              <w:bottom w:val="single" w:color="auto" w:sz="8" w:space="0"/>
              <w:right w:val="single" w:color="auto" w:sz="8" w:space="0"/>
            </w:tcBorders>
            <w:noWrap w:val="0"/>
            <w:vAlign w:val="center"/>
          </w:tcPr>
          <w:p w14:paraId="2DA128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766" w:type="dxa"/>
            <w:vMerge w:val="restart"/>
            <w:tcBorders>
              <w:top w:val="nil"/>
              <w:left w:val="nil"/>
              <w:bottom w:val="single" w:color="auto" w:sz="8" w:space="0"/>
              <w:right w:val="nil"/>
            </w:tcBorders>
            <w:noWrap w:val="0"/>
            <w:vAlign w:val="center"/>
          </w:tcPr>
          <w:p w14:paraId="3CA8E8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84" w:type="dxa"/>
            <w:tcBorders>
              <w:top w:val="single" w:color="auto" w:sz="4" w:space="0"/>
              <w:left w:val="single" w:color="auto" w:sz="4" w:space="0"/>
              <w:bottom w:val="single" w:color="auto" w:sz="4" w:space="0"/>
              <w:right w:val="single" w:color="auto" w:sz="4" w:space="0"/>
            </w:tcBorders>
            <w:noWrap w:val="0"/>
            <w:vAlign w:val="center"/>
          </w:tcPr>
          <w:p w14:paraId="5EB023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视频会议专网费</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976BB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=2.83万元</w:t>
            </w:r>
          </w:p>
        </w:tc>
        <w:tc>
          <w:tcPr>
            <w:tcW w:w="4033" w:type="dxa"/>
            <w:tcBorders>
              <w:top w:val="single" w:color="auto" w:sz="8" w:space="0"/>
              <w:left w:val="nil"/>
              <w:bottom w:val="nil"/>
              <w:right w:val="single" w:color="auto" w:sz="8" w:space="0"/>
            </w:tcBorders>
            <w:noWrap w:val="0"/>
            <w:vAlign w:val="center"/>
          </w:tcPr>
          <w:p w14:paraId="64E12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134BF4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2.83万元</w:t>
            </w:r>
          </w:p>
        </w:tc>
        <w:tc>
          <w:tcPr>
            <w:tcW w:w="741" w:type="dxa"/>
            <w:vMerge w:val="restart"/>
            <w:tcBorders>
              <w:top w:val="nil"/>
              <w:left w:val="nil"/>
              <w:right w:val="single" w:color="auto" w:sz="8" w:space="0"/>
            </w:tcBorders>
            <w:noWrap w:val="0"/>
            <w:vAlign w:val="center"/>
          </w:tcPr>
          <w:p w14:paraId="0A6941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4F1B2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0BE34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502D49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0ADEC5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1B5A5E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nil"/>
              <w:left w:val="nil"/>
              <w:bottom w:val="single" w:color="auto" w:sz="8" w:space="0"/>
              <w:right w:val="single" w:color="auto" w:sz="8" w:space="0"/>
            </w:tcBorders>
            <w:noWrap w:val="0"/>
            <w:vAlign w:val="center"/>
          </w:tcPr>
          <w:p w14:paraId="319566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nil"/>
              <w:left w:val="nil"/>
              <w:bottom w:val="single" w:color="auto" w:sz="8" w:space="0"/>
              <w:right w:val="nil"/>
            </w:tcBorders>
            <w:noWrap w:val="0"/>
            <w:vAlign w:val="center"/>
          </w:tcPr>
          <w:p w14:paraId="5A818D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0"/>
            <w:vAlign w:val="center"/>
          </w:tcPr>
          <w:p w14:paraId="08C60E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保障车辆运行费</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75F7E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=1万元</w:t>
            </w:r>
          </w:p>
        </w:tc>
        <w:tc>
          <w:tcPr>
            <w:tcW w:w="4033" w:type="dxa"/>
            <w:tcBorders>
              <w:top w:val="nil"/>
              <w:left w:val="nil"/>
              <w:bottom w:val="nil"/>
              <w:right w:val="single" w:color="auto" w:sz="8" w:space="0"/>
            </w:tcBorders>
            <w:noWrap w:val="0"/>
            <w:vAlign w:val="center"/>
          </w:tcPr>
          <w:p w14:paraId="195273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①实际完成率＞年度指标值，得0得分；</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36D35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1万元</w:t>
            </w:r>
          </w:p>
        </w:tc>
        <w:tc>
          <w:tcPr>
            <w:tcW w:w="741" w:type="dxa"/>
            <w:vMerge w:val="continue"/>
            <w:tcBorders>
              <w:left w:val="nil"/>
              <w:right w:val="single" w:color="auto" w:sz="8" w:space="0"/>
            </w:tcBorders>
            <w:noWrap w:val="0"/>
            <w:vAlign w:val="center"/>
          </w:tcPr>
          <w:p w14:paraId="031FE6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p>
        </w:tc>
      </w:tr>
      <w:tr w14:paraId="197BB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nil"/>
              <w:left w:val="single" w:color="auto" w:sz="4" w:space="0"/>
              <w:bottom w:val="single" w:color="auto" w:sz="8" w:space="0"/>
              <w:right w:val="single" w:color="auto" w:sz="8" w:space="0"/>
            </w:tcBorders>
            <w:noWrap w:val="0"/>
            <w:vAlign w:val="center"/>
          </w:tcPr>
          <w:p w14:paraId="56A9C5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4A8D94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2D6ABD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1A9B23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vMerge w:val="continue"/>
            <w:tcBorders>
              <w:top w:val="nil"/>
              <w:left w:val="nil"/>
              <w:bottom w:val="single" w:color="auto" w:sz="8" w:space="0"/>
              <w:right w:val="single" w:color="auto" w:sz="8" w:space="0"/>
            </w:tcBorders>
            <w:noWrap w:val="0"/>
            <w:vAlign w:val="center"/>
          </w:tcPr>
          <w:p w14:paraId="1F7211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nil"/>
              <w:left w:val="nil"/>
              <w:bottom w:val="single" w:color="auto" w:sz="8" w:space="0"/>
              <w:right w:val="nil"/>
            </w:tcBorders>
            <w:noWrap w:val="0"/>
            <w:vAlign w:val="center"/>
          </w:tcPr>
          <w:p w14:paraId="042279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84" w:type="dxa"/>
            <w:tcBorders>
              <w:top w:val="single" w:color="auto" w:sz="4" w:space="0"/>
              <w:left w:val="single" w:color="auto" w:sz="4" w:space="0"/>
              <w:bottom w:val="single" w:color="auto" w:sz="4" w:space="0"/>
              <w:right w:val="single" w:color="auto" w:sz="4" w:space="0"/>
            </w:tcBorders>
            <w:noWrap w:val="0"/>
            <w:vAlign w:val="center"/>
          </w:tcPr>
          <w:p w14:paraId="2B38F8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购置办公用品经费</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852B0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=1.17万元</w:t>
            </w:r>
          </w:p>
        </w:tc>
        <w:tc>
          <w:tcPr>
            <w:tcW w:w="4033" w:type="dxa"/>
            <w:tcBorders>
              <w:top w:val="nil"/>
              <w:left w:val="nil"/>
              <w:bottom w:val="single" w:color="auto" w:sz="4" w:space="0"/>
              <w:right w:val="single" w:color="auto" w:sz="8" w:space="0"/>
            </w:tcBorders>
            <w:noWrap w:val="0"/>
            <w:vAlign w:val="center"/>
          </w:tcPr>
          <w:p w14:paraId="3AA8FA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②实际完成率≤年度指标值，且偏离程度＜20%，得满分；</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028CB0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1.17万元</w:t>
            </w:r>
          </w:p>
        </w:tc>
        <w:tc>
          <w:tcPr>
            <w:tcW w:w="741" w:type="dxa"/>
            <w:vMerge w:val="continue"/>
            <w:tcBorders>
              <w:left w:val="nil"/>
              <w:bottom w:val="single" w:color="auto" w:sz="8" w:space="0"/>
              <w:right w:val="single" w:color="auto" w:sz="8" w:space="0"/>
            </w:tcBorders>
            <w:noWrap w:val="0"/>
            <w:vAlign w:val="center"/>
          </w:tcPr>
          <w:p w14:paraId="43612E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p>
        </w:tc>
      </w:tr>
      <w:tr w14:paraId="414E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restart"/>
            <w:tcBorders>
              <w:top w:val="nil"/>
              <w:left w:val="single" w:color="auto" w:sz="8" w:space="0"/>
              <w:bottom w:val="single" w:color="auto" w:sz="8" w:space="0"/>
              <w:right w:val="single" w:color="auto" w:sz="8" w:space="0"/>
            </w:tcBorders>
            <w:noWrap w:val="0"/>
            <w:vAlign w:val="center"/>
          </w:tcPr>
          <w:p w14:paraId="053318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701" w:type="dxa"/>
            <w:vMerge w:val="restart"/>
            <w:tcBorders>
              <w:top w:val="nil"/>
              <w:left w:val="nil"/>
              <w:bottom w:val="single" w:color="auto" w:sz="8" w:space="0"/>
              <w:right w:val="single" w:color="auto" w:sz="8" w:space="0"/>
            </w:tcBorders>
            <w:noWrap w:val="0"/>
            <w:vAlign w:val="center"/>
          </w:tcPr>
          <w:p w14:paraId="54B9C9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496" w:type="dxa"/>
            <w:vMerge w:val="restart"/>
            <w:tcBorders>
              <w:top w:val="nil"/>
              <w:left w:val="nil"/>
              <w:bottom w:val="single" w:color="auto" w:sz="8" w:space="0"/>
              <w:right w:val="single" w:color="auto" w:sz="8" w:space="0"/>
            </w:tcBorders>
            <w:noWrap w:val="0"/>
            <w:vAlign w:val="center"/>
          </w:tcPr>
          <w:p w14:paraId="795BBD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543" w:type="dxa"/>
            <w:vMerge w:val="restart"/>
            <w:tcBorders>
              <w:top w:val="nil"/>
              <w:left w:val="nil"/>
              <w:bottom w:val="single" w:color="auto" w:sz="8" w:space="0"/>
              <w:right w:val="single" w:color="auto" w:sz="8" w:space="0"/>
            </w:tcBorders>
            <w:noWrap w:val="0"/>
            <w:vAlign w:val="center"/>
          </w:tcPr>
          <w:p w14:paraId="20CA44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94" w:type="dxa"/>
            <w:tcBorders>
              <w:top w:val="nil"/>
              <w:left w:val="nil"/>
              <w:bottom w:val="single" w:color="auto" w:sz="8" w:space="0"/>
              <w:right w:val="single" w:color="auto" w:sz="8" w:space="0"/>
            </w:tcBorders>
            <w:noWrap w:val="0"/>
            <w:vAlign w:val="center"/>
          </w:tcPr>
          <w:p w14:paraId="4D8C60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766" w:type="dxa"/>
            <w:tcBorders>
              <w:top w:val="nil"/>
              <w:left w:val="nil"/>
              <w:bottom w:val="single" w:color="auto" w:sz="8" w:space="0"/>
              <w:right w:val="nil"/>
            </w:tcBorders>
            <w:noWrap w:val="0"/>
            <w:vAlign w:val="center"/>
          </w:tcPr>
          <w:p w14:paraId="2094B3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84" w:type="dxa"/>
            <w:tcBorders>
              <w:top w:val="single" w:color="auto" w:sz="8" w:space="0"/>
              <w:left w:val="single" w:color="auto" w:sz="8" w:space="0"/>
              <w:bottom w:val="single" w:color="auto" w:sz="8" w:space="0"/>
              <w:right w:val="single" w:color="auto" w:sz="4" w:space="0"/>
            </w:tcBorders>
            <w:noWrap w:val="0"/>
            <w:vAlign w:val="center"/>
          </w:tcPr>
          <w:p w14:paraId="1679BC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促进基层政协工作开展</w:t>
            </w:r>
          </w:p>
        </w:tc>
        <w:tc>
          <w:tcPr>
            <w:tcW w:w="900" w:type="dxa"/>
            <w:tcBorders>
              <w:top w:val="single" w:color="auto" w:sz="4" w:space="0"/>
              <w:left w:val="single" w:color="auto" w:sz="4" w:space="0"/>
              <w:bottom w:val="single" w:color="auto" w:sz="4" w:space="0"/>
              <w:right w:val="single" w:color="auto" w:sz="8" w:space="0"/>
            </w:tcBorders>
            <w:noWrap w:val="0"/>
            <w:vAlign w:val="center"/>
          </w:tcPr>
          <w:p w14:paraId="5A70F8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有效促进</w:t>
            </w:r>
          </w:p>
        </w:tc>
        <w:tc>
          <w:tcPr>
            <w:tcW w:w="4033" w:type="dxa"/>
            <w:tcBorders>
              <w:top w:val="single" w:color="auto" w:sz="4" w:space="0"/>
              <w:left w:val="nil"/>
              <w:bottom w:val="single" w:color="auto" w:sz="4" w:space="0"/>
              <w:right w:val="single" w:color="auto" w:sz="8" w:space="0"/>
            </w:tcBorders>
            <w:noWrap w:val="0"/>
            <w:vAlign w:val="center"/>
          </w:tcPr>
          <w:p w14:paraId="63D2B8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1167" w:type="dxa"/>
            <w:tcBorders>
              <w:top w:val="single" w:color="auto" w:sz="4" w:space="0"/>
              <w:left w:val="single" w:color="auto" w:sz="8" w:space="0"/>
              <w:bottom w:val="single" w:color="auto" w:sz="4" w:space="0"/>
              <w:right w:val="single" w:color="auto" w:sz="4" w:space="0"/>
            </w:tcBorders>
            <w:noWrap w:val="0"/>
            <w:vAlign w:val="center"/>
          </w:tcPr>
          <w:p w14:paraId="3261DD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有效促进</w:t>
            </w:r>
          </w:p>
        </w:tc>
        <w:tc>
          <w:tcPr>
            <w:tcW w:w="741" w:type="dxa"/>
            <w:tcBorders>
              <w:top w:val="nil"/>
              <w:left w:val="single" w:color="auto" w:sz="4" w:space="0"/>
              <w:bottom w:val="single" w:color="auto" w:sz="8" w:space="0"/>
              <w:right w:val="single" w:color="auto" w:sz="8" w:space="0"/>
            </w:tcBorders>
            <w:noWrap w:val="0"/>
            <w:vAlign w:val="center"/>
          </w:tcPr>
          <w:p w14:paraId="72A373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7A0C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vMerge w:val="continue"/>
            <w:tcBorders>
              <w:top w:val="nil"/>
              <w:left w:val="single" w:color="auto" w:sz="8" w:space="0"/>
              <w:bottom w:val="single" w:color="auto" w:sz="8" w:space="0"/>
              <w:right w:val="single" w:color="auto" w:sz="8" w:space="0"/>
            </w:tcBorders>
            <w:noWrap w:val="0"/>
            <w:vAlign w:val="center"/>
          </w:tcPr>
          <w:p w14:paraId="19745F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1" w:type="dxa"/>
            <w:vMerge w:val="continue"/>
            <w:tcBorders>
              <w:top w:val="nil"/>
              <w:left w:val="nil"/>
              <w:bottom w:val="single" w:color="auto" w:sz="8" w:space="0"/>
              <w:right w:val="single" w:color="auto" w:sz="8" w:space="0"/>
            </w:tcBorders>
            <w:noWrap w:val="0"/>
            <w:vAlign w:val="center"/>
          </w:tcPr>
          <w:p w14:paraId="3BDF47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96" w:type="dxa"/>
            <w:vMerge w:val="continue"/>
            <w:tcBorders>
              <w:top w:val="nil"/>
              <w:left w:val="nil"/>
              <w:bottom w:val="single" w:color="auto" w:sz="8" w:space="0"/>
              <w:right w:val="single" w:color="auto" w:sz="8" w:space="0"/>
            </w:tcBorders>
            <w:noWrap w:val="0"/>
            <w:vAlign w:val="center"/>
          </w:tcPr>
          <w:p w14:paraId="3C7094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vMerge w:val="continue"/>
            <w:tcBorders>
              <w:top w:val="nil"/>
              <w:left w:val="nil"/>
              <w:bottom w:val="single" w:color="auto" w:sz="8" w:space="0"/>
              <w:right w:val="single" w:color="auto" w:sz="8" w:space="0"/>
            </w:tcBorders>
            <w:noWrap w:val="0"/>
            <w:vAlign w:val="center"/>
          </w:tcPr>
          <w:p w14:paraId="0B0AAF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94" w:type="dxa"/>
            <w:tcBorders>
              <w:top w:val="nil"/>
              <w:left w:val="nil"/>
              <w:bottom w:val="single" w:color="auto" w:sz="8" w:space="0"/>
              <w:right w:val="single" w:color="auto" w:sz="8" w:space="0"/>
            </w:tcBorders>
            <w:noWrap w:val="0"/>
            <w:vAlign w:val="center"/>
          </w:tcPr>
          <w:p w14:paraId="1B7D1E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766" w:type="dxa"/>
            <w:tcBorders>
              <w:top w:val="nil"/>
              <w:left w:val="nil"/>
              <w:bottom w:val="single" w:color="auto" w:sz="8" w:space="0"/>
              <w:right w:val="nil"/>
            </w:tcBorders>
            <w:noWrap w:val="0"/>
            <w:vAlign w:val="center"/>
          </w:tcPr>
          <w:p w14:paraId="1986EC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84" w:type="dxa"/>
            <w:tcBorders>
              <w:top w:val="nil"/>
              <w:left w:val="single" w:color="auto" w:sz="8" w:space="0"/>
              <w:bottom w:val="single" w:color="auto" w:sz="8" w:space="0"/>
              <w:right w:val="single" w:color="auto" w:sz="8" w:space="0"/>
            </w:tcBorders>
            <w:noWrap w:val="0"/>
            <w:vAlign w:val="center"/>
          </w:tcPr>
          <w:p w14:paraId="4F814B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受益干部职工满意度</w:t>
            </w:r>
            <w:r>
              <w:rPr>
                <w:rStyle w:val="58"/>
                <w:rFonts w:hint="eastAsia" w:ascii="宋体" w:hAnsi="宋体" w:eastAsia="宋体" w:cs="宋体"/>
                <w:sz w:val="21"/>
                <w:szCs w:val="21"/>
                <w:lang w:val="en-US" w:eastAsia="zh-CN"/>
              </w:rPr>
              <w:t>≥90%</w:t>
            </w:r>
          </w:p>
        </w:tc>
        <w:tc>
          <w:tcPr>
            <w:tcW w:w="900" w:type="dxa"/>
            <w:tcBorders>
              <w:top w:val="single" w:color="auto" w:sz="4" w:space="0"/>
              <w:left w:val="single" w:color="auto" w:sz="8" w:space="0"/>
              <w:bottom w:val="single" w:color="auto" w:sz="8" w:space="0"/>
              <w:right w:val="single" w:color="auto" w:sz="8" w:space="0"/>
            </w:tcBorders>
            <w:noWrap w:val="0"/>
            <w:vAlign w:val="center"/>
          </w:tcPr>
          <w:p w14:paraId="7A998E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≥90%</w:t>
            </w:r>
          </w:p>
        </w:tc>
        <w:tc>
          <w:tcPr>
            <w:tcW w:w="4033" w:type="dxa"/>
            <w:tcBorders>
              <w:top w:val="single" w:color="auto" w:sz="4" w:space="0"/>
              <w:left w:val="nil"/>
              <w:bottom w:val="single" w:color="auto" w:sz="8" w:space="0"/>
              <w:right w:val="single" w:color="auto" w:sz="8" w:space="0"/>
            </w:tcBorders>
            <w:noWrap w:val="0"/>
            <w:vAlign w:val="center"/>
          </w:tcPr>
          <w:p w14:paraId="58E221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1167" w:type="dxa"/>
            <w:tcBorders>
              <w:top w:val="single" w:color="auto" w:sz="4" w:space="0"/>
              <w:left w:val="single" w:color="auto" w:sz="8" w:space="0"/>
              <w:bottom w:val="single" w:color="auto" w:sz="8" w:space="0"/>
              <w:right w:val="single" w:color="auto" w:sz="8" w:space="0"/>
            </w:tcBorders>
            <w:noWrap w:val="0"/>
            <w:vAlign w:val="center"/>
          </w:tcPr>
          <w:p w14:paraId="14EEFD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1" w:type="dxa"/>
            <w:tcBorders>
              <w:top w:val="nil"/>
              <w:left w:val="nil"/>
              <w:bottom w:val="single" w:color="auto" w:sz="8" w:space="0"/>
              <w:right w:val="single" w:color="auto" w:sz="8" w:space="0"/>
            </w:tcBorders>
            <w:noWrap w:val="0"/>
            <w:vAlign w:val="center"/>
          </w:tcPr>
          <w:p w14:paraId="021AE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0BFBD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0" w:type="dxa"/>
            <w:tcBorders>
              <w:top w:val="nil"/>
              <w:left w:val="single" w:color="auto" w:sz="8" w:space="0"/>
              <w:bottom w:val="single" w:color="auto" w:sz="8" w:space="0"/>
              <w:right w:val="single" w:color="auto" w:sz="8" w:space="0"/>
            </w:tcBorders>
            <w:noWrap w:val="0"/>
            <w:vAlign w:val="center"/>
          </w:tcPr>
          <w:p w14:paraId="4ACEC1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701" w:type="dxa"/>
            <w:tcBorders>
              <w:top w:val="nil"/>
              <w:left w:val="nil"/>
              <w:bottom w:val="single" w:color="auto" w:sz="8" w:space="0"/>
              <w:right w:val="single" w:color="auto" w:sz="8" w:space="0"/>
            </w:tcBorders>
            <w:noWrap w:val="0"/>
            <w:vAlign w:val="center"/>
          </w:tcPr>
          <w:p w14:paraId="6D6DA0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96" w:type="dxa"/>
            <w:tcBorders>
              <w:top w:val="nil"/>
              <w:left w:val="nil"/>
              <w:bottom w:val="single" w:color="auto" w:sz="8" w:space="0"/>
              <w:right w:val="single" w:color="auto" w:sz="8" w:space="0"/>
            </w:tcBorders>
            <w:noWrap w:val="0"/>
            <w:vAlign w:val="center"/>
          </w:tcPr>
          <w:p w14:paraId="21DBA1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3" w:type="dxa"/>
            <w:tcBorders>
              <w:top w:val="nil"/>
              <w:left w:val="nil"/>
              <w:bottom w:val="single" w:color="auto" w:sz="8" w:space="0"/>
              <w:right w:val="single" w:color="auto" w:sz="8" w:space="0"/>
            </w:tcBorders>
            <w:noWrap w:val="0"/>
            <w:vAlign w:val="center"/>
          </w:tcPr>
          <w:p w14:paraId="16B98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94" w:type="dxa"/>
            <w:tcBorders>
              <w:top w:val="nil"/>
              <w:left w:val="nil"/>
              <w:bottom w:val="single" w:color="auto" w:sz="8" w:space="0"/>
              <w:right w:val="single" w:color="auto" w:sz="8" w:space="0"/>
            </w:tcBorders>
            <w:noWrap w:val="0"/>
            <w:vAlign w:val="center"/>
          </w:tcPr>
          <w:p w14:paraId="3A2CBD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nil"/>
              <w:left w:val="nil"/>
              <w:bottom w:val="single" w:color="auto" w:sz="8" w:space="0"/>
              <w:right w:val="nil"/>
            </w:tcBorders>
            <w:noWrap w:val="0"/>
            <w:vAlign w:val="center"/>
          </w:tcPr>
          <w:p w14:paraId="257222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184" w:type="dxa"/>
            <w:tcBorders>
              <w:top w:val="single" w:color="auto" w:sz="4" w:space="0"/>
              <w:left w:val="single" w:color="auto" w:sz="4" w:space="0"/>
              <w:bottom w:val="single" w:color="auto" w:sz="4" w:space="0"/>
              <w:right w:val="single" w:color="auto" w:sz="4" w:space="0"/>
            </w:tcBorders>
            <w:noWrap w:val="0"/>
            <w:vAlign w:val="center"/>
          </w:tcPr>
          <w:p w14:paraId="193DCF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5822B8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4033" w:type="dxa"/>
            <w:tcBorders>
              <w:top w:val="nil"/>
              <w:left w:val="nil"/>
              <w:bottom w:val="single" w:color="auto" w:sz="8" w:space="0"/>
              <w:right w:val="single" w:color="auto" w:sz="8" w:space="0"/>
            </w:tcBorders>
            <w:noWrap w:val="0"/>
            <w:vAlign w:val="center"/>
          </w:tcPr>
          <w:p w14:paraId="2E4AACD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167" w:type="dxa"/>
            <w:tcBorders>
              <w:top w:val="nil"/>
              <w:left w:val="nil"/>
              <w:bottom w:val="single" w:color="auto" w:sz="8" w:space="0"/>
              <w:right w:val="single" w:color="auto" w:sz="8" w:space="0"/>
            </w:tcBorders>
            <w:noWrap w:val="0"/>
            <w:vAlign w:val="center"/>
          </w:tcPr>
          <w:p w14:paraId="2A0A27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41" w:type="dxa"/>
            <w:tcBorders>
              <w:top w:val="nil"/>
              <w:left w:val="nil"/>
              <w:bottom w:val="single" w:color="auto" w:sz="8" w:space="0"/>
              <w:right w:val="single" w:color="auto" w:sz="8" w:space="0"/>
            </w:tcBorders>
            <w:noWrap w:val="0"/>
            <w:vAlign w:val="center"/>
          </w:tcPr>
          <w:p w14:paraId="643DAE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100</w:t>
            </w:r>
          </w:p>
        </w:tc>
      </w:tr>
    </w:tbl>
    <w:p w14:paraId="5AC525FB">
      <w:pPr>
        <w:pStyle w:val="10"/>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附件2：</w:t>
      </w:r>
    </w:p>
    <w:tbl>
      <w:tblPr>
        <w:tblStyle w:val="2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081"/>
        <w:gridCol w:w="1699"/>
      </w:tblGrid>
      <w:tr w14:paraId="79150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630971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4ACB4D81">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763A7CDB">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5CDEC97C">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auto"/>
                <w:sz w:val="22"/>
                <w:szCs w:val="22"/>
                <w:highlight w:val="none"/>
                <w:u w:val="none"/>
              </w:rPr>
            </w:pPr>
          </w:p>
        </w:tc>
        <w:tc>
          <w:tcPr>
            <w:tcW w:w="3081" w:type="dxa"/>
            <w:tcBorders>
              <w:top w:val="nil"/>
              <w:left w:val="nil"/>
              <w:bottom w:val="nil"/>
              <w:right w:val="nil"/>
            </w:tcBorders>
            <w:noWrap/>
            <w:vAlign w:val="center"/>
          </w:tcPr>
          <w:p w14:paraId="6413066C">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auto"/>
                <w:sz w:val="22"/>
                <w:szCs w:val="22"/>
                <w:highlight w:val="none"/>
                <w:u w:val="none"/>
              </w:rPr>
            </w:pPr>
          </w:p>
        </w:tc>
        <w:tc>
          <w:tcPr>
            <w:tcW w:w="1699" w:type="dxa"/>
            <w:tcBorders>
              <w:top w:val="nil"/>
              <w:left w:val="nil"/>
              <w:bottom w:val="nil"/>
              <w:right w:val="nil"/>
            </w:tcBorders>
            <w:noWrap/>
            <w:vAlign w:val="center"/>
          </w:tcPr>
          <w:p w14:paraId="2DC2CB19">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auto"/>
                <w:sz w:val="22"/>
                <w:szCs w:val="22"/>
                <w:highlight w:val="none"/>
                <w:u w:val="none"/>
              </w:rPr>
            </w:pPr>
          </w:p>
        </w:tc>
      </w:tr>
      <w:tr w14:paraId="6B2E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3721CA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2024年度自治区基层政协补助经费项目综合得分表</w:t>
            </w:r>
          </w:p>
        </w:tc>
      </w:tr>
      <w:tr w14:paraId="12885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F4B49E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4022A8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8BB12D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EA05B3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项目产出</w:t>
            </w:r>
          </w:p>
        </w:tc>
        <w:tc>
          <w:tcPr>
            <w:tcW w:w="3081" w:type="dxa"/>
            <w:tcBorders>
              <w:top w:val="single" w:color="auto" w:sz="4" w:space="0"/>
              <w:left w:val="single" w:color="auto" w:sz="4" w:space="0"/>
              <w:bottom w:val="single" w:color="auto" w:sz="4" w:space="0"/>
              <w:right w:val="single" w:color="auto" w:sz="4" w:space="0"/>
            </w:tcBorders>
            <w:noWrap w:val="0"/>
            <w:vAlign w:val="center"/>
          </w:tcPr>
          <w:p w14:paraId="4691DFC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项目效益</w:t>
            </w:r>
          </w:p>
        </w:tc>
        <w:tc>
          <w:tcPr>
            <w:tcW w:w="1699" w:type="dxa"/>
            <w:tcBorders>
              <w:top w:val="single" w:color="auto" w:sz="4" w:space="0"/>
              <w:left w:val="single" w:color="auto" w:sz="4" w:space="0"/>
              <w:bottom w:val="single" w:color="auto" w:sz="4" w:space="0"/>
              <w:right w:val="single" w:color="auto" w:sz="4" w:space="0"/>
            </w:tcBorders>
            <w:noWrap w:val="0"/>
            <w:vAlign w:val="center"/>
          </w:tcPr>
          <w:p w14:paraId="670683D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合计</w:t>
            </w:r>
          </w:p>
        </w:tc>
      </w:tr>
      <w:tr w14:paraId="5DD12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8FC5E0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2CDCF5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376CA9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6F8CB3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3081" w:type="dxa"/>
            <w:tcBorders>
              <w:top w:val="single" w:color="auto" w:sz="4" w:space="0"/>
              <w:left w:val="single" w:color="auto" w:sz="4" w:space="0"/>
              <w:bottom w:val="single" w:color="auto" w:sz="4" w:space="0"/>
              <w:right w:val="single" w:color="auto" w:sz="4" w:space="0"/>
            </w:tcBorders>
            <w:noWrap w:val="0"/>
            <w:vAlign w:val="center"/>
          </w:tcPr>
          <w:p w14:paraId="7313D08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20.00</w:t>
            </w:r>
          </w:p>
        </w:tc>
        <w:tc>
          <w:tcPr>
            <w:tcW w:w="1699" w:type="dxa"/>
            <w:tcBorders>
              <w:top w:val="single" w:color="auto" w:sz="4" w:space="0"/>
              <w:left w:val="single" w:color="auto" w:sz="4" w:space="0"/>
              <w:bottom w:val="single" w:color="auto" w:sz="4" w:space="0"/>
              <w:right w:val="single" w:color="auto" w:sz="4" w:space="0"/>
            </w:tcBorders>
            <w:noWrap w:val="0"/>
            <w:vAlign w:val="center"/>
          </w:tcPr>
          <w:p w14:paraId="3F4FB76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3C500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AC646C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9E5A07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FEB6C4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2CE906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40.00</w:t>
            </w:r>
          </w:p>
        </w:tc>
        <w:tc>
          <w:tcPr>
            <w:tcW w:w="3081" w:type="dxa"/>
            <w:tcBorders>
              <w:top w:val="single" w:color="auto" w:sz="4" w:space="0"/>
              <w:left w:val="single" w:color="auto" w:sz="4" w:space="0"/>
              <w:bottom w:val="single" w:color="auto" w:sz="4" w:space="0"/>
              <w:right w:val="single" w:color="auto" w:sz="4" w:space="0"/>
            </w:tcBorders>
            <w:noWrap w:val="0"/>
            <w:vAlign w:val="center"/>
          </w:tcPr>
          <w:p w14:paraId="2033252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20.00</w:t>
            </w:r>
          </w:p>
        </w:tc>
        <w:tc>
          <w:tcPr>
            <w:tcW w:w="1699" w:type="dxa"/>
            <w:tcBorders>
              <w:top w:val="single" w:color="auto" w:sz="4" w:space="0"/>
              <w:left w:val="single" w:color="auto" w:sz="4" w:space="0"/>
              <w:bottom w:val="single" w:color="auto" w:sz="4" w:space="0"/>
              <w:right w:val="single" w:color="auto" w:sz="4" w:space="0"/>
            </w:tcBorders>
            <w:noWrap w:val="0"/>
            <w:vAlign w:val="center"/>
          </w:tcPr>
          <w:p w14:paraId="71B08FD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381B3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274A9D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5A4297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C4A78B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D1D559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3081" w:type="dxa"/>
            <w:tcBorders>
              <w:top w:val="single" w:color="auto" w:sz="4" w:space="0"/>
              <w:left w:val="single" w:color="auto" w:sz="4" w:space="0"/>
              <w:bottom w:val="single" w:color="auto" w:sz="4" w:space="0"/>
              <w:right w:val="single" w:color="auto" w:sz="4" w:space="0"/>
            </w:tcBorders>
            <w:noWrap w:val="0"/>
            <w:vAlign w:val="center"/>
          </w:tcPr>
          <w:p w14:paraId="1414319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1699" w:type="dxa"/>
            <w:tcBorders>
              <w:top w:val="single" w:color="auto" w:sz="4" w:space="0"/>
              <w:left w:val="single" w:color="auto" w:sz="4" w:space="0"/>
              <w:bottom w:val="single" w:color="auto" w:sz="4" w:space="0"/>
              <w:right w:val="single" w:color="auto" w:sz="4" w:space="0"/>
            </w:tcBorders>
            <w:noWrap w:val="0"/>
            <w:vAlign w:val="center"/>
          </w:tcPr>
          <w:p w14:paraId="7789CAC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r>
    </w:tbl>
    <w:p w14:paraId="3AD11C5D">
      <w:pPr>
        <w:pStyle w:val="10"/>
        <w:ind w:left="0" w:leftChars="0" w:firstLine="0" w:firstLineChars="0"/>
        <w:jc w:val="both"/>
        <w:rPr>
          <w:rFonts w:hint="default" w:ascii="宋体" w:hAnsi="宋体" w:eastAsia="宋体" w:cs="宋体"/>
          <w:sz w:val="24"/>
          <w:szCs w:val="24"/>
          <w:highlight w:val="none"/>
          <w:lang w:val="en-US" w:eastAsia="zh-CN"/>
        </w:rPr>
      </w:pPr>
    </w:p>
    <w:p w14:paraId="39A46AA2">
      <w:pPr>
        <w:pStyle w:val="10"/>
        <w:ind w:left="0" w:leftChars="0" w:firstLine="0" w:firstLineChars="0"/>
        <w:jc w:val="both"/>
        <w:rPr>
          <w:rFonts w:hint="eastAsia" w:ascii="宋体" w:hAnsi="宋体" w:eastAsia="宋体" w:cs="宋体"/>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2D842B2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669EA7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2024年度自治区基层政协补助经费项目满意度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5BF4D4E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26F310C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50922C38">
      <w:pPr>
        <w:pStyle w:val="10"/>
        <w:keepNext w:val="0"/>
        <w:keepLines w:val="0"/>
        <w:pageBreakBefore w:val="0"/>
        <w:widowControl w:val="0"/>
        <w:kinsoku/>
        <w:wordWrap/>
        <w:overflowPunct/>
        <w:topLinePunct w:val="0"/>
        <w:autoSpaceDE/>
        <w:autoSpaceDN/>
        <w:bidi w:val="0"/>
        <w:snapToGrid w:val="0"/>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1E194B85">
      <w:pPr>
        <w:pStyle w:val="10"/>
        <w:keepNext w:val="0"/>
        <w:keepLines w:val="0"/>
        <w:pageBreakBefore w:val="0"/>
        <w:widowControl w:val="0"/>
        <w:kinsoku/>
        <w:wordWrap/>
        <w:overflowPunct/>
        <w:topLinePunct w:val="0"/>
        <w:autoSpaceDE/>
        <w:autoSpaceDN/>
        <w:bidi w:val="0"/>
        <w:snapToGrid w:val="0"/>
        <w:spacing w:before="0" w:after="0" w:line="360" w:lineRule="auto"/>
        <w:ind w:left="0" w:leftChars="0" w:firstLine="480" w:firstLineChars="200"/>
        <w:jc w:val="left"/>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的受益对象为受益干部职工。</w:t>
      </w:r>
    </w:p>
    <w:p w14:paraId="46B574A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76B604F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w:t>
      </w:r>
      <w:r>
        <w:rPr>
          <w:rFonts w:hint="eastAsia" w:ascii="宋体" w:hAnsi="宋体" w:eastAsia="宋体" w:cs="宋体"/>
          <w:color w:val="auto"/>
          <w:kern w:val="0"/>
          <w:sz w:val="24"/>
          <w:szCs w:val="24"/>
          <w:highlight w:val="none"/>
          <w:lang w:val="en-US" w:eastAsia="zh-CN" w:bidi="zh-CN"/>
        </w:rPr>
        <w:t>2024年度自治区基层政协补助经费项目的保障视频专网</w:t>
      </w:r>
      <w:r>
        <w:rPr>
          <w:rFonts w:hint="eastAsia" w:ascii="宋体" w:hAnsi="宋体" w:eastAsia="宋体" w:cs="宋体"/>
          <w:color w:val="auto"/>
          <w:sz w:val="24"/>
          <w:szCs w:val="24"/>
          <w:highlight w:val="none"/>
          <w:lang w:val="en-US" w:eastAsia="zh-CN"/>
        </w:rPr>
        <w:t>是否满意?</w:t>
      </w:r>
    </w:p>
    <w:p w14:paraId="4C5BF7F7">
      <w:pPr>
        <w:pStyle w:val="2"/>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default"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非常满意      比较满意        一般         不满意</w:t>
      </w:r>
    </w:p>
    <w:p w14:paraId="2066493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w:t>
      </w:r>
      <w:r>
        <w:rPr>
          <w:rFonts w:hint="eastAsia" w:ascii="宋体" w:hAnsi="宋体" w:eastAsia="宋体" w:cs="宋体"/>
          <w:color w:val="auto"/>
          <w:kern w:val="0"/>
          <w:sz w:val="24"/>
          <w:szCs w:val="24"/>
          <w:highlight w:val="none"/>
          <w:lang w:val="en-US" w:eastAsia="zh-CN" w:bidi="zh-CN"/>
        </w:rPr>
        <w:t>2024年度自治区基层政协补助经费项目的弥补办公经费不足</w:t>
      </w:r>
      <w:r>
        <w:rPr>
          <w:rFonts w:hint="eastAsia" w:ascii="宋体" w:hAnsi="宋体" w:eastAsia="宋体" w:cs="宋体"/>
          <w:color w:val="auto"/>
          <w:sz w:val="24"/>
          <w:szCs w:val="24"/>
          <w:highlight w:val="none"/>
          <w:lang w:val="en-US" w:eastAsia="zh-CN"/>
        </w:rPr>
        <w:t>是否满意？</w:t>
      </w:r>
    </w:p>
    <w:p w14:paraId="6E33940D">
      <w:pPr>
        <w:pStyle w:val="2"/>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default"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非常满意      比较满意        一般         不满意</w:t>
      </w:r>
    </w:p>
    <w:p w14:paraId="346931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w:t>
      </w:r>
      <w:r>
        <w:rPr>
          <w:rFonts w:hint="eastAsia" w:ascii="宋体" w:hAnsi="宋体" w:eastAsia="宋体" w:cs="宋体"/>
          <w:color w:val="auto"/>
          <w:kern w:val="0"/>
          <w:sz w:val="24"/>
          <w:szCs w:val="24"/>
          <w:highlight w:val="none"/>
          <w:lang w:val="en-US" w:eastAsia="zh-CN" w:bidi="zh-CN"/>
        </w:rPr>
        <w:t>2024年度自治区基层政协补助经费项目</w:t>
      </w:r>
      <w:r>
        <w:rPr>
          <w:rFonts w:hint="eastAsia" w:ascii="宋体" w:hAnsi="宋体" w:eastAsia="宋体" w:cs="宋体"/>
          <w:color w:val="auto"/>
          <w:sz w:val="24"/>
          <w:szCs w:val="24"/>
          <w:highlight w:val="none"/>
          <w:lang w:val="en-US" w:eastAsia="zh-CN"/>
        </w:rPr>
        <w:t>实施后的整体满意程度如何？</w:t>
      </w:r>
    </w:p>
    <w:p w14:paraId="269F837A">
      <w:pPr>
        <w:pStyle w:val="2"/>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default"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非常满意      比较满意        一般         不满意</w:t>
      </w:r>
    </w:p>
    <w:p w14:paraId="7A2C9E22">
      <w:pPr>
        <w:pStyle w:val="2"/>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eastAsia" w:ascii="宋体" w:hAnsi="宋体" w:eastAsia="宋体" w:cs="宋体"/>
          <w:i w:val="0"/>
          <w:iCs w:val="0"/>
          <w:color w:val="000000"/>
          <w:kern w:val="0"/>
          <w:sz w:val="24"/>
          <w:szCs w:val="24"/>
          <w:highlight w:val="none"/>
          <w:u w:val="none"/>
          <w:lang w:val="en-US" w:eastAsia="zh-CN"/>
        </w:rPr>
      </w:pPr>
      <w:bookmarkStart w:id="22" w:name="OLE_LINK3"/>
      <w:bookmarkStart w:id="23" w:name="OLE_LINK1"/>
      <w:r>
        <w:rPr>
          <w:rFonts w:hint="eastAsia" w:ascii="宋体" w:hAnsi="宋体" w:eastAsia="宋体" w:cs="宋体"/>
          <w:color w:val="auto"/>
          <w:sz w:val="24"/>
          <w:szCs w:val="24"/>
          <w:highlight w:val="none"/>
          <w:lang w:val="en-US" w:eastAsia="zh-CN"/>
        </w:rPr>
        <w:t>④</w:t>
      </w:r>
      <w:bookmarkEnd w:id="22"/>
      <w:r>
        <w:rPr>
          <w:rFonts w:hint="eastAsia" w:ascii="宋体" w:hAnsi="宋体" w:eastAsia="宋体" w:cs="宋体"/>
          <w:color w:val="auto"/>
          <w:sz w:val="24"/>
          <w:szCs w:val="24"/>
          <w:highlight w:val="none"/>
          <w:lang w:val="en-US" w:eastAsia="zh-CN"/>
        </w:rPr>
        <w:t>您对</w:t>
      </w:r>
      <w:r>
        <w:rPr>
          <w:rFonts w:hint="eastAsia" w:ascii="宋体" w:hAnsi="宋体" w:eastAsia="宋体" w:cs="宋体"/>
          <w:color w:val="auto"/>
          <w:kern w:val="0"/>
          <w:sz w:val="24"/>
          <w:szCs w:val="24"/>
          <w:highlight w:val="none"/>
          <w:lang w:val="en-US" w:eastAsia="zh-CN" w:bidi="zh-CN"/>
        </w:rPr>
        <w:t>2024年度自治区基层政协补助经费项目实施后对</w:t>
      </w:r>
      <w:r>
        <w:rPr>
          <w:rFonts w:hint="eastAsia" w:ascii="宋体" w:hAnsi="宋体" w:eastAsia="宋体" w:cs="宋体"/>
          <w:i w:val="0"/>
          <w:iCs w:val="0"/>
          <w:color w:val="000000"/>
          <w:kern w:val="0"/>
          <w:sz w:val="24"/>
          <w:szCs w:val="24"/>
          <w:highlight w:val="none"/>
          <w:u w:val="none"/>
          <w:lang w:val="en-US" w:eastAsia="zh-CN"/>
        </w:rPr>
        <w:t>促进基层政协工作开展的促进程度如何？</w:t>
      </w:r>
      <w:bookmarkEnd w:id="23"/>
    </w:p>
    <w:p w14:paraId="66EC3CD5">
      <w:pPr>
        <w:pStyle w:val="2"/>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default" w:ascii="宋体" w:hAnsi="宋体" w:eastAsia="宋体" w:cs="宋体"/>
          <w:i w:val="0"/>
          <w:iCs w:val="0"/>
          <w:color w:val="000000"/>
          <w:kern w:val="0"/>
          <w:sz w:val="24"/>
          <w:szCs w:val="24"/>
          <w:highlight w:val="none"/>
          <w:u w:val="none"/>
          <w:lang w:val="en-US" w:eastAsia="zh-CN"/>
        </w:rPr>
      </w:pPr>
      <w:bookmarkStart w:id="24" w:name="OLE_LINK2"/>
      <w:r>
        <w:rPr>
          <w:rFonts w:hint="eastAsia" w:ascii="宋体" w:hAnsi="宋体" w:eastAsia="宋体" w:cs="宋体"/>
          <w:i w:val="0"/>
          <w:iCs w:val="0"/>
          <w:color w:val="000000"/>
          <w:kern w:val="0"/>
          <w:sz w:val="24"/>
          <w:szCs w:val="24"/>
          <w:highlight w:val="none"/>
          <w:u w:val="none"/>
          <w:lang w:val="en-US" w:eastAsia="zh-CN"/>
        </w:rPr>
        <w:t xml:space="preserve">有效促进         一般促进            无效果 </w:t>
      </w:r>
      <w:bookmarkEnd w:id="24"/>
    </w:p>
    <w:p w14:paraId="38AF58D0">
      <w:pPr>
        <w:pStyle w:val="10"/>
        <w:keepNext w:val="0"/>
        <w:keepLines w:val="0"/>
        <w:pageBreakBefore w:val="0"/>
        <w:widowControl w:val="0"/>
        <w:kinsoku/>
        <w:wordWrap/>
        <w:overflowPunct/>
        <w:topLinePunct w:val="0"/>
        <w:autoSpaceDE/>
        <w:autoSpaceDN/>
        <w:bidi w:val="0"/>
        <w:snapToGrid w:val="0"/>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5E5E9BE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6EB67CD0">
      <w:pPr>
        <w:pStyle w:val="10"/>
        <w:keepNext w:val="0"/>
        <w:keepLines w:val="0"/>
        <w:pageBreakBefore w:val="0"/>
        <w:widowControl w:val="0"/>
        <w:kinsoku/>
        <w:wordWrap/>
        <w:overflowPunct/>
        <w:topLinePunct w:val="0"/>
        <w:autoSpaceDE/>
        <w:autoSpaceDN/>
        <w:bidi w:val="0"/>
        <w:snapToGrid w:val="0"/>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45FC491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425FF51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711D2B3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2A37DEFD">
      <w:pPr>
        <w:pStyle w:val="10"/>
        <w:keepNext w:val="0"/>
        <w:keepLines w:val="0"/>
        <w:pageBreakBefore w:val="0"/>
        <w:widowControl w:val="0"/>
        <w:kinsoku/>
        <w:wordWrap/>
        <w:overflowPunct/>
        <w:topLinePunct w:val="0"/>
        <w:autoSpaceDE/>
        <w:autoSpaceDN/>
        <w:bidi w:val="0"/>
        <w:snapToGrid w:val="0"/>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19B12AE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15D31C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4597ECA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6D3A5F2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4A15842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第四个问题：该项统计有效问卷数量30份，选择</w:t>
      </w:r>
      <w:r>
        <w:rPr>
          <w:rFonts w:hint="eastAsia" w:ascii="宋体" w:hAnsi="宋体" w:eastAsia="宋体" w:cs="宋体"/>
          <w:i w:val="0"/>
          <w:iCs w:val="0"/>
          <w:color w:val="000000"/>
          <w:kern w:val="0"/>
          <w:sz w:val="24"/>
          <w:szCs w:val="24"/>
          <w:highlight w:val="none"/>
          <w:u w:val="none"/>
          <w:lang w:val="en-US" w:eastAsia="zh-CN"/>
        </w:rPr>
        <w:t xml:space="preserve">有效促进 </w:t>
      </w:r>
      <w:r>
        <w:rPr>
          <w:rFonts w:hint="eastAsia" w:ascii="宋体" w:hAnsi="宋体" w:eastAsia="宋体" w:cs="宋体"/>
          <w:color w:val="auto"/>
          <w:sz w:val="24"/>
          <w:szCs w:val="24"/>
          <w:highlight w:val="none"/>
          <w:lang w:val="en-US" w:eastAsia="zh-CN"/>
        </w:rPr>
        <w:t>的人数为30人。选择一般促进的人数为0人，选择</w:t>
      </w:r>
      <w:r>
        <w:rPr>
          <w:rFonts w:hint="eastAsia" w:ascii="宋体" w:hAnsi="宋体" w:eastAsia="宋体" w:cs="宋体"/>
          <w:i w:val="0"/>
          <w:iCs w:val="0"/>
          <w:color w:val="000000"/>
          <w:kern w:val="0"/>
          <w:sz w:val="24"/>
          <w:szCs w:val="24"/>
          <w:highlight w:val="none"/>
          <w:u w:val="none"/>
          <w:lang w:val="en-US" w:eastAsia="zh-CN"/>
        </w:rPr>
        <w:t>无效果</w:t>
      </w:r>
      <w:r>
        <w:rPr>
          <w:rFonts w:hint="eastAsia" w:ascii="宋体" w:hAnsi="宋体" w:eastAsia="宋体" w:cs="宋体"/>
          <w:color w:val="auto"/>
          <w:sz w:val="24"/>
          <w:szCs w:val="24"/>
          <w:highlight w:val="none"/>
          <w:lang w:val="en-US" w:eastAsia="zh-CN"/>
        </w:rPr>
        <w:t>的人数0人。</w:t>
      </w:r>
    </w:p>
    <w:p w14:paraId="0E80061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71D408A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zh-CN"/>
        </w:rPr>
        <w:t>2024年度自治区基层政协补助经费项目</w:t>
      </w:r>
      <w:r>
        <w:rPr>
          <w:rFonts w:hint="eastAsia" w:ascii="宋体" w:hAnsi="宋体" w:eastAsia="宋体" w:cs="宋体"/>
          <w:color w:val="auto"/>
          <w:sz w:val="24"/>
          <w:szCs w:val="24"/>
          <w:highlight w:val="none"/>
          <w:lang w:val="en-US" w:eastAsia="zh-CN"/>
        </w:rPr>
        <w:t>针对受益人员发放30份调查问卷，最终统计</w:t>
      </w:r>
      <w:r>
        <w:rPr>
          <w:rFonts w:hint="eastAsia" w:ascii="宋体" w:hAnsi="宋体" w:eastAsia="宋体" w:cs="宋体"/>
          <w:color w:val="auto"/>
          <w:sz w:val="24"/>
          <w:szCs w:val="24"/>
          <w:highlight w:val="none"/>
        </w:rPr>
        <w:t>受益干部职工</w:t>
      </w:r>
      <w:r>
        <w:rPr>
          <w:rFonts w:hint="eastAsia" w:ascii="宋体" w:hAnsi="宋体" w:eastAsia="宋体" w:cs="宋体"/>
          <w:color w:val="auto"/>
          <w:sz w:val="24"/>
          <w:szCs w:val="24"/>
          <w:highlight w:val="none"/>
          <w:lang w:val="en-US" w:eastAsia="zh-CN"/>
        </w:rPr>
        <w:t>满意度为100%。</w:t>
      </w:r>
    </w:p>
    <w:p w14:paraId="4C04500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p>
    <w:p w14:paraId="572E7B8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3840" w:firstLineChars="16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中国人民政治协商会议新疆洛浦县委员会</w:t>
      </w:r>
    </w:p>
    <w:p w14:paraId="4D0A9F3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2025年2月21日</w:t>
      </w:r>
    </w:p>
    <w:p w14:paraId="6B72BDE2">
      <w:pPr>
        <w:pStyle w:val="10"/>
        <w:keepNext w:val="0"/>
        <w:keepLines w:val="0"/>
        <w:pageBreakBefore w:val="0"/>
        <w:widowControl w:val="0"/>
        <w:kinsoku/>
        <w:wordWrap/>
        <w:overflowPunct/>
        <w:topLinePunct w:val="0"/>
        <w:autoSpaceDE/>
        <w:autoSpaceDN/>
        <w:bidi w:val="0"/>
        <w:spacing w:before="0" w:after="0" w:line="360" w:lineRule="auto"/>
        <w:ind w:left="0" w:leftChars="0" w:firstLine="480" w:firstLineChars="200"/>
        <w:jc w:val="left"/>
        <w:textAlignment w:val="auto"/>
        <w:rPr>
          <w:rFonts w:hint="eastAsia" w:ascii="宋体" w:hAnsi="宋体" w:eastAsia="宋体" w:cs="宋体"/>
          <w:color w:val="auto"/>
          <w:sz w:val="24"/>
          <w:szCs w:val="24"/>
          <w:highlight w:val="none"/>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7DC59">
    <w:pPr>
      <w:pStyle w:val="16"/>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A05840A">
                <w:pPr>
                  <w:pStyle w:val="16"/>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BB2E5">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decimal"/>
      <w:suff w:val="nothing"/>
      <w:lvlText w:val="（%1）"/>
      <w:lvlJc w:val="left"/>
    </w:lvl>
  </w:abstractNum>
  <w:abstractNum w:abstractNumId="1">
    <w:nsid w:val="B5E306ED"/>
    <w:multiLevelType w:val="singleLevel"/>
    <w:tmpl w:val="B5E306ED"/>
    <w:lvl w:ilvl="0" w:tentative="0">
      <w:start w:val="1"/>
      <w:numFmt w:val="decimal"/>
      <w:suff w:val="nothing"/>
      <w:lvlText w:val="（%1）"/>
      <w:lvlJc w:val="left"/>
    </w:lvl>
  </w:abstractNum>
  <w:abstractNum w:abstractNumId="2">
    <w:nsid w:val="BF205925"/>
    <w:multiLevelType w:val="singleLevel"/>
    <w:tmpl w:val="BF205925"/>
    <w:lvl w:ilvl="0" w:tentative="0">
      <w:start w:val="2"/>
      <w:numFmt w:val="decimal"/>
      <w:lvlText w:val="%1."/>
      <w:lvlJc w:val="left"/>
      <w:pPr>
        <w:tabs>
          <w:tab w:val="left" w:pos="312"/>
        </w:tabs>
      </w:pPr>
    </w:lvl>
  </w:abstractNum>
  <w:abstractNum w:abstractNumId="3">
    <w:nsid w:val="CF092B84"/>
    <w:multiLevelType w:val="singleLevel"/>
    <w:tmpl w:val="CF092B84"/>
    <w:lvl w:ilvl="0" w:tentative="0">
      <w:start w:val="4"/>
      <w:numFmt w:val="decimal"/>
      <w:suff w:val="space"/>
      <w:lvlText w:val="%1."/>
      <w:lvlJc w:val="left"/>
    </w:lvl>
  </w:abstractNum>
  <w:abstractNum w:abstractNumId="4">
    <w:nsid w:val="0053208E"/>
    <w:multiLevelType w:val="multilevel"/>
    <w:tmpl w:val="0053208E"/>
    <w:lvl w:ilvl="0" w:tentative="0">
      <w:start w:val="1"/>
      <w:numFmt w:val="chineseCountingThousand"/>
      <w:pStyle w:val="6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248C179"/>
    <w:multiLevelType w:val="singleLevel"/>
    <w:tmpl w:val="0248C179"/>
    <w:lvl w:ilvl="0" w:tentative="0">
      <w:start w:val="1"/>
      <w:numFmt w:val="decimal"/>
      <w:suff w:val="nothing"/>
      <w:lvlText w:val="（%1）"/>
      <w:lvlJc w:val="left"/>
    </w:lvl>
  </w:abstractNum>
  <w:abstractNum w:abstractNumId="6">
    <w:nsid w:val="03D62ECE"/>
    <w:multiLevelType w:val="singleLevel"/>
    <w:tmpl w:val="03D62ECE"/>
    <w:lvl w:ilvl="0" w:tentative="0">
      <w:start w:val="1"/>
      <w:numFmt w:val="decimal"/>
      <w:suff w:val="nothing"/>
      <w:lvlText w:val="%1）"/>
      <w:lvlJc w:val="left"/>
    </w:lvl>
  </w:abstractNum>
  <w:abstractNum w:abstractNumId="7">
    <w:nsid w:val="25B654F3"/>
    <w:multiLevelType w:val="singleLevel"/>
    <w:tmpl w:val="25B654F3"/>
    <w:lvl w:ilvl="0" w:tentative="0">
      <w:start w:val="1"/>
      <w:numFmt w:val="decimal"/>
      <w:suff w:val="nothing"/>
      <w:lvlText w:val="（%1）"/>
      <w:lvlJc w:val="left"/>
    </w:lvl>
  </w:abstractNum>
  <w:abstractNum w:abstractNumId="8">
    <w:nsid w:val="2A8F537B"/>
    <w:multiLevelType w:val="singleLevel"/>
    <w:tmpl w:val="2A8F537B"/>
    <w:lvl w:ilvl="0" w:tentative="0">
      <w:start w:val="7"/>
      <w:numFmt w:val="chineseCounting"/>
      <w:suff w:val="nothing"/>
      <w:lvlText w:val="%1、"/>
      <w:lvlJc w:val="left"/>
      <w:rPr>
        <w:rFonts w:hint="eastAsia"/>
      </w:rPr>
    </w:lvl>
  </w:abstractNum>
  <w:abstractNum w:abstractNumId="9">
    <w:nsid w:val="59ADCABA"/>
    <w:multiLevelType w:val="singleLevel"/>
    <w:tmpl w:val="59ADCABA"/>
    <w:lvl w:ilvl="0" w:tentative="0">
      <w:start w:val="1"/>
      <w:numFmt w:val="decimal"/>
      <w:suff w:val="nothing"/>
      <w:lvlText w:val="（%1）"/>
      <w:lvlJc w:val="left"/>
      <w:pPr>
        <w:ind w:left="80"/>
      </w:pPr>
    </w:lvl>
  </w:abstractNum>
  <w:abstractNum w:abstractNumId="10">
    <w:nsid w:val="72183CF9"/>
    <w:multiLevelType w:val="singleLevel"/>
    <w:tmpl w:val="72183CF9"/>
    <w:lvl w:ilvl="0" w:tentative="0">
      <w:start w:val="4"/>
      <w:numFmt w:val="decimal"/>
      <w:suff w:val="nothing"/>
      <w:lvlText w:val="（%1）"/>
      <w:lvlJc w:val="left"/>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72867ECB"/>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next w:val="11"/>
    <w:qFormat/>
    <w:uiPriority w:val="0"/>
    <w:pPr>
      <w:spacing w:before="240" w:after="240" w:line="360" w:lineRule="auto"/>
      <w:jc w:val="center"/>
    </w:pPr>
    <w:rPr>
      <w:b/>
      <w:sz w:val="44"/>
    </w:rPr>
  </w:style>
  <w:style w:type="paragraph" w:styleId="11">
    <w:name w:val="Body Text 2"/>
    <w:basedOn w:val="1"/>
    <w:qFormat/>
    <w:uiPriority w:val="0"/>
    <w:pPr>
      <w:spacing w:after="120" w:line="480" w:lineRule="auto"/>
    </w:pPr>
    <w:rPr>
      <w:rFonts w:ascii="Times New Roman" w:hAnsi="Times New Roman" w:eastAsia="宋体"/>
    </w:rPr>
  </w:style>
  <w:style w:type="paragraph" w:styleId="12">
    <w:name w:val="toc 5"/>
    <w:basedOn w:val="1"/>
    <w:next w:val="1"/>
    <w:unhideWhenUsed/>
    <w:uiPriority w:val="39"/>
    <w:pPr>
      <w:ind w:left="1120"/>
      <w:jc w:val="left"/>
    </w:pPr>
    <w:rPr>
      <w:rFonts w:ascii="Calibri" w:hAnsi="Calibri" w:cs="Calibri"/>
      <w:sz w:val="18"/>
      <w:szCs w:val="18"/>
    </w:rPr>
  </w:style>
  <w:style w:type="paragraph" w:styleId="13">
    <w:name w:val="toc 3"/>
    <w:basedOn w:val="1"/>
    <w:next w:val="1"/>
    <w:unhideWhenUsed/>
    <w:uiPriority w:val="39"/>
    <w:pPr>
      <w:ind w:left="560"/>
      <w:jc w:val="left"/>
    </w:pPr>
    <w:rPr>
      <w:rFonts w:ascii="Calibri" w:hAnsi="Calibri" w:cs="Calibri"/>
      <w:i/>
      <w:iCs/>
      <w:sz w:val="20"/>
      <w:szCs w:val="20"/>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5"/>
    <w:semiHidden/>
    <w:uiPriority w:val="99"/>
    <w:rPr>
      <w:rFonts w:ascii="Calibri" w:hAnsi="Calibri" w:eastAsia="仿宋_GB2312" w:cs="黑体"/>
      <w:sz w:val="18"/>
      <w:szCs w:val="18"/>
    </w:rPr>
  </w:style>
  <w:style w:type="character" w:customStyle="1" w:styleId="40">
    <w:name w:val="页脚 Char"/>
    <w:link w:val="16"/>
    <w:uiPriority w:val="99"/>
    <w:rPr>
      <w:rFonts w:ascii="Calibri" w:hAnsi="Calibri" w:eastAsia="仿宋_GB2312" w:cs="黑体"/>
      <w:sz w:val="18"/>
      <w:szCs w:val="18"/>
    </w:rPr>
  </w:style>
  <w:style w:type="character" w:customStyle="1" w:styleId="41">
    <w:name w:val="页眉 Char"/>
    <w:link w:val="17"/>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无间隔 Char"/>
    <w:link w:val="45"/>
    <w:uiPriority w:val="1"/>
    <w:rPr>
      <w:rFonts w:eastAsia="仿宋_GB2312" w:cs="黑体"/>
      <w:kern w:val="2"/>
      <w:sz w:val="28"/>
      <w:szCs w:val="22"/>
      <w:lang w:val="en-US" w:eastAsia="zh-CN" w:bidi="ar-SA"/>
    </w:rPr>
  </w:style>
  <w:style w:type="paragraph" w:styleId="45">
    <w:name w:val="No Spacing"/>
    <w:link w:val="4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6">
    <w:name w:val="font11"/>
    <w:qFormat/>
    <w:uiPriority w:val="0"/>
    <w:rPr>
      <w:rFonts w:hint="eastAsia" w:ascii="方正仿宋_GBK" w:hAnsi="方正仿宋_GBK" w:eastAsia="方正仿宋_GBK" w:cs="方正仿宋_GBK"/>
      <w:color w:val="000000"/>
      <w:sz w:val="24"/>
      <w:szCs w:val="24"/>
      <w:u w:val="none"/>
    </w:rPr>
  </w:style>
  <w:style w:type="character" w:customStyle="1" w:styleId="47">
    <w:name w:val="闻政-正文一级标题 Char"/>
    <w:link w:val="48"/>
    <w:uiPriority w:val="3"/>
    <w:rPr>
      <w:rFonts w:ascii="黑体" w:hAnsi="黑体" w:eastAsia="黑体"/>
      <w:bCs/>
      <w:sz w:val="32"/>
      <w:szCs w:val="32"/>
    </w:rPr>
  </w:style>
  <w:style w:type="paragraph" w:customStyle="1" w:styleId="48">
    <w:name w:val="闻政-正文一级标题"/>
    <w:basedOn w:val="6"/>
    <w:next w:val="49"/>
    <w:link w:val="47"/>
    <w:qFormat/>
    <w:uiPriority w:val="3"/>
    <w:pPr>
      <w:spacing w:before="120" w:after="60" w:line="500" w:lineRule="exact"/>
      <w:ind w:firstLine="0" w:firstLineChars="0"/>
      <w:outlineLvl w:val="0"/>
    </w:pPr>
    <w:rPr>
      <w:rFonts w:ascii="黑体" w:hAnsi="黑体" w:eastAsia="黑体"/>
      <w:sz w:val="32"/>
    </w:rPr>
  </w:style>
  <w:style w:type="paragraph" w:customStyle="1" w:styleId="49">
    <w:name w:val="闻政-正文段落文字"/>
    <w:basedOn w:val="1"/>
    <w:link w:val="50"/>
    <w:qFormat/>
    <w:uiPriority w:val="3"/>
    <w:pPr>
      <w:spacing w:line="500" w:lineRule="exact"/>
      <w:ind w:firstLine="200"/>
    </w:pPr>
    <w:rPr>
      <w:rFonts w:ascii="Times New Roman" w:hAnsi="Times New Roman" w:cs="Times New Roman"/>
      <w:kern w:val="0"/>
      <w:szCs w:val="28"/>
    </w:rPr>
  </w:style>
  <w:style w:type="character" w:customStyle="1" w:styleId="50">
    <w:name w:val="闻政-正文段落文字 Char"/>
    <w:link w:val="49"/>
    <w:uiPriority w:val="3"/>
    <w:rPr>
      <w:rFonts w:ascii="Times New Roman" w:hAnsi="Times New Roman" w:eastAsia="仿宋_GB2312"/>
      <w:sz w:val="28"/>
      <w:szCs w:val="28"/>
    </w:rPr>
  </w:style>
  <w:style w:type="character" w:customStyle="1" w:styleId="51">
    <w:name w:val="font71"/>
    <w:basedOn w:val="26"/>
    <w:uiPriority w:val="0"/>
    <w:rPr>
      <w:rFonts w:hint="eastAsia" w:ascii="微软雅黑" w:hAnsi="微软雅黑" w:eastAsia="微软雅黑" w:cs="微软雅黑"/>
      <w:b/>
      <w:bCs/>
      <w:color w:val="000000"/>
      <w:sz w:val="32"/>
      <w:szCs w:val="32"/>
      <w:u w:val="non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9"/>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54"/>
    <w:qFormat/>
    <w:uiPriority w:val="0"/>
    <w:rPr>
      <w:b/>
      <w:bCs/>
      <w:smallCaps/>
      <w:color w:val="C0504D"/>
      <w:spacing w:val="5"/>
      <w:u w:val="single"/>
    </w:rPr>
  </w:style>
  <w:style w:type="character" w:customStyle="1" w:styleId="55">
    <w:name w:val="闻政-正文二级标题 Char"/>
    <w:link w:val="56"/>
    <w:uiPriority w:val="3"/>
    <w:rPr>
      <w:rFonts w:ascii="Times New Roman" w:hAnsi="Times New Roman" w:eastAsia="仿宋_GB2312"/>
      <w:b/>
      <w:bCs/>
      <w:sz w:val="28"/>
      <w:szCs w:val="32"/>
    </w:rPr>
  </w:style>
  <w:style w:type="paragraph" w:customStyle="1" w:styleId="56">
    <w:name w:val="闻政-正文二级标题"/>
    <w:basedOn w:val="5"/>
    <w:next w:val="49"/>
    <w:link w:val="55"/>
    <w:qFormat/>
    <w:uiPriority w:val="3"/>
    <w:pPr>
      <w:spacing w:before="120" w:after="60" w:line="500" w:lineRule="exact"/>
      <w:ind w:left="200" w:leftChars="200" w:firstLine="0" w:firstLineChars="0"/>
    </w:pPr>
    <w:rPr>
      <w:rFonts w:ascii="Times New Roman" w:hAnsi="Times New Roman"/>
      <w:sz w:val="28"/>
    </w:rPr>
  </w:style>
  <w:style w:type="character" w:customStyle="1" w:styleId="57">
    <w:name w:val="font21"/>
    <w:uiPriority w:val="0"/>
    <w:rPr>
      <w:rFonts w:hint="default" w:ascii="Times New Roman" w:hAnsi="Times New Roman" w:cs="Times New Roman"/>
      <w:color w:val="000000"/>
      <w:sz w:val="24"/>
      <w:szCs w:val="24"/>
      <w:u w:val="none"/>
    </w:rPr>
  </w:style>
  <w:style w:type="character" w:customStyle="1" w:styleId="58">
    <w:name w:val="font61"/>
    <w:basedOn w:val="26"/>
    <w:uiPriority w:val="0"/>
    <w:rPr>
      <w:rFonts w:hint="eastAsia" w:ascii="宋体" w:hAnsi="宋体" w:eastAsia="宋体" w:cs="宋体"/>
      <w:color w:val="000000"/>
      <w:sz w:val="24"/>
      <w:szCs w:val="24"/>
      <w:u w:val="none"/>
    </w:rPr>
  </w:style>
  <w:style w:type="paragraph" w:customStyle="1" w:styleId="59">
    <w:name w:val="Char"/>
    <w:basedOn w:val="1"/>
    <w:qFormat/>
    <w:uiPriority w:val="0"/>
    <w:rPr>
      <w:rFonts w:ascii="仿宋_GB2312" w:eastAsia="仿宋_GB2312" w:cs="黑体"/>
      <w:b/>
      <w:sz w:val="32"/>
      <w:szCs w:val="32"/>
    </w:rPr>
  </w:style>
  <w:style w:type="paragraph" w:customStyle="1" w:styleId="60">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61">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62">
    <w:name w:val="List Paragraph"/>
    <w:basedOn w:val="1"/>
    <w:qFormat/>
    <w:uiPriority w:val="34"/>
    <w:pPr>
      <w:ind w:firstLine="420"/>
    </w:pPr>
  </w:style>
  <w:style w:type="paragraph" w:customStyle="1" w:styleId="63">
    <w:name w:val="List Paragraph_0"/>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D4F7022E4E94412A9EF5907CE04D91D0_13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5e760-bb17-4ae5-9e57-9bf28f6d102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6</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2025-10-10T11:04:28Z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D4F7022E4E94412A9EF5907CE04D91D0_13</vt:lpwstr>
  </property>
  <property fmtid="{D5CDD505-2E9C-101B-9397-08002B2CF9AE}" pid="4" name="KSOTemplateDocerSaveRecord">
    <vt:lpwstr>eyJoZGlkIjoiZDE5MGZhMTJhZDM2OTQwYzkzYWVjM2FhZDUxN2Q0M2IiLCJ1c2VySWQiOiI2NTE5NDIwMjYifQ_x003D__x003D_</vt:lpwstr>
  </property>
</Properties>
</file>