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04C606"/>
    <w:p w14:paraId="2A0C43AA">
      <w:pPr>
        <w:spacing w:line="560" w:lineRule="exact"/>
        <w:ind w:firstLine="0" w:firstLineChars="0"/>
        <w:rPr>
          <w:rFonts w:eastAsia="方正仿宋_GBK" w:cs="方正仿宋_GBK"/>
          <w:b/>
          <w:kern w:val="0"/>
          <w:sz w:val="32"/>
          <w:szCs w:val="32"/>
          <w:lang w:bidi="en-US"/>
        </w:rPr>
      </w:pPr>
    </w:p>
    <w:p w14:paraId="4E2B8875">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黑体" w:hAnsi="黑体" w:eastAsia="黑体" w:cs="黑体"/>
          <w:b/>
          <w:color w:val="auto"/>
          <w:sz w:val="36"/>
          <w:szCs w:val="36"/>
          <w:highlight w:val="none"/>
          <w:lang w:val="en-US" w:eastAsia="zh-CN"/>
        </w:rPr>
      </w:pPr>
      <w:r>
        <w:rPr>
          <w:rFonts w:hint="eastAsia" w:ascii="黑体" w:hAnsi="黑体" w:eastAsia="黑体" w:cs="黑体"/>
          <w:b/>
          <w:color w:val="auto"/>
          <w:sz w:val="36"/>
          <w:szCs w:val="36"/>
          <w:highlight w:val="none"/>
          <w:lang w:val="en-US" w:eastAsia="zh-CN"/>
        </w:rPr>
        <w:t>和田地区洛浦县2024年中央城乡义务教育补助</w:t>
      </w:r>
    </w:p>
    <w:p w14:paraId="52D8EA8D">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黑体" w:hAnsi="黑体" w:eastAsia="黑体" w:cs="黑体"/>
          <w:b/>
          <w:color w:val="auto"/>
          <w:sz w:val="36"/>
          <w:szCs w:val="36"/>
          <w:highlight w:val="none"/>
          <w:lang w:val="en-US" w:eastAsia="zh-CN"/>
        </w:rPr>
      </w:pPr>
      <w:r>
        <w:rPr>
          <w:rFonts w:hint="eastAsia" w:ascii="黑体" w:hAnsi="黑体" w:eastAsia="黑体" w:cs="黑体"/>
          <w:b/>
          <w:color w:val="auto"/>
          <w:sz w:val="36"/>
          <w:szCs w:val="36"/>
          <w:highlight w:val="none"/>
          <w:lang w:val="en-US" w:eastAsia="zh-CN"/>
        </w:rPr>
        <w:t>项目支出绩效评价报告</w:t>
      </w:r>
    </w:p>
    <w:p w14:paraId="1EF261D0">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黑体" w:hAnsi="黑体" w:eastAsia="黑体" w:cs="黑体"/>
          <w:b w:val="0"/>
          <w:bCs/>
          <w:color w:val="auto"/>
          <w:kern w:val="2"/>
          <w:sz w:val="36"/>
          <w:szCs w:val="36"/>
          <w:highlight w:val="none"/>
          <w:lang w:val="en-US" w:eastAsia="zh-CN" w:bidi="ar-SA"/>
        </w:rPr>
      </w:pPr>
      <w:r>
        <w:rPr>
          <w:rFonts w:hint="eastAsia" w:ascii="黑体" w:hAnsi="黑体" w:eastAsia="黑体" w:cs="黑体"/>
          <w:b w:val="0"/>
          <w:bCs/>
          <w:color w:val="auto"/>
          <w:kern w:val="2"/>
          <w:sz w:val="36"/>
          <w:szCs w:val="36"/>
          <w:highlight w:val="none"/>
          <w:lang w:val="en-US" w:eastAsia="zh-CN" w:bidi="ar-SA"/>
        </w:rPr>
        <w:t>（2024年度）</w:t>
      </w:r>
    </w:p>
    <w:p w14:paraId="7F182DFD">
      <w:pPr>
        <w:pStyle w:val="6"/>
        <w:spacing w:before="0" w:after="0" w:line="560" w:lineRule="exact"/>
        <w:ind w:firstLine="640"/>
        <w:rPr>
          <w:rFonts w:hint="eastAsia" w:eastAsia="方正仿宋_GBK" w:cs="方正仿宋_GBK"/>
          <w:b/>
          <w:sz w:val="32"/>
          <w:lang w:bidi="en-US"/>
        </w:rPr>
      </w:pPr>
    </w:p>
    <w:p w14:paraId="1B71EB43">
      <w:pPr>
        <w:spacing w:line="560" w:lineRule="exact"/>
        <w:ind w:firstLine="560"/>
        <w:rPr>
          <w:rFonts w:hint="eastAsia"/>
        </w:rPr>
      </w:pPr>
    </w:p>
    <w:p w14:paraId="7E964FF4">
      <w:pPr>
        <w:spacing w:line="560" w:lineRule="exact"/>
        <w:ind w:firstLine="0" w:firstLineChars="0"/>
        <w:rPr>
          <w:rFonts w:hint="eastAsia" w:eastAsia="方正仿宋_GBK" w:cs="方正仿宋_GBK"/>
          <w:kern w:val="0"/>
          <w:sz w:val="32"/>
          <w:szCs w:val="32"/>
          <w:lang w:bidi="en-US"/>
        </w:rPr>
      </w:pPr>
    </w:p>
    <w:p w14:paraId="13061175">
      <w:pPr>
        <w:pStyle w:val="2"/>
        <w:rPr>
          <w:rFonts w:hint="eastAsia" w:eastAsia="方正仿宋_GBK" w:cs="方正仿宋_GBK"/>
          <w:kern w:val="0"/>
          <w:sz w:val="32"/>
          <w:szCs w:val="32"/>
          <w:lang w:bidi="en-US"/>
        </w:rPr>
      </w:pPr>
    </w:p>
    <w:p w14:paraId="70B2C9C6">
      <w:pPr>
        <w:pStyle w:val="2"/>
        <w:rPr>
          <w:rFonts w:hint="eastAsia" w:eastAsia="方正仿宋_GBK" w:cs="方正仿宋_GBK"/>
          <w:kern w:val="0"/>
          <w:sz w:val="32"/>
          <w:szCs w:val="32"/>
          <w:lang w:bidi="en-US"/>
        </w:rPr>
      </w:pPr>
    </w:p>
    <w:p w14:paraId="41B6AE8F">
      <w:pPr>
        <w:pStyle w:val="2"/>
        <w:rPr>
          <w:rFonts w:hint="eastAsia" w:eastAsia="方正仿宋_GBK" w:cs="方正仿宋_GBK"/>
          <w:kern w:val="0"/>
          <w:sz w:val="32"/>
          <w:szCs w:val="32"/>
          <w:lang w:bidi="en-US"/>
        </w:rPr>
      </w:pPr>
    </w:p>
    <w:p w14:paraId="32B54B90">
      <w:pPr>
        <w:pStyle w:val="2"/>
        <w:rPr>
          <w:rFonts w:hint="eastAsia" w:eastAsia="方正仿宋_GBK" w:cs="方正仿宋_GBK"/>
          <w:kern w:val="0"/>
          <w:sz w:val="32"/>
          <w:szCs w:val="32"/>
          <w:lang w:bidi="en-US"/>
        </w:rPr>
      </w:pPr>
    </w:p>
    <w:p w14:paraId="3BAAFECB">
      <w:pPr>
        <w:spacing w:line="560" w:lineRule="exact"/>
        <w:ind w:left="2520" w:leftChars="400" w:hanging="1400" w:hangingChars="500"/>
        <w:jc w:val="left"/>
        <w:rPr>
          <w:rFonts w:hint="eastAsia" w:ascii="宋体" w:hAnsi="宋体" w:eastAsia="宋体" w:cs="宋体"/>
          <w:kern w:val="0"/>
          <w:szCs w:val="28"/>
          <w:lang w:val="en-US" w:eastAsia="zh-CN" w:bidi="en-US"/>
        </w:rPr>
      </w:pPr>
      <w:r>
        <w:rPr>
          <w:rFonts w:hint="eastAsia" w:ascii="宋体" w:hAnsi="宋体" w:eastAsia="宋体" w:cs="宋体"/>
          <w:kern w:val="0"/>
          <w:szCs w:val="28"/>
          <w:lang w:bidi="en-US"/>
        </w:rPr>
        <w:t>项目名称：2024年中央城乡义务教育补助</w:t>
      </w:r>
      <w:r>
        <w:rPr>
          <w:rFonts w:hint="eastAsia" w:ascii="宋体" w:hAnsi="宋体" w:eastAsia="宋体" w:cs="宋体"/>
          <w:kern w:val="0"/>
          <w:szCs w:val="28"/>
          <w:lang w:val="en-US" w:eastAsia="zh-CN" w:bidi="en-US"/>
        </w:rPr>
        <w:t>项目</w:t>
      </w:r>
    </w:p>
    <w:p w14:paraId="77CEA246">
      <w:pPr>
        <w:spacing w:line="560" w:lineRule="exact"/>
        <w:ind w:firstLine="1120" w:firstLineChars="400"/>
        <w:jc w:val="left"/>
        <w:rPr>
          <w:rFonts w:hint="eastAsia" w:ascii="宋体" w:hAnsi="宋体" w:eastAsia="宋体" w:cs="宋体"/>
          <w:kern w:val="0"/>
          <w:szCs w:val="28"/>
          <w:lang w:bidi="en-US"/>
        </w:rPr>
      </w:pPr>
      <w:r>
        <w:rPr>
          <w:rFonts w:hint="eastAsia" w:ascii="宋体" w:hAnsi="宋体" w:eastAsia="宋体" w:cs="宋体"/>
          <w:kern w:val="0"/>
          <w:szCs w:val="28"/>
          <w:lang w:bidi="en-US"/>
        </w:rPr>
        <w:t>项目单位：洛浦县第四小学</w:t>
      </w:r>
    </w:p>
    <w:p w14:paraId="4FDC4681">
      <w:pPr>
        <w:spacing w:line="560" w:lineRule="exact"/>
        <w:ind w:firstLine="1120" w:firstLineChars="400"/>
        <w:jc w:val="left"/>
        <w:rPr>
          <w:rFonts w:hint="eastAsia" w:ascii="宋体" w:hAnsi="宋体" w:eastAsia="宋体" w:cs="宋体"/>
          <w:kern w:val="0"/>
          <w:szCs w:val="28"/>
          <w:lang w:bidi="en-US"/>
        </w:rPr>
      </w:pPr>
      <w:r>
        <w:rPr>
          <w:rFonts w:hint="eastAsia" w:ascii="宋体" w:hAnsi="宋体" w:eastAsia="宋体" w:cs="宋体"/>
          <w:kern w:val="0"/>
          <w:szCs w:val="28"/>
          <w:lang w:bidi="en-US"/>
        </w:rPr>
        <w:t>主管部门：洛浦县教育局</w:t>
      </w:r>
      <w:bookmarkStart w:id="18" w:name="_GoBack"/>
      <w:bookmarkEnd w:id="18"/>
    </w:p>
    <w:p w14:paraId="09164014">
      <w:pPr>
        <w:spacing w:line="560" w:lineRule="exact"/>
        <w:ind w:firstLine="1120" w:firstLineChars="400"/>
        <w:jc w:val="left"/>
        <w:rPr>
          <w:rFonts w:hint="eastAsia" w:ascii="宋体" w:hAnsi="宋体" w:eastAsia="宋体" w:cs="宋体"/>
          <w:kern w:val="0"/>
          <w:szCs w:val="28"/>
          <w:lang w:bidi="en-US"/>
        </w:rPr>
      </w:pPr>
      <w:r>
        <w:rPr>
          <w:rFonts w:hint="eastAsia" w:ascii="宋体" w:hAnsi="宋体" w:eastAsia="宋体" w:cs="宋体"/>
          <w:kern w:val="0"/>
          <w:szCs w:val="28"/>
          <w:lang w:bidi="en-US"/>
        </w:rPr>
        <w:t>项目负责人：马建明</w:t>
      </w:r>
    </w:p>
    <w:p w14:paraId="39608522">
      <w:pPr>
        <w:spacing w:line="560" w:lineRule="exact"/>
        <w:ind w:firstLine="1120" w:firstLineChars="400"/>
        <w:jc w:val="left"/>
        <w:rPr>
          <w:rFonts w:hint="eastAsia" w:ascii="宋体" w:hAnsi="宋体" w:eastAsia="宋体" w:cs="宋体"/>
          <w:kern w:val="0"/>
          <w:szCs w:val="28"/>
          <w:lang w:bidi="en-US"/>
        </w:rPr>
      </w:pPr>
      <w:r>
        <w:rPr>
          <w:rFonts w:hint="eastAsia" w:ascii="宋体" w:hAnsi="宋体" w:eastAsia="宋体" w:cs="宋体"/>
          <w:kern w:val="0"/>
          <w:szCs w:val="28"/>
          <w:lang w:bidi="en-US"/>
        </w:rPr>
        <w:t>填报时间：2025年 3 月 3</w:t>
      </w:r>
      <w:r>
        <w:rPr>
          <w:rFonts w:hint="eastAsia" w:ascii="宋体" w:hAnsi="宋体" w:eastAsia="宋体" w:cs="宋体"/>
          <w:kern w:val="0"/>
          <w:szCs w:val="28"/>
          <w:lang w:val="en-US" w:eastAsia="zh-CN" w:bidi="en-US"/>
        </w:rPr>
        <w:t>1</w:t>
      </w:r>
      <w:r>
        <w:rPr>
          <w:rFonts w:hint="eastAsia" w:ascii="宋体" w:hAnsi="宋体" w:eastAsia="宋体" w:cs="宋体"/>
          <w:kern w:val="0"/>
          <w:szCs w:val="28"/>
          <w:lang w:bidi="en-US"/>
        </w:rPr>
        <w:t>日</w:t>
      </w:r>
    </w:p>
    <w:p w14:paraId="78E50F55">
      <w:pPr>
        <w:pStyle w:val="2"/>
        <w:ind w:left="0" w:leftChars="0" w:firstLine="0" w:firstLineChars="0"/>
        <w:rPr>
          <w:rFonts w:hint="eastAsia" w:ascii="黑体" w:hAnsi="黑体" w:eastAsia="黑体" w:cs="黑体"/>
          <w:sz w:val="24"/>
          <w:szCs w:val="24"/>
          <w:lang w:val="en-US" w:eastAsia="zh-CN"/>
        </w:rPr>
      </w:pPr>
      <w:bookmarkStart w:id="0" w:name="_Toc68364657"/>
    </w:p>
    <w:p w14:paraId="3B3E0566">
      <w:pPr>
        <w:pStyle w:val="2"/>
        <w:rPr>
          <w:rFonts w:hint="eastAsia" w:ascii="黑体" w:hAnsi="黑体" w:eastAsia="黑体" w:cs="黑体"/>
          <w:sz w:val="24"/>
          <w:szCs w:val="24"/>
          <w:lang w:val="en-US" w:eastAsia="zh-CN"/>
        </w:rPr>
      </w:pPr>
    </w:p>
    <w:p w14:paraId="402F09BD">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r>
        <w:rPr>
          <w:rFonts w:hint="eastAsia" w:ascii="黑体" w:hAnsi="黑体" w:eastAsia="黑体" w:cs="黑体"/>
          <w:sz w:val="24"/>
          <w:szCs w:val="24"/>
          <w:lang w:val="en-US" w:eastAsia="zh-CN"/>
        </w:rPr>
        <w:t>一、</w:t>
      </w:r>
      <w:r>
        <w:rPr>
          <w:rFonts w:hint="eastAsia" w:ascii="黑体" w:hAnsi="黑体" w:eastAsia="黑体" w:cs="黑体"/>
          <w:sz w:val="24"/>
          <w:szCs w:val="24"/>
        </w:rPr>
        <w:t>基本情况</w:t>
      </w:r>
      <w:bookmarkEnd w:id="0"/>
    </w:p>
    <w:p w14:paraId="4B895B13">
      <w:pPr>
        <w:pStyle w:val="48"/>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1" w:name="_Toc68364658"/>
      <w:r>
        <w:rPr>
          <w:rFonts w:hint="eastAsia" w:ascii="宋体" w:hAnsi="宋体" w:eastAsia="宋体" w:cs="宋体"/>
          <w:sz w:val="24"/>
          <w:szCs w:val="24"/>
          <w:lang w:eastAsia="zh-CN"/>
        </w:rPr>
        <w:t>（一）</w:t>
      </w:r>
      <w:r>
        <w:rPr>
          <w:rFonts w:hint="eastAsia" w:ascii="宋体" w:hAnsi="宋体" w:eastAsia="宋体" w:cs="宋体"/>
          <w:sz w:val="24"/>
          <w:szCs w:val="24"/>
        </w:rPr>
        <w:t>项目概况</w:t>
      </w:r>
      <w:bookmarkEnd w:id="1"/>
    </w:p>
    <w:p w14:paraId="559E3E22">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1. 项目背景</w:t>
      </w:r>
    </w:p>
    <w:p w14:paraId="258054DE">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根据党的教育方针及教学大纲，认真贯彻落实党和国家的 教育方针、政策，正确执行上级主管部门的决议和指示，根据教育规律、社会要求和学校实际，组织制定学校 发展的远景规划、近期目标、学年和学期各项工作计划 以及各项工作指标并组织实施。制定教师队伍建设规划 ，不断提高他们的政治素质、文化业务水平和科研水平 。全面实施素质教育，培养德、智、体、美等方面全面 发展的社会主义事业的建设者和接班人。</w:t>
      </w:r>
    </w:p>
    <w:p w14:paraId="28EE4CE6">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主要内容及实施情况</w:t>
      </w:r>
    </w:p>
    <w:p w14:paraId="4F74E9BC">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1）主要内容</w:t>
      </w:r>
    </w:p>
    <w:p w14:paraId="374546B3">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lang w:eastAsia="zh-CN"/>
        </w:rPr>
      </w:pPr>
      <w:r>
        <w:rPr>
          <w:rFonts w:hint="eastAsia" w:ascii="宋体" w:hAnsi="宋体" w:eastAsia="宋体" w:cs="宋体"/>
          <w:sz w:val="24"/>
          <w:szCs w:val="24"/>
        </w:rPr>
        <w:t>为保障学校日常工作正常运行，本项目正常性项目，资金总额为119.22万元，主要用于学生家庭生活困难补助及学校公用经费。将在2024年12月之前完成。通过实施本项目可以有效提高学校工作效率。保障学校日常工作正常运行</w:t>
      </w:r>
      <w:r>
        <w:rPr>
          <w:rFonts w:hint="eastAsia" w:ascii="宋体" w:hAnsi="宋体" w:eastAsia="宋体" w:cs="宋体"/>
          <w:sz w:val="24"/>
          <w:szCs w:val="24"/>
          <w:lang w:eastAsia="zh-CN"/>
        </w:rPr>
        <w:t>。</w:t>
      </w:r>
    </w:p>
    <w:p w14:paraId="5953D5E3">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ascii="宋体" w:hAnsi="宋体" w:eastAsia="宋体" w:cs="宋体"/>
          <w:b/>
          <w:bCs/>
          <w:sz w:val="24"/>
          <w:szCs w:val="24"/>
          <w:lang w:val="en-US" w:eastAsia="zh-CN"/>
        </w:rPr>
      </w:pPr>
      <w:r>
        <w:rPr>
          <w:rFonts w:hint="eastAsia" w:ascii="宋体" w:hAnsi="宋体" w:eastAsia="宋体" w:cs="宋体"/>
          <w:b/>
          <w:bCs/>
          <w:sz w:val="24"/>
          <w:szCs w:val="24"/>
          <w:lang w:val="en-US" w:eastAsia="zh-CN"/>
        </w:rPr>
        <w:t>2.实施情况</w:t>
      </w:r>
    </w:p>
    <w:p w14:paraId="71318AB9">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1）项目实施主体</w:t>
      </w:r>
    </w:p>
    <w:p w14:paraId="67120FCE">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本项目主管部门为洛浦县教育局局，实施单位为洛浦县第</w:t>
      </w:r>
      <w:r>
        <w:rPr>
          <w:rFonts w:hint="eastAsia" w:ascii="宋体" w:hAnsi="宋体" w:eastAsia="宋体" w:cs="宋体"/>
          <w:sz w:val="24"/>
          <w:szCs w:val="24"/>
        </w:rPr>
        <w:t>四</w:t>
      </w:r>
      <w:r>
        <w:rPr>
          <w:rFonts w:hint="eastAsia" w:ascii="宋体" w:hAnsi="宋体" w:eastAsia="宋体" w:cs="宋体"/>
          <w:sz w:val="24"/>
          <w:szCs w:val="24"/>
          <w:lang w:val="en-US" w:eastAsia="zh-CN"/>
        </w:rPr>
        <w:t>小学。</w:t>
      </w:r>
    </w:p>
    <w:p w14:paraId="0A67FE6B">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ascii="宋体" w:hAnsi="宋体" w:eastAsia="宋体" w:cs="宋体"/>
          <w:sz w:val="24"/>
          <w:szCs w:val="24"/>
          <w:lang w:val="en-US" w:eastAsia="zh-CN"/>
        </w:rPr>
      </w:pPr>
      <w:r>
        <w:rPr>
          <w:rFonts w:hint="eastAsia" w:ascii="宋体" w:hAnsi="宋体" w:eastAsia="宋体" w:cs="宋体"/>
          <w:b/>
          <w:bCs/>
          <w:sz w:val="24"/>
          <w:szCs w:val="24"/>
          <w:lang w:val="en-US" w:eastAsia="zh-CN"/>
        </w:rPr>
        <w:t>（2）项目实施时间：</w:t>
      </w:r>
      <w:r>
        <w:rPr>
          <w:rFonts w:hint="eastAsia" w:ascii="宋体" w:hAnsi="宋体" w:eastAsia="宋体" w:cs="宋体"/>
          <w:sz w:val="24"/>
          <w:szCs w:val="24"/>
          <w:lang w:val="en-US" w:eastAsia="zh-CN"/>
        </w:rPr>
        <w:t>2024年1月-2024年12月</w:t>
      </w:r>
    </w:p>
    <w:p w14:paraId="57EB2251">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（3）项目实施情况：</w:t>
      </w:r>
    </w:p>
    <w:p w14:paraId="464FB979">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截止2024年12月31日实际完成项目总金额119.22万元，主要用于2264名学生家庭生活困难补助及学校公用经费，通过实施本项目可以有效提高学校工作效率。保障学校日常工作正常运行。</w:t>
      </w:r>
    </w:p>
    <w:p w14:paraId="3F13C60C">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4. 资金投入和使用情况</w:t>
      </w:r>
    </w:p>
    <w:p w14:paraId="09066FC9">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rPr>
        <w:t>（1）项目资金安排</w:t>
      </w:r>
      <w:r>
        <w:rPr>
          <w:rFonts w:hint="eastAsia" w:ascii="宋体" w:hAnsi="宋体" w:eastAsia="宋体" w:cs="宋体"/>
          <w:b/>
          <w:bCs/>
          <w:sz w:val="24"/>
          <w:szCs w:val="24"/>
          <w:lang w:eastAsia="zh-CN"/>
        </w:rPr>
        <w:t>、</w:t>
      </w:r>
      <w:r>
        <w:rPr>
          <w:rFonts w:hint="eastAsia" w:ascii="宋体" w:hAnsi="宋体" w:eastAsia="宋体" w:cs="宋体"/>
          <w:b/>
          <w:bCs/>
          <w:sz w:val="24"/>
          <w:szCs w:val="24"/>
        </w:rPr>
        <w:t>投入情况</w:t>
      </w:r>
    </w:p>
    <w:p w14:paraId="29C81ADB">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本项目预算安排总额为</w:t>
      </w:r>
      <w:r>
        <w:rPr>
          <w:rFonts w:hint="eastAsia" w:ascii="宋体" w:hAnsi="宋体" w:eastAsia="宋体" w:cs="宋体"/>
          <w:sz w:val="24"/>
          <w:szCs w:val="24"/>
          <w:lang w:val="en-US" w:eastAsia="zh-CN"/>
        </w:rPr>
        <w:t>119.22</w:t>
      </w:r>
      <w:r>
        <w:rPr>
          <w:rFonts w:hint="eastAsia" w:ascii="宋体" w:hAnsi="宋体" w:eastAsia="宋体" w:cs="宋体"/>
          <w:sz w:val="24"/>
          <w:szCs w:val="24"/>
        </w:rPr>
        <w:t>万元，资金来源为部门预算自治区专项资金，其中：财政资金</w:t>
      </w:r>
      <w:r>
        <w:rPr>
          <w:rFonts w:hint="eastAsia" w:ascii="宋体" w:hAnsi="宋体" w:eastAsia="宋体" w:cs="宋体"/>
          <w:sz w:val="24"/>
          <w:szCs w:val="24"/>
          <w:lang w:eastAsia="zh-CN"/>
        </w:rPr>
        <w:t>119.22</w:t>
      </w:r>
      <w:r>
        <w:rPr>
          <w:rFonts w:hint="eastAsia" w:ascii="宋体" w:hAnsi="宋体" w:eastAsia="宋体" w:cs="宋体"/>
          <w:sz w:val="24"/>
          <w:szCs w:val="24"/>
        </w:rPr>
        <w:t>万元，其他资金</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含自有资金、社会资金及以前年度结转结余资金）0</w:t>
      </w:r>
      <w:r>
        <w:rPr>
          <w:rFonts w:hint="eastAsia" w:ascii="宋体" w:hAnsi="宋体" w:eastAsia="宋体" w:cs="宋体"/>
          <w:sz w:val="24"/>
          <w:szCs w:val="24"/>
        </w:rPr>
        <w:t>万元，202</w:t>
      </w:r>
      <w:r>
        <w:rPr>
          <w:rFonts w:hint="eastAsia" w:ascii="宋体" w:hAnsi="宋体" w:eastAsia="宋体" w:cs="宋体"/>
          <w:sz w:val="24"/>
          <w:szCs w:val="24"/>
          <w:lang w:val="en-US" w:eastAsia="zh-CN"/>
        </w:rPr>
        <w:t>4</w:t>
      </w:r>
      <w:r>
        <w:rPr>
          <w:rFonts w:hint="eastAsia" w:ascii="宋体" w:hAnsi="宋体" w:eastAsia="宋体" w:cs="宋体"/>
          <w:sz w:val="24"/>
          <w:szCs w:val="24"/>
        </w:rPr>
        <w:t>年实际收到预算资金</w:t>
      </w:r>
      <w:r>
        <w:rPr>
          <w:rFonts w:hint="eastAsia" w:ascii="宋体" w:hAnsi="宋体" w:eastAsia="宋体" w:cs="宋体"/>
          <w:sz w:val="24"/>
          <w:szCs w:val="24"/>
          <w:lang w:eastAsia="zh-CN"/>
        </w:rPr>
        <w:t>119.22</w:t>
      </w:r>
      <w:r>
        <w:rPr>
          <w:rFonts w:hint="eastAsia" w:ascii="宋体" w:hAnsi="宋体" w:eastAsia="宋体" w:cs="宋体"/>
          <w:sz w:val="24"/>
          <w:szCs w:val="24"/>
        </w:rPr>
        <w:t>万元，预算资金到位率为</w:t>
      </w:r>
      <w:r>
        <w:rPr>
          <w:rFonts w:hint="eastAsia" w:ascii="宋体" w:hAnsi="宋体" w:eastAsia="宋体" w:cs="宋体"/>
          <w:sz w:val="24"/>
          <w:szCs w:val="24"/>
          <w:lang w:val="en-US" w:eastAsia="zh-CN"/>
        </w:rPr>
        <w:t>100</w:t>
      </w:r>
      <w:r>
        <w:rPr>
          <w:rFonts w:hint="eastAsia" w:ascii="宋体" w:hAnsi="宋体" w:eastAsia="宋体" w:cs="宋体"/>
          <w:sz w:val="24"/>
          <w:szCs w:val="24"/>
        </w:rPr>
        <w:t xml:space="preserve"> %。</w:t>
      </w:r>
    </w:p>
    <w:p w14:paraId="569B1F3F">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rPr>
        <w:t>（2）项目资金实际使用情况分析</w:t>
      </w:r>
    </w:p>
    <w:p w14:paraId="68A90DC4">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本项目实际支付资金</w:t>
      </w:r>
      <w:r>
        <w:rPr>
          <w:rFonts w:hint="eastAsia" w:ascii="宋体" w:hAnsi="宋体" w:eastAsia="宋体" w:cs="宋体"/>
          <w:sz w:val="24"/>
          <w:szCs w:val="24"/>
          <w:lang w:eastAsia="zh-CN"/>
        </w:rPr>
        <w:t>119.22</w:t>
      </w:r>
      <w:r>
        <w:rPr>
          <w:rFonts w:hint="eastAsia" w:ascii="宋体" w:hAnsi="宋体" w:eastAsia="宋体" w:cs="宋体"/>
          <w:sz w:val="24"/>
          <w:szCs w:val="24"/>
        </w:rPr>
        <w:t>万元，预算执行率</w:t>
      </w:r>
      <w:r>
        <w:rPr>
          <w:rFonts w:hint="eastAsia" w:ascii="宋体" w:hAnsi="宋体" w:eastAsia="宋体" w:cs="宋体"/>
          <w:sz w:val="24"/>
          <w:szCs w:val="24"/>
          <w:lang w:val="en-US" w:eastAsia="zh-CN"/>
        </w:rPr>
        <w:t>100</w:t>
      </w:r>
      <w:r>
        <w:rPr>
          <w:rFonts w:hint="eastAsia" w:ascii="宋体" w:hAnsi="宋体" w:eastAsia="宋体" w:cs="宋体"/>
          <w:sz w:val="24"/>
          <w:szCs w:val="24"/>
        </w:rPr>
        <w:t>%。本项目资金主要用于支付公用经费</w:t>
      </w:r>
      <w:r>
        <w:rPr>
          <w:rFonts w:hint="eastAsia" w:ascii="宋体" w:hAnsi="宋体" w:eastAsia="宋体" w:cs="宋体"/>
          <w:sz w:val="24"/>
          <w:szCs w:val="24"/>
          <w:lang w:val="en-US" w:eastAsia="zh-CN"/>
        </w:rPr>
        <w:t>98.85万元，家庭经济困难学生生活补助</w:t>
      </w:r>
      <w:r>
        <w:rPr>
          <w:rFonts w:hint="eastAsia" w:ascii="宋体" w:hAnsi="宋体" w:eastAsia="宋体" w:cs="宋体"/>
          <w:sz w:val="24"/>
          <w:szCs w:val="24"/>
        </w:rPr>
        <w:t>费用</w:t>
      </w:r>
      <w:r>
        <w:rPr>
          <w:rFonts w:hint="eastAsia" w:ascii="宋体" w:hAnsi="宋体" w:eastAsia="宋体" w:cs="宋体"/>
          <w:sz w:val="24"/>
          <w:szCs w:val="24"/>
          <w:lang w:val="en-US" w:eastAsia="zh-CN"/>
        </w:rPr>
        <w:t>20.37</w:t>
      </w:r>
      <w:r>
        <w:rPr>
          <w:rFonts w:hint="eastAsia" w:ascii="宋体" w:hAnsi="宋体" w:eastAsia="宋体" w:cs="宋体"/>
          <w:sz w:val="24"/>
          <w:szCs w:val="24"/>
        </w:rPr>
        <w:t>万元</w:t>
      </w:r>
      <w:r>
        <w:rPr>
          <w:rFonts w:hint="eastAsia" w:ascii="宋体" w:hAnsi="宋体" w:eastAsia="宋体" w:cs="宋体"/>
          <w:sz w:val="24"/>
          <w:szCs w:val="24"/>
          <w:lang w:eastAsia="zh-CN"/>
        </w:rPr>
        <w:t>。</w:t>
      </w:r>
    </w:p>
    <w:p w14:paraId="2348625E">
      <w:pPr>
        <w:pStyle w:val="48"/>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2" w:name="_Toc68364659"/>
      <w:r>
        <w:rPr>
          <w:rFonts w:hint="eastAsia" w:ascii="宋体" w:hAnsi="宋体" w:eastAsia="宋体" w:cs="宋体"/>
          <w:sz w:val="24"/>
          <w:szCs w:val="24"/>
        </w:rPr>
        <w:t>（二）项目绩效目标</w:t>
      </w:r>
      <w:bookmarkEnd w:id="2"/>
    </w:p>
    <w:p w14:paraId="4EDFDD8F">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项目绩效目标包括项目总</w:t>
      </w:r>
      <w:r>
        <w:rPr>
          <w:rFonts w:hint="eastAsia" w:ascii="宋体" w:hAnsi="宋体" w:eastAsia="宋体" w:cs="宋体"/>
          <w:sz w:val="24"/>
          <w:szCs w:val="24"/>
          <w:lang w:val="en-US" w:eastAsia="zh-CN"/>
        </w:rPr>
        <w:t>体</w:t>
      </w:r>
      <w:r>
        <w:rPr>
          <w:rFonts w:hint="eastAsia" w:ascii="宋体" w:hAnsi="宋体" w:eastAsia="宋体" w:cs="宋体"/>
          <w:sz w:val="24"/>
          <w:szCs w:val="24"/>
        </w:rPr>
        <w:t>目标和阶段性目标。</w:t>
      </w:r>
    </w:p>
    <w:p w14:paraId="314B8FA9">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1.总</w:t>
      </w:r>
      <w:r>
        <w:rPr>
          <w:rFonts w:hint="eastAsia" w:ascii="宋体" w:hAnsi="宋体" w:eastAsia="宋体" w:cs="宋体"/>
          <w:b/>
          <w:bCs/>
          <w:sz w:val="24"/>
          <w:szCs w:val="24"/>
          <w:lang w:val="en-US" w:eastAsia="zh-CN"/>
        </w:rPr>
        <w:t>体</w:t>
      </w:r>
      <w:r>
        <w:rPr>
          <w:rFonts w:hint="eastAsia" w:ascii="宋体" w:hAnsi="宋体" w:eastAsia="宋体" w:cs="宋体"/>
          <w:b/>
          <w:bCs/>
          <w:sz w:val="24"/>
          <w:szCs w:val="24"/>
        </w:rPr>
        <w:t>目标</w:t>
      </w:r>
    </w:p>
    <w:p w14:paraId="503B48FF">
      <w:pPr>
        <w:pStyle w:val="4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lang w:eastAsia="zh-CN"/>
        </w:rPr>
        <w:t>为保障学校日常工作正常运行，本项目正常性项目，资金总额为119.22万元，主要用于学生家庭生活困难补助及学校公用经费。将在2024年12月之前完成。通过实施本项目可以有效提高学校工作效率。保障学校日常工作正常运行。</w:t>
      </w:r>
    </w:p>
    <w:p w14:paraId="363D3DC2">
      <w:pPr>
        <w:pStyle w:val="45"/>
        <w:pageBreakBefore w:val="0"/>
        <w:widowControl w:val="0"/>
        <w:numPr>
          <w:ilvl w:val="0"/>
          <w:numId w:val="0"/>
        </w:numPr>
        <w:kinsoku/>
        <w:wordWrap/>
        <w:topLinePunct w:val="0"/>
        <w:autoSpaceDE/>
        <w:autoSpaceDN/>
        <w:bidi w:val="0"/>
        <w:adjustRightInd/>
        <w:snapToGrid/>
        <w:spacing w:line="360" w:lineRule="auto"/>
        <w:ind w:left="560" w:left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阶段性目标</w:t>
      </w:r>
    </w:p>
    <w:p w14:paraId="683A2FFA">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bookmarkStart w:id="3" w:name="_Toc68364660"/>
      <w:r>
        <w:rPr>
          <w:rFonts w:hint="eastAsia" w:ascii="宋体" w:hAnsi="宋体" w:eastAsia="宋体" w:cs="宋体"/>
          <w:sz w:val="24"/>
          <w:szCs w:val="24"/>
          <w:lang w:val="en-US" w:eastAsia="zh-CN"/>
        </w:rPr>
        <w:t>我</w:t>
      </w:r>
      <w:r>
        <w:rPr>
          <w:rFonts w:hint="eastAsia" w:ascii="宋体" w:hAnsi="宋体" w:eastAsia="宋体" w:cs="宋体"/>
          <w:sz w:val="24"/>
          <w:szCs w:val="24"/>
        </w:rPr>
        <w:t>单位根据《项目支出绩效评价管理办法》（财预〔2020〕10号）《关于印发〈自治区财政支出绩效评价管理暂行办法〉的通知》（新财预〔2018〕189号）以及自治区财政厅《关于印发〈自治区项目支出绩效目标设置指引〉的通知》（新财预〔2022〕42号）的规定，结合项目相关信息，设置了年度绩效目标如下：</w:t>
      </w:r>
    </w:p>
    <w:p w14:paraId="0BCFBE04">
      <w:pPr>
        <w:pStyle w:val="45"/>
        <w:pageBreakBefore w:val="0"/>
        <w:widowControl w:val="0"/>
        <w:numPr>
          <w:ilvl w:val="0"/>
          <w:numId w:val="1"/>
        </w:numPr>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产出指标</w:t>
      </w:r>
    </w:p>
    <w:p w14:paraId="78B9D017">
      <w:pPr>
        <w:pStyle w:val="45"/>
        <w:pageBreakBefore w:val="0"/>
        <w:widowControl w:val="0"/>
        <w:numPr>
          <w:ilvl w:val="0"/>
          <w:numId w:val="2"/>
        </w:numPr>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数量指标:</w:t>
      </w:r>
    </w:p>
    <w:p w14:paraId="7B61E779">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指标1：保障学生个数</w:t>
      </w:r>
      <w:r>
        <w:rPr>
          <w:rFonts w:hint="eastAsia" w:ascii="宋体" w:hAnsi="宋体" w:eastAsia="宋体" w:cs="宋体"/>
          <w:sz w:val="24"/>
          <w:szCs w:val="24"/>
          <w:lang w:eastAsia="zh-CN"/>
        </w:rPr>
        <w:t>，</w:t>
      </w:r>
      <w:r>
        <w:rPr>
          <w:rFonts w:hint="eastAsia" w:ascii="宋体" w:hAnsi="宋体" w:eastAsia="宋体" w:cs="宋体"/>
          <w:sz w:val="24"/>
          <w:szCs w:val="24"/>
        </w:rPr>
        <w:t>预期指标值为</w:t>
      </w:r>
      <w:r>
        <w:rPr>
          <w:rFonts w:hint="eastAsia" w:ascii="宋体" w:hAnsi="宋体" w:eastAsia="宋体" w:cs="宋体"/>
          <w:sz w:val="24"/>
          <w:szCs w:val="24"/>
          <w:lang w:val="en-US" w:eastAsia="zh-CN"/>
        </w:rPr>
        <w:t>=2264人</w:t>
      </w:r>
      <w:r>
        <w:rPr>
          <w:rFonts w:hint="eastAsia" w:ascii="宋体" w:hAnsi="宋体" w:eastAsia="宋体" w:cs="宋体"/>
          <w:sz w:val="24"/>
          <w:szCs w:val="24"/>
        </w:rPr>
        <w:t>；</w:t>
      </w:r>
    </w:p>
    <w:p w14:paraId="2F39ED0C">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2）质量指标：</w:t>
      </w:r>
    </w:p>
    <w:p w14:paraId="16EE037F">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指标1：资金使用合格率</w:t>
      </w:r>
      <w:r>
        <w:rPr>
          <w:rFonts w:hint="eastAsia" w:ascii="宋体" w:hAnsi="宋体" w:eastAsia="宋体" w:cs="宋体"/>
          <w:sz w:val="24"/>
          <w:szCs w:val="24"/>
          <w:lang w:eastAsia="zh-CN"/>
        </w:rPr>
        <w:t>，</w:t>
      </w:r>
      <w:r>
        <w:rPr>
          <w:rFonts w:hint="eastAsia" w:ascii="宋体" w:hAnsi="宋体" w:eastAsia="宋体" w:cs="宋体"/>
          <w:sz w:val="24"/>
          <w:szCs w:val="24"/>
        </w:rPr>
        <w:t>预期指标值为</w:t>
      </w:r>
      <w:r>
        <w:rPr>
          <w:rFonts w:hint="eastAsia" w:ascii="宋体" w:hAnsi="宋体" w:eastAsia="宋体" w:cs="宋体"/>
          <w:sz w:val="24"/>
          <w:szCs w:val="24"/>
          <w:lang w:val="en-US" w:eastAsia="zh-CN"/>
        </w:rPr>
        <w:t>=100%</w:t>
      </w:r>
      <w:r>
        <w:rPr>
          <w:rFonts w:hint="eastAsia" w:ascii="宋体" w:hAnsi="宋体" w:eastAsia="宋体" w:cs="宋体"/>
          <w:sz w:val="24"/>
          <w:szCs w:val="24"/>
        </w:rPr>
        <w:t>；</w:t>
      </w:r>
    </w:p>
    <w:p w14:paraId="4AC3A75D">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3）时效目标：</w:t>
      </w:r>
    </w:p>
    <w:p w14:paraId="067AF5BB">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指标1：项目完成时间</w:t>
      </w:r>
      <w:r>
        <w:rPr>
          <w:rFonts w:hint="eastAsia" w:ascii="宋体" w:hAnsi="宋体" w:eastAsia="宋体" w:cs="宋体"/>
          <w:sz w:val="24"/>
          <w:szCs w:val="24"/>
          <w:lang w:eastAsia="zh-CN"/>
        </w:rPr>
        <w:t>，</w:t>
      </w:r>
      <w:r>
        <w:rPr>
          <w:rFonts w:hint="eastAsia" w:ascii="宋体" w:hAnsi="宋体" w:eastAsia="宋体" w:cs="宋体"/>
          <w:sz w:val="24"/>
          <w:szCs w:val="24"/>
        </w:rPr>
        <w:t>预期指标值为</w:t>
      </w:r>
      <w:r>
        <w:rPr>
          <w:rFonts w:hint="eastAsia" w:ascii="宋体" w:hAnsi="宋体" w:eastAsia="宋体" w:cs="宋体"/>
          <w:sz w:val="24"/>
          <w:szCs w:val="24"/>
          <w:lang w:val="en-US" w:eastAsia="zh-CN"/>
        </w:rPr>
        <w:t>2024年12月</w:t>
      </w:r>
      <w:r>
        <w:rPr>
          <w:rFonts w:hint="eastAsia" w:ascii="宋体" w:hAnsi="宋体" w:eastAsia="宋体" w:cs="宋体"/>
          <w:sz w:val="24"/>
          <w:szCs w:val="24"/>
        </w:rPr>
        <w:t>；</w:t>
      </w:r>
    </w:p>
    <w:p w14:paraId="7CCB36DB">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指标2：项目支付及时率</w:t>
      </w:r>
      <w:r>
        <w:rPr>
          <w:rFonts w:hint="eastAsia" w:ascii="宋体" w:hAnsi="宋体" w:eastAsia="宋体" w:cs="宋体"/>
          <w:sz w:val="24"/>
          <w:szCs w:val="24"/>
          <w:lang w:eastAsia="zh-CN"/>
        </w:rPr>
        <w:t>，</w:t>
      </w:r>
      <w:r>
        <w:rPr>
          <w:rFonts w:hint="eastAsia" w:ascii="宋体" w:hAnsi="宋体" w:eastAsia="宋体" w:cs="宋体"/>
          <w:sz w:val="24"/>
          <w:szCs w:val="24"/>
        </w:rPr>
        <w:t>预期指标值为</w:t>
      </w:r>
      <w:r>
        <w:rPr>
          <w:rFonts w:hint="eastAsia" w:ascii="宋体" w:hAnsi="宋体" w:eastAsia="宋体" w:cs="宋体"/>
          <w:sz w:val="24"/>
          <w:szCs w:val="24"/>
          <w:lang w:val="en-US" w:eastAsia="zh-CN"/>
        </w:rPr>
        <w:t>=100%</w:t>
      </w:r>
      <w:r>
        <w:rPr>
          <w:rFonts w:hint="eastAsia" w:ascii="宋体" w:hAnsi="宋体" w:eastAsia="宋体" w:cs="宋体"/>
          <w:sz w:val="24"/>
          <w:szCs w:val="24"/>
        </w:rPr>
        <w:t>；</w:t>
      </w:r>
    </w:p>
    <w:p w14:paraId="624C53BC">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 xml:space="preserve">（2）成本指标： </w:t>
      </w:r>
    </w:p>
    <w:p w14:paraId="1B35B87E">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ascii="宋体" w:hAnsi="宋体" w:eastAsia="宋体" w:cs="宋体"/>
          <w:sz w:val="24"/>
          <w:szCs w:val="24"/>
          <w:lang w:val="en-US" w:eastAsia="zh-CN"/>
        </w:rPr>
      </w:pPr>
      <w:r>
        <w:rPr>
          <w:rFonts w:hint="eastAsia" w:ascii="宋体" w:hAnsi="宋体" w:eastAsia="宋体" w:cs="宋体"/>
          <w:sz w:val="24"/>
          <w:szCs w:val="24"/>
          <w:lang w:val="en-US" w:eastAsia="zh-CN"/>
        </w:rPr>
        <w:t>1）经济成本指标</w:t>
      </w:r>
    </w:p>
    <w:p w14:paraId="388A8AAD">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指标1：公用经费</w:t>
      </w:r>
      <w:r>
        <w:rPr>
          <w:rFonts w:hint="eastAsia" w:ascii="宋体" w:hAnsi="宋体" w:eastAsia="宋体" w:cs="宋体"/>
          <w:sz w:val="24"/>
          <w:szCs w:val="24"/>
          <w:lang w:eastAsia="zh-CN"/>
        </w:rPr>
        <w:t>，</w:t>
      </w:r>
      <w:r>
        <w:rPr>
          <w:rFonts w:hint="eastAsia" w:ascii="宋体" w:hAnsi="宋体" w:eastAsia="宋体" w:cs="宋体"/>
          <w:sz w:val="24"/>
          <w:szCs w:val="24"/>
        </w:rPr>
        <w:t>预期指标值为</w:t>
      </w:r>
      <w:r>
        <w:rPr>
          <w:rFonts w:hint="eastAsia" w:ascii="宋体" w:hAnsi="宋体" w:eastAsia="宋体" w:cs="宋体"/>
          <w:sz w:val="24"/>
          <w:szCs w:val="24"/>
          <w:lang w:val="en-US" w:eastAsia="zh-CN"/>
        </w:rPr>
        <w:t>≤98.85万元</w:t>
      </w:r>
      <w:r>
        <w:rPr>
          <w:rFonts w:hint="eastAsia" w:ascii="宋体" w:hAnsi="宋体" w:eastAsia="宋体" w:cs="宋体"/>
          <w:sz w:val="24"/>
          <w:szCs w:val="24"/>
        </w:rPr>
        <w:t>；</w:t>
      </w:r>
    </w:p>
    <w:p w14:paraId="731403D5">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指标2：困难学生生活补助项目成本，≤20.37万元；</w:t>
      </w:r>
    </w:p>
    <w:p w14:paraId="0A43B714">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（3）效益指标：</w:t>
      </w:r>
    </w:p>
    <w:p w14:paraId="2217F0B6">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）社会效益指标：</w:t>
      </w:r>
    </w:p>
    <w:p w14:paraId="00E51A65">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指标1：有效提高学校工作效率</w:t>
      </w:r>
      <w:r>
        <w:rPr>
          <w:rFonts w:hint="eastAsia" w:ascii="宋体" w:hAnsi="宋体" w:eastAsia="宋体" w:cs="宋体"/>
          <w:sz w:val="24"/>
          <w:szCs w:val="24"/>
          <w:lang w:eastAsia="zh-CN"/>
        </w:rPr>
        <w:t>，</w:t>
      </w:r>
      <w:r>
        <w:rPr>
          <w:rFonts w:hint="eastAsia" w:ascii="宋体" w:hAnsi="宋体" w:eastAsia="宋体" w:cs="宋体"/>
          <w:sz w:val="24"/>
          <w:szCs w:val="24"/>
        </w:rPr>
        <w:t>预期指标值为</w:t>
      </w:r>
      <w:r>
        <w:rPr>
          <w:rFonts w:hint="eastAsia" w:ascii="宋体" w:hAnsi="宋体" w:eastAsia="宋体" w:cs="宋体"/>
          <w:sz w:val="24"/>
          <w:szCs w:val="24"/>
          <w:lang w:val="en-US" w:eastAsia="zh-CN"/>
        </w:rPr>
        <w:t>有效提高</w:t>
      </w:r>
      <w:r>
        <w:rPr>
          <w:rFonts w:hint="eastAsia" w:ascii="宋体" w:hAnsi="宋体" w:eastAsia="宋体" w:cs="宋体"/>
          <w:sz w:val="24"/>
          <w:szCs w:val="24"/>
        </w:rPr>
        <w:t>；</w:t>
      </w:r>
    </w:p>
    <w:p w14:paraId="22673631">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（4）服务对象满意度指标：</w:t>
      </w:r>
    </w:p>
    <w:p w14:paraId="09E580D3">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指标1：学生满意度</w:t>
      </w:r>
      <w:r>
        <w:rPr>
          <w:rFonts w:hint="eastAsia" w:ascii="宋体" w:hAnsi="宋体" w:eastAsia="宋体" w:cs="宋体"/>
          <w:sz w:val="24"/>
          <w:szCs w:val="24"/>
          <w:lang w:eastAsia="zh-CN"/>
        </w:rPr>
        <w:t>，</w:t>
      </w:r>
      <w:r>
        <w:rPr>
          <w:rFonts w:hint="eastAsia" w:ascii="宋体" w:hAnsi="宋体" w:eastAsia="宋体" w:cs="宋体"/>
          <w:sz w:val="24"/>
          <w:szCs w:val="24"/>
        </w:rPr>
        <w:t>预期指标值为</w:t>
      </w:r>
      <w:r>
        <w:rPr>
          <w:rFonts w:hint="eastAsia" w:ascii="宋体" w:hAnsi="宋体" w:eastAsia="宋体" w:cs="宋体"/>
          <w:sz w:val="24"/>
          <w:szCs w:val="24"/>
          <w:lang w:val="en-US" w:eastAsia="zh-CN"/>
        </w:rPr>
        <w:t>≥95%</w:t>
      </w:r>
      <w:r>
        <w:rPr>
          <w:rFonts w:hint="eastAsia" w:ascii="宋体" w:hAnsi="宋体" w:eastAsia="宋体" w:cs="宋体"/>
          <w:sz w:val="24"/>
          <w:szCs w:val="24"/>
        </w:rPr>
        <w:t>；</w:t>
      </w:r>
    </w:p>
    <w:p w14:paraId="59E53EF3">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p>
    <w:p w14:paraId="38B15B54">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r>
        <w:rPr>
          <w:rFonts w:hint="eastAsia" w:ascii="黑体" w:hAnsi="黑体" w:eastAsia="黑体" w:cs="黑体"/>
          <w:sz w:val="24"/>
          <w:szCs w:val="24"/>
        </w:rPr>
        <w:t>二、绩效评价工作开展情况</w:t>
      </w:r>
      <w:bookmarkEnd w:id="3"/>
    </w:p>
    <w:p w14:paraId="053C57A2">
      <w:pPr>
        <w:pStyle w:val="48"/>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4" w:name="_Toc68364661"/>
      <w:r>
        <w:rPr>
          <w:rFonts w:hint="eastAsia" w:ascii="宋体" w:hAnsi="宋体" w:eastAsia="宋体" w:cs="宋体"/>
          <w:sz w:val="24"/>
          <w:szCs w:val="24"/>
        </w:rPr>
        <w:t>（一）绩效评价目的、对象和范围</w:t>
      </w:r>
      <w:bookmarkEnd w:id="4"/>
    </w:p>
    <w:p w14:paraId="343D5CF4">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1. 绩效评价目的</w:t>
      </w:r>
    </w:p>
    <w:p w14:paraId="40C4B283">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本次绩效评价遵循财政部《项目支出绩效评价管理办法》（财预〔2020〕10号）《自治区财政支出绩效评价管理暂行办法》（新财预〔2018〕189号）</w:t>
      </w:r>
      <w:r>
        <w:rPr>
          <w:rFonts w:hint="eastAsia" w:ascii="宋体" w:hAnsi="宋体" w:eastAsia="宋体" w:cs="宋体"/>
          <w:sz w:val="24"/>
          <w:szCs w:val="24"/>
          <w:lang w:val="en-US" w:eastAsia="zh-CN"/>
        </w:rPr>
        <w:t>及</w:t>
      </w:r>
      <w:r>
        <w:rPr>
          <w:rFonts w:hint="eastAsia" w:ascii="宋体" w:hAnsi="宋体" w:eastAsia="宋体" w:cs="宋体"/>
          <w:sz w:val="24"/>
          <w:szCs w:val="24"/>
        </w:rPr>
        <w:t>自治区财政厅《关于印发〈自治区项目支出绩效目标设置指引〉的通知》（新财预〔2022〕42号）等相关政策文件与规定，对</w:t>
      </w:r>
      <w:r>
        <w:rPr>
          <w:rFonts w:hint="eastAsia" w:ascii="宋体" w:hAnsi="宋体" w:eastAsia="宋体" w:cs="宋体"/>
          <w:sz w:val="24"/>
          <w:szCs w:val="24"/>
          <w:lang w:eastAsia="zh-CN"/>
        </w:rPr>
        <w:t>2024年中央城乡义务教育补助</w:t>
      </w:r>
      <w:r>
        <w:rPr>
          <w:rFonts w:hint="eastAsia" w:ascii="宋体" w:hAnsi="宋体" w:eastAsia="宋体" w:cs="宋体"/>
          <w:sz w:val="24"/>
          <w:szCs w:val="24"/>
        </w:rPr>
        <w:t>项目开展本次部门项目支出绩效评价工作。全面了解</w:t>
      </w:r>
      <w:r>
        <w:rPr>
          <w:rFonts w:hint="eastAsia" w:ascii="宋体" w:hAnsi="宋体" w:eastAsia="宋体" w:cs="宋体"/>
          <w:sz w:val="24"/>
          <w:szCs w:val="24"/>
          <w:lang w:val="en-US" w:eastAsia="zh-CN"/>
        </w:rPr>
        <w:t>2024年中央城乡义务教育补助</w:t>
      </w:r>
      <w:r>
        <w:rPr>
          <w:rFonts w:hint="eastAsia" w:ascii="宋体" w:hAnsi="宋体" w:eastAsia="宋体" w:cs="宋体"/>
          <w:sz w:val="24"/>
          <w:szCs w:val="24"/>
        </w:rPr>
        <w:t>项目预算编制合理性、资金使用合规性、项目管理的规范性、项目目标的实现情况、服务对象的满意度等项目实施前期、过程及</w:t>
      </w:r>
      <w:r>
        <w:rPr>
          <w:rFonts w:hint="eastAsia" w:ascii="宋体" w:hAnsi="宋体" w:eastAsia="宋体" w:cs="宋体"/>
          <w:sz w:val="24"/>
          <w:szCs w:val="24"/>
          <w:lang w:val="en-US" w:eastAsia="zh-CN"/>
        </w:rPr>
        <w:t>实施</w:t>
      </w:r>
      <w:r>
        <w:rPr>
          <w:rFonts w:hint="eastAsia" w:ascii="宋体" w:hAnsi="宋体" w:eastAsia="宋体" w:cs="宋体"/>
          <w:sz w:val="24"/>
          <w:szCs w:val="24"/>
        </w:rPr>
        <w:t>效果</w:t>
      </w:r>
      <w:r>
        <w:rPr>
          <w:rFonts w:hint="eastAsia" w:ascii="宋体" w:hAnsi="宋体" w:eastAsia="宋体" w:cs="宋体"/>
          <w:sz w:val="24"/>
          <w:szCs w:val="24"/>
          <w:lang w:val="en-US" w:eastAsia="zh-CN"/>
        </w:rPr>
        <w:t>情况。</w:t>
      </w:r>
    </w:p>
    <w:p w14:paraId="1712F4CE">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通过部门项目支出绩效评价，进一步严格落实《中华人民共和国预算法》以及《中共中央国务院关于全面实施预算绩效管理的意见》（中发〔2018〕34号）《自治区党委自治区人民政府关于全面实施预算绩效管理的实施意见》（新党发〔2018〕30号）政策文件的指示精神，有助于建立健全“花钱必问效、无效必问责”的绩效预算管理机制</w:t>
      </w:r>
    </w:p>
    <w:p w14:paraId="310B11BC">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通过部门项目支出绩效评价，进一步做实绩效目标，将绩效指标细化为数量指标、质量指标、时效指标、成本指标、经济效益指标、社会效益指标、服务对象满意度指标等内容，保证项目绩效指标设置科学、规范、合理、可衡量。</w:t>
      </w:r>
    </w:p>
    <w:p w14:paraId="2153BA2B">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方正仿宋_GBK" w:hAnsi="方正仿宋_GBK" w:eastAsia="方正仿宋_GBK" w:cs="方正仿宋_GBK"/>
          <w:b/>
          <w:bCs/>
          <w:sz w:val="32"/>
          <w:szCs w:val="32"/>
        </w:rPr>
      </w:pPr>
      <w:r>
        <w:rPr>
          <w:rFonts w:hint="eastAsia" w:ascii="宋体" w:hAnsi="宋体" w:eastAsia="宋体" w:cs="宋体"/>
          <w:sz w:val="24"/>
          <w:szCs w:val="24"/>
          <w:lang w:val="en-US" w:eastAsia="zh-CN"/>
        </w:rPr>
        <w:t>同时，通过部门项目支出绩效评价，可促进本单位发现预算项目管理中的问题、总结经验、改进工作，以提高</w:t>
      </w:r>
      <w:r>
        <w:rPr>
          <w:rFonts w:hint="eastAsia" w:ascii="宋体" w:hAnsi="宋体" w:eastAsia="宋体" w:cs="宋体"/>
          <w:sz w:val="24"/>
          <w:szCs w:val="24"/>
        </w:rPr>
        <w:t>财政预算资金使用的效率及效益。</w:t>
      </w:r>
    </w:p>
    <w:p w14:paraId="4F22D1F1">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2. 绩效评价对象</w:t>
      </w:r>
    </w:p>
    <w:p w14:paraId="4E77A755">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ascii="宋体" w:hAnsi="宋体" w:eastAsia="宋体" w:cs="宋体"/>
          <w:sz w:val="24"/>
          <w:szCs w:val="24"/>
          <w:lang w:val="en-US" w:eastAsia="zh-CN"/>
        </w:rPr>
      </w:pPr>
      <w:r>
        <w:rPr>
          <w:rFonts w:hint="eastAsia" w:ascii="宋体" w:hAnsi="宋体" w:eastAsia="宋体" w:cs="宋体"/>
          <w:sz w:val="24"/>
          <w:szCs w:val="24"/>
          <w:lang w:val="en-US" w:eastAsia="zh-CN"/>
        </w:rPr>
        <w:t>此</w:t>
      </w:r>
      <w:r>
        <w:rPr>
          <w:rFonts w:hint="eastAsia" w:ascii="宋体" w:hAnsi="宋体" w:eastAsia="宋体" w:cs="宋体"/>
          <w:sz w:val="24"/>
          <w:szCs w:val="24"/>
        </w:rPr>
        <w:t>次绩效评价遵循财政部《项目支出绩效评价管理办法》（财预〔2020〕10号）和《自治区财政支出绩效评价管理暂行办法》（新财预〔2018〕189号）等政策文件规定，以</w:t>
      </w:r>
      <w:r>
        <w:rPr>
          <w:rFonts w:hint="eastAsia" w:ascii="宋体" w:hAnsi="宋体" w:eastAsia="宋体" w:cs="宋体"/>
          <w:sz w:val="24"/>
          <w:szCs w:val="24"/>
          <w:lang w:val="en-US" w:eastAsia="zh-CN"/>
        </w:rPr>
        <w:t>2024年中央城乡义务教育补助</w:t>
      </w:r>
      <w:r>
        <w:rPr>
          <w:rFonts w:hint="eastAsia" w:ascii="宋体" w:hAnsi="宋体" w:eastAsia="宋体" w:cs="宋体"/>
          <w:sz w:val="24"/>
          <w:szCs w:val="24"/>
        </w:rPr>
        <w:t>项目为</w:t>
      </w:r>
      <w:r>
        <w:rPr>
          <w:rFonts w:hint="eastAsia" w:ascii="宋体" w:hAnsi="宋体" w:eastAsia="宋体" w:cs="宋体"/>
          <w:sz w:val="24"/>
          <w:szCs w:val="24"/>
          <w:lang w:val="en-US" w:eastAsia="zh-CN"/>
        </w:rPr>
        <w:t>评价</w:t>
      </w:r>
      <w:r>
        <w:rPr>
          <w:rFonts w:hint="eastAsia" w:ascii="宋体" w:hAnsi="宋体" w:eastAsia="宋体" w:cs="宋体"/>
          <w:sz w:val="24"/>
          <w:szCs w:val="24"/>
        </w:rPr>
        <w:t>对象</w:t>
      </w:r>
      <w:r>
        <w:rPr>
          <w:rFonts w:hint="eastAsia" w:ascii="宋体" w:hAnsi="宋体" w:eastAsia="宋体" w:cs="宋体"/>
          <w:sz w:val="24"/>
          <w:szCs w:val="24"/>
          <w:lang w:eastAsia="zh-CN"/>
        </w:rPr>
        <w:t>，</w:t>
      </w:r>
      <w:r>
        <w:rPr>
          <w:rFonts w:hint="eastAsia" w:ascii="宋体" w:hAnsi="宋体" w:eastAsia="宋体" w:cs="宋体"/>
          <w:sz w:val="24"/>
          <w:szCs w:val="24"/>
        </w:rPr>
        <w:t>对该项目决策、</w:t>
      </w:r>
      <w:r>
        <w:rPr>
          <w:rFonts w:hint="eastAsia" w:ascii="宋体" w:hAnsi="宋体" w:eastAsia="宋体" w:cs="宋体"/>
          <w:sz w:val="24"/>
          <w:szCs w:val="24"/>
          <w:lang w:val="en-US" w:eastAsia="zh-CN"/>
        </w:rPr>
        <w:t>项目资金管理、项目实施</w:t>
      </w:r>
      <w:r>
        <w:rPr>
          <w:rFonts w:hint="eastAsia" w:ascii="宋体" w:hAnsi="宋体" w:eastAsia="宋体" w:cs="宋体"/>
          <w:sz w:val="24"/>
          <w:szCs w:val="24"/>
        </w:rPr>
        <w:t>过程</w:t>
      </w:r>
      <w:r>
        <w:rPr>
          <w:rFonts w:hint="eastAsia" w:ascii="宋体" w:hAnsi="宋体" w:eastAsia="宋体" w:cs="宋体"/>
          <w:sz w:val="24"/>
          <w:szCs w:val="24"/>
          <w:lang w:val="en-US" w:eastAsia="zh-CN"/>
        </w:rPr>
        <w:t>管理</w:t>
      </w:r>
      <w:r>
        <w:rPr>
          <w:rFonts w:hint="eastAsia" w:ascii="宋体" w:hAnsi="宋体" w:eastAsia="宋体" w:cs="宋体"/>
          <w:sz w:val="24"/>
          <w:szCs w:val="24"/>
        </w:rPr>
        <w:t>，</w:t>
      </w:r>
      <w:r>
        <w:rPr>
          <w:rFonts w:hint="eastAsia" w:ascii="宋体" w:hAnsi="宋体" w:eastAsia="宋体" w:cs="宋体"/>
          <w:sz w:val="24"/>
          <w:szCs w:val="24"/>
          <w:lang w:val="en-US" w:eastAsia="zh-CN"/>
        </w:rPr>
        <w:t>以及</w:t>
      </w:r>
      <w:r>
        <w:rPr>
          <w:rFonts w:hint="eastAsia" w:ascii="宋体" w:hAnsi="宋体" w:eastAsia="宋体" w:cs="宋体"/>
          <w:sz w:val="24"/>
          <w:szCs w:val="24"/>
        </w:rPr>
        <w:t>项目实施所带来的产出和效果</w:t>
      </w:r>
      <w:r>
        <w:rPr>
          <w:rFonts w:hint="eastAsia" w:ascii="宋体" w:hAnsi="宋体" w:eastAsia="宋体" w:cs="宋体"/>
          <w:sz w:val="24"/>
          <w:szCs w:val="24"/>
          <w:lang w:val="en-US" w:eastAsia="zh-CN"/>
        </w:rPr>
        <w:t>等</w:t>
      </w:r>
      <w:r>
        <w:rPr>
          <w:rFonts w:hint="eastAsia" w:ascii="宋体" w:hAnsi="宋体" w:eastAsia="宋体" w:cs="宋体"/>
          <w:sz w:val="24"/>
          <w:szCs w:val="24"/>
        </w:rPr>
        <w:t>内容，</w:t>
      </w:r>
      <w:r>
        <w:rPr>
          <w:rFonts w:hint="eastAsia" w:ascii="宋体" w:hAnsi="宋体" w:eastAsia="宋体" w:cs="宋体"/>
          <w:sz w:val="24"/>
          <w:szCs w:val="24"/>
          <w:lang w:val="en-US" w:eastAsia="zh-CN"/>
        </w:rPr>
        <w:t>进行综合评价。</w:t>
      </w:r>
    </w:p>
    <w:p w14:paraId="4A828119">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rPr>
        <w:t>3. 绩效评价范围</w:t>
      </w:r>
    </w:p>
    <w:p w14:paraId="56B96EED">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本次绩效评价主要围绕</w:t>
      </w:r>
      <w:r>
        <w:rPr>
          <w:rFonts w:hint="eastAsia" w:ascii="宋体" w:hAnsi="宋体" w:eastAsia="宋体" w:cs="宋体"/>
          <w:sz w:val="24"/>
          <w:szCs w:val="24"/>
          <w:lang w:eastAsia="zh-CN"/>
        </w:rPr>
        <w:t>2024年中央城乡义务教育补助</w:t>
      </w:r>
      <w:r>
        <w:rPr>
          <w:rFonts w:hint="eastAsia" w:ascii="宋体" w:hAnsi="宋体" w:eastAsia="宋体" w:cs="宋体"/>
          <w:sz w:val="24"/>
          <w:szCs w:val="24"/>
        </w:rPr>
        <w:t>项目决策、项目资金管理、项目实施过程管理，以及项目实施所带来的产出和效果等内容，进行综合评价。范围涵盖项目总体绩效目标、各项绩效指标完成情况以及预算执行情况</w:t>
      </w:r>
      <w:bookmarkStart w:id="5" w:name="_Toc68364662"/>
      <w:r>
        <w:rPr>
          <w:rFonts w:hint="eastAsia" w:ascii="宋体" w:hAnsi="宋体" w:eastAsia="宋体" w:cs="宋体"/>
          <w:sz w:val="24"/>
          <w:szCs w:val="24"/>
          <w:lang w:eastAsia="zh-CN"/>
        </w:rPr>
        <w:t>，</w:t>
      </w:r>
      <w:r>
        <w:rPr>
          <w:rFonts w:hint="eastAsia" w:ascii="宋体" w:hAnsi="宋体" w:eastAsia="宋体" w:cs="宋体"/>
          <w:sz w:val="24"/>
          <w:szCs w:val="24"/>
        </w:rPr>
        <w:t>覆盖预算资金支出项目的所有内容进行评价。</w:t>
      </w:r>
    </w:p>
    <w:p w14:paraId="3AC6CE2B">
      <w:pPr>
        <w:pStyle w:val="48"/>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（二）绩效评价原则、评价指标体系、评价方法评价标准</w:t>
      </w:r>
      <w:bookmarkEnd w:id="5"/>
    </w:p>
    <w:p w14:paraId="7B3D6296">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1. 绩效评价原则</w:t>
      </w:r>
    </w:p>
    <w:p w14:paraId="3BEA9209">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p>
    <w:p w14:paraId="229BFFAB">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（1）科学公正。绩效评价应当运用科学合理的方法，按照规范的程序，对项目绩效进行客观、公正的反映。</w:t>
      </w:r>
    </w:p>
    <w:p w14:paraId="78DAF3DD">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D1737AF">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（3）激励约束。绩效评价结果应与预算安排、政策调整、改进管理实质性挂钩，体现奖优罚劣和激励相容导向，有效要安排、低效要压减、无效要问责。</w:t>
      </w:r>
    </w:p>
    <w:p w14:paraId="0D3E2D48">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（4）公开透明。绩效评价结果应依法依规公开，并自觉接受社会监督。</w:t>
      </w:r>
    </w:p>
    <w:p w14:paraId="011E8DCF">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根据以上原则，绩效评价应遵循如下要求:</w:t>
      </w:r>
    </w:p>
    <w:p w14:paraId="6D88EA3C">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（1）在数据采集时，采取客观数据，主管部门审查、社会中介组织复查，与问卷调查相结合的形式，以保证各项指标的真实性。</w:t>
      </w:r>
    </w:p>
    <w:p w14:paraId="44207386">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（2）保证评价结果的真实性、公正性，提高评价报告的公信力。</w:t>
      </w:r>
    </w:p>
    <w:p w14:paraId="627A3735">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sz w:val="24"/>
          <w:szCs w:val="24"/>
        </w:rPr>
      </w:pPr>
      <w:r>
        <w:rPr>
          <w:rFonts w:hint="eastAsia" w:ascii="宋体" w:hAnsi="宋体" w:eastAsia="宋体" w:cs="宋体"/>
          <w:sz w:val="24"/>
          <w:szCs w:val="24"/>
        </w:rPr>
        <w:t>（3）绩</w:t>
      </w:r>
      <w:r>
        <w:rPr>
          <w:rFonts w:hint="eastAsia" w:ascii="宋体" w:hAnsi="宋体" w:eastAsia="宋体" w:cs="宋体"/>
          <w:sz w:val="24"/>
          <w:szCs w:val="24"/>
          <w:lang w:val="en-US" w:eastAsia="zh-CN"/>
        </w:rPr>
        <w:t>效</w:t>
      </w:r>
      <w:r>
        <w:rPr>
          <w:rFonts w:hint="eastAsia" w:ascii="宋体" w:hAnsi="宋体" w:eastAsia="宋体" w:cs="宋体"/>
          <w:sz w:val="24"/>
          <w:szCs w:val="24"/>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2891BF69">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2. 绩效评价指标体系</w:t>
      </w:r>
    </w:p>
    <w:p w14:paraId="021C98DF">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w:t>
      </w:r>
      <w:r>
        <w:rPr>
          <w:rFonts w:hint="eastAsia" w:ascii="宋体" w:hAnsi="宋体" w:eastAsia="宋体" w:cs="宋体"/>
          <w:sz w:val="24"/>
          <w:szCs w:val="24"/>
          <w:lang w:val="en-US" w:eastAsia="zh-CN"/>
        </w:rPr>
        <w:t>2</w:t>
      </w:r>
      <w:r>
        <w:rPr>
          <w:rFonts w:hint="eastAsia" w:ascii="宋体" w:hAnsi="宋体" w:eastAsia="宋体" w:cs="宋体"/>
          <w:sz w:val="24"/>
          <w:szCs w:val="24"/>
        </w:rPr>
        <w:t>个二级指标。项目绩效评价体系</w:t>
      </w:r>
      <w:r>
        <w:rPr>
          <w:rFonts w:hint="eastAsia" w:ascii="宋体" w:hAnsi="宋体" w:eastAsia="宋体" w:cs="宋体"/>
          <w:sz w:val="24"/>
          <w:szCs w:val="24"/>
          <w:lang w:eastAsia="zh-CN"/>
        </w:rPr>
        <w:t>。</w:t>
      </w:r>
      <w:r>
        <w:rPr>
          <w:rFonts w:hint="eastAsia" w:ascii="宋体" w:hAnsi="宋体" w:eastAsia="宋体" w:cs="宋体"/>
          <w:sz w:val="24"/>
          <w:szCs w:val="24"/>
        </w:rPr>
        <w:t>详细指标体系见“附件1：项目支出绩效评价体系”。</w:t>
      </w:r>
    </w:p>
    <w:p w14:paraId="0DF6E30A">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3. 绩效评价方法</w:t>
      </w:r>
    </w:p>
    <w:p w14:paraId="05A7243A">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Cs/>
          <w:sz w:val="24"/>
          <w:szCs w:val="24"/>
        </w:rPr>
      </w:pPr>
      <w:r>
        <w:rPr>
          <w:rFonts w:hint="eastAsia" w:ascii="宋体" w:hAnsi="宋体" w:eastAsia="宋体" w:cs="宋体"/>
          <w:bCs/>
          <w:sz w:val="24"/>
          <w:szCs w:val="24"/>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1421D889">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Cs/>
          <w:sz w:val="24"/>
          <w:szCs w:val="24"/>
        </w:rPr>
      </w:pPr>
      <w:r>
        <w:rPr>
          <w:rFonts w:hint="eastAsia" w:ascii="宋体" w:hAnsi="宋体" w:eastAsia="宋体" w:cs="宋体"/>
          <w:bCs/>
          <w:sz w:val="24"/>
          <w:szCs w:val="24"/>
          <w:lang w:val="en-US" w:eastAsia="zh-CN"/>
        </w:rPr>
        <w:t>具体</w:t>
      </w:r>
      <w:r>
        <w:rPr>
          <w:rFonts w:hint="eastAsia" w:ascii="宋体" w:hAnsi="宋体" w:eastAsia="宋体" w:cs="宋体"/>
          <w:bCs/>
          <w:sz w:val="24"/>
          <w:szCs w:val="24"/>
        </w:rPr>
        <w:t>评价方法的应用如下:</w:t>
      </w:r>
    </w:p>
    <w:p w14:paraId="5668C459">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Cs/>
          <w:sz w:val="24"/>
          <w:szCs w:val="24"/>
        </w:rPr>
      </w:pPr>
      <w:r>
        <w:rPr>
          <w:rFonts w:hint="eastAsia" w:ascii="宋体" w:hAnsi="宋体" w:eastAsia="宋体" w:cs="宋体"/>
          <w:bCs/>
          <w:sz w:val="24"/>
          <w:szCs w:val="24"/>
        </w:rPr>
        <w:t>立项依据充分性：比较法、文献法，查找法律法规政策以及规划，对比实际执行内容和政策支持内容是否匹配。</w:t>
      </w:r>
    </w:p>
    <w:p w14:paraId="52420AA0">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Cs/>
          <w:sz w:val="24"/>
          <w:szCs w:val="24"/>
        </w:rPr>
      </w:pPr>
      <w:r>
        <w:rPr>
          <w:rFonts w:hint="eastAsia" w:ascii="宋体" w:hAnsi="宋体" w:eastAsia="宋体" w:cs="宋体"/>
          <w:bCs/>
          <w:sz w:val="24"/>
          <w:szCs w:val="24"/>
        </w:rPr>
        <w:t>立项程序规范性：比较法、文献法，查找相关项目设立的政策和文件要求，对比分析实际执行程序是否按照政策及文件要求执行，分析立项程序的规范性。</w:t>
      </w:r>
    </w:p>
    <w:p w14:paraId="3EE0B20D">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Cs/>
          <w:sz w:val="24"/>
          <w:szCs w:val="24"/>
        </w:rPr>
      </w:pPr>
      <w:r>
        <w:rPr>
          <w:rFonts w:hint="eastAsia" w:ascii="宋体" w:hAnsi="宋体" w:eastAsia="宋体" w:cs="宋体"/>
          <w:bCs/>
          <w:sz w:val="24"/>
          <w:szCs w:val="24"/>
        </w:rPr>
        <w:t>绩效目标合理性：比较法，对比分析年初编制项目支出绩效目标表与项目内容的相关性、资金的匹配性等。</w:t>
      </w:r>
    </w:p>
    <w:p w14:paraId="239C20AD">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Cs/>
          <w:sz w:val="24"/>
          <w:szCs w:val="24"/>
        </w:rPr>
      </w:pPr>
      <w:r>
        <w:rPr>
          <w:rFonts w:hint="eastAsia" w:ascii="宋体" w:hAnsi="宋体" w:eastAsia="宋体" w:cs="宋体"/>
          <w:bCs/>
          <w:sz w:val="24"/>
          <w:szCs w:val="24"/>
        </w:rPr>
        <w:t>绩效指标明确性：比较法，比较分析年初编制项目支出绩效目标表是否符合双七原则，是否可衡量。</w:t>
      </w:r>
    </w:p>
    <w:p w14:paraId="16D26AC9">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Cs/>
          <w:sz w:val="24"/>
          <w:szCs w:val="24"/>
        </w:rPr>
      </w:pPr>
      <w:r>
        <w:rPr>
          <w:rFonts w:hint="eastAsia" w:ascii="宋体" w:hAnsi="宋体" w:eastAsia="宋体" w:cs="宋体"/>
          <w:bCs/>
          <w:sz w:val="24"/>
          <w:szCs w:val="24"/>
        </w:rPr>
        <w:t>预算编制科学性</w:t>
      </w:r>
      <w:r>
        <w:rPr>
          <w:rFonts w:hint="eastAsia" w:ascii="宋体" w:hAnsi="宋体" w:eastAsia="宋体" w:cs="宋体"/>
          <w:bCs/>
          <w:sz w:val="24"/>
          <w:szCs w:val="24"/>
          <w:lang w:eastAsia="zh-CN"/>
        </w:rPr>
        <w:t>：</w:t>
      </w:r>
      <w:r>
        <w:rPr>
          <w:rFonts w:hint="eastAsia" w:ascii="宋体" w:hAnsi="宋体" w:eastAsia="宋体" w:cs="宋体"/>
          <w:bCs/>
          <w:sz w:val="24"/>
          <w:szCs w:val="24"/>
        </w:rPr>
        <w:t>成本效益分析法</w:t>
      </w:r>
      <w:r>
        <w:rPr>
          <w:rFonts w:hint="eastAsia" w:ascii="宋体" w:hAnsi="宋体" w:eastAsia="宋体" w:cs="宋体"/>
          <w:bCs/>
          <w:sz w:val="24"/>
          <w:szCs w:val="24"/>
          <w:lang w:eastAsia="zh-CN"/>
        </w:rPr>
        <w:t>，</w:t>
      </w:r>
      <w:r>
        <w:rPr>
          <w:rFonts w:hint="eastAsia" w:ascii="宋体" w:hAnsi="宋体" w:eastAsia="宋体" w:cs="宋体"/>
          <w:bCs/>
          <w:sz w:val="24"/>
          <w:szCs w:val="24"/>
        </w:rPr>
        <w:t>分析在产出一定的情况下，成本取值是否有依据，是否经过询价，是否按照市场最低成本编制。</w:t>
      </w:r>
    </w:p>
    <w:p w14:paraId="0591E4A0">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Cs/>
          <w:sz w:val="24"/>
          <w:szCs w:val="24"/>
          <w:lang w:eastAsia="zh-CN"/>
        </w:rPr>
      </w:pPr>
      <w:r>
        <w:rPr>
          <w:rFonts w:hint="eastAsia" w:ascii="宋体" w:hAnsi="宋体" w:eastAsia="宋体" w:cs="宋体"/>
          <w:bCs/>
          <w:sz w:val="24"/>
          <w:szCs w:val="24"/>
        </w:rPr>
        <w:t>资金分配合理性：因素分析法，综合分析资金的分配依据是否充分，分配金额是否与项目实施单位需求金额一致</w:t>
      </w:r>
      <w:r>
        <w:rPr>
          <w:rFonts w:hint="eastAsia" w:ascii="宋体" w:hAnsi="宋体" w:eastAsia="宋体" w:cs="宋体"/>
          <w:bCs/>
          <w:sz w:val="24"/>
          <w:szCs w:val="24"/>
          <w:lang w:eastAsia="zh-CN"/>
        </w:rPr>
        <w:t>。</w:t>
      </w:r>
    </w:p>
    <w:p w14:paraId="1E79293A">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Cs/>
          <w:sz w:val="24"/>
          <w:szCs w:val="24"/>
        </w:rPr>
      </w:pPr>
      <w:r>
        <w:rPr>
          <w:rFonts w:hint="eastAsia" w:ascii="宋体" w:hAnsi="宋体" w:eastAsia="宋体" w:cs="宋体"/>
          <w:bCs/>
          <w:sz w:val="24"/>
          <w:szCs w:val="24"/>
        </w:rPr>
        <w:t>资金到位率：比较法，资金到位率预期指标值应为100%，通过实际计算，分析实际完成值和预期指标值之间的差距和原因。</w:t>
      </w:r>
    </w:p>
    <w:p w14:paraId="1F9F0798">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Cs/>
          <w:sz w:val="24"/>
          <w:szCs w:val="24"/>
        </w:rPr>
      </w:pPr>
      <w:r>
        <w:rPr>
          <w:rFonts w:hint="eastAsia" w:ascii="宋体" w:hAnsi="宋体" w:eastAsia="宋体" w:cs="宋体"/>
          <w:bCs/>
          <w:sz w:val="24"/>
          <w:szCs w:val="24"/>
        </w:rPr>
        <w:t>预算执行率：比较法，预算执行率预期指标值应为100%，通过实际计算，分析实际完成值和预期指标值之间的差距和原因。</w:t>
      </w:r>
    </w:p>
    <w:p w14:paraId="00576BFE">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Cs/>
          <w:sz w:val="24"/>
          <w:szCs w:val="24"/>
        </w:rPr>
      </w:pPr>
      <w:r>
        <w:rPr>
          <w:rFonts w:hint="eastAsia" w:ascii="宋体" w:hAnsi="宋体" w:eastAsia="宋体" w:cs="宋体"/>
          <w:bCs/>
          <w:sz w:val="24"/>
          <w:szCs w:val="24"/>
        </w:rPr>
        <w:t>资金使用合规性：文献法、实地勘察法，一是查找资金管理办法，包括专项资金管理办法和单位自有资金管理办法；二是通过查账了解具体开支情况，是否专用专用，是否按照标准支出。</w:t>
      </w:r>
    </w:p>
    <w:p w14:paraId="088AFDCF">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Cs/>
          <w:sz w:val="24"/>
          <w:szCs w:val="24"/>
        </w:rPr>
      </w:pPr>
      <w:r>
        <w:rPr>
          <w:rFonts w:hint="eastAsia" w:ascii="宋体" w:hAnsi="宋体" w:eastAsia="宋体" w:cs="宋体"/>
          <w:bCs/>
          <w:sz w:val="24"/>
          <w:szCs w:val="24"/>
        </w:rPr>
        <w:t>管理制度健全性：文献法、比较法，查阅项目实施人员提供的财务和业务管理制度，将已建立的制度与现行的法律法规和政策要求进行对比，分析项目制度的合法性、合规性、完整性。</w:t>
      </w:r>
    </w:p>
    <w:p w14:paraId="2A19DABD">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Cs/>
          <w:sz w:val="24"/>
          <w:szCs w:val="24"/>
        </w:rPr>
      </w:pPr>
      <w:r>
        <w:rPr>
          <w:rFonts w:hint="eastAsia" w:ascii="宋体" w:hAnsi="宋体" w:eastAsia="宋体" w:cs="宋体"/>
          <w:bCs/>
          <w:sz w:val="24"/>
          <w:szCs w:val="24"/>
        </w:rPr>
        <w:t>制度执行有效性：比较法，结合项目实际实施过程性文件，根据已建设的财务管理制度和项目管理制度综合分析制度执行的有效性。</w:t>
      </w:r>
    </w:p>
    <w:p w14:paraId="5E8BDD6E">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Cs/>
          <w:sz w:val="24"/>
          <w:szCs w:val="24"/>
        </w:rPr>
      </w:pPr>
      <w:r>
        <w:rPr>
          <w:rFonts w:hint="eastAsia" w:ascii="宋体" w:hAnsi="宋体" w:eastAsia="宋体" w:cs="宋体"/>
          <w:bCs/>
          <w:sz w:val="24"/>
          <w:szCs w:val="24"/>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EEA560C">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Cs/>
          <w:sz w:val="24"/>
          <w:szCs w:val="24"/>
        </w:rPr>
      </w:pPr>
      <w:r>
        <w:rPr>
          <w:rFonts w:hint="eastAsia" w:ascii="宋体" w:hAnsi="宋体" w:eastAsia="宋体" w:cs="宋体"/>
          <w:bCs/>
          <w:sz w:val="24"/>
          <w:szCs w:val="24"/>
        </w:rPr>
        <w:t>定性指标：公众评判法，通过问卷及抽样调查等方式评价本项目实施后社会公众对于其实施效果的满意程度。</w:t>
      </w:r>
    </w:p>
    <w:p w14:paraId="5B230C8D">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4. 绩效评价标准</w:t>
      </w:r>
    </w:p>
    <w:p w14:paraId="1D46691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bookmarkStart w:id="6" w:name="_Toc68364663"/>
      <w:r>
        <w:rPr>
          <w:rFonts w:hint="eastAsia" w:ascii="宋体" w:hAnsi="宋体" w:eastAsia="宋体" w:cs="宋体"/>
          <w:sz w:val="24"/>
          <w:szCs w:val="24"/>
        </w:rPr>
        <w:t>绩效评价标准通常包括计划标准、行业标准、历史标准等，用于对绩效指标完成情况进行比较、分析、评价。本次评价主要采用了</w:t>
      </w:r>
      <w:r>
        <w:rPr>
          <w:rFonts w:hint="eastAsia" w:ascii="宋体" w:hAnsi="宋体" w:eastAsia="宋体" w:cs="宋体"/>
          <w:b/>
          <w:bCs/>
          <w:sz w:val="24"/>
          <w:szCs w:val="24"/>
        </w:rPr>
        <w:t>计划标准。</w:t>
      </w:r>
    </w:p>
    <w:p w14:paraId="52BF9A0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bookmarkStart w:id="7" w:name="_Toc17882"/>
      <w:bookmarkStart w:id="8" w:name="_Toc31464"/>
      <w:r>
        <w:rPr>
          <w:rFonts w:hint="eastAsia" w:ascii="宋体" w:hAnsi="宋体" w:eastAsia="宋体" w:cs="宋体"/>
          <w:b/>
          <w:bCs/>
          <w:sz w:val="24"/>
          <w:szCs w:val="24"/>
        </w:rPr>
        <w:t>计划标准：</w:t>
      </w:r>
      <w:r>
        <w:rPr>
          <w:rFonts w:hint="eastAsia" w:ascii="宋体" w:hAnsi="宋体" w:eastAsia="宋体" w:cs="宋体"/>
          <w:sz w:val="24"/>
          <w:szCs w:val="24"/>
        </w:rPr>
        <w:t>指以预先制定的目标、计划、预算、定额等作为评价标准。</w:t>
      </w:r>
      <w:bookmarkEnd w:id="7"/>
      <w:bookmarkEnd w:id="8"/>
    </w:p>
    <w:p w14:paraId="4D42C1EA">
      <w:pPr>
        <w:pStyle w:val="48"/>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（三）绩效评价工作过程</w:t>
      </w:r>
      <w:bookmarkEnd w:id="6"/>
    </w:p>
    <w:p w14:paraId="5CF53DE8">
      <w:pPr>
        <w:pStyle w:val="6"/>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9" w:name="_Toc68364664"/>
      <w:r>
        <w:rPr>
          <w:rFonts w:hint="eastAsia" w:ascii="宋体" w:hAnsi="宋体" w:eastAsia="宋体" w:cs="宋体"/>
          <w:sz w:val="24"/>
          <w:szCs w:val="24"/>
        </w:rPr>
        <w:t>1.前期准备</w:t>
      </w:r>
    </w:p>
    <w:p w14:paraId="7D159DF1">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我单位于2025年1月1</w:t>
      </w:r>
      <w:r>
        <w:rPr>
          <w:rFonts w:hint="eastAsia" w:ascii="宋体" w:hAnsi="宋体" w:eastAsia="宋体" w:cs="宋体"/>
          <w:sz w:val="24"/>
          <w:szCs w:val="24"/>
          <w:lang w:val="en-US" w:eastAsia="zh-CN"/>
        </w:rPr>
        <w:t>0</w:t>
      </w:r>
      <w:r>
        <w:rPr>
          <w:rFonts w:hint="eastAsia" w:ascii="宋体" w:hAnsi="宋体" w:eastAsia="宋体" w:cs="宋体"/>
          <w:sz w:val="24"/>
          <w:szCs w:val="24"/>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375711E4">
      <w:pPr>
        <w:pStyle w:val="5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马建明（书记 ）（评价小组组长）：主要负责绩效评价工作职责为负责全盘工作。</w:t>
      </w:r>
    </w:p>
    <w:p w14:paraId="561FAF54">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秦建磊（校办主任）（评价小组组员）：主要负责绩效评价工作职责为为对项目实施情况进行实地调查。</w:t>
      </w:r>
    </w:p>
    <w:p w14:paraId="666CE535">
      <w:pPr>
        <w:pStyle w:val="5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学生资助工作负责人李海龙、教务主任马琴玲 、报账员凯米拉（评价小组组员）：主要负责绩效评价工作职责为负责资料审核、填报等工作。通过与相关成员前期沟通，明确评价目标、识别重要评价事项和履行的评价责任。制定文件清单，了解项目基本情况，确认部门整体的绩效指标，梳理部门内部管理制度，确定当年整体绩效评价重点。</w:t>
      </w:r>
    </w:p>
    <w:p w14:paraId="123B254A">
      <w:pPr>
        <w:pStyle w:val="6"/>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2.组织实施</w:t>
      </w:r>
    </w:p>
    <w:p w14:paraId="17F8941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2025年1月1</w:t>
      </w:r>
      <w:r>
        <w:rPr>
          <w:rFonts w:hint="eastAsia" w:ascii="宋体" w:hAnsi="宋体" w:eastAsia="宋体" w:cs="宋体"/>
          <w:sz w:val="24"/>
          <w:szCs w:val="24"/>
          <w:lang w:val="en-US" w:eastAsia="zh-CN"/>
        </w:rPr>
        <w:t>6</w:t>
      </w:r>
      <w:r>
        <w:rPr>
          <w:rFonts w:hint="eastAsia" w:ascii="宋体" w:hAnsi="宋体" w:eastAsia="宋体" w:cs="宋体"/>
          <w:sz w:val="24"/>
          <w:szCs w:val="24"/>
        </w:rPr>
        <w:t>日-1月</w:t>
      </w:r>
      <w:r>
        <w:rPr>
          <w:rFonts w:hint="eastAsia" w:ascii="宋体" w:hAnsi="宋体" w:eastAsia="宋体" w:cs="宋体"/>
          <w:sz w:val="24"/>
          <w:szCs w:val="24"/>
          <w:lang w:val="en-US" w:eastAsia="zh-CN"/>
        </w:rPr>
        <w:t>31</w:t>
      </w:r>
      <w:r>
        <w:rPr>
          <w:rFonts w:hint="eastAsia" w:ascii="宋体" w:hAnsi="宋体" w:eastAsia="宋体" w:cs="宋体"/>
          <w:sz w:val="24"/>
          <w:szCs w:val="24"/>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45AAB37C">
      <w:pPr>
        <w:pStyle w:val="6"/>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3.分析评价</w:t>
      </w:r>
    </w:p>
    <w:p w14:paraId="6C0AFFC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2025年</w:t>
      </w:r>
      <w:r>
        <w:rPr>
          <w:rFonts w:hint="eastAsia" w:ascii="宋体" w:hAnsi="宋体" w:eastAsia="宋体" w:cs="宋体"/>
          <w:sz w:val="24"/>
          <w:szCs w:val="24"/>
          <w:lang w:val="en-US" w:eastAsia="zh-CN"/>
        </w:rPr>
        <w:t>2</w:t>
      </w:r>
      <w:r>
        <w:rPr>
          <w:rFonts w:hint="eastAsia" w:ascii="宋体" w:hAnsi="宋体" w:eastAsia="宋体" w:cs="宋体"/>
          <w:sz w:val="24"/>
          <w:szCs w:val="24"/>
        </w:rPr>
        <w:t>月</w:t>
      </w:r>
      <w:r>
        <w:rPr>
          <w:rFonts w:hint="eastAsia" w:ascii="宋体" w:hAnsi="宋体" w:eastAsia="宋体" w:cs="宋体"/>
          <w:sz w:val="24"/>
          <w:szCs w:val="24"/>
          <w:lang w:val="en-US" w:eastAsia="zh-CN"/>
        </w:rPr>
        <w:t>1</w:t>
      </w:r>
      <w:r>
        <w:rPr>
          <w:rFonts w:hint="eastAsia" w:ascii="宋体" w:hAnsi="宋体" w:eastAsia="宋体" w:cs="宋体"/>
          <w:sz w:val="24"/>
          <w:szCs w:val="24"/>
        </w:rPr>
        <w:t>日-2月</w:t>
      </w:r>
      <w:r>
        <w:rPr>
          <w:rFonts w:hint="eastAsia" w:ascii="宋体" w:hAnsi="宋体" w:eastAsia="宋体" w:cs="宋体"/>
          <w:sz w:val="24"/>
          <w:szCs w:val="24"/>
          <w:lang w:val="en-US" w:eastAsia="zh-CN"/>
        </w:rPr>
        <w:t>28</w:t>
      </w:r>
      <w:r>
        <w:rPr>
          <w:rFonts w:hint="eastAsia" w:ascii="宋体" w:hAnsi="宋体" w:eastAsia="宋体" w:cs="宋体"/>
          <w:sz w:val="24"/>
          <w:szCs w:val="24"/>
        </w:rPr>
        <w:t>日，评价小组按照绩效评价的原则和规范，对取得的资料进行审查核实，对采集的数据进行分析，按照绩效评价指标评分表逐项进行打分、分析、汇总各方评价结果。</w:t>
      </w:r>
    </w:p>
    <w:p w14:paraId="617141FF">
      <w:pPr>
        <w:pStyle w:val="6"/>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4.撰写与提交评价报告</w:t>
      </w:r>
    </w:p>
    <w:p w14:paraId="0217FEED">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2025年</w:t>
      </w:r>
      <w:r>
        <w:rPr>
          <w:rFonts w:hint="eastAsia" w:ascii="宋体" w:hAnsi="宋体" w:eastAsia="宋体" w:cs="宋体"/>
          <w:sz w:val="24"/>
          <w:szCs w:val="24"/>
          <w:lang w:val="en-US" w:eastAsia="zh-CN"/>
        </w:rPr>
        <w:t>3</w:t>
      </w:r>
      <w:r>
        <w:rPr>
          <w:rFonts w:hint="eastAsia" w:ascii="宋体" w:hAnsi="宋体" w:eastAsia="宋体" w:cs="宋体"/>
          <w:sz w:val="24"/>
          <w:szCs w:val="24"/>
        </w:rPr>
        <w:t>月</w:t>
      </w:r>
      <w:r>
        <w:rPr>
          <w:rFonts w:hint="eastAsia" w:ascii="宋体" w:hAnsi="宋体" w:eastAsia="宋体" w:cs="宋体"/>
          <w:sz w:val="24"/>
          <w:szCs w:val="24"/>
          <w:lang w:val="en-US" w:eastAsia="zh-CN"/>
        </w:rPr>
        <w:t>1</w:t>
      </w:r>
      <w:r>
        <w:rPr>
          <w:rFonts w:hint="eastAsia" w:ascii="宋体" w:hAnsi="宋体" w:eastAsia="宋体" w:cs="宋体"/>
          <w:sz w:val="24"/>
          <w:szCs w:val="24"/>
        </w:rPr>
        <w:t>日-3月</w:t>
      </w:r>
      <w:r>
        <w:rPr>
          <w:rFonts w:hint="eastAsia" w:ascii="宋体" w:hAnsi="宋体" w:eastAsia="宋体" w:cs="宋体"/>
          <w:sz w:val="24"/>
          <w:szCs w:val="24"/>
          <w:lang w:val="en-US" w:eastAsia="zh-CN"/>
        </w:rPr>
        <w:t>3</w:t>
      </w:r>
      <w:r>
        <w:rPr>
          <w:rFonts w:hint="eastAsia" w:ascii="宋体" w:hAnsi="宋体" w:eastAsia="宋体" w:cs="宋体"/>
          <w:sz w:val="24"/>
          <w:szCs w:val="24"/>
        </w:rPr>
        <w:t>1日评价小组撰写绩效评价报告，按照新疆维吾尔自治区财政绩效管理信息系统绩效评价模块中统一格式和文本框架撰写绩效评价报告并提交审核。</w:t>
      </w:r>
    </w:p>
    <w:p w14:paraId="7288E12D">
      <w:pPr>
        <w:pStyle w:val="6"/>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5.问题整改</w:t>
      </w:r>
    </w:p>
    <w:p w14:paraId="73FED3F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0CC051B4">
      <w:pPr>
        <w:pStyle w:val="6"/>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6.档案整理</w:t>
      </w:r>
    </w:p>
    <w:p w14:paraId="200A7130">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建立和落实档案管理制度，将项目相关资料存档，包括但不限于：评价项目基本情况和相关文件、评价实施方案、项目支付资料等相关档案。</w:t>
      </w:r>
    </w:p>
    <w:p w14:paraId="366EA7F3">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r>
        <w:rPr>
          <w:rFonts w:hint="eastAsia" w:ascii="黑体" w:hAnsi="黑体" w:eastAsia="黑体" w:cs="黑体"/>
          <w:sz w:val="24"/>
          <w:szCs w:val="24"/>
        </w:rPr>
        <w:t>三、综合评价情况及评价结论</w:t>
      </w:r>
      <w:bookmarkEnd w:id="9"/>
    </w:p>
    <w:p w14:paraId="1986DE79">
      <w:pPr>
        <w:pStyle w:val="48"/>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10" w:name="_Toc68364665"/>
      <w:r>
        <w:rPr>
          <w:rFonts w:hint="eastAsia" w:ascii="宋体" w:hAnsi="宋体" w:eastAsia="宋体" w:cs="宋体"/>
          <w:sz w:val="24"/>
          <w:szCs w:val="24"/>
        </w:rPr>
        <w:t>（一）综合评价情况</w:t>
      </w:r>
      <w:bookmarkEnd w:id="10"/>
    </w:p>
    <w:p w14:paraId="287434E2">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bookmarkStart w:id="11" w:name="_Toc68364666"/>
      <w:r>
        <w:rPr>
          <w:rFonts w:hint="eastAsia" w:ascii="宋体" w:hAnsi="宋体" w:eastAsia="宋体" w:cs="宋体"/>
          <w:sz w:val="24"/>
          <w:szCs w:val="24"/>
        </w:rPr>
        <w:t>通过实施</w:t>
      </w:r>
      <w:r>
        <w:rPr>
          <w:rFonts w:hint="eastAsia" w:ascii="宋体" w:hAnsi="宋体" w:eastAsia="宋体" w:cs="宋体"/>
          <w:sz w:val="24"/>
          <w:szCs w:val="24"/>
          <w:lang w:eastAsia="zh-CN"/>
        </w:rPr>
        <w:t>2024年中央城乡义务教育补助</w:t>
      </w:r>
      <w:r>
        <w:rPr>
          <w:rFonts w:hint="eastAsia" w:ascii="宋体" w:hAnsi="宋体" w:eastAsia="宋体" w:cs="宋体"/>
          <w:sz w:val="24"/>
          <w:szCs w:val="24"/>
        </w:rPr>
        <w:t>项目产生保障家庭经济困难学生生活补助.促进了教育公平，对家庭经济困难学生产生了实际的经济帮助作用，提升了学生的综合素质效益。项目实施主要通过项目决策、项目过程、项目产出以及项目效益等方面进行评价，其中：</w:t>
      </w:r>
    </w:p>
    <w:p w14:paraId="4A2047D1">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项目决策：该项目主要通过</w:t>
      </w:r>
      <w:r>
        <w:rPr>
          <w:rFonts w:hint="eastAsia" w:ascii="宋体" w:hAnsi="宋体" w:eastAsia="宋体" w:cs="宋体"/>
          <w:sz w:val="24"/>
          <w:szCs w:val="24"/>
          <w:lang w:eastAsia="zh-CN"/>
        </w:rPr>
        <w:t>2024年中央城乡义务教育补助</w:t>
      </w:r>
      <w:r>
        <w:rPr>
          <w:rFonts w:hint="eastAsia" w:ascii="宋体" w:hAnsi="宋体" w:eastAsia="宋体" w:cs="宋体"/>
          <w:sz w:val="24"/>
          <w:szCs w:val="24"/>
        </w:rPr>
        <w:t>文件立项，项目实施符合</w:t>
      </w:r>
      <w:r>
        <w:rPr>
          <w:rFonts w:hint="eastAsia" w:ascii="宋体" w:hAnsi="宋体" w:eastAsia="宋体" w:cs="宋体"/>
          <w:sz w:val="24"/>
          <w:szCs w:val="24"/>
          <w:lang w:eastAsia="zh-CN"/>
        </w:rPr>
        <w:t>2024年中央城乡义务教育补助</w:t>
      </w:r>
      <w:r>
        <w:rPr>
          <w:rFonts w:hint="eastAsia" w:ascii="宋体" w:hAnsi="宋体" w:eastAsia="宋体" w:cs="宋体"/>
          <w:sz w:val="24"/>
          <w:szCs w:val="24"/>
        </w:rPr>
        <w:t xml:space="preserve">要求，项目立项依据充分，立项程序规范。 </w:t>
      </w:r>
    </w:p>
    <w:p w14:paraId="4763B72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项目过程：</w:t>
      </w:r>
      <w:r>
        <w:rPr>
          <w:rFonts w:hint="eastAsia" w:ascii="宋体" w:hAnsi="宋体" w:eastAsia="宋体" w:cs="宋体"/>
          <w:sz w:val="24"/>
          <w:szCs w:val="24"/>
          <w:lang w:eastAsia="zh-CN"/>
        </w:rPr>
        <w:t>2024年中央城乡义务教育补助</w:t>
      </w:r>
      <w:r>
        <w:rPr>
          <w:rFonts w:hint="eastAsia" w:ascii="宋体" w:hAnsi="宋体" w:eastAsia="宋体" w:cs="宋体"/>
          <w:sz w:val="24"/>
          <w:szCs w:val="24"/>
        </w:rPr>
        <w:t>项目预算安排 70.35万元，实际支出</w:t>
      </w:r>
      <w:r>
        <w:rPr>
          <w:rFonts w:hint="eastAsia" w:ascii="宋体" w:hAnsi="宋体" w:eastAsia="宋体" w:cs="宋体"/>
          <w:sz w:val="24"/>
          <w:szCs w:val="24"/>
          <w:lang w:eastAsia="zh-CN"/>
        </w:rPr>
        <w:t>119.22</w:t>
      </w:r>
      <w:r>
        <w:rPr>
          <w:rFonts w:hint="eastAsia" w:ascii="宋体" w:hAnsi="宋体" w:eastAsia="宋体" w:cs="宋体"/>
          <w:sz w:val="24"/>
          <w:szCs w:val="24"/>
        </w:rPr>
        <w:t>万元，预算执行率100%。项目资金使用合规，项目财务管理制度健全，财务监控到位，所有资金支付均按照国库集中支付制度严格执行，现有项目管理制度执行情况良好。</w:t>
      </w:r>
    </w:p>
    <w:p w14:paraId="3D360945">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ascii="宋体" w:hAnsi="宋体" w:eastAsia="宋体" w:cs="宋体"/>
          <w:sz w:val="24"/>
          <w:szCs w:val="24"/>
        </w:rPr>
      </w:pPr>
      <w:r>
        <w:rPr>
          <w:rFonts w:hint="eastAsia" w:ascii="宋体" w:hAnsi="宋体" w:eastAsia="宋体" w:cs="宋体"/>
          <w:sz w:val="24"/>
          <w:szCs w:val="24"/>
        </w:rPr>
        <w:t>项目产出：城乡义务教育补助经费受益学生数量</w:t>
      </w:r>
      <w:r>
        <w:rPr>
          <w:rFonts w:hint="eastAsia" w:ascii="宋体" w:hAnsi="宋体" w:eastAsia="宋体" w:cs="宋体"/>
          <w:sz w:val="24"/>
          <w:szCs w:val="24"/>
          <w:lang w:val="en-US" w:eastAsia="zh-CN"/>
        </w:rPr>
        <w:t>2264</w:t>
      </w:r>
      <w:r>
        <w:rPr>
          <w:rFonts w:hint="eastAsia" w:ascii="宋体" w:hAnsi="宋体" w:eastAsia="宋体" w:cs="宋体"/>
          <w:sz w:val="24"/>
          <w:szCs w:val="24"/>
        </w:rPr>
        <w:t>人，资金使用合格率100%，项目于2024年12月完成，公用经费</w:t>
      </w:r>
      <w:r>
        <w:rPr>
          <w:rFonts w:hint="eastAsia" w:ascii="宋体" w:hAnsi="宋体" w:eastAsia="宋体" w:cs="宋体"/>
          <w:sz w:val="24"/>
          <w:szCs w:val="24"/>
          <w:lang w:val="en-US" w:eastAsia="zh-CN"/>
        </w:rPr>
        <w:t>98.85万元，困难学生生活补助项目成本20.37万元。</w:t>
      </w:r>
    </w:p>
    <w:p w14:paraId="3E6CC16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项目效益：通过实施本项目可以有效提高学校工作效率。保障学校日常工作正常运行。</w:t>
      </w:r>
    </w:p>
    <w:p w14:paraId="1DCF5F14">
      <w:pPr>
        <w:pStyle w:val="48"/>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（二）综合评价结论</w:t>
      </w:r>
    </w:p>
    <w:p w14:paraId="7A12B62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依据《中共中央国务院关于全面实施预算绩效管理的意见》《项目支出绩效评价管理办法》（财预〔2020〕10号）文件，绩效评价总分设置为100分，划分为四档：90（含）-100分为“优”、80（含）-90分为“良”、70（含）-80分为“中”、70分以下为“差”。经对</w:t>
      </w:r>
      <w:r>
        <w:rPr>
          <w:rFonts w:hint="eastAsia" w:ascii="宋体" w:hAnsi="宋体" w:eastAsia="宋体" w:cs="宋体"/>
          <w:sz w:val="24"/>
          <w:szCs w:val="24"/>
          <w:lang w:eastAsia="zh-CN"/>
        </w:rPr>
        <w:t>2024年中央城乡义务教育补助</w:t>
      </w:r>
      <w:r>
        <w:rPr>
          <w:rFonts w:hint="eastAsia" w:ascii="宋体" w:hAnsi="宋体" w:eastAsia="宋体" w:cs="宋体"/>
          <w:sz w:val="24"/>
          <w:szCs w:val="24"/>
        </w:rPr>
        <w:t>项目进行客观评价，最终评分结果：评价总分100分，绩效等级为“优秀”。</w:t>
      </w:r>
      <w:bookmarkEnd w:id="11"/>
    </w:p>
    <w:p w14:paraId="61C477F4">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bookmarkStart w:id="12" w:name="_Toc68364667"/>
    </w:p>
    <w:p w14:paraId="58BCED70">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r>
        <w:rPr>
          <w:rFonts w:hint="eastAsia" w:ascii="黑体" w:hAnsi="黑体" w:eastAsia="黑体" w:cs="黑体"/>
          <w:sz w:val="24"/>
          <w:szCs w:val="24"/>
        </w:rPr>
        <w:t>四、绩效评价指标分析</w:t>
      </w:r>
      <w:bookmarkEnd w:id="12"/>
    </w:p>
    <w:p w14:paraId="2F9730F5">
      <w:pPr>
        <w:pStyle w:val="48"/>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13" w:name="_Toc68364668"/>
      <w:r>
        <w:rPr>
          <w:rFonts w:hint="eastAsia" w:ascii="宋体" w:hAnsi="宋体" w:eastAsia="宋体" w:cs="宋体"/>
          <w:sz w:val="24"/>
          <w:szCs w:val="24"/>
        </w:rPr>
        <w:t>（一）项目决策情况</w:t>
      </w:r>
    </w:p>
    <w:p w14:paraId="73F1D1BB">
      <w:pPr>
        <w:pageBreakBefore w:val="0"/>
        <w:widowControl w:val="0"/>
        <w:kinsoku/>
        <w:wordWrap/>
        <w:overflowPunct w:val="0"/>
        <w:topLinePunct w:val="0"/>
        <w:autoSpaceDE/>
        <w:autoSpaceDN/>
        <w:bidi w:val="0"/>
        <w:adjustRightInd/>
        <w:snapToGrid/>
        <w:spacing w:line="360" w:lineRule="auto"/>
        <w:ind w:left="0" w:leftChars="0" w:firstLine="480" w:firstLineChars="200"/>
        <w:contextualSpacing/>
        <w:jc w:val="both"/>
        <w:textAlignment w:val="auto"/>
        <w:rPr>
          <w:rFonts w:hint="eastAsia" w:ascii="宋体" w:hAnsi="宋体" w:eastAsia="宋体" w:cs="宋体"/>
          <w:sz w:val="24"/>
          <w:szCs w:val="24"/>
        </w:rPr>
      </w:pPr>
      <w:r>
        <w:rPr>
          <w:rFonts w:hint="eastAsia" w:ascii="宋体" w:hAnsi="宋体" w:eastAsia="宋体" w:cs="宋体"/>
          <w:sz w:val="24"/>
          <w:szCs w:val="24"/>
        </w:rPr>
        <w:t>项目决策类指标包括项目立项、绩效目标和资金投入三方面的内容，由6个三级指标构成，权重分为</w:t>
      </w:r>
      <w:r>
        <w:rPr>
          <w:rFonts w:hint="eastAsia" w:ascii="宋体" w:hAnsi="宋体" w:eastAsia="宋体" w:cs="宋体"/>
          <w:sz w:val="24"/>
          <w:szCs w:val="24"/>
          <w:lang w:val="en-US" w:eastAsia="zh-CN"/>
        </w:rPr>
        <w:t>23</w:t>
      </w:r>
      <w:r>
        <w:rPr>
          <w:rFonts w:hint="eastAsia" w:ascii="宋体" w:hAnsi="宋体" w:eastAsia="宋体" w:cs="宋体"/>
          <w:sz w:val="24"/>
          <w:szCs w:val="24"/>
        </w:rPr>
        <w:t>分，实际得分</w:t>
      </w:r>
      <w:r>
        <w:rPr>
          <w:rFonts w:hint="eastAsia" w:ascii="宋体" w:hAnsi="宋体" w:eastAsia="宋体" w:cs="宋体"/>
          <w:sz w:val="24"/>
          <w:szCs w:val="24"/>
          <w:lang w:val="en-US" w:eastAsia="zh-CN"/>
        </w:rPr>
        <w:t>23</w:t>
      </w:r>
      <w:r>
        <w:rPr>
          <w:rFonts w:hint="eastAsia" w:ascii="宋体" w:hAnsi="宋体" w:eastAsia="宋体" w:cs="宋体"/>
          <w:sz w:val="24"/>
          <w:szCs w:val="24"/>
        </w:rPr>
        <w:t>分，得分率为100%。</w:t>
      </w:r>
    </w:p>
    <w:p w14:paraId="4C200FA1">
      <w:pPr>
        <w:pageBreakBefore w:val="0"/>
        <w:widowControl w:val="0"/>
        <w:numPr>
          <w:ilvl w:val="0"/>
          <w:numId w:val="3"/>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rPr>
        <w:t>立项依据充分性：</w:t>
      </w:r>
    </w:p>
    <w:p w14:paraId="4F84FA88">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项目立项符合（和地财教[2023]70号）中：“洛财教【2024】7号”；本项目立项符合和地财教[2023]70号中：“洛财教【2024】7号”内容，符合行业发展规划和政策要求；根据《财政资金直接支付申请书》，本项目资金性质为“公共财政预算”功能分类为“教育支出”经济分类为“其他普通教育支出”属于公共财政支持范围，符合中央、地方事权支出责任划分原则；经检查我单位财政应用平台指标，本项目不存在重复。</w:t>
      </w:r>
    </w:p>
    <w:p w14:paraId="404FE0A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sz w:val="24"/>
          <w:szCs w:val="24"/>
        </w:rPr>
      </w:pPr>
      <w:r>
        <w:rPr>
          <w:rFonts w:hint="eastAsia" w:ascii="宋体" w:hAnsi="宋体" w:eastAsia="宋体" w:cs="宋体"/>
          <w:sz w:val="24"/>
          <w:szCs w:val="24"/>
        </w:rPr>
        <w:t>综上所述，本指标满分为2分，根据评分标准得2分，本项目立项依据充分。</w:t>
      </w:r>
    </w:p>
    <w:p w14:paraId="585412B5">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rPr>
        <w:t>（2）立项程序规范性：</w:t>
      </w:r>
    </w:p>
    <w:p w14:paraId="67D47B27">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本项目</w:t>
      </w:r>
      <w:r>
        <w:rPr>
          <w:rFonts w:hint="eastAsia" w:ascii="宋体" w:hAnsi="宋体" w:eastAsia="宋体" w:cs="宋体"/>
          <w:sz w:val="24"/>
          <w:szCs w:val="24"/>
          <w:lang w:eastAsia="zh-CN"/>
        </w:rPr>
        <w:t>2024年中央城乡义务教育补助</w:t>
      </w:r>
      <w:r>
        <w:rPr>
          <w:rFonts w:hint="eastAsia" w:ascii="宋体" w:hAnsi="宋体" w:eastAsia="宋体" w:cs="宋体"/>
          <w:sz w:val="24"/>
          <w:szCs w:val="24"/>
        </w:rPr>
        <w:t>，项目立项过程中产生的文件均符合相关要求。本项目为人员类项目，属于经常性项目，项目预算金额为</w:t>
      </w:r>
      <w:r>
        <w:rPr>
          <w:rFonts w:hint="eastAsia" w:ascii="宋体" w:hAnsi="宋体" w:eastAsia="宋体" w:cs="宋体"/>
          <w:sz w:val="24"/>
          <w:szCs w:val="24"/>
          <w:lang w:eastAsia="zh-CN"/>
        </w:rPr>
        <w:t>119.22</w:t>
      </w:r>
      <w:r>
        <w:rPr>
          <w:rFonts w:hint="eastAsia" w:ascii="宋体" w:hAnsi="宋体" w:eastAsia="宋体" w:cs="宋体"/>
          <w:sz w:val="24"/>
          <w:szCs w:val="24"/>
        </w:rPr>
        <w:t>万元，不涉及事前绩效评估和风险评估</w:t>
      </w:r>
      <w:r>
        <w:rPr>
          <w:rFonts w:hint="eastAsia" w:ascii="宋体" w:hAnsi="宋体" w:eastAsia="宋体" w:cs="宋体"/>
          <w:sz w:val="24"/>
          <w:szCs w:val="24"/>
          <w:lang w:eastAsia="zh-CN"/>
        </w:rPr>
        <w:t>。</w:t>
      </w:r>
    </w:p>
    <w:p w14:paraId="48DE3E4D">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综上所述，本指标满分为3分，根据评分标准得3分，本项目立项程序合规。</w:t>
      </w:r>
    </w:p>
    <w:p w14:paraId="499E0CE1">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b/>
          <w:bCs/>
          <w:sz w:val="24"/>
          <w:szCs w:val="24"/>
        </w:rPr>
        <w:t>（3）绩效目标合理性</w:t>
      </w:r>
      <w:r>
        <w:rPr>
          <w:rFonts w:hint="eastAsia" w:ascii="宋体" w:hAnsi="宋体" w:eastAsia="宋体" w:cs="宋体"/>
          <w:sz w:val="24"/>
          <w:szCs w:val="24"/>
        </w:rPr>
        <w:t>：</w:t>
      </w:r>
    </w:p>
    <w:p w14:paraId="19AA54E5">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①该项目已设置年度绩效目标，具体内容为“为保障学校日常工作正常运行，本项目正常性项目，资金总额为119.22万元，主要用于学生家庭生活困难补助及学校公用经费。将在2024年12月之前完成。通过实施本项目可以有效提高学校工作效率。保障学校日常工作正常运行”。</w:t>
      </w:r>
    </w:p>
    <w:p w14:paraId="6D368AF6">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②该项目实际工作内容为：主要用于2264名学生家庭生活困难补助及学校公用经费。绩效目标与实际工作内容一致，两者具有相关性。</w:t>
      </w:r>
    </w:p>
    <w:p w14:paraId="16DFC30D">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③该项目按照绩效目标完成数量指标、质量指标、时效指标、成本指标，完成了预期值，达到有效提高学校工作效率效益，预期产出效益和效果是否符合正常的业绩水平。。</w:t>
      </w:r>
    </w:p>
    <w:p w14:paraId="0F4E7DD8">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④该项目批复的预算金额为</w:t>
      </w:r>
      <w:r>
        <w:rPr>
          <w:rFonts w:hint="eastAsia" w:ascii="宋体" w:hAnsi="宋体" w:eastAsia="宋体" w:cs="宋体"/>
          <w:sz w:val="24"/>
          <w:szCs w:val="24"/>
          <w:lang w:eastAsia="zh-CN"/>
        </w:rPr>
        <w:t>119.22</w:t>
      </w:r>
      <w:r>
        <w:rPr>
          <w:rFonts w:hint="eastAsia" w:ascii="宋体" w:hAnsi="宋体" w:eastAsia="宋体" w:cs="宋体"/>
          <w:sz w:val="24"/>
          <w:szCs w:val="24"/>
        </w:rPr>
        <w:t>万元，《项目支出绩效目标表》中预算金额为</w:t>
      </w:r>
      <w:r>
        <w:rPr>
          <w:rFonts w:hint="eastAsia" w:ascii="宋体" w:hAnsi="宋体" w:eastAsia="宋体" w:cs="宋体"/>
          <w:sz w:val="24"/>
          <w:szCs w:val="24"/>
          <w:lang w:eastAsia="zh-CN"/>
        </w:rPr>
        <w:t>119.22</w:t>
      </w:r>
      <w:r>
        <w:rPr>
          <w:rFonts w:hint="eastAsia" w:ascii="宋体" w:hAnsi="宋体" w:eastAsia="宋体" w:cs="宋体"/>
          <w:sz w:val="24"/>
          <w:szCs w:val="24"/>
        </w:rPr>
        <w:t>万元，预算确定的项目资金与预算确定的项目投资额相匹配。</w:t>
      </w:r>
    </w:p>
    <w:p w14:paraId="28343AC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⑤本单位制定了实施方案，明确了总体思路及目标、并对任务进行了详细分解，对目标进行了细化，根据评分标准，该指标不扣分，得</w:t>
      </w:r>
      <w:r>
        <w:rPr>
          <w:rFonts w:hint="eastAsia" w:ascii="宋体" w:hAnsi="宋体" w:eastAsia="宋体" w:cs="宋体"/>
          <w:sz w:val="24"/>
          <w:szCs w:val="24"/>
          <w:lang w:val="en-US" w:eastAsia="zh-CN"/>
        </w:rPr>
        <w:t>5</w:t>
      </w:r>
      <w:r>
        <w:rPr>
          <w:rFonts w:hint="eastAsia" w:ascii="宋体" w:hAnsi="宋体" w:eastAsia="宋体" w:cs="宋体"/>
          <w:sz w:val="24"/>
          <w:szCs w:val="24"/>
        </w:rPr>
        <w:t>分。</w:t>
      </w:r>
    </w:p>
    <w:p w14:paraId="773FCB3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b/>
          <w:bCs/>
          <w:sz w:val="24"/>
          <w:szCs w:val="24"/>
        </w:rPr>
        <w:t>（4）绩效指标明确性：</w:t>
      </w:r>
      <w:r>
        <w:rPr>
          <w:rFonts w:hint="eastAsia" w:ascii="宋体" w:hAnsi="宋体" w:eastAsia="宋体" w:cs="宋体"/>
          <w:sz w:val="24"/>
          <w:szCs w:val="24"/>
        </w:rPr>
        <w:t>经检查我单位年初设置的《项目支出绩效目标表》，得出如下结论：本项目已将年度绩效目标进行细化为绩效指标体系，共设置一级指标3个，二级指标4个，三级指标8个，定量指标</w:t>
      </w:r>
      <w:r>
        <w:rPr>
          <w:rFonts w:hint="eastAsia" w:ascii="宋体" w:hAnsi="宋体" w:eastAsia="宋体" w:cs="宋体"/>
          <w:sz w:val="24"/>
          <w:szCs w:val="24"/>
          <w:lang w:val="en-US" w:eastAsia="zh-CN"/>
        </w:rPr>
        <w:t>7</w:t>
      </w:r>
      <w:r>
        <w:rPr>
          <w:rFonts w:hint="eastAsia" w:ascii="宋体" w:hAnsi="宋体" w:eastAsia="宋体" w:cs="宋体"/>
          <w:sz w:val="24"/>
          <w:szCs w:val="24"/>
        </w:rPr>
        <w:t>个，定性指标</w:t>
      </w:r>
      <w:r>
        <w:rPr>
          <w:rFonts w:hint="eastAsia" w:ascii="宋体" w:hAnsi="宋体" w:eastAsia="宋体" w:cs="宋体"/>
          <w:sz w:val="24"/>
          <w:szCs w:val="24"/>
          <w:lang w:val="en-US" w:eastAsia="zh-CN"/>
        </w:rPr>
        <w:t>1</w:t>
      </w:r>
      <w:r>
        <w:rPr>
          <w:rFonts w:hint="eastAsia" w:ascii="宋体" w:hAnsi="宋体" w:eastAsia="宋体" w:cs="宋体"/>
          <w:sz w:val="24"/>
          <w:szCs w:val="24"/>
        </w:rPr>
        <w:t>个，指标量化率为</w:t>
      </w:r>
      <w:r>
        <w:rPr>
          <w:rFonts w:hint="eastAsia" w:ascii="宋体" w:hAnsi="宋体" w:eastAsia="宋体" w:cs="宋体"/>
          <w:sz w:val="24"/>
          <w:szCs w:val="24"/>
          <w:lang w:val="en-US" w:eastAsia="zh-CN"/>
        </w:rPr>
        <w:t>87.5</w:t>
      </w:r>
      <w:r>
        <w:rPr>
          <w:rFonts w:hint="eastAsia" w:ascii="宋体" w:hAnsi="宋体" w:eastAsia="宋体" w:cs="宋体"/>
          <w:sz w:val="24"/>
          <w:szCs w:val="24"/>
        </w:rPr>
        <w:t>%，量化率达70.0%以上，将项目绩效目标细化分解为具体的绩效指标。</w:t>
      </w:r>
    </w:p>
    <w:p w14:paraId="23D607F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该《项目绩效目标申报表》中，数量指标指标值为小学教育保障经费收益学生数量，三级指标的年度指标值与年度绩效目标中任务数一致（或不完全一致），已设置时效指标“项目完成时间</w:t>
      </w:r>
      <w:r>
        <w:rPr>
          <w:rFonts w:hint="eastAsia" w:ascii="宋体" w:hAnsi="宋体" w:eastAsia="宋体" w:cs="宋体"/>
          <w:sz w:val="24"/>
          <w:szCs w:val="24"/>
          <w:lang w:eastAsia="zh-CN"/>
        </w:rPr>
        <w:t>、项目支付及时率</w:t>
      </w:r>
      <w:r>
        <w:rPr>
          <w:rFonts w:hint="eastAsia" w:ascii="宋体" w:hAnsi="宋体" w:eastAsia="宋体" w:cs="宋体"/>
          <w:sz w:val="24"/>
          <w:szCs w:val="24"/>
        </w:rPr>
        <w:t>”。已设置的绩效目标具备明确性、可衡量性、可实现性、相关性、时限性。根据评分标准，该指标不扣分，得</w:t>
      </w:r>
      <w:r>
        <w:rPr>
          <w:rFonts w:hint="eastAsia" w:ascii="宋体" w:hAnsi="宋体" w:eastAsia="宋体" w:cs="宋体"/>
          <w:sz w:val="24"/>
          <w:szCs w:val="24"/>
          <w:lang w:val="en-US" w:eastAsia="zh-CN"/>
        </w:rPr>
        <w:t>5</w:t>
      </w:r>
      <w:r>
        <w:rPr>
          <w:rFonts w:hint="eastAsia" w:ascii="宋体" w:hAnsi="宋体" w:eastAsia="宋体" w:cs="宋体"/>
          <w:sz w:val="24"/>
          <w:szCs w:val="24"/>
        </w:rPr>
        <w:t>分。</w:t>
      </w:r>
    </w:p>
    <w:p w14:paraId="543FF20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b/>
          <w:bCs/>
          <w:sz w:val="24"/>
          <w:szCs w:val="24"/>
        </w:rPr>
        <w:t>（5）预算编制科学性：</w:t>
      </w:r>
      <w:r>
        <w:rPr>
          <w:rFonts w:hint="eastAsia" w:ascii="宋体" w:hAnsi="宋体" w:eastAsia="宋体" w:cs="宋体"/>
          <w:sz w:val="24"/>
          <w:szCs w:val="24"/>
        </w:rPr>
        <w:t>本项目</w:t>
      </w:r>
      <w:r>
        <w:rPr>
          <w:rFonts w:hint="eastAsia" w:ascii="宋体" w:hAnsi="宋体" w:eastAsia="宋体" w:cs="宋体"/>
          <w:sz w:val="24"/>
          <w:szCs w:val="24"/>
          <w:lang w:eastAsia="zh-CN"/>
        </w:rPr>
        <w:t>2024年中央城乡义务教育补助</w:t>
      </w:r>
      <w:r>
        <w:rPr>
          <w:rFonts w:hint="eastAsia" w:ascii="宋体" w:hAnsi="宋体" w:eastAsia="宋体" w:cs="宋体"/>
          <w:sz w:val="24"/>
          <w:szCs w:val="24"/>
        </w:rPr>
        <w:t>，即预算编制较科学且经过论证；</w:t>
      </w:r>
    </w:p>
    <w:p w14:paraId="70BB335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预算申请内容为</w:t>
      </w:r>
      <w:r>
        <w:rPr>
          <w:rFonts w:hint="eastAsia" w:ascii="宋体" w:hAnsi="宋体" w:eastAsia="宋体" w:cs="宋体"/>
          <w:sz w:val="24"/>
          <w:szCs w:val="24"/>
          <w:lang w:eastAsia="zh-CN"/>
        </w:rPr>
        <w:t>119.22</w:t>
      </w:r>
      <w:r>
        <w:rPr>
          <w:rFonts w:hint="eastAsia" w:ascii="宋体" w:hAnsi="宋体" w:eastAsia="宋体" w:cs="宋体"/>
          <w:sz w:val="24"/>
          <w:szCs w:val="24"/>
        </w:rPr>
        <w:t>万元，项目实际内容为</w:t>
      </w:r>
      <w:r>
        <w:rPr>
          <w:rFonts w:hint="eastAsia" w:ascii="宋体" w:hAnsi="宋体" w:eastAsia="宋体" w:cs="宋体"/>
          <w:sz w:val="24"/>
          <w:szCs w:val="24"/>
          <w:lang w:eastAsia="zh-CN"/>
        </w:rPr>
        <w:t>119.22</w:t>
      </w:r>
      <w:r>
        <w:rPr>
          <w:rFonts w:hint="eastAsia" w:ascii="宋体" w:hAnsi="宋体" w:eastAsia="宋体" w:cs="宋体"/>
          <w:sz w:val="24"/>
          <w:szCs w:val="24"/>
        </w:rPr>
        <w:t>万元，预算申请与《</w:t>
      </w:r>
      <w:r>
        <w:rPr>
          <w:rFonts w:hint="eastAsia" w:ascii="宋体" w:hAnsi="宋体" w:eastAsia="宋体" w:cs="宋体"/>
          <w:sz w:val="24"/>
          <w:szCs w:val="24"/>
          <w:lang w:eastAsia="zh-CN"/>
        </w:rPr>
        <w:t>2024年中央城乡义务教育补助</w:t>
      </w:r>
      <w:r>
        <w:rPr>
          <w:rFonts w:hint="eastAsia" w:ascii="宋体" w:hAnsi="宋体" w:eastAsia="宋体" w:cs="宋体"/>
          <w:sz w:val="24"/>
          <w:szCs w:val="24"/>
        </w:rPr>
        <w:t>项目实施方案》中涉及的项目内容匹配；</w:t>
      </w:r>
    </w:p>
    <w:p w14:paraId="0E73EAA7">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本项目预算申请资金</w:t>
      </w:r>
      <w:r>
        <w:rPr>
          <w:rFonts w:hint="eastAsia" w:ascii="宋体" w:hAnsi="宋体" w:eastAsia="宋体" w:cs="宋体"/>
          <w:sz w:val="24"/>
          <w:szCs w:val="24"/>
          <w:lang w:eastAsia="zh-CN"/>
        </w:rPr>
        <w:t>119.22</w:t>
      </w:r>
      <w:r>
        <w:rPr>
          <w:rFonts w:hint="eastAsia" w:ascii="宋体" w:hAnsi="宋体" w:eastAsia="宋体" w:cs="宋体"/>
          <w:sz w:val="24"/>
          <w:szCs w:val="24"/>
        </w:rPr>
        <w:t>万元，我单位在预算申请中严格按照项目实施内容及测算标准进行核算，其中：家庭经济困难学生生活补助费用</w:t>
      </w:r>
      <w:r>
        <w:rPr>
          <w:rFonts w:hint="eastAsia" w:ascii="宋体" w:hAnsi="宋体" w:eastAsia="宋体" w:cs="宋体"/>
          <w:sz w:val="24"/>
          <w:szCs w:val="24"/>
          <w:lang w:eastAsia="zh-CN"/>
        </w:rPr>
        <w:t>119.22</w:t>
      </w:r>
      <w:r>
        <w:rPr>
          <w:rFonts w:hint="eastAsia" w:ascii="宋体" w:hAnsi="宋体" w:eastAsia="宋体" w:cs="宋体"/>
          <w:sz w:val="24"/>
          <w:szCs w:val="24"/>
        </w:rPr>
        <w:t>万元。预算确定资金量与实际工作任务相匹配。本项目预算额度测算依据充分，严格按照标准编制，预算确定资金量与实际工作任务相匹配；根据评分标准，该指标不扣分，得</w:t>
      </w:r>
      <w:r>
        <w:rPr>
          <w:rFonts w:hint="eastAsia" w:ascii="宋体" w:hAnsi="宋体" w:eastAsia="宋体" w:cs="宋体"/>
          <w:sz w:val="24"/>
          <w:szCs w:val="24"/>
          <w:lang w:val="en-US" w:eastAsia="zh-CN"/>
        </w:rPr>
        <w:t>5</w:t>
      </w:r>
      <w:r>
        <w:rPr>
          <w:rFonts w:hint="eastAsia" w:ascii="宋体" w:hAnsi="宋体" w:eastAsia="宋体" w:cs="宋体"/>
          <w:sz w:val="24"/>
          <w:szCs w:val="24"/>
        </w:rPr>
        <w:t>分。</w:t>
      </w:r>
    </w:p>
    <w:p w14:paraId="3641F2F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b/>
          <w:bCs/>
          <w:sz w:val="24"/>
          <w:szCs w:val="24"/>
        </w:rPr>
        <w:t>（6）资金分配合理性：</w:t>
      </w:r>
      <w:r>
        <w:rPr>
          <w:rFonts w:hint="eastAsia" w:ascii="宋体" w:hAnsi="宋体" w:eastAsia="宋体" w:cs="宋体"/>
          <w:sz w:val="24"/>
          <w:szCs w:val="24"/>
        </w:rPr>
        <w:t>本项目实际分配资金以《关于申请</w:t>
      </w:r>
      <w:r>
        <w:rPr>
          <w:rFonts w:hint="eastAsia" w:ascii="宋体" w:hAnsi="宋体" w:eastAsia="宋体" w:cs="宋体"/>
          <w:sz w:val="24"/>
          <w:szCs w:val="24"/>
          <w:lang w:eastAsia="zh-CN"/>
        </w:rPr>
        <w:t>2024年中央城乡义务教育补助</w:t>
      </w:r>
      <w:r>
        <w:rPr>
          <w:rFonts w:hint="eastAsia" w:ascii="宋体" w:hAnsi="宋体" w:eastAsia="宋体" w:cs="宋体"/>
          <w:sz w:val="24"/>
          <w:szCs w:val="24"/>
        </w:rPr>
        <w:t>项目资金的请示》和《</w:t>
      </w:r>
      <w:r>
        <w:rPr>
          <w:rFonts w:hint="eastAsia" w:ascii="宋体" w:hAnsi="宋体" w:eastAsia="宋体" w:cs="宋体"/>
          <w:sz w:val="24"/>
          <w:szCs w:val="24"/>
          <w:lang w:eastAsia="zh-CN"/>
        </w:rPr>
        <w:t>2024年中央城乡义务教育补助</w:t>
      </w:r>
      <w:r>
        <w:rPr>
          <w:rFonts w:hint="eastAsia" w:ascii="宋体" w:hAnsi="宋体" w:eastAsia="宋体" w:cs="宋体"/>
          <w:sz w:val="24"/>
          <w:szCs w:val="24"/>
        </w:rPr>
        <w:t>项目实施方案》为依据进行资金分配，预算资金分配依据充分。根据（和地财教[2023]70号），本项目实际到位资金</w:t>
      </w:r>
      <w:r>
        <w:rPr>
          <w:rFonts w:hint="eastAsia" w:ascii="宋体" w:hAnsi="宋体" w:eastAsia="宋体" w:cs="宋体"/>
          <w:sz w:val="24"/>
          <w:szCs w:val="24"/>
          <w:lang w:eastAsia="zh-CN"/>
        </w:rPr>
        <w:t>119.22</w:t>
      </w:r>
      <w:r>
        <w:rPr>
          <w:rFonts w:hint="eastAsia" w:ascii="宋体" w:hAnsi="宋体" w:eastAsia="宋体" w:cs="宋体"/>
          <w:sz w:val="24"/>
          <w:szCs w:val="24"/>
        </w:rPr>
        <w:t>万元，资金分配额度合理，与我单位实际需求相适应。资金分配与实际相适应，根据评分标准，该指标不扣分，得</w:t>
      </w:r>
      <w:r>
        <w:rPr>
          <w:rFonts w:hint="eastAsia" w:ascii="宋体" w:hAnsi="宋体" w:eastAsia="宋体" w:cs="宋体"/>
          <w:sz w:val="24"/>
          <w:szCs w:val="24"/>
          <w:lang w:val="en-US" w:eastAsia="zh-CN"/>
        </w:rPr>
        <w:t>4</w:t>
      </w:r>
      <w:r>
        <w:rPr>
          <w:rFonts w:hint="eastAsia" w:ascii="宋体" w:hAnsi="宋体" w:eastAsia="宋体" w:cs="宋体"/>
          <w:sz w:val="24"/>
          <w:szCs w:val="24"/>
        </w:rPr>
        <w:t>分。</w:t>
      </w:r>
    </w:p>
    <w:p w14:paraId="3E957116">
      <w:pPr>
        <w:pStyle w:val="48"/>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（二）项目过程情况</w:t>
      </w:r>
    </w:p>
    <w:p w14:paraId="36979BB5">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项目过程类指标包括资金管理和组织实施两方面的内容，由 5个三级指标构成，权重分为</w:t>
      </w:r>
      <w:r>
        <w:rPr>
          <w:rFonts w:hint="eastAsia" w:ascii="宋体" w:hAnsi="宋体" w:eastAsia="宋体" w:cs="宋体"/>
          <w:sz w:val="24"/>
          <w:szCs w:val="24"/>
          <w:lang w:val="en-US" w:eastAsia="zh-CN"/>
        </w:rPr>
        <w:t>12</w:t>
      </w:r>
      <w:r>
        <w:rPr>
          <w:rFonts w:hint="eastAsia" w:ascii="宋体" w:hAnsi="宋体" w:eastAsia="宋体" w:cs="宋体"/>
          <w:sz w:val="24"/>
          <w:szCs w:val="24"/>
        </w:rPr>
        <w:t>分，实际得分</w:t>
      </w:r>
      <w:r>
        <w:rPr>
          <w:rFonts w:hint="eastAsia" w:ascii="宋体" w:hAnsi="宋体" w:eastAsia="宋体" w:cs="宋体"/>
          <w:sz w:val="24"/>
          <w:szCs w:val="24"/>
          <w:lang w:val="en-US" w:eastAsia="zh-CN"/>
        </w:rPr>
        <w:t>12</w:t>
      </w:r>
      <w:r>
        <w:rPr>
          <w:rFonts w:hint="eastAsia" w:ascii="宋体" w:hAnsi="宋体" w:eastAsia="宋体" w:cs="宋体"/>
          <w:sz w:val="24"/>
          <w:szCs w:val="24"/>
        </w:rPr>
        <w:t>分，得分率为100%。</w:t>
      </w:r>
    </w:p>
    <w:p w14:paraId="21E136C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b/>
          <w:bCs/>
          <w:sz w:val="24"/>
          <w:szCs w:val="24"/>
        </w:rPr>
        <w:t>（1）资金到位率：</w:t>
      </w:r>
      <w:r>
        <w:rPr>
          <w:rFonts w:hint="eastAsia" w:ascii="宋体" w:hAnsi="宋体" w:eastAsia="宋体" w:cs="宋体"/>
          <w:sz w:val="24"/>
          <w:szCs w:val="24"/>
        </w:rPr>
        <w:t>本项目预算资金为</w:t>
      </w:r>
      <w:r>
        <w:rPr>
          <w:rFonts w:hint="eastAsia" w:ascii="宋体" w:hAnsi="宋体" w:eastAsia="宋体" w:cs="宋体"/>
          <w:sz w:val="24"/>
          <w:szCs w:val="24"/>
          <w:lang w:eastAsia="zh-CN"/>
        </w:rPr>
        <w:t>119.22</w:t>
      </w:r>
      <w:r>
        <w:rPr>
          <w:rFonts w:hint="eastAsia" w:ascii="宋体" w:hAnsi="宋体" w:eastAsia="宋体" w:cs="宋体"/>
          <w:sz w:val="24"/>
          <w:szCs w:val="24"/>
        </w:rPr>
        <w:t>万元，其中：财政安排资金</w:t>
      </w:r>
      <w:r>
        <w:rPr>
          <w:rFonts w:hint="eastAsia" w:ascii="宋体" w:hAnsi="宋体" w:eastAsia="宋体" w:cs="宋体"/>
          <w:sz w:val="24"/>
          <w:szCs w:val="24"/>
          <w:lang w:eastAsia="zh-CN"/>
        </w:rPr>
        <w:t>119.22</w:t>
      </w:r>
      <w:r>
        <w:rPr>
          <w:rFonts w:hint="eastAsia" w:ascii="宋体" w:hAnsi="宋体" w:eastAsia="宋体" w:cs="宋体"/>
          <w:sz w:val="24"/>
          <w:szCs w:val="24"/>
        </w:rPr>
        <w:t>万元，其他资金0万元，实际到位资金</w:t>
      </w:r>
      <w:r>
        <w:rPr>
          <w:rFonts w:hint="eastAsia" w:ascii="宋体" w:hAnsi="宋体" w:eastAsia="宋体" w:cs="宋体"/>
          <w:sz w:val="24"/>
          <w:szCs w:val="24"/>
          <w:lang w:eastAsia="zh-CN"/>
        </w:rPr>
        <w:t>119.22</w:t>
      </w:r>
      <w:r>
        <w:rPr>
          <w:rFonts w:hint="eastAsia" w:ascii="宋体" w:hAnsi="宋体" w:eastAsia="宋体" w:cs="宋体"/>
          <w:sz w:val="24"/>
          <w:szCs w:val="24"/>
        </w:rPr>
        <w:t>万元，资金到位率=100%；通过分析可知，该项目财政资金足额拨付到位，能够及时足额支付给实施单位。根据评分标准，该指标不扣分，得</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分。   </w:t>
      </w:r>
    </w:p>
    <w:p w14:paraId="004F6F4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b/>
          <w:bCs/>
          <w:sz w:val="24"/>
          <w:szCs w:val="24"/>
        </w:rPr>
        <w:t>（2）预算执行率：</w:t>
      </w:r>
      <w:r>
        <w:rPr>
          <w:rFonts w:hint="eastAsia" w:ascii="宋体" w:hAnsi="宋体" w:eastAsia="宋体" w:cs="宋体"/>
          <w:sz w:val="24"/>
          <w:szCs w:val="24"/>
        </w:rPr>
        <w:t>本项目实际支出资金</w:t>
      </w:r>
      <w:r>
        <w:rPr>
          <w:rFonts w:hint="eastAsia" w:ascii="宋体" w:hAnsi="宋体" w:eastAsia="宋体" w:cs="宋体"/>
          <w:sz w:val="24"/>
          <w:szCs w:val="24"/>
          <w:lang w:eastAsia="zh-CN"/>
        </w:rPr>
        <w:t>119.22</w:t>
      </w:r>
      <w:r>
        <w:rPr>
          <w:rFonts w:hint="eastAsia" w:ascii="宋体" w:hAnsi="宋体" w:eastAsia="宋体" w:cs="宋体"/>
          <w:sz w:val="24"/>
          <w:szCs w:val="24"/>
        </w:rPr>
        <w:t>万元，预算执行率=（</w:t>
      </w:r>
      <w:r>
        <w:rPr>
          <w:rFonts w:hint="eastAsia" w:ascii="宋体" w:hAnsi="宋体" w:eastAsia="宋体" w:cs="宋体"/>
          <w:sz w:val="24"/>
          <w:szCs w:val="24"/>
          <w:lang w:val="en-US" w:eastAsia="zh-CN"/>
        </w:rPr>
        <w:t>119.22</w:t>
      </w:r>
      <w:r>
        <w:rPr>
          <w:rFonts w:hint="eastAsia" w:ascii="宋体" w:hAnsi="宋体" w:eastAsia="宋体" w:cs="宋体"/>
          <w:sz w:val="24"/>
          <w:szCs w:val="24"/>
        </w:rPr>
        <w:t>/</w:t>
      </w:r>
      <w:r>
        <w:rPr>
          <w:rFonts w:hint="eastAsia" w:ascii="宋体" w:hAnsi="宋体" w:eastAsia="宋体" w:cs="宋体"/>
          <w:sz w:val="24"/>
          <w:szCs w:val="24"/>
          <w:lang w:val="en-US" w:eastAsia="zh-CN"/>
        </w:rPr>
        <w:t>119.22</w:t>
      </w:r>
      <w:r>
        <w:rPr>
          <w:rFonts w:hint="eastAsia" w:ascii="宋体" w:hAnsi="宋体" w:eastAsia="宋体" w:cs="宋体"/>
          <w:sz w:val="24"/>
          <w:szCs w:val="24"/>
        </w:rPr>
        <w:t>）×100.0%=100%；通过分析可知，该项目预算编制较为详细，项目资金支出总体能够按照预算执行，根据评分标准，该指标不扣分，得</w:t>
      </w:r>
      <w:r>
        <w:rPr>
          <w:rFonts w:hint="eastAsia" w:ascii="宋体" w:hAnsi="宋体" w:eastAsia="宋体" w:cs="宋体"/>
          <w:sz w:val="24"/>
          <w:szCs w:val="24"/>
          <w:lang w:val="en-US" w:eastAsia="zh-CN"/>
        </w:rPr>
        <w:t>2</w:t>
      </w:r>
      <w:r>
        <w:rPr>
          <w:rFonts w:hint="eastAsia" w:ascii="宋体" w:hAnsi="宋体" w:eastAsia="宋体" w:cs="宋体"/>
          <w:sz w:val="24"/>
          <w:szCs w:val="24"/>
        </w:rPr>
        <w:t>分。</w:t>
      </w:r>
    </w:p>
    <w:p w14:paraId="244C20F0">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b/>
          <w:bCs/>
          <w:sz w:val="24"/>
          <w:szCs w:val="24"/>
        </w:rPr>
        <w:t>（3）资金使用合规性：</w:t>
      </w:r>
      <w:r>
        <w:rPr>
          <w:rFonts w:hint="eastAsia" w:ascii="宋体" w:hAnsi="宋体" w:eastAsia="宋体" w:cs="宋体"/>
          <w:sz w:val="24"/>
          <w:szCs w:val="24"/>
        </w:rPr>
        <w:t>通过检查项目资金申请文件、国库支付凭证等财务资料，得出本项目资金支出符合国家财经法规、《政府会计制度》《洛浦县第四小学单位资金管理办法》《</w:t>
      </w:r>
      <w:r>
        <w:rPr>
          <w:rFonts w:hint="eastAsia" w:ascii="宋体" w:hAnsi="宋体" w:eastAsia="宋体" w:cs="宋体"/>
          <w:sz w:val="24"/>
          <w:szCs w:val="24"/>
          <w:lang w:eastAsia="zh-CN"/>
        </w:rPr>
        <w:t>2024年中央城乡义务教育补助</w:t>
      </w:r>
      <w:r>
        <w:rPr>
          <w:rFonts w:hint="eastAsia" w:ascii="宋体" w:hAnsi="宋体" w:eastAsia="宋体" w:cs="宋体"/>
          <w:sz w:val="24"/>
          <w:szCs w:val="24"/>
        </w:rPr>
        <w:t>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w:t>
      </w:r>
      <w:r>
        <w:rPr>
          <w:rFonts w:hint="eastAsia" w:ascii="宋体" w:hAnsi="宋体" w:eastAsia="宋体" w:cs="宋体"/>
          <w:sz w:val="24"/>
          <w:szCs w:val="24"/>
          <w:lang w:val="en-US" w:eastAsia="zh-CN"/>
        </w:rPr>
        <w:t>3</w:t>
      </w:r>
      <w:r>
        <w:rPr>
          <w:rFonts w:hint="eastAsia" w:ascii="宋体" w:hAnsi="宋体" w:eastAsia="宋体" w:cs="宋体"/>
          <w:sz w:val="24"/>
          <w:szCs w:val="24"/>
        </w:rPr>
        <w:t>分。</w:t>
      </w:r>
    </w:p>
    <w:p w14:paraId="7AB4874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b/>
          <w:bCs/>
          <w:sz w:val="24"/>
          <w:szCs w:val="24"/>
        </w:rPr>
        <w:t>4）管理制度健全性：</w:t>
      </w:r>
      <w:r>
        <w:rPr>
          <w:rFonts w:hint="eastAsia" w:ascii="宋体" w:hAnsi="宋体" w:eastAsia="宋体" w:cs="宋体"/>
          <w:sz w:val="24"/>
          <w:szCs w:val="24"/>
        </w:rPr>
        <w:t>我单位已制定《洛浦县第四小学资金管理办法》《洛浦县第四小学收支业务管理制度》《洛浦县第四小学政府采购业务管理制度》《洛浦县第四小学合同管理制度》，相关制度均符合行政事业单位内控管理要求，财务和业务管理制度合法、合规、完整，本项目执行符合上述制度规定。根据评分标准，该指标不扣分，得</w:t>
      </w:r>
      <w:r>
        <w:rPr>
          <w:rFonts w:hint="eastAsia" w:ascii="宋体" w:hAnsi="宋体" w:eastAsia="宋体" w:cs="宋体"/>
          <w:sz w:val="24"/>
          <w:szCs w:val="24"/>
          <w:lang w:val="en-US" w:eastAsia="zh-CN"/>
        </w:rPr>
        <w:t>3</w:t>
      </w:r>
      <w:r>
        <w:rPr>
          <w:rFonts w:hint="eastAsia" w:ascii="宋体" w:hAnsi="宋体" w:eastAsia="宋体" w:cs="宋体"/>
          <w:sz w:val="24"/>
          <w:szCs w:val="24"/>
        </w:rPr>
        <w:t>分。</w:t>
      </w:r>
    </w:p>
    <w:p w14:paraId="4071911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b/>
          <w:bCs/>
          <w:sz w:val="24"/>
          <w:szCs w:val="24"/>
        </w:rPr>
        <w:t>（5）制度执行有效性</w:t>
      </w:r>
      <w:r>
        <w:rPr>
          <w:rFonts w:hint="eastAsia" w:ascii="宋体" w:hAnsi="宋体" w:eastAsia="宋体" w:cs="宋体"/>
          <w:sz w:val="24"/>
          <w:szCs w:val="24"/>
        </w:rPr>
        <w:t>：①该项目的实施符合《洛浦县第四小学资金管理办法》《洛浦县第四小学管理制度》《洛浦县第四小学采购业务管理制度》《洛浦县第四小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p>
    <w:p w14:paraId="216F8ED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②经现场查证项目合同书、验收评审表、财务支付凭证等资料齐全并及时归档。</w:t>
      </w:r>
    </w:p>
    <w:p w14:paraId="33C7F11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③该项目实施过程中不存在调整事项。</w:t>
      </w:r>
    </w:p>
    <w:p w14:paraId="13666D14">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④该项目实施所需要的项目人员和场地设备均已落实到位，具体涉及内容包括：项目资金支出严格按照自治区、地区以及本单位资金管理办法执行，项目启动实施后，为了加快本项目的实施，成立了</w:t>
      </w:r>
      <w:r>
        <w:rPr>
          <w:rFonts w:hint="eastAsia" w:ascii="宋体" w:hAnsi="宋体" w:eastAsia="宋体" w:cs="宋体"/>
          <w:sz w:val="24"/>
          <w:szCs w:val="24"/>
          <w:lang w:eastAsia="zh-CN"/>
        </w:rPr>
        <w:t>2024年中央城乡义务教育补助</w:t>
      </w:r>
      <w:r>
        <w:rPr>
          <w:rFonts w:hint="eastAsia" w:ascii="宋体" w:hAnsi="宋体" w:eastAsia="宋体" w:cs="宋体"/>
          <w:sz w:val="24"/>
          <w:szCs w:val="24"/>
        </w:rPr>
        <w:t>项目工作领导小组，由马建明任组长，负责项目的组织工作；秦建磊任副组长，负责项目的实施工作；组员包括：李海龙和马琴玲，主要负责项目监督管理、验收以及资金核拨等工作。根据评分标准，该指标不扣分，得</w:t>
      </w:r>
      <w:r>
        <w:rPr>
          <w:rFonts w:hint="eastAsia" w:ascii="宋体" w:hAnsi="宋体" w:eastAsia="宋体" w:cs="宋体"/>
          <w:sz w:val="24"/>
          <w:szCs w:val="24"/>
          <w:lang w:val="en-US" w:eastAsia="zh-CN"/>
        </w:rPr>
        <w:t>3</w:t>
      </w:r>
      <w:r>
        <w:rPr>
          <w:rFonts w:hint="eastAsia" w:ascii="宋体" w:hAnsi="宋体" w:eastAsia="宋体" w:cs="宋体"/>
          <w:sz w:val="24"/>
          <w:szCs w:val="24"/>
        </w:rPr>
        <w:t>分。</w:t>
      </w:r>
    </w:p>
    <w:p w14:paraId="3179697E">
      <w:pPr>
        <w:pStyle w:val="48"/>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（三）项目产出情况</w:t>
      </w:r>
    </w:p>
    <w:p w14:paraId="10B0FB42">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项目产出类指标包括产出数量、产出质量、产出时效、产出成本四方面的内容，由4个三级指标构成，权重分为</w:t>
      </w:r>
      <w:r>
        <w:rPr>
          <w:rFonts w:hint="eastAsia" w:ascii="宋体" w:hAnsi="宋体" w:eastAsia="宋体" w:cs="宋体"/>
          <w:sz w:val="24"/>
          <w:szCs w:val="24"/>
          <w:lang w:val="en-US" w:eastAsia="zh-CN"/>
        </w:rPr>
        <w:t>40</w:t>
      </w:r>
      <w:r>
        <w:rPr>
          <w:rFonts w:hint="eastAsia" w:ascii="宋体" w:hAnsi="宋体" w:eastAsia="宋体" w:cs="宋体"/>
          <w:sz w:val="24"/>
          <w:szCs w:val="24"/>
        </w:rPr>
        <w:t>分，实际得分</w:t>
      </w:r>
      <w:r>
        <w:rPr>
          <w:rFonts w:hint="eastAsia" w:ascii="宋体" w:hAnsi="宋体" w:eastAsia="宋体" w:cs="宋体"/>
          <w:sz w:val="24"/>
          <w:szCs w:val="24"/>
          <w:lang w:val="en-US" w:eastAsia="zh-CN"/>
        </w:rPr>
        <w:t>40</w:t>
      </w:r>
      <w:r>
        <w:rPr>
          <w:rFonts w:hint="eastAsia" w:ascii="宋体" w:hAnsi="宋体" w:eastAsia="宋体" w:cs="宋体"/>
          <w:sz w:val="24"/>
          <w:szCs w:val="24"/>
        </w:rPr>
        <w:t>分，得分率为100%。</w:t>
      </w:r>
    </w:p>
    <w:p w14:paraId="76508EB9">
      <w:pPr>
        <w:pageBreakBefore w:val="0"/>
        <w:widowControl w:val="0"/>
        <w:numPr>
          <w:ilvl w:val="0"/>
          <w:numId w:val="4"/>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rPr>
        <w:t>对于“产出数量”</w:t>
      </w:r>
    </w:p>
    <w:p w14:paraId="16E01E8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保障学生个数指标，预期指标值为</w:t>
      </w:r>
      <w:r>
        <w:rPr>
          <w:rFonts w:hint="eastAsia" w:ascii="宋体" w:hAnsi="宋体" w:eastAsia="宋体" w:cs="宋体"/>
          <w:sz w:val="24"/>
          <w:szCs w:val="24"/>
          <w:lang w:val="en-US" w:eastAsia="zh-CN"/>
        </w:rPr>
        <w:t>=2264</w:t>
      </w:r>
      <w:r>
        <w:rPr>
          <w:rFonts w:hint="eastAsia" w:ascii="宋体" w:hAnsi="宋体" w:eastAsia="宋体" w:cs="宋体"/>
          <w:sz w:val="24"/>
          <w:szCs w:val="24"/>
        </w:rPr>
        <w:t>人，实际完成值为</w:t>
      </w:r>
      <w:r>
        <w:rPr>
          <w:rFonts w:hint="eastAsia" w:ascii="宋体" w:hAnsi="宋体" w:eastAsia="宋体" w:cs="宋体"/>
          <w:sz w:val="24"/>
          <w:szCs w:val="24"/>
          <w:lang w:val="en-US" w:eastAsia="zh-CN"/>
        </w:rPr>
        <w:t>2264</w:t>
      </w:r>
      <w:r>
        <w:rPr>
          <w:rFonts w:hint="eastAsia" w:ascii="宋体" w:hAnsi="宋体" w:eastAsia="宋体" w:cs="宋体"/>
          <w:sz w:val="24"/>
          <w:szCs w:val="24"/>
        </w:rPr>
        <w:t>人，指标完成率为100%，与预期目标一致，根据评分标准，该指标不扣分，得</w:t>
      </w:r>
      <w:r>
        <w:rPr>
          <w:rFonts w:hint="eastAsia" w:ascii="宋体" w:hAnsi="宋体" w:eastAsia="宋体" w:cs="宋体"/>
          <w:sz w:val="24"/>
          <w:szCs w:val="24"/>
          <w:lang w:val="en-US" w:eastAsia="zh-CN"/>
        </w:rPr>
        <w:t>10</w:t>
      </w:r>
      <w:r>
        <w:rPr>
          <w:rFonts w:hint="eastAsia" w:ascii="宋体" w:hAnsi="宋体" w:eastAsia="宋体" w:cs="宋体"/>
          <w:sz w:val="24"/>
          <w:szCs w:val="24"/>
        </w:rPr>
        <w:t>分。</w:t>
      </w:r>
    </w:p>
    <w:p w14:paraId="2C7F924C">
      <w:pPr>
        <w:pageBreakBefore w:val="0"/>
        <w:widowControl w:val="0"/>
        <w:numPr>
          <w:ilvl w:val="0"/>
          <w:numId w:val="4"/>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rPr>
        <w:t>对于“产出质量”：</w:t>
      </w:r>
    </w:p>
    <w:p w14:paraId="5F202A02">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资金使用合格率指标，预期指标值为</w:t>
      </w:r>
      <w:r>
        <w:rPr>
          <w:rFonts w:hint="eastAsia" w:ascii="宋体" w:hAnsi="宋体" w:eastAsia="宋体" w:cs="宋体"/>
          <w:sz w:val="24"/>
          <w:szCs w:val="24"/>
          <w:lang w:val="en-US" w:eastAsia="zh-CN"/>
        </w:rPr>
        <w:t>=</w:t>
      </w:r>
      <w:r>
        <w:rPr>
          <w:rFonts w:hint="eastAsia" w:ascii="宋体" w:hAnsi="宋体" w:eastAsia="宋体" w:cs="宋体"/>
          <w:sz w:val="24"/>
          <w:szCs w:val="24"/>
        </w:rPr>
        <w:t>100%，实际完成值为100%，指标完成率为100%，与预期目标一致，根据评分标准，该指标不扣分，得</w:t>
      </w:r>
      <w:r>
        <w:rPr>
          <w:rFonts w:hint="eastAsia" w:ascii="宋体" w:hAnsi="宋体" w:eastAsia="宋体" w:cs="宋体"/>
          <w:sz w:val="24"/>
          <w:szCs w:val="24"/>
          <w:lang w:val="en-US" w:eastAsia="zh-CN"/>
        </w:rPr>
        <w:t>10</w:t>
      </w:r>
      <w:r>
        <w:rPr>
          <w:rFonts w:hint="eastAsia" w:ascii="宋体" w:hAnsi="宋体" w:eastAsia="宋体" w:cs="宋体"/>
          <w:sz w:val="24"/>
          <w:szCs w:val="24"/>
        </w:rPr>
        <w:t>分。</w:t>
      </w:r>
    </w:p>
    <w:p w14:paraId="1DE45055">
      <w:pPr>
        <w:pStyle w:val="10"/>
        <w:pageBreakBefore w:val="0"/>
        <w:widowControl w:val="0"/>
        <w:numPr>
          <w:ilvl w:val="0"/>
          <w:numId w:val="4"/>
        </w:numPr>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Cs/>
          <w:sz w:val="24"/>
          <w:szCs w:val="24"/>
        </w:rPr>
      </w:pPr>
      <w:r>
        <w:rPr>
          <w:rFonts w:hint="eastAsia" w:ascii="宋体" w:hAnsi="宋体" w:eastAsia="宋体" w:cs="宋体"/>
          <w:bCs/>
          <w:sz w:val="24"/>
          <w:szCs w:val="24"/>
        </w:rPr>
        <w:t>对于“产出时效”：</w:t>
      </w:r>
    </w:p>
    <w:p w14:paraId="42A85C96">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sz w:val="24"/>
          <w:szCs w:val="24"/>
        </w:rPr>
      </w:pPr>
      <w:r>
        <w:rPr>
          <w:rFonts w:hint="eastAsia" w:ascii="宋体" w:hAnsi="宋体" w:eastAsia="宋体" w:cs="宋体"/>
          <w:b w:val="0"/>
          <w:sz w:val="24"/>
          <w:szCs w:val="24"/>
        </w:rPr>
        <w:t>项目完成时间预期指标值为=100%，实际完成值为2024</w:t>
      </w:r>
      <w:r>
        <w:rPr>
          <w:rFonts w:hint="eastAsia" w:ascii="宋体" w:hAnsi="宋体" w:eastAsia="宋体" w:cs="宋体"/>
          <w:b w:val="0"/>
          <w:sz w:val="24"/>
          <w:szCs w:val="24"/>
          <w:lang w:val="en-US" w:eastAsia="zh-CN"/>
        </w:rPr>
        <w:t>年</w:t>
      </w:r>
      <w:r>
        <w:rPr>
          <w:rFonts w:hint="eastAsia" w:ascii="宋体" w:hAnsi="宋体" w:eastAsia="宋体" w:cs="宋体"/>
          <w:b w:val="0"/>
          <w:sz w:val="24"/>
          <w:szCs w:val="24"/>
        </w:rPr>
        <w:t>12</w:t>
      </w:r>
      <w:r>
        <w:rPr>
          <w:rFonts w:hint="eastAsia" w:ascii="宋体" w:hAnsi="宋体" w:eastAsia="宋体" w:cs="宋体"/>
          <w:b w:val="0"/>
          <w:sz w:val="24"/>
          <w:szCs w:val="24"/>
          <w:lang w:val="en-US" w:eastAsia="zh-CN"/>
        </w:rPr>
        <w:t>月</w:t>
      </w:r>
      <w:r>
        <w:rPr>
          <w:rFonts w:hint="eastAsia" w:ascii="宋体" w:hAnsi="宋体" w:eastAsia="宋体" w:cs="宋体"/>
          <w:b w:val="0"/>
          <w:sz w:val="24"/>
          <w:szCs w:val="24"/>
          <w:lang w:eastAsia="zh-CN"/>
        </w:rPr>
        <w:t>，</w:t>
      </w:r>
      <w:r>
        <w:rPr>
          <w:rFonts w:hint="eastAsia" w:ascii="宋体" w:hAnsi="宋体" w:eastAsia="宋体" w:cs="宋体"/>
          <w:b w:val="0"/>
          <w:sz w:val="24"/>
          <w:szCs w:val="24"/>
        </w:rPr>
        <w:t>指标完成率为100%，与预期目标一致，根据评分标准，该指标不扣分，</w:t>
      </w:r>
      <w:r>
        <w:rPr>
          <w:rFonts w:hint="eastAsia" w:ascii="宋体" w:hAnsi="宋体" w:eastAsia="宋体" w:cs="宋体"/>
          <w:b w:val="0"/>
          <w:bCs/>
          <w:sz w:val="24"/>
          <w:szCs w:val="24"/>
        </w:rPr>
        <w:t>得</w:t>
      </w:r>
      <w:r>
        <w:rPr>
          <w:rFonts w:hint="eastAsia" w:ascii="宋体" w:hAnsi="宋体" w:eastAsia="宋体" w:cs="宋体"/>
          <w:b w:val="0"/>
          <w:bCs/>
          <w:sz w:val="24"/>
          <w:szCs w:val="24"/>
          <w:lang w:val="en-US" w:eastAsia="zh-CN"/>
        </w:rPr>
        <w:t>5</w:t>
      </w:r>
      <w:r>
        <w:rPr>
          <w:rFonts w:hint="eastAsia" w:ascii="宋体" w:hAnsi="宋体" w:eastAsia="宋体" w:cs="宋体"/>
          <w:b w:val="0"/>
          <w:bCs/>
          <w:sz w:val="24"/>
          <w:szCs w:val="24"/>
        </w:rPr>
        <w:t>分</w:t>
      </w:r>
      <w:r>
        <w:rPr>
          <w:rFonts w:hint="eastAsia" w:ascii="宋体" w:hAnsi="宋体" w:eastAsia="宋体" w:cs="宋体"/>
          <w:b w:val="0"/>
          <w:sz w:val="24"/>
          <w:szCs w:val="24"/>
        </w:rPr>
        <w:t>。</w:t>
      </w:r>
    </w:p>
    <w:p w14:paraId="450B0F9D">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sz w:val="24"/>
          <w:szCs w:val="24"/>
        </w:rPr>
      </w:pPr>
      <w:r>
        <w:rPr>
          <w:rFonts w:hint="eastAsia" w:ascii="宋体" w:hAnsi="宋体" w:eastAsia="宋体" w:cs="宋体"/>
          <w:b w:val="0"/>
          <w:sz w:val="24"/>
          <w:szCs w:val="24"/>
        </w:rPr>
        <w:t>项目支付及时率指标，预期指标值为=100%，实际完成值为100%，指标完成率为100%，与预期目标一致，根据评分标准，该指标不扣分，</w:t>
      </w:r>
      <w:r>
        <w:rPr>
          <w:rFonts w:hint="eastAsia" w:ascii="宋体" w:hAnsi="宋体" w:eastAsia="宋体" w:cs="宋体"/>
          <w:b w:val="0"/>
          <w:bCs/>
          <w:sz w:val="24"/>
          <w:szCs w:val="24"/>
        </w:rPr>
        <w:t>得</w:t>
      </w:r>
      <w:r>
        <w:rPr>
          <w:rFonts w:hint="eastAsia" w:ascii="宋体" w:hAnsi="宋体" w:eastAsia="宋体" w:cs="宋体"/>
          <w:b w:val="0"/>
          <w:bCs/>
          <w:sz w:val="24"/>
          <w:szCs w:val="24"/>
          <w:lang w:val="en-US" w:eastAsia="zh-CN"/>
        </w:rPr>
        <w:t>5</w:t>
      </w:r>
      <w:r>
        <w:rPr>
          <w:rFonts w:hint="eastAsia" w:ascii="宋体" w:hAnsi="宋体" w:eastAsia="宋体" w:cs="宋体"/>
          <w:b w:val="0"/>
          <w:bCs/>
          <w:sz w:val="24"/>
          <w:szCs w:val="24"/>
        </w:rPr>
        <w:t>分</w:t>
      </w:r>
      <w:r>
        <w:rPr>
          <w:rFonts w:hint="eastAsia" w:ascii="宋体" w:hAnsi="宋体" w:eastAsia="宋体" w:cs="宋体"/>
          <w:b w:val="0"/>
          <w:sz w:val="24"/>
          <w:szCs w:val="24"/>
        </w:rPr>
        <w:t>。</w:t>
      </w:r>
    </w:p>
    <w:p w14:paraId="3BB49A22">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合计得10分。</w:t>
      </w:r>
    </w:p>
    <w:p w14:paraId="351CEBD4">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rPr>
        <w:t>（4）对于“产出成本”：</w:t>
      </w:r>
    </w:p>
    <w:p w14:paraId="53DC6D0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公用经费指标，预期指标值为</w:t>
      </w:r>
      <w:r>
        <w:rPr>
          <w:rFonts w:hint="eastAsia" w:ascii="宋体" w:hAnsi="宋体" w:eastAsia="宋体" w:cs="宋体"/>
          <w:sz w:val="24"/>
          <w:szCs w:val="24"/>
          <w:lang w:val="en-US" w:eastAsia="zh-CN"/>
        </w:rPr>
        <w:t>≤98.85万元</w:t>
      </w:r>
      <w:r>
        <w:rPr>
          <w:rFonts w:hint="eastAsia" w:ascii="宋体" w:hAnsi="宋体" w:eastAsia="宋体" w:cs="宋体"/>
          <w:sz w:val="24"/>
          <w:szCs w:val="24"/>
        </w:rPr>
        <w:t>，实际完成值为</w:t>
      </w:r>
      <w:r>
        <w:rPr>
          <w:rFonts w:hint="eastAsia" w:ascii="宋体" w:hAnsi="宋体" w:eastAsia="宋体" w:cs="宋体"/>
          <w:sz w:val="24"/>
          <w:szCs w:val="24"/>
          <w:lang w:val="en-US" w:eastAsia="zh-CN"/>
        </w:rPr>
        <w:t>98.85万元</w:t>
      </w:r>
      <w:r>
        <w:rPr>
          <w:rFonts w:hint="eastAsia" w:ascii="宋体" w:hAnsi="宋体" w:eastAsia="宋体" w:cs="宋体"/>
          <w:sz w:val="24"/>
          <w:szCs w:val="24"/>
        </w:rPr>
        <w:t>万元，指标完成率为100%。项目经费都能控制绩效目标范围内，根据评分标准，该指标不扣分，得</w:t>
      </w:r>
      <w:r>
        <w:rPr>
          <w:rFonts w:hint="eastAsia" w:ascii="宋体" w:hAnsi="宋体" w:eastAsia="宋体" w:cs="宋体"/>
          <w:sz w:val="24"/>
          <w:szCs w:val="24"/>
          <w:lang w:val="en-US" w:eastAsia="zh-CN"/>
        </w:rPr>
        <w:t>5</w:t>
      </w:r>
      <w:r>
        <w:rPr>
          <w:rFonts w:hint="eastAsia" w:ascii="宋体" w:hAnsi="宋体" w:eastAsia="宋体" w:cs="宋体"/>
          <w:sz w:val="24"/>
          <w:szCs w:val="24"/>
        </w:rPr>
        <w:t>分。</w:t>
      </w:r>
    </w:p>
    <w:p w14:paraId="3B973D7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困难学生生活补助项目成本指标，预期指标值为</w:t>
      </w:r>
      <w:r>
        <w:rPr>
          <w:rFonts w:hint="eastAsia" w:ascii="宋体" w:hAnsi="宋体" w:eastAsia="宋体" w:cs="宋体"/>
          <w:sz w:val="24"/>
          <w:szCs w:val="24"/>
          <w:lang w:val="en-US" w:eastAsia="zh-CN"/>
        </w:rPr>
        <w:t>≤20.37万元</w:t>
      </w:r>
      <w:r>
        <w:rPr>
          <w:rFonts w:hint="eastAsia" w:ascii="宋体" w:hAnsi="宋体" w:eastAsia="宋体" w:cs="宋体"/>
          <w:sz w:val="24"/>
          <w:szCs w:val="24"/>
        </w:rPr>
        <w:t>，实际完成值为</w:t>
      </w:r>
      <w:r>
        <w:rPr>
          <w:rFonts w:hint="eastAsia" w:ascii="宋体" w:hAnsi="宋体" w:eastAsia="宋体" w:cs="宋体"/>
          <w:sz w:val="24"/>
          <w:szCs w:val="24"/>
          <w:lang w:val="en-US" w:eastAsia="zh-CN"/>
        </w:rPr>
        <w:t>20.37</w:t>
      </w:r>
      <w:r>
        <w:rPr>
          <w:rFonts w:hint="eastAsia" w:ascii="宋体" w:hAnsi="宋体" w:eastAsia="宋体" w:cs="宋体"/>
          <w:sz w:val="24"/>
          <w:szCs w:val="24"/>
        </w:rPr>
        <w:t>万元，指标完成率为100%。项目经费都能控制绩效目标范围内，根据评分标准，该指标不扣分，得</w:t>
      </w:r>
      <w:r>
        <w:rPr>
          <w:rFonts w:hint="eastAsia" w:ascii="宋体" w:hAnsi="宋体" w:eastAsia="宋体" w:cs="宋体"/>
          <w:sz w:val="24"/>
          <w:szCs w:val="24"/>
          <w:lang w:val="en-US" w:eastAsia="zh-CN"/>
        </w:rPr>
        <w:t>5</w:t>
      </w:r>
      <w:r>
        <w:rPr>
          <w:rFonts w:hint="eastAsia" w:ascii="宋体" w:hAnsi="宋体" w:eastAsia="宋体" w:cs="宋体"/>
          <w:sz w:val="24"/>
          <w:szCs w:val="24"/>
        </w:rPr>
        <w:t>分。</w:t>
      </w:r>
    </w:p>
    <w:p w14:paraId="36F1A48A">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合计得10分。</w:t>
      </w:r>
    </w:p>
    <w:p w14:paraId="140BD264">
      <w:pPr>
        <w:pStyle w:val="48"/>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（四）项目效益情况</w:t>
      </w:r>
    </w:p>
    <w:p w14:paraId="6A44BC2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项目效益类指标包括项目效益</w:t>
      </w:r>
      <w:r>
        <w:rPr>
          <w:rFonts w:hint="eastAsia" w:ascii="宋体" w:hAnsi="宋体" w:eastAsia="宋体" w:cs="宋体"/>
          <w:sz w:val="24"/>
          <w:szCs w:val="24"/>
          <w:lang w:val="en-US" w:eastAsia="zh-CN"/>
        </w:rPr>
        <w:t>2</w:t>
      </w:r>
      <w:r>
        <w:rPr>
          <w:rFonts w:hint="eastAsia" w:ascii="宋体" w:hAnsi="宋体" w:eastAsia="宋体" w:cs="宋体"/>
          <w:sz w:val="24"/>
          <w:szCs w:val="24"/>
        </w:rPr>
        <w:t>个方面的内容，由2个三级指标构成，权重分为</w:t>
      </w:r>
      <w:r>
        <w:rPr>
          <w:rFonts w:hint="eastAsia" w:ascii="宋体" w:hAnsi="宋体" w:eastAsia="宋体" w:cs="宋体"/>
          <w:sz w:val="24"/>
          <w:szCs w:val="24"/>
          <w:lang w:val="en-US" w:eastAsia="zh-CN"/>
        </w:rPr>
        <w:t>25</w:t>
      </w:r>
      <w:r>
        <w:rPr>
          <w:rFonts w:hint="eastAsia" w:ascii="宋体" w:hAnsi="宋体" w:eastAsia="宋体" w:cs="宋体"/>
          <w:sz w:val="24"/>
          <w:szCs w:val="24"/>
        </w:rPr>
        <w:t>分，实际得分</w:t>
      </w:r>
      <w:r>
        <w:rPr>
          <w:rFonts w:hint="eastAsia" w:ascii="宋体" w:hAnsi="宋体" w:eastAsia="宋体" w:cs="宋体"/>
          <w:sz w:val="24"/>
          <w:szCs w:val="24"/>
          <w:lang w:val="en-US" w:eastAsia="zh-CN"/>
        </w:rPr>
        <w:t>25</w:t>
      </w:r>
      <w:r>
        <w:rPr>
          <w:rFonts w:hint="eastAsia" w:ascii="宋体" w:hAnsi="宋体" w:eastAsia="宋体" w:cs="宋体"/>
          <w:sz w:val="24"/>
          <w:szCs w:val="24"/>
        </w:rPr>
        <w:t>分，得分率为100%。</w:t>
      </w:r>
    </w:p>
    <w:p w14:paraId="7D9B793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rPr>
        <w:t>（1）对于“社会效益指标”：</w:t>
      </w:r>
    </w:p>
    <w:p w14:paraId="1F1D57F5">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有效提高学校工作效率指标，该指标预期指标值为有效</w:t>
      </w:r>
      <w:r>
        <w:rPr>
          <w:rFonts w:hint="eastAsia" w:ascii="宋体" w:hAnsi="宋体" w:eastAsia="宋体" w:cs="宋体"/>
          <w:sz w:val="24"/>
          <w:szCs w:val="24"/>
          <w:lang w:val="en-US" w:eastAsia="zh-CN"/>
        </w:rPr>
        <w:t>提高</w:t>
      </w:r>
      <w:r>
        <w:rPr>
          <w:rFonts w:hint="eastAsia" w:ascii="宋体" w:hAnsi="宋体" w:eastAsia="宋体" w:cs="宋体"/>
          <w:sz w:val="24"/>
          <w:szCs w:val="24"/>
        </w:rPr>
        <w:t>，实际完成值为有效</w:t>
      </w:r>
      <w:r>
        <w:rPr>
          <w:rFonts w:hint="eastAsia" w:ascii="宋体" w:hAnsi="宋体" w:eastAsia="宋体" w:cs="宋体"/>
          <w:sz w:val="24"/>
          <w:szCs w:val="24"/>
          <w:lang w:val="en-US" w:eastAsia="zh-CN"/>
        </w:rPr>
        <w:t>提高</w:t>
      </w:r>
      <w:r>
        <w:rPr>
          <w:rFonts w:hint="eastAsia" w:ascii="宋体" w:hAnsi="宋体" w:eastAsia="宋体" w:cs="宋体"/>
          <w:sz w:val="24"/>
          <w:szCs w:val="24"/>
        </w:rPr>
        <w:t>，指标完成率为100%，与预期指标一致，根据评分标准，该指标不扣分，得</w:t>
      </w:r>
      <w:r>
        <w:rPr>
          <w:rFonts w:hint="eastAsia" w:ascii="宋体" w:hAnsi="宋体" w:eastAsia="宋体" w:cs="宋体"/>
          <w:sz w:val="24"/>
          <w:szCs w:val="24"/>
          <w:lang w:val="en-US" w:eastAsia="zh-CN"/>
        </w:rPr>
        <w:t>15</w:t>
      </w:r>
      <w:r>
        <w:rPr>
          <w:rFonts w:hint="eastAsia" w:ascii="宋体" w:hAnsi="宋体" w:eastAsia="宋体" w:cs="宋体"/>
          <w:sz w:val="24"/>
          <w:szCs w:val="24"/>
        </w:rPr>
        <w:t>分。</w:t>
      </w:r>
    </w:p>
    <w:p w14:paraId="7F36463B">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Cs/>
          <w:sz w:val="24"/>
          <w:szCs w:val="24"/>
        </w:rPr>
      </w:pPr>
      <w:r>
        <w:rPr>
          <w:rFonts w:hint="eastAsia" w:ascii="宋体" w:hAnsi="宋体" w:eastAsia="宋体" w:cs="宋体"/>
          <w:bCs/>
          <w:sz w:val="24"/>
          <w:szCs w:val="24"/>
        </w:rPr>
        <w:t>（4）满意度指标分析</w:t>
      </w:r>
    </w:p>
    <w:p w14:paraId="7CAE9191">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黑体" w:hAnsi="黑体" w:eastAsia="黑体" w:cs="黑体"/>
          <w:sz w:val="24"/>
          <w:szCs w:val="24"/>
        </w:rPr>
      </w:pPr>
      <w:r>
        <w:rPr>
          <w:rFonts w:hint="eastAsia" w:ascii="宋体" w:hAnsi="宋体" w:eastAsia="宋体" w:cs="宋体"/>
          <w:sz w:val="24"/>
          <w:szCs w:val="24"/>
        </w:rPr>
        <w:t>对于满意度指标：</w:t>
      </w:r>
      <w:r>
        <w:rPr>
          <w:rFonts w:hint="eastAsia" w:ascii="宋体" w:hAnsi="宋体" w:eastAsia="宋体" w:cs="宋体"/>
          <w:sz w:val="24"/>
          <w:szCs w:val="24"/>
          <w:lang w:val="en-US" w:eastAsia="zh-CN"/>
        </w:rPr>
        <w:t>学生满意度</w:t>
      </w:r>
      <w:r>
        <w:rPr>
          <w:rFonts w:hint="eastAsia" w:ascii="宋体" w:hAnsi="宋体" w:eastAsia="宋体" w:cs="宋体"/>
          <w:sz w:val="24"/>
          <w:szCs w:val="24"/>
        </w:rPr>
        <w:t>，该指标预期指标值为</w:t>
      </w:r>
      <w:r>
        <w:rPr>
          <w:rFonts w:hint="eastAsia" w:ascii="宋体" w:hAnsi="宋体" w:eastAsia="宋体" w:cs="宋体"/>
          <w:sz w:val="24"/>
          <w:szCs w:val="24"/>
          <w:lang w:val="en-US" w:eastAsia="zh-CN"/>
        </w:rPr>
        <w:t>≥95%</w:t>
      </w:r>
      <w:r>
        <w:rPr>
          <w:rFonts w:hint="eastAsia" w:ascii="宋体" w:hAnsi="宋体" w:eastAsia="宋体" w:cs="宋体"/>
          <w:sz w:val="24"/>
          <w:szCs w:val="24"/>
        </w:rPr>
        <w:t>，实际完成值为</w:t>
      </w:r>
      <w:r>
        <w:rPr>
          <w:rFonts w:hint="eastAsia" w:ascii="宋体" w:hAnsi="宋体" w:eastAsia="宋体" w:cs="宋体"/>
          <w:sz w:val="24"/>
          <w:szCs w:val="24"/>
          <w:lang w:val="en-US" w:eastAsia="zh-CN"/>
        </w:rPr>
        <w:t>100%</w:t>
      </w:r>
      <w:r>
        <w:rPr>
          <w:rFonts w:hint="eastAsia" w:ascii="宋体" w:hAnsi="宋体" w:eastAsia="宋体" w:cs="宋体"/>
          <w:sz w:val="24"/>
          <w:szCs w:val="24"/>
        </w:rPr>
        <w:t>，指标完成率为</w:t>
      </w:r>
      <w:r>
        <w:rPr>
          <w:rFonts w:hint="eastAsia" w:ascii="宋体" w:hAnsi="宋体" w:eastAsia="宋体" w:cs="宋体"/>
          <w:sz w:val="24"/>
          <w:szCs w:val="24"/>
          <w:lang w:val="en-US" w:eastAsia="zh-CN"/>
        </w:rPr>
        <w:t>100%</w:t>
      </w:r>
      <w:r>
        <w:rPr>
          <w:rFonts w:hint="eastAsia" w:ascii="宋体" w:hAnsi="宋体" w:eastAsia="宋体" w:cs="宋体"/>
          <w:sz w:val="24"/>
          <w:szCs w:val="24"/>
        </w:rPr>
        <w:t>，与预期目标一致，根据评分标准，该指标不扣分,得10分。</w:t>
      </w:r>
      <w:bookmarkEnd w:id="13"/>
    </w:p>
    <w:p w14:paraId="41DE7E8D">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p>
    <w:p w14:paraId="2A6F1137">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r>
        <w:rPr>
          <w:rFonts w:hint="eastAsia" w:ascii="黑体" w:hAnsi="黑体" w:eastAsia="黑体" w:cs="黑体"/>
          <w:sz w:val="24"/>
          <w:szCs w:val="24"/>
        </w:rPr>
        <w:t>五、预算执行进度与绩效指标偏差情况</w:t>
      </w:r>
    </w:p>
    <w:p w14:paraId="66DBE5A4">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本项目年初预算资金总额为</w:t>
      </w:r>
      <w:r>
        <w:rPr>
          <w:rFonts w:hint="eastAsia" w:ascii="宋体" w:hAnsi="宋体" w:eastAsia="宋体" w:cs="宋体"/>
          <w:sz w:val="24"/>
          <w:szCs w:val="24"/>
          <w:lang w:eastAsia="zh-CN"/>
        </w:rPr>
        <w:t>119.22</w:t>
      </w:r>
      <w:r>
        <w:rPr>
          <w:rFonts w:hint="eastAsia" w:ascii="宋体" w:hAnsi="宋体" w:eastAsia="宋体" w:cs="宋体"/>
          <w:sz w:val="24"/>
          <w:szCs w:val="24"/>
        </w:rPr>
        <w:t>万元，全年预算数为</w:t>
      </w:r>
      <w:r>
        <w:rPr>
          <w:rFonts w:hint="eastAsia" w:ascii="宋体" w:hAnsi="宋体" w:eastAsia="宋体" w:cs="宋体"/>
          <w:sz w:val="24"/>
          <w:szCs w:val="24"/>
          <w:lang w:eastAsia="zh-CN"/>
        </w:rPr>
        <w:t>119.22</w:t>
      </w:r>
      <w:r>
        <w:rPr>
          <w:rFonts w:hint="eastAsia" w:ascii="宋体" w:hAnsi="宋体" w:eastAsia="宋体" w:cs="宋体"/>
          <w:sz w:val="24"/>
          <w:szCs w:val="24"/>
        </w:rPr>
        <w:t>万元，全年执行数为</w:t>
      </w:r>
      <w:r>
        <w:rPr>
          <w:rFonts w:hint="eastAsia" w:ascii="宋体" w:hAnsi="宋体" w:eastAsia="宋体" w:cs="宋体"/>
          <w:sz w:val="24"/>
          <w:szCs w:val="24"/>
          <w:lang w:eastAsia="zh-CN"/>
        </w:rPr>
        <w:t>119.22</w:t>
      </w:r>
      <w:r>
        <w:rPr>
          <w:rFonts w:hint="eastAsia" w:ascii="宋体" w:hAnsi="宋体" w:eastAsia="宋体" w:cs="宋体"/>
          <w:sz w:val="24"/>
          <w:szCs w:val="24"/>
        </w:rPr>
        <w:t>万元，预算执行率为</w:t>
      </w:r>
      <w:r>
        <w:rPr>
          <w:rFonts w:hint="eastAsia" w:ascii="宋体" w:hAnsi="宋体" w:eastAsia="宋体" w:cs="宋体"/>
          <w:sz w:val="24"/>
          <w:szCs w:val="24"/>
          <w:lang w:val="en-US" w:eastAsia="zh-CN"/>
        </w:rPr>
        <w:t>100</w:t>
      </w:r>
      <w:r>
        <w:rPr>
          <w:rFonts w:hint="eastAsia" w:ascii="宋体" w:hAnsi="宋体" w:eastAsia="宋体" w:cs="宋体"/>
          <w:sz w:val="24"/>
          <w:szCs w:val="24"/>
        </w:rPr>
        <w:t>%。</w:t>
      </w:r>
    </w:p>
    <w:p w14:paraId="57C44BF3">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本项目共设置三级指标数量</w:t>
      </w:r>
      <w:r>
        <w:rPr>
          <w:rFonts w:hint="eastAsia" w:ascii="宋体" w:hAnsi="宋体" w:eastAsia="宋体" w:cs="宋体"/>
          <w:sz w:val="24"/>
          <w:szCs w:val="24"/>
          <w:lang w:val="en-US" w:eastAsia="zh-CN"/>
        </w:rPr>
        <w:t>8</w:t>
      </w:r>
      <w:r>
        <w:rPr>
          <w:rFonts w:hint="eastAsia" w:ascii="宋体" w:hAnsi="宋体" w:eastAsia="宋体" w:cs="宋体"/>
          <w:sz w:val="24"/>
          <w:szCs w:val="24"/>
        </w:rPr>
        <w:t>个，满分指标数量</w:t>
      </w:r>
      <w:r>
        <w:rPr>
          <w:rFonts w:hint="eastAsia" w:ascii="宋体" w:hAnsi="宋体" w:eastAsia="宋体" w:cs="宋体"/>
          <w:sz w:val="24"/>
          <w:szCs w:val="24"/>
          <w:lang w:val="en-US" w:eastAsia="zh-CN"/>
        </w:rPr>
        <w:t>8</w:t>
      </w:r>
      <w:r>
        <w:rPr>
          <w:rFonts w:hint="eastAsia" w:ascii="宋体" w:hAnsi="宋体" w:eastAsia="宋体" w:cs="宋体"/>
          <w:sz w:val="24"/>
          <w:szCs w:val="24"/>
        </w:rPr>
        <w:t>个，扣分指标数量</w:t>
      </w:r>
      <w:r>
        <w:rPr>
          <w:rFonts w:hint="eastAsia" w:ascii="宋体" w:hAnsi="宋体" w:eastAsia="宋体" w:cs="宋体"/>
          <w:sz w:val="24"/>
          <w:szCs w:val="24"/>
          <w:lang w:val="en-US" w:eastAsia="zh-CN"/>
        </w:rPr>
        <w:t>0</w:t>
      </w:r>
      <w:r>
        <w:rPr>
          <w:rFonts w:hint="eastAsia" w:ascii="宋体" w:hAnsi="宋体" w:eastAsia="宋体" w:cs="宋体"/>
          <w:sz w:val="24"/>
          <w:szCs w:val="24"/>
        </w:rPr>
        <w:t>个，经分析计算所有三级指标完成率得出，本项目总体完成率为</w:t>
      </w:r>
      <w:r>
        <w:rPr>
          <w:rFonts w:hint="eastAsia" w:ascii="宋体" w:hAnsi="宋体" w:eastAsia="宋体" w:cs="宋体"/>
          <w:sz w:val="24"/>
          <w:szCs w:val="24"/>
          <w:lang w:val="en-US" w:eastAsia="zh-CN"/>
        </w:rPr>
        <w:t>100</w:t>
      </w:r>
      <w:r>
        <w:rPr>
          <w:rFonts w:hint="eastAsia" w:ascii="宋体" w:hAnsi="宋体" w:eastAsia="宋体" w:cs="宋体"/>
          <w:sz w:val="24"/>
          <w:szCs w:val="24"/>
        </w:rPr>
        <w:t>%。</w:t>
      </w:r>
    </w:p>
    <w:p w14:paraId="182BAB78">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综上所述本项目预算执行率与总体完成率之间的偏差为</w:t>
      </w:r>
      <w:r>
        <w:rPr>
          <w:rFonts w:hint="eastAsia" w:ascii="宋体" w:hAnsi="宋体" w:eastAsia="宋体" w:cs="宋体"/>
          <w:sz w:val="24"/>
          <w:szCs w:val="24"/>
          <w:lang w:val="en-US" w:eastAsia="zh-CN"/>
        </w:rPr>
        <w:t>0</w:t>
      </w:r>
      <w:r>
        <w:rPr>
          <w:rFonts w:hint="eastAsia" w:ascii="宋体" w:hAnsi="宋体" w:eastAsia="宋体" w:cs="宋体"/>
          <w:sz w:val="24"/>
          <w:szCs w:val="24"/>
        </w:rPr>
        <w:t>%。</w:t>
      </w:r>
    </w:p>
    <w:p w14:paraId="30F60FE0">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b/>
          <w:bCs/>
          <w:sz w:val="24"/>
          <w:szCs w:val="24"/>
        </w:rPr>
      </w:pPr>
      <w:bookmarkStart w:id="14" w:name="_Toc68364673"/>
      <w:r>
        <w:rPr>
          <w:rFonts w:hint="eastAsia" w:ascii="黑体" w:hAnsi="黑体" w:eastAsia="黑体" w:cs="黑体"/>
          <w:b/>
          <w:bCs/>
          <w:sz w:val="24"/>
          <w:szCs w:val="24"/>
        </w:rPr>
        <w:t>六、主要经验及做法、存在的问题及原因分析</w:t>
      </w:r>
    </w:p>
    <w:p w14:paraId="6AD32333">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rPr>
        <w:t>（一）主要经验及做法</w:t>
      </w:r>
      <w:bookmarkEnd w:id="14"/>
    </w:p>
    <w:p w14:paraId="6A0CF155">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bookmarkStart w:id="15" w:name="_Toc68364674"/>
      <w:r>
        <w:rPr>
          <w:rFonts w:hint="eastAsia" w:ascii="宋体" w:hAnsi="宋体" w:eastAsia="宋体" w:cs="宋体"/>
          <w:sz w:val="24"/>
          <w:szCs w:val="24"/>
        </w:rPr>
        <w:t>一是本项目能够严格按照《项目实施方案》执行，项目执行情况较好。</w:t>
      </w:r>
    </w:p>
    <w:p w14:paraId="7FBD0737">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二是加强组织领导，本项目绩效评价工作，有主要领导亲自挂帅，分管领导具体负责，从项目到资金，均能够很好的执行。</w:t>
      </w:r>
    </w:p>
    <w:p w14:paraId="32261E6A">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三是加强沟通协调，我单位及时向领导汇报项目建设进度，加强与施工单位的沟通，确保项目按期完工。</w:t>
      </w:r>
    </w:p>
    <w:p w14:paraId="5EF53B5A">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ascii="宋体" w:hAnsi="宋体" w:eastAsia="宋体" w:cs="宋体"/>
          <w:b/>
          <w:bCs/>
          <w:sz w:val="24"/>
          <w:szCs w:val="24"/>
          <w:lang w:val="en-US" w:eastAsia="zh-CN"/>
        </w:rPr>
      </w:pPr>
      <w:r>
        <w:rPr>
          <w:rFonts w:hint="eastAsia" w:ascii="宋体" w:hAnsi="宋体" w:eastAsia="宋体" w:cs="宋体"/>
          <w:sz w:val="24"/>
          <w:szCs w:val="24"/>
        </w:rPr>
        <w:t>（二）存在问题及原因分析</w:t>
      </w:r>
      <w:bookmarkEnd w:id="15"/>
    </w:p>
    <w:p w14:paraId="151D16F0">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1.项目资金管理环节：</w:t>
      </w:r>
    </w:p>
    <w:p w14:paraId="198E9BF9">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问题：项目科目设置不合理，预算未及时调整。</w:t>
      </w:r>
    </w:p>
    <w:p w14:paraId="08B65BD1">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ascii="宋体" w:hAnsi="宋体" w:eastAsia="宋体" w:cs="宋体"/>
          <w:sz w:val="24"/>
          <w:szCs w:val="24"/>
          <w:lang w:val="en-US" w:eastAsia="zh-CN"/>
        </w:rPr>
      </w:pPr>
      <w:r>
        <w:rPr>
          <w:rFonts w:hint="eastAsia" w:ascii="宋体" w:hAnsi="宋体" w:eastAsia="宋体" w:cs="宋体"/>
          <w:sz w:val="24"/>
          <w:szCs w:val="24"/>
          <w:lang w:val="en-US" w:eastAsia="zh-CN"/>
        </w:rPr>
        <w:t>原因分析：财务人员专业能力不足缺乏项目核算经验，今后将定期核算。</w:t>
      </w:r>
    </w:p>
    <w:p w14:paraId="0D71ECE6">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2.项目管理环节：</w:t>
      </w:r>
    </w:p>
    <w:p w14:paraId="029A7D32">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问题：计划缺乏前瞻性和灵活性，没有考虑到潜在的变化因素。</w:t>
      </w:r>
    </w:p>
    <w:p w14:paraId="671174E3">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ascii="宋体" w:hAnsi="宋体" w:eastAsia="宋体" w:cs="宋体"/>
          <w:sz w:val="24"/>
          <w:szCs w:val="24"/>
          <w:lang w:val="en-US" w:eastAsia="zh-CN"/>
        </w:rPr>
      </w:pPr>
      <w:r>
        <w:rPr>
          <w:rFonts w:hint="eastAsia" w:ascii="宋体" w:hAnsi="宋体" w:eastAsia="宋体" w:cs="宋体"/>
          <w:sz w:val="24"/>
          <w:szCs w:val="24"/>
          <w:lang w:val="en-US" w:eastAsia="zh-CN"/>
        </w:rPr>
        <w:t>原因分析：在制定计划时，缺乏充分的调研和分析。</w:t>
      </w:r>
    </w:p>
    <w:p w14:paraId="6EF42C74">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bookmarkStart w:id="16" w:name="_Toc68364675"/>
    </w:p>
    <w:p w14:paraId="4FA7BB2C">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val="0"/>
          <w:sz w:val="24"/>
          <w:szCs w:val="24"/>
        </w:rPr>
      </w:pPr>
      <w:r>
        <w:rPr>
          <w:rFonts w:hint="eastAsia" w:ascii="黑体" w:hAnsi="黑体" w:eastAsia="黑体" w:cs="黑体"/>
          <w:sz w:val="24"/>
          <w:szCs w:val="24"/>
        </w:rPr>
        <w:t>七、有关建议</w:t>
      </w:r>
      <w:bookmarkEnd w:id="16"/>
    </w:p>
    <w:p w14:paraId="77736806">
      <w:pPr>
        <w:pStyle w:val="5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kern w:val="44"/>
          <w:sz w:val="24"/>
          <w:szCs w:val="24"/>
        </w:rPr>
      </w:pPr>
      <w:bookmarkStart w:id="17" w:name="_Toc68364676"/>
      <w:r>
        <w:rPr>
          <w:rFonts w:hint="eastAsia" w:ascii="宋体" w:hAnsi="宋体" w:eastAsia="宋体" w:cs="宋体"/>
          <w:kern w:val="44"/>
          <w:sz w:val="24"/>
          <w:szCs w:val="24"/>
        </w:rPr>
        <w:t>1.加大绩效工作宣传力度，强化绩效理念充分，与上级沟通，力争科学安排审计项目，做好预算编制，积极加强绩效管理。</w:t>
      </w:r>
    </w:p>
    <w:p w14:paraId="4A627803">
      <w:pPr>
        <w:pStyle w:val="5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kern w:val="44"/>
          <w:sz w:val="24"/>
          <w:szCs w:val="24"/>
        </w:rPr>
      </w:pPr>
      <w:r>
        <w:rPr>
          <w:rFonts w:hint="eastAsia" w:ascii="宋体" w:hAnsi="宋体" w:eastAsia="宋体" w:cs="宋体"/>
          <w:kern w:val="44"/>
          <w:sz w:val="24"/>
          <w:szCs w:val="24"/>
        </w:rPr>
        <w:t>2、完善绩效指标，提高整体绩效目标质量。提升预算精细化管理水平。</w:t>
      </w:r>
    </w:p>
    <w:p w14:paraId="678F8D17">
      <w:pPr>
        <w:pStyle w:val="5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kern w:val="44"/>
          <w:sz w:val="24"/>
          <w:szCs w:val="24"/>
        </w:rPr>
      </w:pPr>
      <w:r>
        <w:rPr>
          <w:rFonts w:hint="eastAsia" w:ascii="宋体" w:hAnsi="宋体" w:eastAsia="宋体" w:cs="宋体"/>
          <w:kern w:val="44"/>
          <w:sz w:val="24"/>
          <w:szCs w:val="24"/>
        </w:rPr>
        <w:t>3、建立健全财政各项资金管理制度，严格执行财务管理制度，做到了财务处理及时，会计核算规范，严格按照计划进度支付，</w:t>
      </w:r>
    </w:p>
    <w:p w14:paraId="7BCA270D">
      <w:pPr>
        <w:pStyle w:val="5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kern w:val="44"/>
          <w:sz w:val="24"/>
          <w:szCs w:val="24"/>
        </w:rPr>
      </w:pPr>
      <w:r>
        <w:rPr>
          <w:rFonts w:hint="eastAsia" w:ascii="宋体" w:hAnsi="宋体" w:eastAsia="宋体" w:cs="宋体"/>
          <w:kern w:val="44"/>
          <w:sz w:val="24"/>
          <w:szCs w:val="24"/>
        </w:rPr>
        <w:t>4、继续完善预算绩效管理相关工作制度，建立全过程预算绩效管理链条，有效贯彻落实全面实施绩效管理的精神。</w:t>
      </w:r>
    </w:p>
    <w:p w14:paraId="53BECE50">
      <w:pPr>
        <w:pStyle w:val="5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ascii="宋体" w:hAnsi="宋体" w:eastAsia="宋体" w:cs="宋体"/>
          <w:kern w:val="44"/>
          <w:sz w:val="24"/>
          <w:szCs w:val="24"/>
        </w:rPr>
      </w:pPr>
      <w:r>
        <w:rPr>
          <w:rFonts w:hint="eastAsia" w:ascii="宋体" w:hAnsi="宋体" w:eastAsia="宋体" w:cs="宋体"/>
          <w:kern w:val="44"/>
          <w:sz w:val="24"/>
          <w:szCs w:val="24"/>
        </w:rPr>
        <w:t>5、加强系统内各层级人员绩效管理培训，营造绩效管理的良好氛围，注重总结推广先进典型做法，形成系统内案例库，逐步丰富工作成果.</w:t>
      </w:r>
    </w:p>
    <w:p w14:paraId="03449464">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p>
    <w:p w14:paraId="63AFB2CF">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八、其他需要说明的问题</w:t>
      </w:r>
      <w:bookmarkEnd w:id="17"/>
    </w:p>
    <w:p w14:paraId="7DD85F47">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我单位对上述项目支出绩效评价报告内反映内容的真实性、完整性负责，</w:t>
      </w:r>
      <w:r>
        <w:rPr>
          <w:rFonts w:hint="eastAsia" w:ascii="宋体" w:hAnsi="宋体" w:eastAsia="宋体" w:cs="宋体"/>
          <w:sz w:val="24"/>
          <w:szCs w:val="24"/>
          <w:lang w:val="en-US" w:eastAsia="zh-CN"/>
        </w:rPr>
        <w:t>愿</w:t>
      </w:r>
      <w:r>
        <w:rPr>
          <w:rFonts w:hint="eastAsia" w:ascii="宋体" w:hAnsi="宋体" w:eastAsia="宋体" w:cs="宋体"/>
          <w:sz w:val="24"/>
          <w:szCs w:val="24"/>
        </w:rPr>
        <w:t>接受上级部门及社会公众监督。</w:t>
      </w:r>
    </w:p>
    <w:p w14:paraId="446F056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p>
    <w:p w14:paraId="48573831">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附件1：</w:t>
      </w:r>
      <w:r>
        <w:rPr>
          <w:rFonts w:hint="eastAsia" w:ascii="宋体" w:hAnsi="宋体" w:eastAsia="宋体" w:cs="宋体"/>
          <w:kern w:val="0"/>
          <w:sz w:val="24"/>
          <w:szCs w:val="24"/>
          <w:lang w:eastAsia="zh-CN"/>
        </w:rPr>
        <w:t>2024年中央城乡义务教育补助</w:t>
      </w:r>
      <w:r>
        <w:rPr>
          <w:rFonts w:hint="eastAsia" w:ascii="宋体" w:hAnsi="宋体" w:eastAsia="宋体" w:cs="宋体"/>
          <w:kern w:val="0"/>
          <w:sz w:val="24"/>
          <w:szCs w:val="24"/>
        </w:rPr>
        <w:t>项目绩效评价指标体系</w:t>
      </w:r>
    </w:p>
    <w:p w14:paraId="4AEDBA17">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ascii="宋体" w:hAnsi="宋体" w:eastAsia="宋体" w:cs="宋体"/>
          <w:kern w:val="0"/>
          <w:sz w:val="24"/>
          <w:szCs w:val="24"/>
        </w:rPr>
      </w:pPr>
      <w:r>
        <w:rPr>
          <w:rFonts w:hint="eastAsia" w:ascii="宋体" w:hAnsi="宋体" w:eastAsia="宋体" w:cs="宋体"/>
          <w:kern w:val="0"/>
          <w:sz w:val="24"/>
          <w:szCs w:val="24"/>
        </w:rPr>
        <w:t>附件2：</w:t>
      </w:r>
      <w:r>
        <w:rPr>
          <w:rFonts w:hint="eastAsia" w:ascii="宋体" w:hAnsi="宋体" w:eastAsia="宋体" w:cs="宋体"/>
          <w:kern w:val="0"/>
          <w:sz w:val="24"/>
          <w:szCs w:val="24"/>
          <w:lang w:eastAsia="zh-CN"/>
        </w:rPr>
        <w:t>2024年中央城乡义务教育补助</w:t>
      </w:r>
      <w:r>
        <w:rPr>
          <w:rFonts w:hint="eastAsia" w:ascii="宋体" w:hAnsi="宋体" w:eastAsia="宋体" w:cs="宋体"/>
          <w:kern w:val="0"/>
          <w:sz w:val="24"/>
          <w:szCs w:val="24"/>
        </w:rPr>
        <w:t>项目综合得分表</w:t>
      </w:r>
    </w:p>
    <w:p w14:paraId="28539217">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ascii="宋体" w:hAnsi="宋体" w:eastAsia="宋体" w:cs="宋体"/>
          <w:kern w:val="0"/>
          <w:sz w:val="24"/>
          <w:szCs w:val="24"/>
        </w:rPr>
      </w:pPr>
      <w:r>
        <w:rPr>
          <w:rFonts w:hint="eastAsia" w:ascii="宋体" w:hAnsi="宋体" w:eastAsia="宋体" w:cs="宋体"/>
          <w:kern w:val="0"/>
          <w:sz w:val="24"/>
          <w:szCs w:val="24"/>
        </w:rPr>
        <w:t>附件3：满意度调查问分析情况</w:t>
      </w:r>
    </w:p>
    <w:p w14:paraId="16853E94">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p>
    <w:p w14:paraId="161882A0">
      <w:pPr>
        <w:pStyle w:val="10"/>
        <w:ind w:firstLine="0" w:firstLineChars="0"/>
        <w:jc w:val="both"/>
        <w:rPr>
          <w:rFonts w:hint="eastAsia" w:ascii="宋体" w:hAnsi="宋体" w:eastAsia="宋体" w:cs="宋体"/>
          <w:sz w:val="24"/>
          <w:szCs w:val="24"/>
        </w:rPr>
      </w:pPr>
    </w:p>
    <w:p w14:paraId="4F70C42D">
      <w:pPr>
        <w:pStyle w:val="10"/>
        <w:ind w:firstLine="0" w:firstLineChars="0"/>
        <w:jc w:val="both"/>
        <w:rPr>
          <w:rFonts w:hint="eastAsia" w:ascii="宋体" w:hAnsi="宋体" w:eastAsia="宋体" w:cs="宋体"/>
          <w:sz w:val="24"/>
          <w:szCs w:val="24"/>
        </w:rPr>
        <w:sectPr>
          <w:headerReference r:id="rId5" w:type="default"/>
          <w:footerReference r:id="rId6" w:type="default"/>
          <w:pgSz w:w="11906" w:h="16838"/>
          <w:pgMar w:top="1985" w:right="1531" w:bottom="1701" w:left="1531" w:header="851" w:footer="992" w:gutter="0"/>
          <w:pgNumType w:start="1"/>
          <w:cols w:space="720" w:num="1"/>
          <w:docGrid w:type="linesAndChars" w:linePitch="386" w:charSpace="0"/>
        </w:sectPr>
      </w:pPr>
    </w:p>
    <w:tbl>
      <w:tblPr>
        <w:tblStyle w:val="23"/>
        <w:tblW w:w="5322" w:type="pct"/>
        <w:tblInd w:w="-639" w:type="dxa"/>
        <w:tblLayout w:type="fixed"/>
        <w:tblCellMar>
          <w:top w:w="0" w:type="dxa"/>
          <w:left w:w="108" w:type="dxa"/>
          <w:bottom w:w="0" w:type="dxa"/>
          <w:right w:w="108" w:type="dxa"/>
        </w:tblCellMar>
      </w:tblPr>
      <w:tblGrid>
        <w:gridCol w:w="712"/>
        <w:gridCol w:w="613"/>
        <w:gridCol w:w="825"/>
        <w:gridCol w:w="562"/>
        <w:gridCol w:w="638"/>
        <w:gridCol w:w="650"/>
        <w:gridCol w:w="2378"/>
        <w:gridCol w:w="884"/>
        <w:gridCol w:w="5221"/>
        <w:gridCol w:w="950"/>
        <w:gridCol w:w="797"/>
      </w:tblGrid>
      <w:tr w14:paraId="58535EE6">
        <w:tblPrEx>
          <w:tblCellMar>
            <w:top w:w="0" w:type="dxa"/>
            <w:left w:w="108" w:type="dxa"/>
            <w:bottom w:w="0" w:type="dxa"/>
            <w:right w:w="108" w:type="dxa"/>
          </w:tblCellMar>
        </w:tblPrEx>
        <w:trPr>
          <w:trHeight w:val="440" w:hRule="atLeast"/>
        </w:trPr>
        <w:tc>
          <w:tcPr>
            <w:tcW w:w="755" w:type="pct"/>
            <w:gridSpan w:val="3"/>
            <w:tcBorders>
              <w:top w:val="nil"/>
              <w:left w:val="nil"/>
              <w:bottom w:val="nil"/>
              <w:right w:val="nil"/>
            </w:tcBorders>
            <w:noWrap/>
            <w:vAlign w:val="center"/>
          </w:tcPr>
          <w:p w14:paraId="50600AA2">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sz w:val="21"/>
                <w:szCs w:val="21"/>
              </w:rPr>
            </w:pPr>
            <w:r>
              <w:rPr>
                <w:rStyle w:val="58"/>
                <w:rFonts w:hint="eastAsia" w:ascii="宋体" w:hAnsi="宋体" w:eastAsia="宋体" w:cs="宋体"/>
                <w:i w:val="0"/>
                <w:iCs w:val="0"/>
                <w:color w:val="auto"/>
                <w:sz w:val="21"/>
                <w:szCs w:val="21"/>
                <w:lang w:eastAsia="zh-CN"/>
              </w:rPr>
              <w:t>附件1：</w:t>
            </w:r>
          </w:p>
        </w:tc>
        <w:tc>
          <w:tcPr>
            <w:tcW w:w="197" w:type="pct"/>
            <w:tcBorders>
              <w:top w:val="nil"/>
              <w:left w:val="nil"/>
              <w:bottom w:val="nil"/>
              <w:right w:val="nil"/>
            </w:tcBorders>
            <w:noWrap/>
            <w:vAlign w:val="center"/>
          </w:tcPr>
          <w:p w14:paraId="757019B4">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sz w:val="21"/>
                <w:szCs w:val="21"/>
              </w:rPr>
            </w:pPr>
          </w:p>
        </w:tc>
        <w:tc>
          <w:tcPr>
            <w:tcW w:w="224" w:type="pct"/>
            <w:tcBorders>
              <w:top w:val="nil"/>
              <w:left w:val="nil"/>
              <w:bottom w:val="nil"/>
              <w:right w:val="nil"/>
            </w:tcBorders>
            <w:noWrap/>
            <w:vAlign w:val="center"/>
          </w:tcPr>
          <w:p w14:paraId="16CC6087">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sz w:val="21"/>
                <w:szCs w:val="21"/>
              </w:rPr>
            </w:pPr>
          </w:p>
        </w:tc>
        <w:tc>
          <w:tcPr>
            <w:tcW w:w="228" w:type="pct"/>
            <w:tcBorders>
              <w:top w:val="nil"/>
              <w:left w:val="nil"/>
              <w:bottom w:val="nil"/>
              <w:right w:val="nil"/>
            </w:tcBorders>
            <w:noWrap/>
            <w:vAlign w:val="center"/>
          </w:tcPr>
          <w:p w14:paraId="3FBE01D5">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sz w:val="21"/>
                <w:szCs w:val="21"/>
              </w:rPr>
            </w:pPr>
          </w:p>
        </w:tc>
        <w:tc>
          <w:tcPr>
            <w:tcW w:w="835" w:type="pct"/>
            <w:tcBorders>
              <w:top w:val="nil"/>
              <w:left w:val="nil"/>
              <w:bottom w:val="nil"/>
              <w:right w:val="nil"/>
            </w:tcBorders>
            <w:noWrap/>
            <w:vAlign w:val="center"/>
          </w:tcPr>
          <w:p w14:paraId="05791689">
            <w:pPr>
              <w:keepNext w:val="0"/>
              <w:keepLines w:val="0"/>
              <w:pageBreakBefore w:val="0"/>
              <w:widowControl/>
              <w:kinsoku/>
              <w:wordWrap/>
              <w:overflowPunct/>
              <w:topLinePunct w:val="0"/>
              <w:autoSpaceDE/>
              <w:autoSpaceDN/>
              <w:bidi w:val="0"/>
              <w:adjustRightInd/>
              <w:snapToGrid/>
              <w:spacing w:line="240" w:lineRule="exact"/>
              <w:ind w:firstLine="0" w:firstLineChars="0"/>
              <w:jc w:val="left"/>
              <w:rPr>
                <w:rFonts w:hint="eastAsia" w:ascii="宋体" w:hAnsi="宋体" w:eastAsia="宋体" w:cs="宋体"/>
                <w:sz w:val="21"/>
                <w:szCs w:val="21"/>
              </w:rPr>
            </w:pPr>
          </w:p>
        </w:tc>
        <w:tc>
          <w:tcPr>
            <w:tcW w:w="310" w:type="pct"/>
            <w:tcBorders>
              <w:top w:val="nil"/>
              <w:left w:val="nil"/>
              <w:bottom w:val="nil"/>
              <w:right w:val="nil"/>
            </w:tcBorders>
            <w:noWrap/>
            <w:vAlign w:val="center"/>
          </w:tcPr>
          <w:p w14:paraId="4D47C465">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sz w:val="21"/>
                <w:szCs w:val="21"/>
              </w:rPr>
            </w:pPr>
          </w:p>
        </w:tc>
        <w:tc>
          <w:tcPr>
            <w:tcW w:w="1834" w:type="pct"/>
            <w:tcBorders>
              <w:top w:val="nil"/>
              <w:left w:val="nil"/>
              <w:bottom w:val="nil"/>
              <w:right w:val="nil"/>
            </w:tcBorders>
            <w:noWrap/>
            <w:vAlign w:val="center"/>
          </w:tcPr>
          <w:p w14:paraId="5B38E559">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sz w:val="21"/>
                <w:szCs w:val="21"/>
              </w:rPr>
            </w:pPr>
          </w:p>
        </w:tc>
        <w:tc>
          <w:tcPr>
            <w:tcW w:w="333" w:type="pct"/>
            <w:tcBorders>
              <w:top w:val="nil"/>
              <w:left w:val="nil"/>
              <w:bottom w:val="nil"/>
              <w:right w:val="nil"/>
            </w:tcBorders>
            <w:noWrap/>
            <w:vAlign w:val="center"/>
          </w:tcPr>
          <w:p w14:paraId="2369D9C6">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sz w:val="21"/>
                <w:szCs w:val="21"/>
              </w:rPr>
            </w:pPr>
          </w:p>
        </w:tc>
        <w:tc>
          <w:tcPr>
            <w:tcW w:w="280" w:type="pct"/>
            <w:tcBorders>
              <w:top w:val="nil"/>
              <w:left w:val="nil"/>
              <w:bottom w:val="nil"/>
              <w:right w:val="nil"/>
            </w:tcBorders>
            <w:noWrap/>
            <w:vAlign w:val="center"/>
          </w:tcPr>
          <w:p w14:paraId="5682AE59">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sz w:val="21"/>
                <w:szCs w:val="21"/>
              </w:rPr>
            </w:pPr>
          </w:p>
        </w:tc>
      </w:tr>
      <w:tr w14:paraId="660729EC">
        <w:tblPrEx>
          <w:tblCellMar>
            <w:top w:w="0" w:type="dxa"/>
            <w:left w:w="108" w:type="dxa"/>
            <w:bottom w:w="0" w:type="dxa"/>
            <w:right w:w="108" w:type="dxa"/>
          </w:tblCellMar>
        </w:tblPrEx>
        <w:trPr>
          <w:trHeight w:val="570" w:hRule="atLeast"/>
        </w:trPr>
        <w:tc>
          <w:tcPr>
            <w:tcW w:w="5000" w:type="pct"/>
            <w:gridSpan w:val="11"/>
            <w:tcBorders>
              <w:top w:val="nil"/>
              <w:left w:val="nil"/>
              <w:bottom w:val="nil"/>
              <w:right w:val="nil"/>
            </w:tcBorders>
            <w:noWrap w:val="0"/>
            <w:vAlign w:val="center"/>
          </w:tcPr>
          <w:p w14:paraId="5458A43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sz w:val="21"/>
                <w:szCs w:val="21"/>
              </w:rPr>
            </w:pPr>
            <w:r>
              <w:rPr>
                <w:rStyle w:val="58"/>
                <w:rFonts w:hint="eastAsia" w:ascii="宋体" w:hAnsi="宋体" w:eastAsia="宋体" w:cs="宋体"/>
                <w:i w:val="0"/>
                <w:iCs w:val="0"/>
                <w:color w:val="auto"/>
                <w:sz w:val="21"/>
                <w:szCs w:val="21"/>
                <w:lang w:eastAsia="zh-CN"/>
              </w:rPr>
              <w:t>2024年中央城乡义务教育补助</w:t>
            </w:r>
            <w:r>
              <w:rPr>
                <w:rStyle w:val="58"/>
                <w:rFonts w:hint="eastAsia" w:ascii="宋体" w:hAnsi="宋体" w:eastAsia="宋体" w:cs="宋体"/>
                <w:i w:val="0"/>
                <w:iCs w:val="0"/>
                <w:color w:val="auto"/>
                <w:sz w:val="21"/>
                <w:szCs w:val="21"/>
              </w:rPr>
              <w:t>项目</w:t>
            </w:r>
            <w:r>
              <w:rPr>
                <w:rStyle w:val="58"/>
                <w:rFonts w:ascii="宋体" w:hAnsi="宋体" w:eastAsia="宋体" w:cs="宋体"/>
                <w:i w:val="0"/>
                <w:iCs w:val="0"/>
                <w:color w:val="auto"/>
                <w:sz w:val="21"/>
                <w:szCs w:val="21"/>
              </w:rPr>
              <w:t>绩效评价指标体系综合评</w:t>
            </w:r>
            <w:r>
              <w:rPr>
                <w:rStyle w:val="58"/>
                <w:rFonts w:ascii="宋体" w:hAnsi="宋体" w:eastAsia="宋体" w:cs="宋体"/>
                <w:color w:val="auto"/>
                <w:sz w:val="21"/>
                <w:szCs w:val="21"/>
              </w:rPr>
              <w:t>分表</w:t>
            </w:r>
          </w:p>
        </w:tc>
      </w:tr>
      <w:tr w14:paraId="04F42445">
        <w:tblPrEx>
          <w:tblCellMar>
            <w:top w:w="0" w:type="dxa"/>
            <w:left w:w="108" w:type="dxa"/>
            <w:bottom w:w="0" w:type="dxa"/>
            <w:right w:w="108" w:type="dxa"/>
          </w:tblCellMar>
        </w:tblPrEx>
        <w:trPr>
          <w:trHeight w:val="450" w:hRule="atLeast"/>
        </w:trPr>
        <w:tc>
          <w:tcPr>
            <w:tcW w:w="250" w:type="pct"/>
            <w:tcBorders>
              <w:top w:val="single" w:color="auto" w:sz="4" w:space="0"/>
              <w:left w:val="single" w:color="auto" w:sz="4" w:space="0"/>
              <w:bottom w:val="single" w:color="auto" w:sz="4" w:space="0"/>
              <w:right w:val="single" w:color="auto" w:sz="4" w:space="0"/>
            </w:tcBorders>
            <w:noWrap w:val="0"/>
            <w:vAlign w:val="center"/>
          </w:tcPr>
          <w:p w14:paraId="4E071B6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一级指标</w:t>
            </w:r>
          </w:p>
        </w:tc>
        <w:tc>
          <w:tcPr>
            <w:tcW w:w="215" w:type="pct"/>
            <w:tcBorders>
              <w:top w:val="single" w:color="auto" w:sz="4" w:space="0"/>
              <w:left w:val="single" w:color="auto" w:sz="4" w:space="0"/>
              <w:bottom w:val="single" w:color="auto" w:sz="4" w:space="0"/>
              <w:right w:val="single" w:color="auto" w:sz="4" w:space="0"/>
            </w:tcBorders>
            <w:noWrap w:val="0"/>
            <w:vAlign w:val="center"/>
          </w:tcPr>
          <w:p w14:paraId="1CBF8E2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分值</w:t>
            </w:r>
          </w:p>
        </w:tc>
        <w:tc>
          <w:tcPr>
            <w:tcW w:w="289" w:type="pct"/>
            <w:tcBorders>
              <w:top w:val="single" w:color="auto" w:sz="4" w:space="0"/>
              <w:left w:val="single" w:color="auto" w:sz="4" w:space="0"/>
              <w:bottom w:val="single" w:color="auto" w:sz="4" w:space="0"/>
              <w:right w:val="single" w:color="auto" w:sz="4" w:space="0"/>
            </w:tcBorders>
            <w:noWrap w:val="0"/>
            <w:vAlign w:val="center"/>
          </w:tcPr>
          <w:p w14:paraId="3AAE211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二级指标</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4E626D0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分值</w:t>
            </w:r>
          </w:p>
        </w:tc>
        <w:tc>
          <w:tcPr>
            <w:tcW w:w="224" w:type="pct"/>
            <w:tcBorders>
              <w:top w:val="single" w:color="auto" w:sz="4" w:space="0"/>
              <w:left w:val="single" w:color="auto" w:sz="4" w:space="0"/>
              <w:bottom w:val="single" w:color="auto" w:sz="4" w:space="0"/>
              <w:right w:val="single" w:color="auto" w:sz="4" w:space="0"/>
            </w:tcBorders>
            <w:noWrap w:val="0"/>
            <w:vAlign w:val="center"/>
          </w:tcPr>
          <w:p w14:paraId="0729F17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三级指标</w:t>
            </w:r>
          </w:p>
        </w:tc>
        <w:tc>
          <w:tcPr>
            <w:tcW w:w="228" w:type="pct"/>
            <w:tcBorders>
              <w:top w:val="single" w:color="auto" w:sz="4" w:space="0"/>
              <w:left w:val="single" w:color="auto" w:sz="4" w:space="0"/>
              <w:bottom w:val="single" w:color="auto" w:sz="4" w:space="0"/>
              <w:right w:val="single" w:color="auto" w:sz="4" w:space="0"/>
            </w:tcBorders>
            <w:noWrap w:val="0"/>
            <w:vAlign w:val="center"/>
          </w:tcPr>
          <w:p w14:paraId="1B09A67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分值</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2063EE5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指标解释</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4580E96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标杆值</w:t>
            </w:r>
          </w:p>
        </w:tc>
        <w:tc>
          <w:tcPr>
            <w:tcW w:w="1834" w:type="pct"/>
            <w:tcBorders>
              <w:top w:val="single" w:color="auto" w:sz="4" w:space="0"/>
              <w:left w:val="single" w:color="auto" w:sz="4" w:space="0"/>
              <w:bottom w:val="single" w:color="auto" w:sz="4" w:space="0"/>
              <w:right w:val="single" w:color="auto" w:sz="4" w:space="0"/>
            </w:tcBorders>
            <w:noWrap w:val="0"/>
            <w:vAlign w:val="center"/>
          </w:tcPr>
          <w:p w14:paraId="20B8A89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评分标准</w:t>
            </w:r>
          </w:p>
        </w:tc>
        <w:tc>
          <w:tcPr>
            <w:tcW w:w="333" w:type="pct"/>
            <w:tcBorders>
              <w:top w:val="single" w:color="auto" w:sz="4" w:space="0"/>
              <w:left w:val="single" w:color="auto" w:sz="4" w:space="0"/>
              <w:bottom w:val="single" w:color="auto" w:sz="4" w:space="0"/>
              <w:right w:val="single" w:color="auto" w:sz="4" w:space="0"/>
            </w:tcBorders>
            <w:noWrap w:val="0"/>
            <w:vAlign w:val="center"/>
          </w:tcPr>
          <w:p w14:paraId="2708155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完成值</w:t>
            </w:r>
          </w:p>
        </w:tc>
        <w:tc>
          <w:tcPr>
            <w:tcW w:w="280" w:type="pct"/>
            <w:tcBorders>
              <w:top w:val="single" w:color="auto" w:sz="4" w:space="0"/>
              <w:left w:val="single" w:color="auto" w:sz="4" w:space="0"/>
              <w:bottom w:val="single" w:color="auto" w:sz="4" w:space="0"/>
              <w:right w:val="single" w:color="auto" w:sz="4" w:space="0"/>
            </w:tcBorders>
            <w:noWrap w:val="0"/>
            <w:vAlign w:val="center"/>
          </w:tcPr>
          <w:p w14:paraId="731ABD3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得分</w:t>
            </w:r>
          </w:p>
        </w:tc>
      </w:tr>
      <w:tr w14:paraId="2BD8CFCA">
        <w:tblPrEx>
          <w:tblCellMar>
            <w:top w:w="0" w:type="dxa"/>
            <w:left w:w="108" w:type="dxa"/>
            <w:bottom w:w="0" w:type="dxa"/>
            <w:right w:w="108" w:type="dxa"/>
          </w:tblCellMar>
        </w:tblPrEx>
        <w:trPr>
          <w:trHeight w:val="2179" w:hRule="atLeast"/>
        </w:trPr>
        <w:tc>
          <w:tcPr>
            <w:tcW w:w="250" w:type="pct"/>
            <w:vMerge w:val="restart"/>
            <w:tcBorders>
              <w:top w:val="single" w:color="auto" w:sz="4" w:space="0"/>
              <w:left w:val="single" w:color="auto" w:sz="4" w:space="0"/>
              <w:bottom w:val="single" w:color="auto" w:sz="4" w:space="0"/>
              <w:right w:val="single" w:color="auto" w:sz="4" w:space="0"/>
            </w:tcBorders>
            <w:noWrap w:val="0"/>
            <w:vAlign w:val="center"/>
          </w:tcPr>
          <w:p w14:paraId="2238ABC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项目决策</w:t>
            </w:r>
          </w:p>
        </w:tc>
        <w:tc>
          <w:tcPr>
            <w:tcW w:w="215" w:type="pct"/>
            <w:vMerge w:val="restart"/>
            <w:tcBorders>
              <w:top w:val="single" w:color="auto" w:sz="4" w:space="0"/>
              <w:left w:val="single" w:color="auto" w:sz="4" w:space="0"/>
              <w:bottom w:val="single" w:color="auto" w:sz="4" w:space="0"/>
              <w:right w:val="single" w:color="auto" w:sz="4" w:space="0"/>
            </w:tcBorders>
            <w:noWrap w:val="0"/>
            <w:vAlign w:val="center"/>
          </w:tcPr>
          <w:p w14:paraId="1D47B33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23</w:t>
            </w:r>
          </w:p>
        </w:tc>
        <w:tc>
          <w:tcPr>
            <w:tcW w:w="289" w:type="pct"/>
            <w:vMerge w:val="restart"/>
            <w:tcBorders>
              <w:top w:val="single" w:color="auto" w:sz="4" w:space="0"/>
              <w:left w:val="single" w:color="auto" w:sz="4" w:space="0"/>
              <w:bottom w:val="single" w:color="auto" w:sz="4" w:space="0"/>
              <w:right w:val="single" w:color="auto" w:sz="4" w:space="0"/>
            </w:tcBorders>
            <w:noWrap w:val="0"/>
            <w:vAlign w:val="center"/>
          </w:tcPr>
          <w:p w14:paraId="6148555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项目立项</w:t>
            </w:r>
          </w:p>
        </w:tc>
        <w:tc>
          <w:tcPr>
            <w:tcW w:w="197" w:type="pct"/>
            <w:vMerge w:val="restart"/>
            <w:tcBorders>
              <w:top w:val="single" w:color="auto" w:sz="4" w:space="0"/>
              <w:left w:val="single" w:color="auto" w:sz="4" w:space="0"/>
              <w:bottom w:val="single" w:color="auto" w:sz="4" w:space="0"/>
              <w:right w:val="single" w:color="auto" w:sz="4" w:space="0"/>
            </w:tcBorders>
            <w:noWrap w:val="0"/>
            <w:vAlign w:val="center"/>
          </w:tcPr>
          <w:p w14:paraId="5F3AFC8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5</w:t>
            </w:r>
          </w:p>
        </w:tc>
        <w:tc>
          <w:tcPr>
            <w:tcW w:w="224" w:type="pct"/>
            <w:tcBorders>
              <w:top w:val="single" w:color="auto" w:sz="4" w:space="0"/>
              <w:left w:val="single" w:color="auto" w:sz="4" w:space="0"/>
              <w:bottom w:val="single" w:color="auto" w:sz="4" w:space="0"/>
              <w:right w:val="single" w:color="auto" w:sz="4" w:space="0"/>
            </w:tcBorders>
            <w:noWrap w:val="0"/>
            <w:vAlign w:val="center"/>
          </w:tcPr>
          <w:p w14:paraId="490AE23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立项依据充分性</w:t>
            </w:r>
          </w:p>
        </w:tc>
        <w:tc>
          <w:tcPr>
            <w:tcW w:w="228" w:type="pct"/>
            <w:tcBorders>
              <w:top w:val="single" w:color="auto" w:sz="4" w:space="0"/>
              <w:left w:val="single" w:color="auto" w:sz="4" w:space="0"/>
              <w:bottom w:val="single" w:color="auto" w:sz="4" w:space="0"/>
              <w:right w:val="single" w:color="auto" w:sz="4" w:space="0"/>
            </w:tcBorders>
            <w:noWrap w:val="0"/>
            <w:vAlign w:val="center"/>
          </w:tcPr>
          <w:p w14:paraId="6554635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2</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31D37A1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项目立项是否符合法律法规、相关政策、发展规划以及部门职责，用以反映和考核项目立项依据情况。</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5D73C2D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充分</w:t>
            </w:r>
          </w:p>
        </w:tc>
        <w:tc>
          <w:tcPr>
            <w:tcW w:w="1834" w:type="pct"/>
            <w:tcBorders>
              <w:top w:val="single" w:color="auto" w:sz="4" w:space="0"/>
              <w:left w:val="single" w:color="auto" w:sz="4" w:space="0"/>
              <w:bottom w:val="single" w:color="auto" w:sz="4" w:space="0"/>
              <w:right w:val="single" w:color="auto" w:sz="4" w:space="0"/>
            </w:tcBorders>
            <w:noWrap w:val="0"/>
            <w:vAlign w:val="center"/>
          </w:tcPr>
          <w:p w14:paraId="6BE1A778">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①项目立项是否符合国家法律法规、国民经济发展规划和相关政策；</w:t>
            </w:r>
          </w:p>
          <w:p w14:paraId="36718217">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②项目立项是否符合行业发展规划和政策要求；</w:t>
            </w:r>
          </w:p>
          <w:p w14:paraId="76953145">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③项目立项是否与部门职责范围相符，</w:t>
            </w:r>
            <w:r>
              <w:rPr>
                <w:rFonts w:hint="eastAsia" w:ascii="宋体" w:hAnsi="宋体" w:eastAsia="宋体" w:cs="宋体"/>
                <w:kern w:val="0"/>
                <w:sz w:val="21"/>
                <w:szCs w:val="21"/>
                <w:lang w:eastAsia="zh-CN"/>
              </w:rPr>
              <w:t>属于部门</w:t>
            </w:r>
            <w:r>
              <w:rPr>
                <w:rFonts w:hint="eastAsia" w:ascii="宋体" w:hAnsi="宋体" w:eastAsia="宋体" w:cs="宋体"/>
                <w:kern w:val="0"/>
                <w:sz w:val="21"/>
                <w:szCs w:val="21"/>
              </w:rPr>
              <w:t>履职所需；</w:t>
            </w:r>
          </w:p>
          <w:p w14:paraId="44C092A7">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④项目是否属于公共财政支持范围，是否符合中央、地方事权支出责任划分原则；</w:t>
            </w:r>
          </w:p>
          <w:p w14:paraId="056AD6D5">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⑤项目是否与相关部门同类项目或部门内部相关项目重复。</w:t>
            </w:r>
          </w:p>
          <w:p w14:paraId="2279FCA4">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以上每条要素占权重分的20%，每有一条不符合，扣除对应权重分，扣完为止。</w:t>
            </w:r>
          </w:p>
        </w:tc>
        <w:tc>
          <w:tcPr>
            <w:tcW w:w="333" w:type="pct"/>
            <w:tcBorders>
              <w:top w:val="single" w:color="auto" w:sz="4" w:space="0"/>
              <w:left w:val="single" w:color="auto" w:sz="4" w:space="0"/>
              <w:bottom w:val="single" w:color="auto" w:sz="4" w:space="0"/>
              <w:right w:val="single" w:color="auto" w:sz="4" w:space="0"/>
            </w:tcBorders>
            <w:noWrap w:val="0"/>
            <w:vAlign w:val="center"/>
          </w:tcPr>
          <w:p w14:paraId="126D75C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充分</w:t>
            </w:r>
          </w:p>
        </w:tc>
        <w:tc>
          <w:tcPr>
            <w:tcW w:w="280" w:type="pct"/>
            <w:tcBorders>
              <w:top w:val="single" w:color="auto" w:sz="4" w:space="0"/>
              <w:left w:val="single" w:color="auto" w:sz="4" w:space="0"/>
              <w:bottom w:val="single" w:color="auto" w:sz="4" w:space="0"/>
              <w:right w:val="single" w:color="auto" w:sz="4" w:space="0"/>
            </w:tcBorders>
            <w:noWrap w:val="0"/>
            <w:vAlign w:val="center"/>
          </w:tcPr>
          <w:p w14:paraId="2FE2798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2</w:t>
            </w:r>
          </w:p>
        </w:tc>
      </w:tr>
      <w:tr w14:paraId="56316457">
        <w:tblPrEx>
          <w:tblCellMar>
            <w:top w:w="0" w:type="dxa"/>
            <w:left w:w="108" w:type="dxa"/>
            <w:bottom w:w="0" w:type="dxa"/>
            <w:right w:w="108" w:type="dxa"/>
          </w:tblCellMar>
        </w:tblPrEx>
        <w:trPr>
          <w:trHeight w:val="1755" w:hRule="atLeast"/>
        </w:trPr>
        <w:tc>
          <w:tcPr>
            <w:tcW w:w="250" w:type="pct"/>
            <w:vMerge w:val="continue"/>
            <w:tcBorders>
              <w:top w:val="single" w:color="auto" w:sz="4" w:space="0"/>
              <w:left w:val="single" w:color="auto" w:sz="4" w:space="0"/>
              <w:bottom w:val="single" w:color="auto" w:sz="4" w:space="0"/>
              <w:right w:val="single" w:color="auto" w:sz="4" w:space="0"/>
            </w:tcBorders>
            <w:noWrap w:val="0"/>
            <w:vAlign w:val="center"/>
          </w:tcPr>
          <w:p w14:paraId="4CA2EE0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15" w:type="pct"/>
            <w:vMerge w:val="continue"/>
            <w:tcBorders>
              <w:top w:val="single" w:color="auto" w:sz="4" w:space="0"/>
              <w:left w:val="single" w:color="auto" w:sz="4" w:space="0"/>
              <w:bottom w:val="single" w:color="auto" w:sz="4" w:space="0"/>
              <w:right w:val="single" w:color="auto" w:sz="4" w:space="0"/>
            </w:tcBorders>
            <w:noWrap w:val="0"/>
            <w:vAlign w:val="center"/>
          </w:tcPr>
          <w:p w14:paraId="042082B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89" w:type="pct"/>
            <w:vMerge w:val="continue"/>
            <w:tcBorders>
              <w:top w:val="single" w:color="auto" w:sz="4" w:space="0"/>
              <w:left w:val="single" w:color="auto" w:sz="4" w:space="0"/>
              <w:bottom w:val="single" w:color="auto" w:sz="4" w:space="0"/>
              <w:right w:val="single" w:color="auto" w:sz="4" w:space="0"/>
            </w:tcBorders>
            <w:noWrap w:val="0"/>
            <w:vAlign w:val="center"/>
          </w:tcPr>
          <w:p w14:paraId="5F1DC5A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197" w:type="pct"/>
            <w:vMerge w:val="continue"/>
            <w:tcBorders>
              <w:top w:val="single" w:color="auto" w:sz="4" w:space="0"/>
              <w:left w:val="single" w:color="auto" w:sz="4" w:space="0"/>
              <w:bottom w:val="single" w:color="auto" w:sz="4" w:space="0"/>
              <w:right w:val="single" w:color="auto" w:sz="4" w:space="0"/>
            </w:tcBorders>
            <w:noWrap w:val="0"/>
            <w:vAlign w:val="center"/>
          </w:tcPr>
          <w:p w14:paraId="6B77F75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24" w:type="pct"/>
            <w:tcBorders>
              <w:top w:val="single" w:color="auto" w:sz="4" w:space="0"/>
              <w:left w:val="single" w:color="auto" w:sz="4" w:space="0"/>
              <w:bottom w:val="single" w:color="auto" w:sz="4" w:space="0"/>
              <w:right w:val="single" w:color="auto" w:sz="4" w:space="0"/>
            </w:tcBorders>
            <w:noWrap w:val="0"/>
            <w:vAlign w:val="center"/>
          </w:tcPr>
          <w:p w14:paraId="5B3A416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立项程序规范性</w:t>
            </w:r>
          </w:p>
        </w:tc>
        <w:tc>
          <w:tcPr>
            <w:tcW w:w="228" w:type="pct"/>
            <w:tcBorders>
              <w:top w:val="single" w:color="auto" w:sz="4" w:space="0"/>
              <w:left w:val="single" w:color="auto" w:sz="4" w:space="0"/>
              <w:bottom w:val="single" w:color="auto" w:sz="4" w:space="0"/>
              <w:right w:val="single" w:color="auto" w:sz="4" w:space="0"/>
            </w:tcBorders>
            <w:noWrap w:val="0"/>
            <w:vAlign w:val="center"/>
          </w:tcPr>
          <w:p w14:paraId="0A0515E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3</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749218B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项目申请、设立过程是否符合相关要求，用以反映和考核项目立项的规范情况。</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375EED0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规范</w:t>
            </w:r>
          </w:p>
        </w:tc>
        <w:tc>
          <w:tcPr>
            <w:tcW w:w="1834" w:type="pct"/>
            <w:tcBorders>
              <w:top w:val="single" w:color="auto" w:sz="4" w:space="0"/>
              <w:left w:val="single" w:color="auto" w:sz="4" w:space="0"/>
              <w:bottom w:val="single" w:color="auto" w:sz="4" w:space="0"/>
              <w:right w:val="single" w:color="auto" w:sz="4" w:space="0"/>
            </w:tcBorders>
            <w:noWrap w:val="0"/>
            <w:vAlign w:val="center"/>
          </w:tcPr>
          <w:p w14:paraId="573B748D">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①项目是否按照规定的程序申请设立；</w:t>
            </w:r>
          </w:p>
          <w:p w14:paraId="261F05D0">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②审批文件、材料是否符合相关要求；</w:t>
            </w:r>
          </w:p>
          <w:p w14:paraId="7D8ACB41">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③事前是否已经过必要的可行性研究、专家论证、风险评估、绩效评估、集体决策。</w:t>
            </w:r>
          </w:p>
          <w:p w14:paraId="7AB2E019">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①②③齐全得权重分的100%，缺①扣权重分的40%，缺②扣权重分的30%，缺③扣权重分的30%。</w:t>
            </w:r>
          </w:p>
        </w:tc>
        <w:tc>
          <w:tcPr>
            <w:tcW w:w="333" w:type="pct"/>
            <w:tcBorders>
              <w:top w:val="single" w:color="auto" w:sz="4" w:space="0"/>
              <w:left w:val="single" w:color="auto" w:sz="4" w:space="0"/>
              <w:bottom w:val="single" w:color="auto" w:sz="4" w:space="0"/>
              <w:right w:val="single" w:color="auto" w:sz="4" w:space="0"/>
            </w:tcBorders>
            <w:noWrap w:val="0"/>
            <w:vAlign w:val="center"/>
          </w:tcPr>
          <w:p w14:paraId="2C2D7AD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规范</w:t>
            </w:r>
          </w:p>
        </w:tc>
        <w:tc>
          <w:tcPr>
            <w:tcW w:w="280" w:type="pct"/>
            <w:tcBorders>
              <w:top w:val="single" w:color="auto" w:sz="4" w:space="0"/>
              <w:left w:val="single" w:color="auto" w:sz="4" w:space="0"/>
              <w:bottom w:val="single" w:color="auto" w:sz="4" w:space="0"/>
              <w:right w:val="single" w:color="auto" w:sz="4" w:space="0"/>
            </w:tcBorders>
            <w:noWrap w:val="0"/>
            <w:vAlign w:val="center"/>
          </w:tcPr>
          <w:p w14:paraId="5C9D311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3</w:t>
            </w:r>
          </w:p>
        </w:tc>
      </w:tr>
      <w:tr w14:paraId="57802A0D">
        <w:tblPrEx>
          <w:tblCellMar>
            <w:top w:w="0" w:type="dxa"/>
            <w:left w:w="108" w:type="dxa"/>
            <w:bottom w:w="0" w:type="dxa"/>
            <w:right w:w="108" w:type="dxa"/>
          </w:tblCellMar>
        </w:tblPrEx>
        <w:trPr>
          <w:trHeight w:val="1618" w:hRule="atLeast"/>
        </w:trPr>
        <w:tc>
          <w:tcPr>
            <w:tcW w:w="250" w:type="pct"/>
            <w:vMerge w:val="continue"/>
            <w:tcBorders>
              <w:top w:val="single" w:color="auto" w:sz="4" w:space="0"/>
              <w:left w:val="single" w:color="auto" w:sz="4" w:space="0"/>
              <w:bottom w:val="single" w:color="auto" w:sz="4" w:space="0"/>
              <w:right w:val="single" w:color="auto" w:sz="4" w:space="0"/>
            </w:tcBorders>
            <w:noWrap w:val="0"/>
            <w:vAlign w:val="center"/>
          </w:tcPr>
          <w:p w14:paraId="6A29FCB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15" w:type="pct"/>
            <w:vMerge w:val="continue"/>
            <w:tcBorders>
              <w:top w:val="single" w:color="auto" w:sz="4" w:space="0"/>
              <w:left w:val="single" w:color="auto" w:sz="4" w:space="0"/>
              <w:bottom w:val="single" w:color="auto" w:sz="4" w:space="0"/>
              <w:right w:val="single" w:color="auto" w:sz="4" w:space="0"/>
            </w:tcBorders>
            <w:noWrap w:val="0"/>
            <w:vAlign w:val="center"/>
          </w:tcPr>
          <w:p w14:paraId="5777782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89" w:type="pct"/>
            <w:vMerge w:val="restart"/>
            <w:tcBorders>
              <w:top w:val="single" w:color="auto" w:sz="4" w:space="0"/>
              <w:left w:val="single" w:color="auto" w:sz="4" w:space="0"/>
              <w:bottom w:val="single" w:color="auto" w:sz="4" w:space="0"/>
              <w:right w:val="single" w:color="auto" w:sz="4" w:space="0"/>
            </w:tcBorders>
            <w:noWrap w:val="0"/>
            <w:vAlign w:val="center"/>
          </w:tcPr>
          <w:p w14:paraId="14BDA13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绩效目标</w:t>
            </w:r>
          </w:p>
        </w:tc>
        <w:tc>
          <w:tcPr>
            <w:tcW w:w="197" w:type="pct"/>
            <w:vMerge w:val="restart"/>
            <w:tcBorders>
              <w:top w:val="single" w:color="auto" w:sz="4" w:space="0"/>
              <w:left w:val="single" w:color="auto" w:sz="4" w:space="0"/>
              <w:bottom w:val="single" w:color="auto" w:sz="4" w:space="0"/>
              <w:right w:val="single" w:color="auto" w:sz="4" w:space="0"/>
            </w:tcBorders>
            <w:noWrap w:val="0"/>
            <w:vAlign w:val="center"/>
          </w:tcPr>
          <w:p w14:paraId="5BD46A7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w:t>
            </w:r>
          </w:p>
        </w:tc>
        <w:tc>
          <w:tcPr>
            <w:tcW w:w="224" w:type="pct"/>
            <w:tcBorders>
              <w:top w:val="single" w:color="auto" w:sz="4" w:space="0"/>
              <w:left w:val="single" w:color="auto" w:sz="4" w:space="0"/>
              <w:bottom w:val="single" w:color="auto" w:sz="4" w:space="0"/>
              <w:right w:val="single" w:color="auto" w:sz="4" w:space="0"/>
            </w:tcBorders>
            <w:noWrap w:val="0"/>
            <w:vAlign w:val="center"/>
          </w:tcPr>
          <w:p w14:paraId="5F4ED8E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绩效目标合理性</w:t>
            </w:r>
          </w:p>
        </w:tc>
        <w:tc>
          <w:tcPr>
            <w:tcW w:w="228" w:type="pct"/>
            <w:tcBorders>
              <w:top w:val="single" w:color="auto" w:sz="4" w:space="0"/>
              <w:left w:val="single" w:color="auto" w:sz="4" w:space="0"/>
              <w:bottom w:val="single" w:color="auto" w:sz="4" w:space="0"/>
              <w:right w:val="single" w:color="auto" w:sz="4" w:space="0"/>
            </w:tcBorders>
            <w:noWrap w:val="0"/>
            <w:vAlign w:val="center"/>
          </w:tcPr>
          <w:p w14:paraId="08B5E9E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5</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6BE3611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项目所设定的绩效目标是否依据充分，是否符合客观实际，用以反映和考核项目绩效目标与项目实施的相符情况。</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02682C0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合理</w:t>
            </w:r>
          </w:p>
        </w:tc>
        <w:tc>
          <w:tcPr>
            <w:tcW w:w="1834" w:type="pct"/>
            <w:tcBorders>
              <w:top w:val="single" w:color="auto" w:sz="4" w:space="0"/>
              <w:left w:val="single" w:color="auto" w:sz="4" w:space="0"/>
              <w:bottom w:val="single" w:color="auto" w:sz="4" w:space="0"/>
              <w:right w:val="single" w:color="auto" w:sz="4" w:space="0"/>
            </w:tcBorders>
            <w:noWrap w:val="0"/>
            <w:vAlign w:val="center"/>
          </w:tcPr>
          <w:p w14:paraId="03FC0CA3">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①项目是否有绩效目标；</w:t>
            </w:r>
          </w:p>
          <w:p w14:paraId="6FC01921">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②项目绩效目标与实际工作内容是否具有相关性；</w:t>
            </w:r>
          </w:p>
          <w:p w14:paraId="0FED02C3">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③项目预期产出效益和效果是否符合正常的业绩水平；</w:t>
            </w:r>
          </w:p>
          <w:p w14:paraId="7EF484AD">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④是否与预算确定的项目投资额或资金量相匹配。</w:t>
            </w:r>
          </w:p>
          <w:p w14:paraId="4100DF5B">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以上每条要素各占权重的25%，每有一条不符合，扣除对应的权重分，扣完为止。</w:t>
            </w:r>
          </w:p>
        </w:tc>
        <w:tc>
          <w:tcPr>
            <w:tcW w:w="333" w:type="pct"/>
            <w:tcBorders>
              <w:top w:val="single" w:color="auto" w:sz="4" w:space="0"/>
              <w:left w:val="single" w:color="auto" w:sz="4" w:space="0"/>
              <w:bottom w:val="single" w:color="auto" w:sz="4" w:space="0"/>
              <w:right w:val="single" w:color="auto" w:sz="4" w:space="0"/>
            </w:tcBorders>
            <w:noWrap w:val="0"/>
            <w:vAlign w:val="center"/>
          </w:tcPr>
          <w:p w14:paraId="3841124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合理</w:t>
            </w:r>
          </w:p>
        </w:tc>
        <w:tc>
          <w:tcPr>
            <w:tcW w:w="280" w:type="pct"/>
            <w:tcBorders>
              <w:top w:val="single" w:color="auto" w:sz="4" w:space="0"/>
              <w:left w:val="single" w:color="auto" w:sz="4" w:space="0"/>
              <w:bottom w:val="single" w:color="auto" w:sz="4" w:space="0"/>
              <w:right w:val="single" w:color="auto" w:sz="4" w:space="0"/>
            </w:tcBorders>
            <w:noWrap w:val="0"/>
            <w:vAlign w:val="center"/>
          </w:tcPr>
          <w:p w14:paraId="3421A45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5</w:t>
            </w:r>
          </w:p>
        </w:tc>
      </w:tr>
      <w:tr w14:paraId="7C1D4EE9">
        <w:tblPrEx>
          <w:tblCellMar>
            <w:top w:w="0" w:type="dxa"/>
            <w:left w:w="108" w:type="dxa"/>
            <w:bottom w:w="0" w:type="dxa"/>
            <w:right w:w="108" w:type="dxa"/>
          </w:tblCellMar>
        </w:tblPrEx>
        <w:trPr>
          <w:trHeight w:val="90" w:hRule="atLeast"/>
        </w:trPr>
        <w:tc>
          <w:tcPr>
            <w:tcW w:w="250" w:type="pct"/>
            <w:vMerge w:val="continue"/>
            <w:tcBorders>
              <w:top w:val="single" w:color="auto" w:sz="4" w:space="0"/>
              <w:left w:val="single" w:color="auto" w:sz="4" w:space="0"/>
              <w:bottom w:val="single" w:color="auto" w:sz="4" w:space="0"/>
              <w:right w:val="single" w:color="auto" w:sz="4" w:space="0"/>
            </w:tcBorders>
            <w:noWrap w:val="0"/>
            <w:vAlign w:val="center"/>
          </w:tcPr>
          <w:p w14:paraId="2402001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15" w:type="pct"/>
            <w:vMerge w:val="continue"/>
            <w:tcBorders>
              <w:top w:val="single" w:color="auto" w:sz="4" w:space="0"/>
              <w:left w:val="single" w:color="auto" w:sz="4" w:space="0"/>
              <w:bottom w:val="single" w:color="auto" w:sz="4" w:space="0"/>
              <w:right w:val="single" w:color="auto" w:sz="4" w:space="0"/>
            </w:tcBorders>
            <w:noWrap w:val="0"/>
            <w:vAlign w:val="center"/>
          </w:tcPr>
          <w:p w14:paraId="39E9F5E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89" w:type="pct"/>
            <w:vMerge w:val="continue"/>
            <w:tcBorders>
              <w:top w:val="single" w:color="auto" w:sz="4" w:space="0"/>
              <w:left w:val="single" w:color="auto" w:sz="4" w:space="0"/>
              <w:bottom w:val="single" w:color="auto" w:sz="4" w:space="0"/>
              <w:right w:val="single" w:color="auto" w:sz="4" w:space="0"/>
            </w:tcBorders>
            <w:noWrap w:val="0"/>
            <w:vAlign w:val="center"/>
          </w:tcPr>
          <w:p w14:paraId="2870609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197" w:type="pct"/>
            <w:vMerge w:val="continue"/>
            <w:tcBorders>
              <w:top w:val="single" w:color="auto" w:sz="4" w:space="0"/>
              <w:left w:val="single" w:color="auto" w:sz="4" w:space="0"/>
              <w:bottom w:val="single" w:color="auto" w:sz="4" w:space="0"/>
              <w:right w:val="single" w:color="auto" w:sz="4" w:space="0"/>
            </w:tcBorders>
            <w:noWrap w:val="0"/>
            <w:vAlign w:val="center"/>
          </w:tcPr>
          <w:p w14:paraId="125C797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24" w:type="pct"/>
            <w:tcBorders>
              <w:top w:val="single" w:color="auto" w:sz="4" w:space="0"/>
              <w:left w:val="single" w:color="auto" w:sz="4" w:space="0"/>
              <w:bottom w:val="single" w:color="auto" w:sz="4" w:space="0"/>
              <w:right w:val="single" w:color="auto" w:sz="4" w:space="0"/>
            </w:tcBorders>
            <w:noWrap w:val="0"/>
            <w:vAlign w:val="center"/>
          </w:tcPr>
          <w:p w14:paraId="2C56509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绩效指标明确性</w:t>
            </w:r>
          </w:p>
        </w:tc>
        <w:tc>
          <w:tcPr>
            <w:tcW w:w="228" w:type="pct"/>
            <w:tcBorders>
              <w:top w:val="single" w:color="auto" w:sz="4" w:space="0"/>
              <w:left w:val="single" w:color="auto" w:sz="4" w:space="0"/>
              <w:bottom w:val="single" w:color="auto" w:sz="4" w:space="0"/>
              <w:right w:val="single" w:color="auto" w:sz="4" w:space="0"/>
            </w:tcBorders>
            <w:noWrap w:val="0"/>
            <w:vAlign w:val="center"/>
          </w:tcPr>
          <w:p w14:paraId="33721FD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5</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31466F6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依据绩效目标设定的绩效指标是否清晰、细化、可衡量等，用以反映和考核项目绩效目标的明细化情况。</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662B4EE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明确</w:t>
            </w:r>
          </w:p>
        </w:tc>
        <w:tc>
          <w:tcPr>
            <w:tcW w:w="1834" w:type="pct"/>
            <w:tcBorders>
              <w:top w:val="single" w:color="auto" w:sz="4" w:space="0"/>
              <w:left w:val="single" w:color="auto" w:sz="4" w:space="0"/>
              <w:bottom w:val="single" w:color="auto" w:sz="4" w:space="0"/>
              <w:right w:val="single" w:color="auto" w:sz="4" w:space="0"/>
            </w:tcBorders>
            <w:noWrap w:val="0"/>
            <w:vAlign w:val="center"/>
          </w:tcPr>
          <w:p w14:paraId="62036C40">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①是否将项目绩效目标细化分解为具体的绩效指标；</w:t>
            </w:r>
          </w:p>
          <w:p w14:paraId="6F000121">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②是否通过清晰、可衡量的指标值予以体现；</w:t>
            </w:r>
          </w:p>
          <w:p w14:paraId="66EFC309">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③是否与项目目标任务数或计划数相对应。</w:t>
            </w:r>
          </w:p>
          <w:p w14:paraId="3DD44B9A">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①②③齐全得权重分的100%，缺①扣权重分的20%，缺②扣权重分的50%，缺③扣权重分的30%。</w:t>
            </w:r>
          </w:p>
        </w:tc>
        <w:tc>
          <w:tcPr>
            <w:tcW w:w="333" w:type="pct"/>
            <w:tcBorders>
              <w:top w:val="single" w:color="auto" w:sz="4" w:space="0"/>
              <w:left w:val="single" w:color="auto" w:sz="4" w:space="0"/>
              <w:bottom w:val="single" w:color="auto" w:sz="4" w:space="0"/>
              <w:right w:val="single" w:color="auto" w:sz="4" w:space="0"/>
            </w:tcBorders>
            <w:noWrap w:val="0"/>
            <w:vAlign w:val="center"/>
          </w:tcPr>
          <w:p w14:paraId="38B372B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明确</w:t>
            </w:r>
          </w:p>
        </w:tc>
        <w:tc>
          <w:tcPr>
            <w:tcW w:w="280" w:type="pct"/>
            <w:tcBorders>
              <w:top w:val="single" w:color="auto" w:sz="4" w:space="0"/>
              <w:left w:val="single" w:color="auto" w:sz="4" w:space="0"/>
              <w:bottom w:val="single" w:color="auto" w:sz="4" w:space="0"/>
              <w:right w:val="single" w:color="auto" w:sz="4" w:space="0"/>
            </w:tcBorders>
            <w:noWrap w:val="0"/>
            <w:vAlign w:val="center"/>
          </w:tcPr>
          <w:p w14:paraId="6D3733F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5</w:t>
            </w:r>
          </w:p>
        </w:tc>
      </w:tr>
      <w:tr w14:paraId="0515E41A">
        <w:tblPrEx>
          <w:tblCellMar>
            <w:top w:w="0" w:type="dxa"/>
            <w:left w:w="108" w:type="dxa"/>
            <w:bottom w:w="0" w:type="dxa"/>
            <w:right w:w="108" w:type="dxa"/>
          </w:tblCellMar>
        </w:tblPrEx>
        <w:trPr>
          <w:trHeight w:val="344" w:hRule="atLeast"/>
        </w:trPr>
        <w:tc>
          <w:tcPr>
            <w:tcW w:w="250" w:type="pct"/>
            <w:vMerge w:val="continue"/>
            <w:tcBorders>
              <w:top w:val="single" w:color="auto" w:sz="4" w:space="0"/>
              <w:left w:val="single" w:color="auto" w:sz="4" w:space="0"/>
              <w:bottom w:val="single" w:color="auto" w:sz="4" w:space="0"/>
              <w:right w:val="single" w:color="auto" w:sz="4" w:space="0"/>
            </w:tcBorders>
            <w:noWrap w:val="0"/>
            <w:vAlign w:val="center"/>
          </w:tcPr>
          <w:p w14:paraId="5685A49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15" w:type="pct"/>
            <w:vMerge w:val="continue"/>
            <w:tcBorders>
              <w:top w:val="single" w:color="auto" w:sz="4" w:space="0"/>
              <w:left w:val="single" w:color="auto" w:sz="4" w:space="0"/>
              <w:bottom w:val="single" w:color="auto" w:sz="4" w:space="0"/>
              <w:right w:val="single" w:color="auto" w:sz="4" w:space="0"/>
            </w:tcBorders>
            <w:noWrap w:val="0"/>
            <w:vAlign w:val="center"/>
          </w:tcPr>
          <w:p w14:paraId="19FE525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89" w:type="pct"/>
            <w:vMerge w:val="restart"/>
            <w:tcBorders>
              <w:top w:val="single" w:color="auto" w:sz="4" w:space="0"/>
              <w:left w:val="single" w:color="auto" w:sz="4" w:space="0"/>
              <w:bottom w:val="single" w:color="auto" w:sz="4" w:space="0"/>
              <w:right w:val="single" w:color="auto" w:sz="4" w:space="0"/>
            </w:tcBorders>
            <w:noWrap w:val="0"/>
            <w:vAlign w:val="center"/>
          </w:tcPr>
          <w:p w14:paraId="0661447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资金投入</w:t>
            </w:r>
          </w:p>
        </w:tc>
        <w:tc>
          <w:tcPr>
            <w:tcW w:w="197" w:type="pct"/>
            <w:vMerge w:val="restart"/>
            <w:tcBorders>
              <w:top w:val="single" w:color="auto" w:sz="4" w:space="0"/>
              <w:left w:val="single" w:color="auto" w:sz="4" w:space="0"/>
              <w:bottom w:val="single" w:color="auto" w:sz="4" w:space="0"/>
              <w:right w:val="single" w:color="auto" w:sz="4" w:space="0"/>
            </w:tcBorders>
            <w:noWrap w:val="0"/>
            <w:vAlign w:val="center"/>
          </w:tcPr>
          <w:p w14:paraId="4B14956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8</w:t>
            </w:r>
          </w:p>
        </w:tc>
        <w:tc>
          <w:tcPr>
            <w:tcW w:w="224" w:type="pct"/>
            <w:tcBorders>
              <w:top w:val="single" w:color="auto" w:sz="4" w:space="0"/>
              <w:left w:val="single" w:color="auto" w:sz="4" w:space="0"/>
              <w:bottom w:val="single" w:color="auto" w:sz="4" w:space="0"/>
              <w:right w:val="single" w:color="auto" w:sz="4" w:space="0"/>
            </w:tcBorders>
            <w:noWrap w:val="0"/>
            <w:vAlign w:val="center"/>
          </w:tcPr>
          <w:p w14:paraId="4604DC3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预算编制科学性</w:t>
            </w:r>
          </w:p>
        </w:tc>
        <w:tc>
          <w:tcPr>
            <w:tcW w:w="228" w:type="pct"/>
            <w:tcBorders>
              <w:top w:val="single" w:color="auto" w:sz="4" w:space="0"/>
              <w:left w:val="single" w:color="auto" w:sz="4" w:space="0"/>
              <w:bottom w:val="single" w:color="auto" w:sz="4" w:space="0"/>
              <w:right w:val="single" w:color="auto" w:sz="4" w:space="0"/>
            </w:tcBorders>
            <w:noWrap w:val="0"/>
            <w:vAlign w:val="center"/>
          </w:tcPr>
          <w:p w14:paraId="24D2817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4</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76B2BC8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项目预算编制是否经过科学论证、有明确标准，资金额度与年度目标是否相适应，用以反映和考核项目预算编制的科学性、合理性情况。</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03BE4FD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科学</w:t>
            </w:r>
          </w:p>
        </w:tc>
        <w:tc>
          <w:tcPr>
            <w:tcW w:w="1834" w:type="pct"/>
            <w:tcBorders>
              <w:top w:val="single" w:color="auto" w:sz="4" w:space="0"/>
              <w:left w:val="single" w:color="auto" w:sz="4" w:space="0"/>
              <w:bottom w:val="single" w:color="auto" w:sz="4" w:space="0"/>
              <w:right w:val="single" w:color="auto" w:sz="4" w:space="0"/>
            </w:tcBorders>
            <w:noWrap w:val="0"/>
            <w:vAlign w:val="center"/>
          </w:tcPr>
          <w:p w14:paraId="6096819E">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①预算编制是否经过科学论证；</w:t>
            </w:r>
          </w:p>
          <w:p w14:paraId="299BA2C8">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②预算内容与项目内容是否匹配；</w:t>
            </w:r>
          </w:p>
          <w:p w14:paraId="2B78908A">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③预算额度测算依据是否充分，是否按照标准编制；</w:t>
            </w:r>
          </w:p>
          <w:p w14:paraId="3BA2E311">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④预算确定的项目投资额或资金量是否与工作任务相匹配。</w:t>
            </w:r>
          </w:p>
          <w:p w14:paraId="1214760F">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以上每条要素各占权重的25%，每有一条不符合，扣除对应的权重分，扣完为止。</w:t>
            </w:r>
          </w:p>
        </w:tc>
        <w:tc>
          <w:tcPr>
            <w:tcW w:w="333" w:type="pct"/>
            <w:tcBorders>
              <w:top w:val="single" w:color="auto" w:sz="4" w:space="0"/>
              <w:left w:val="single" w:color="auto" w:sz="4" w:space="0"/>
              <w:bottom w:val="single" w:color="auto" w:sz="4" w:space="0"/>
              <w:right w:val="single" w:color="auto" w:sz="4" w:space="0"/>
            </w:tcBorders>
            <w:noWrap w:val="0"/>
            <w:vAlign w:val="center"/>
          </w:tcPr>
          <w:p w14:paraId="398CD15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科学</w:t>
            </w:r>
          </w:p>
        </w:tc>
        <w:tc>
          <w:tcPr>
            <w:tcW w:w="280" w:type="pct"/>
            <w:tcBorders>
              <w:top w:val="single" w:color="auto" w:sz="4" w:space="0"/>
              <w:left w:val="single" w:color="auto" w:sz="4" w:space="0"/>
              <w:bottom w:val="single" w:color="auto" w:sz="4" w:space="0"/>
              <w:right w:val="single" w:color="auto" w:sz="4" w:space="0"/>
            </w:tcBorders>
            <w:noWrap w:val="0"/>
            <w:vAlign w:val="center"/>
          </w:tcPr>
          <w:p w14:paraId="59C57E3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4</w:t>
            </w:r>
          </w:p>
        </w:tc>
      </w:tr>
      <w:tr w14:paraId="14AED7A7">
        <w:tblPrEx>
          <w:tblCellMar>
            <w:top w:w="0" w:type="dxa"/>
            <w:left w:w="108" w:type="dxa"/>
            <w:bottom w:w="0" w:type="dxa"/>
            <w:right w:w="108" w:type="dxa"/>
          </w:tblCellMar>
        </w:tblPrEx>
        <w:trPr>
          <w:trHeight w:val="1467" w:hRule="atLeast"/>
        </w:trPr>
        <w:tc>
          <w:tcPr>
            <w:tcW w:w="250" w:type="pct"/>
            <w:vMerge w:val="continue"/>
            <w:tcBorders>
              <w:top w:val="single" w:color="auto" w:sz="4" w:space="0"/>
              <w:left w:val="single" w:color="auto" w:sz="4" w:space="0"/>
              <w:bottom w:val="single" w:color="auto" w:sz="4" w:space="0"/>
              <w:right w:val="single" w:color="auto" w:sz="4" w:space="0"/>
            </w:tcBorders>
            <w:noWrap w:val="0"/>
            <w:vAlign w:val="center"/>
          </w:tcPr>
          <w:p w14:paraId="1AA2DAE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15" w:type="pct"/>
            <w:vMerge w:val="continue"/>
            <w:tcBorders>
              <w:top w:val="single" w:color="auto" w:sz="4" w:space="0"/>
              <w:left w:val="single" w:color="auto" w:sz="4" w:space="0"/>
              <w:bottom w:val="single" w:color="auto" w:sz="4" w:space="0"/>
              <w:right w:val="single" w:color="auto" w:sz="4" w:space="0"/>
            </w:tcBorders>
            <w:noWrap w:val="0"/>
            <w:vAlign w:val="center"/>
          </w:tcPr>
          <w:p w14:paraId="059348B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89" w:type="pct"/>
            <w:vMerge w:val="continue"/>
            <w:tcBorders>
              <w:top w:val="single" w:color="auto" w:sz="4" w:space="0"/>
              <w:left w:val="single" w:color="auto" w:sz="4" w:space="0"/>
              <w:bottom w:val="single" w:color="auto" w:sz="4" w:space="0"/>
              <w:right w:val="single" w:color="auto" w:sz="4" w:space="0"/>
            </w:tcBorders>
            <w:noWrap w:val="0"/>
            <w:vAlign w:val="center"/>
          </w:tcPr>
          <w:p w14:paraId="72732C9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197" w:type="pct"/>
            <w:vMerge w:val="continue"/>
            <w:tcBorders>
              <w:top w:val="single" w:color="auto" w:sz="4" w:space="0"/>
              <w:left w:val="single" w:color="auto" w:sz="4" w:space="0"/>
              <w:bottom w:val="single" w:color="auto" w:sz="4" w:space="0"/>
              <w:right w:val="single" w:color="auto" w:sz="4" w:space="0"/>
            </w:tcBorders>
            <w:noWrap w:val="0"/>
            <w:vAlign w:val="center"/>
          </w:tcPr>
          <w:p w14:paraId="55ED181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24" w:type="pct"/>
            <w:tcBorders>
              <w:top w:val="single" w:color="auto" w:sz="4" w:space="0"/>
              <w:left w:val="single" w:color="auto" w:sz="4" w:space="0"/>
              <w:bottom w:val="single" w:color="auto" w:sz="4" w:space="0"/>
              <w:right w:val="single" w:color="auto" w:sz="4" w:space="0"/>
            </w:tcBorders>
            <w:noWrap w:val="0"/>
            <w:vAlign w:val="center"/>
          </w:tcPr>
          <w:p w14:paraId="02562FA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资金分配合理性</w:t>
            </w:r>
          </w:p>
        </w:tc>
        <w:tc>
          <w:tcPr>
            <w:tcW w:w="228" w:type="pct"/>
            <w:tcBorders>
              <w:top w:val="single" w:color="auto" w:sz="4" w:space="0"/>
              <w:left w:val="single" w:color="auto" w:sz="4" w:space="0"/>
              <w:bottom w:val="single" w:color="auto" w:sz="4" w:space="0"/>
              <w:right w:val="single" w:color="auto" w:sz="4" w:space="0"/>
            </w:tcBorders>
            <w:noWrap w:val="0"/>
            <w:vAlign w:val="center"/>
          </w:tcPr>
          <w:p w14:paraId="2D1BE91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4</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0BF7975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项目预算资金分配是否有测算依据，与补助单位或地方实际是否相适应，用以反映和考核项目预算资金分配的科学性、合理性情况。</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25A0D9E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合理</w:t>
            </w:r>
          </w:p>
        </w:tc>
        <w:tc>
          <w:tcPr>
            <w:tcW w:w="1834" w:type="pct"/>
            <w:tcBorders>
              <w:top w:val="single" w:color="auto" w:sz="4" w:space="0"/>
              <w:left w:val="single" w:color="auto" w:sz="4" w:space="0"/>
              <w:bottom w:val="single" w:color="auto" w:sz="4" w:space="0"/>
              <w:right w:val="single" w:color="auto" w:sz="4" w:space="0"/>
            </w:tcBorders>
            <w:noWrap w:val="0"/>
            <w:vAlign w:val="center"/>
          </w:tcPr>
          <w:p w14:paraId="50E9E513">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①预算资金分配依据是否充分；</w:t>
            </w:r>
          </w:p>
          <w:p w14:paraId="79E027DB">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②资金分配额度是否合理，与项目单位或地方实际是否相适应。</w:t>
            </w:r>
          </w:p>
          <w:p w14:paraId="667F1F6D">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以上每条要素各占权重的50%，每有一条不符合，扣除对应的权重分，扣完为止。</w:t>
            </w:r>
          </w:p>
        </w:tc>
        <w:tc>
          <w:tcPr>
            <w:tcW w:w="333" w:type="pct"/>
            <w:tcBorders>
              <w:top w:val="single" w:color="auto" w:sz="4" w:space="0"/>
              <w:left w:val="single" w:color="auto" w:sz="4" w:space="0"/>
              <w:bottom w:val="single" w:color="auto" w:sz="4" w:space="0"/>
              <w:right w:val="single" w:color="auto" w:sz="4" w:space="0"/>
            </w:tcBorders>
            <w:noWrap w:val="0"/>
            <w:vAlign w:val="center"/>
          </w:tcPr>
          <w:p w14:paraId="48FC872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合理</w:t>
            </w:r>
          </w:p>
        </w:tc>
        <w:tc>
          <w:tcPr>
            <w:tcW w:w="280" w:type="pct"/>
            <w:tcBorders>
              <w:top w:val="single" w:color="auto" w:sz="4" w:space="0"/>
              <w:left w:val="single" w:color="auto" w:sz="4" w:space="0"/>
              <w:bottom w:val="single" w:color="auto" w:sz="4" w:space="0"/>
              <w:right w:val="single" w:color="auto" w:sz="4" w:space="0"/>
            </w:tcBorders>
            <w:noWrap w:val="0"/>
            <w:vAlign w:val="center"/>
          </w:tcPr>
          <w:p w14:paraId="752654F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4</w:t>
            </w:r>
          </w:p>
        </w:tc>
      </w:tr>
      <w:tr w14:paraId="0A40BABB">
        <w:tblPrEx>
          <w:tblCellMar>
            <w:top w:w="0" w:type="dxa"/>
            <w:left w:w="108" w:type="dxa"/>
            <w:bottom w:w="0" w:type="dxa"/>
            <w:right w:w="108" w:type="dxa"/>
          </w:tblCellMar>
        </w:tblPrEx>
        <w:trPr>
          <w:trHeight w:val="734" w:hRule="atLeast"/>
        </w:trPr>
        <w:tc>
          <w:tcPr>
            <w:tcW w:w="250" w:type="pct"/>
            <w:vMerge w:val="restart"/>
            <w:tcBorders>
              <w:top w:val="single" w:color="auto" w:sz="4" w:space="0"/>
              <w:left w:val="single" w:color="auto" w:sz="4" w:space="0"/>
              <w:bottom w:val="single" w:color="auto" w:sz="4" w:space="0"/>
              <w:right w:val="single" w:color="auto" w:sz="4" w:space="0"/>
            </w:tcBorders>
            <w:noWrap w:val="0"/>
            <w:vAlign w:val="center"/>
          </w:tcPr>
          <w:p w14:paraId="5275FCF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项目过程</w:t>
            </w:r>
          </w:p>
        </w:tc>
        <w:tc>
          <w:tcPr>
            <w:tcW w:w="215" w:type="pct"/>
            <w:vMerge w:val="restart"/>
            <w:tcBorders>
              <w:top w:val="single" w:color="auto" w:sz="4" w:space="0"/>
              <w:left w:val="single" w:color="auto" w:sz="4" w:space="0"/>
              <w:bottom w:val="single" w:color="auto" w:sz="4" w:space="0"/>
              <w:right w:val="single" w:color="auto" w:sz="4" w:space="0"/>
            </w:tcBorders>
            <w:noWrap w:val="0"/>
            <w:vAlign w:val="center"/>
          </w:tcPr>
          <w:p w14:paraId="13132E7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12</w:t>
            </w:r>
          </w:p>
        </w:tc>
        <w:tc>
          <w:tcPr>
            <w:tcW w:w="289" w:type="pct"/>
            <w:vMerge w:val="restart"/>
            <w:tcBorders>
              <w:top w:val="single" w:color="auto" w:sz="4" w:space="0"/>
              <w:left w:val="single" w:color="auto" w:sz="4" w:space="0"/>
              <w:bottom w:val="single" w:color="auto" w:sz="4" w:space="0"/>
              <w:right w:val="single" w:color="auto" w:sz="4" w:space="0"/>
            </w:tcBorders>
            <w:noWrap w:val="0"/>
            <w:vAlign w:val="center"/>
          </w:tcPr>
          <w:p w14:paraId="41F153E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资金管理</w:t>
            </w:r>
          </w:p>
        </w:tc>
        <w:tc>
          <w:tcPr>
            <w:tcW w:w="197" w:type="pct"/>
            <w:vMerge w:val="restart"/>
            <w:tcBorders>
              <w:top w:val="single" w:color="auto" w:sz="4" w:space="0"/>
              <w:left w:val="single" w:color="auto" w:sz="4" w:space="0"/>
              <w:bottom w:val="single" w:color="auto" w:sz="4" w:space="0"/>
              <w:right w:val="single" w:color="auto" w:sz="4" w:space="0"/>
            </w:tcBorders>
            <w:noWrap w:val="0"/>
            <w:vAlign w:val="center"/>
          </w:tcPr>
          <w:p w14:paraId="496734F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6</w:t>
            </w:r>
          </w:p>
        </w:tc>
        <w:tc>
          <w:tcPr>
            <w:tcW w:w="224" w:type="pct"/>
            <w:tcBorders>
              <w:top w:val="single" w:color="auto" w:sz="4" w:space="0"/>
              <w:left w:val="single" w:color="auto" w:sz="4" w:space="0"/>
              <w:bottom w:val="single" w:color="auto" w:sz="4" w:space="0"/>
              <w:right w:val="single" w:color="auto" w:sz="4" w:space="0"/>
            </w:tcBorders>
            <w:noWrap w:val="0"/>
            <w:vAlign w:val="center"/>
          </w:tcPr>
          <w:p w14:paraId="44E6F78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资金到位率</w:t>
            </w:r>
          </w:p>
        </w:tc>
        <w:tc>
          <w:tcPr>
            <w:tcW w:w="228" w:type="pct"/>
            <w:tcBorders>
              <w:top w:val="single" w:color="auto" w:sz="4" w:space="0"/>
              <w:left w:val="single" w:color="auto" w:sz="4" w:space="0"/>
              <w:bottom w:val="single" w:color="auto" w:sz="4" w:space="0"/>
              <w:right w:val="single" w:color="auto" w:sz="4" w:space="0"/>
            </w:tcBorders>
            <w:noWrap w:val="0"/>
            <w:vAlign w:val="center"/>
          </w:tcPr>
          <w:p w14:paraId="1E430B3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06F9377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实际到位资金与预算资金的比率，用以反映和考核资金落实情况对项目实施的总体保障程度。</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748F64F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100%</w:t>
            </w:r>
          </w:p>
        </w:tc>
        <w:tc>
          <w:tcPr>
            <w:tcW w:w="1834" w:type="pct"/>
            <w:tcBorders>
              <w:top w:val="single" w:color="auto" w:sz="4" w:space="0"/>
              <w:left w:val="single" w:color="auto" w:sz="4" w:space="0"/>
              <w:bottom w:val="single" w:color="auto" w:sz="4" w:space="0"/>
              <w:right w:val="single" w:color="auto" w:sz="4" w:space="0"/>
            </w:tcBorders>
            <w:noWrap w:val="0"/>
            <w:vAlign w:val="center"/>
          </w:tcPr>
          <w:p w14:paraId="7AF45573">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资金到位率=（实际到位资金/预算资金）×100%。</w:t>
            </w:r>
          </w:p>
          <w:p w14:paraId="3E92EE1B">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资金到位率=100%，得权重分满分，每降低1%，扣除5%权重分，扣完为止。</w:t>
            </w:r>
          </w:p>
        </w:tc>
        <w:tc>
          <w:tcPr>
            <w:tcW w:w="333" w:type="pct"/>
            <w:tcBorders>
              <w:top w:val="single" w:color="auto" w:sz="4" w:space="0"/>
              <w:left w:val="single" w:color="auto" w:sz="4" w:space="0"/>
              <w:bottom w:val="single" w:color="auto" w:sz="4" w:space="0"/>
              <w:right w:val="single" w:color="auto" w:sz="4" w:space="0"/>
            </w:tcBorders>
            <w:noWrap w:val="0"/>
            <w:vAlign w:val="center"/>
          </w:tcPr>
          <w:p w14:paraId="234AD52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100%</w:t>
            </w:r>
          </w:p>
        </w:tc>
        <w:tc>
          <w:tcPr>
            <w:tcW w:w="280" w:type="pct"/>
            <w:tcBorders>
              <w:top w:val="single" w:color="auto" w:sz="4" w:space="0"/>
              <w:left w:val="single" w:color="auto" w:sz="4" w:space="0"/>
              <w:bottom w:val="single" w:color="auto" w:sz="4" w:space="0"/>
              <w:right w:val="single" w:color="auto" w:sz="4" w:space="0"/>
            </w:tcBorders>
            <w:noWrap w:val="0"/>
            <w:vAlign w:val="center"/>
          </w:tcPr>
          <w:p w14:paraId="3814E30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1</w:t>
            </w:r>
          </w:p>
        </w:tc>
      </w:tr>
      <w:tr w14:paraId="294ED3C6">
        <w:tblPrEx>
          <w:tblCellMar>
            <w:top w:w="0" w:type="dxa"/>
            <w:left w:w="108" w:type="dxa"/>
            <w:bottom w:w="0" w:type="dxa"/>
            <w:right w:w="108" w:type="dxa"/>
          </w:tblCellMar>
        </w:tblPrEx>
        <w:trPr>
          <w:trHeight w:val="762" w:hRule="atLeast"/>
        </w:trPr>
        <w:tc>
          <w:tcPr>
            <w:tcW w:w="250" w:type="pct"/>
            <w:vMerge w:val="continue"/>
            <w:tcBorders>
              <w:top w:val="single" w:color="auto" w:sz="4" w:space="0"/>
              <w:left w:val="single" w:color="auto" w:sz="4" w:space="0"/>
              <w:bottom w:val="single" w:color="auto" w:sz="4" w:space="0"/>
              <w:right w:val="single" w:color="auto" w:sz="4" w:space="0"/>
            </w:tcBorders>
            <w:noWrap w:val="0"/>
            <w:vAlign w:val="center"/>
          </w:tcPr>
          <w:p w14:paraId="3371E4E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15" w:type="pct"/>
            <w:vMerge w:val="continue"/>
            <w:tcBorders>
              <w:top w:val="single" w:color="auto" w:sz="4" w:space="0"/>
              <w:left w:val="single" w:color="auto" w:sz="4" w:space="0"/>
              <w:bottom w:val="single" w:color="auto" w:sz="4" w:space="0"/>
              <w:right w:val="single" w:color="auto" w:sz="4" w:space="0"/>
            </w:tcBorders>
            <w:noWrap w:val="0"/>
            <w:vAlign w:val="center"/>
          </w:tcPr>
          <w:p w14:paraId="3DBF713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89" w:type="pct"/>
            <w:vMerge w:val="continue"/>
            <w:tcBorders>
              <w:top w:val="single" w:color="auto" w:sz="4" w:space="0"/>
              <w:left w:val="single" w:color="auto" w:sz="4" w:space="0"/>
              <w:bottom w:val="single" w:color="auto" w:sz="4" w:space="0"/>
              <w:right w:val="single" w:color="auto" w:sz="4" w:space="0"/>
            </w:tcBorders>
            <w:noWrap w:val="0"/>
            <w:vAlign w:val="center"/>
          </w:tcPr>
          <w:p w14:paraId="70FA23E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197" w:type="pct"/>
            <w:vMerge w:val="continue"/>
            <w:tcBorders>
              <w:top w:val="single" w:color="auto" w:sz="4" w:space="0"/>
              <w:left w:val="single" w:color="auto" w:sz="4" w:space="0"/>
              <w:bottom w:val="single" w:color="auto" w:sz="4" w:space="0"/>
              <w:right w:val="single" w:color="auto" w:sz="4" w:space="0"/>
            </w:tcBorders>
            <w:noWrap w:val="0"/>
            <w:vAlign w:val="center"/>
          </w:tcPr>
          <w:p w14:paraId="412EF0A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24" w:type="pct"/>
            <w:tcBorders>
              <w:top w:val="single" w:color="auto" w:sz="4" w:space="0"/>
              <w:left w:val="single" w:color="auto" w:sz="4" w:space="0"/>
              <w:bottom w:val="single" w:color="auto" w:sz="4" w:space="0"/>
              <w:right w:val="single" w:color="auto" w:sz="4" w:space="0"/>
            </w:tcBorders>
            <w:noWrap w:val="0"/>
            <w:vAlign w:val="center"/>
          </w:tcPr>
          <w:p w14:paraId="5CA00AD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预算执行率</w:t>
            </w:r>
          </w:p>
        </w:tc>
        <w:tc>
          <w:tcPr>
            <w:tcW w:w="228" w:type="pct"/>
            <w:tcBorders>
              <w:top w:val="single" w:color="auto" w:sz="4" w:space="0"/>
              <w:left w:val="single" w:color="auto" w:sz="4" w:space="0"/>
              <w:bottom w:val="single" w:color="auto" w:sz="4" w:space="0"/>
              <w:right w:val="single" w:color="auto" w:sz="4" w:space="0"/>
            </w:tcBorders>
            <w:noWrap w:val="0"/>
            <w:vAlign w:val="center"/>
          </w:tcPr>
          <w:p w14:paraId="2CB4D81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2</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52E6D4D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项目预算资金是否按照计划执行，用以反映或考核项目预算执行情况。</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1208F24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100%</w:t>
            </w:r>
          </w:p>
        </w:tc>
        <w:tc>
          <w:tcPr>
            <w:tcW w:w="1834" w:type="pct"/>
            <w:tcBorders>
              <w:top w:val="single" w:color="auto" w:sz="4" w:space="0"/>
              <w:left w:val="single" w:color="auto" w:sz="4" w:space="0"/>
              <w:bottom w:val="single" w:color="auto" w:sz="4" w:space="0"/>
              <w:right w:val="single" w:color="auto" w:sz="4" w:space="0"/>
            </w:tcBorders>
            <w:noWrap w:val="0"/>
            <w:vAlign w:val="center"/>
          </w:tcPr>
          <w:p w14:paraId="7933FCA8">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预算执行率=（实际支出资金/实际到位资金）×100%。</w:t>
            </w:r>
          </w:p>
          <w:p w14:paraId="6DEAD40B">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预算执行率=100%，得权重分满分；若预算执行率＜100%，得分=预算执行率*分值；若执行率≤60%，则不得分。</w:t>
            </w:r>
          </w:p>
        </w:tc>
        <w:tc>
          <w:tcPr>
            <w:tcW w:w="333" w:type="pct"/>
            <w:tcBorders>
              <w:top w:val="single" w:color="auto" w:sz="4" w:space="0"/>
              <w:left w:val="single" w:color="auto" w:sz="4" w:space="0"/>
              <w:bottom w:val="single" w:color="auto" w:sz="4" w:space="0"/>
              <w:right w:val="single" w:color="auto" w:sz="4" w:space="0"/>
            </w:tcBorders>
            <w:noWrap w:val="0"/>
            <w:vAlign w:val="center"/>
          </w:tcPr>
          <w:p w14:paraId="2310EAE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sz w:val="21"/>
                <w:szCs w:val="21"/>
                <w:lang w:val="en-US" w:eastAsia="zh-CN"/>
              </w:rPr>
            </w:pPr>
            <w:r>
              <w:rPr>
                <w:rFonts w:hint="eastAsia" w:ascii="宋体" w:hAnsi="宋体" w:eastAsia="宋体" w:cs="宋体"/>
                <w:kern w:val="0"/>
                <w:sz w:val="21"/>
                <w:szCs w:val="21"/>
                <w:lang w:val="en-US" w:eastAsia="zh-CN"/>
              </w:rPr>
              <w:t>100%</w:t>
            </w:r>
          </w:p>
        </w:tc>
        <w:tc>
          <w:tcPr>
            <w:tcW w:w="280" w:type="pct"/>
            <w:tcBorders>
              <w:top w:val="single" w:color="auto" w:sz="4" w:space="0"/>
              <w:left w:val="single" w:color="auto" w:sz="4" w:space="0"/>
              <w:bottom w:val="single" w:color="auto" w:sz="4" w:space="0"/>
              <w:right w:val="single" w:color="auto" w:sz="4" w:space="0"/>
            </w:tcBorders>
            <w:noWrap w:val="0"/>
            <w:vAlign w:val="center"/>
          </w:tcPr>
          <w:p w14:paraId="6ADA7BA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2</w:t>
            </w:r>
          </w:p>
        </w:tc>
      </w:tr>
      <w:tr w14:paraId="2E764E59">
        <w:tblPrEx>
          <w:tblCellMar>
            <w:top w:w="0" w:type="dxa"/>
            <w:left w:w="108" w:type="dxa"/>
            <w:bottom w:w="0" w:type="dxa"/>
            <w:right w:w="108" w:type="dxa"/>
          </w:tblCellMar>
        </w:tblPrEx>
        <w:trPr>
          <w:trHeight w:val="361" w:hRule="atLeast"/>
        </w:trPr>
        <w:tc>
          <w:tcPr>
            <w:tcW w:w="250" w:type="pct"/>
            <w:vMerge w:val="continue"/>
            <w:tcBorders>
              <w:top w:val="single" w:color="auto" w:sz="4" w:space="0"/>
              <w:left w:val="single" w:color="auto" w:sz="4" w:space="0"/>
              <w:bottom w:val="single" w:color="auto" w:sz="4" w:space="0"/>
              <w:right w:val="single" w:color="auto" w:sz="4" w:space="0"/>
            </w:tcBorders>
            <w:noWrap w:val="0"/>
            <w:vAlign w:val="center"/>
          </w:tcPr>
          <w:p w14:paraId="4841BF9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15" w:type="pct"/>
            <w:vMerge w:val="continue"/>
            <w:tcBorders>
              <w:top w:val="single" w:color="auto" w:sz="4" w:space="0"/>
              <w:left w:val="single" w:color="auto" w:sz="4" w:space="0"/>
              <w:bottom w:val="single" w:color="auto" w:sz="4" w:space="0"/>
              <w:right w:val="single" w:color="auto" w:sz="4" w:space="0"/>
            </w:tcBorders>
            <w:noWrap w:val="0"/>
            <w:vAlign w:val="center"/>
          </w:tcPr>
          <w:p w14:paraId="1727BEA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89" w:type="pct"/>
            <w:vMerge w:val="continue"/>
            <w:tcBorders>
              <w:top w:val="single" w:color="auto" w:sz="4" w:space="0"/>
              <w:left w:val="single" w:color="auto" w:sz="4" w:space="0"/>
              <w:bottom w:val="single" w:color="auto" w:sz="4" w:space="0"/>
              <w:right w:val="single" w:color="auto" w:sz="4" w:space="0"/>
            </w:tcBorders>
            <w:noWrap w:val="0"/>
            <w:vAlign w:val="center"/>
          </w:tcPr>
          <w:p w14:paraId="3479A0E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197" w:type="pct"/>
            <w:vMerge w:val="continue"/>
            <w:tcBorders>
              <w:top w:val="single" w:color="auto" w:sz="4" w:space="0"/>
              <w:left w:val="single" w:color="auto" w:sz="4" w:space="0"/>
              <w:bottom w:val="single" w:color="auto" w:sz="4" w:space="0"/>
              <w:right w:val="single" w:color="auto" w:sz="4" w:space="0"/>
            </w:tcBorders>
            <w:noWrap w:val="0"/>
            <w:vAlign w:val="center"/>
          </w:tcPr>
          <w:p w14:paraId="46FE177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24" w:type="pct"/>
            <w:tcBorders>
              <w:top w:val="single" w:color="auto" w:sz="4" w:space="0"/>
              <w:left w:val="single" w:color="auto" w:sz="4" w:space="0"/>
              <w:bottom w:val="single" w:color="auto" w:sz="4" w:space="0"/>
              <w:right w:val="single" w:color="auto" w:sz="4" w:space="0"/>
            </w:tcBorders>
            <w:noWrap w:val="0"/>
            <w:vAlign w:val="center"/>
          </w:tcPr>
          <w:p w14:paraId="0DF7523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资金使用合规性</w:t>
            </w:r>
          </w:p>
        </w:tc>
        <w:tc>
          <w:tcPr>
            <w:tcW w:w="228" w:type="pct"/>
            <w:tcBorders>
              <w:top w:val="single" w:color="auto" w:sz="4" w:space="0"/>
              <w:left w:val="single" w:color="auto" w:sz="4" w:space="0"/>
              <w:bottom w:val="single" w:color="auto" w:sz="4" w:space="0"/>
              <w:right w:val="single" w:color="auto" w:sz="4" w:space="0"/>
            </w:tcBorders>
            <w:noWrap w:val="0"/>
            <w:vAlign w:val="center"/>
          </w:tcPr>
          <w:p w14:paraId="299FCE2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3</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31F12A6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项目资金使用是否符合相关的财务管理制度规定，用以反映和考核项目资金的规范运行情况。</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0525D91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合规</w:t>
            </w:r>
          </w:p>
        </w:tc>
        <w:tc>
          <w:tcPr>
            <w:tcW w:w="1834" w:type="pct"/>
            <w:tcBorders>
              <w:top w:val="single" w:color="auto" w:sz="4" w:space="0"/>
              <w:left w:val="single" w:color="auto" w:sz="4" w:space="0"/>
              <w:bottom w:val="single" w:color="auto" w:sz="4" w:space="0"/>
              <w:right w:val="single" w:color="auto" w:sz="4" w:space="0"/>
            </w:tcBorders>
            <w:noWrap w:val="0"/>
            <w:vAlign w:val="center"/>
          </w:tcPr>
          <w:p w14:paraId="3FC3FA47">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①否符合国家财经法规和财务管理制度以及有关专项资金管理办法的规定；</w:t>
            </w:r>
          </w:p>
          <w:p w14:paraId="15443C8E">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②资金的拨付是否有完整的审批程序和手续；</w:t>
            </w:r>
          </w:p>
          <w:p w14:paraId="618622F1">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③是否符合项目预算批复或合同规定的用途；</w:t>
            </w:r>
          </w:p>
          <w:p w14:paraId="6E287DA3">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④是否存在截留、挤占、挪用、虚列支出等情况。</w:t>
            </w:r>
          </w:p>
          <w:p w14:paraId="7FE1233D">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以上每条指标各占权重分的25%，要素①②不符合，扣除对应权重分；要素③④不符合属于重大违纪，该指标不得分。</w:t>
            </w:r>
          </w:p>
        </w:tc>
        <w:tc>
          <w:tcPr>
            <w:tcW w:w="333" w:type="pct"/>
            <w:tcBorders>
              <w:top w:val="single" w:color="auto" w:sz="4" w:space="0"/>
              <w:left w:val="single" w:color="auto" w:sz="4" w:space="0"/>
              <w:bottom w:val="single" w:color="auto" w:sz="4" w:space="0"/>
              <w:right w:val="single" w:color="auto" w:sz="4" w:space="0"/>
            </w:tcBorders>
            <w:noWrap w:val="0"/>
            <w:vAlign w:val="center"/>
          </w:tcPr>
          <w:p w14:paraId="5D19855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合规</w:t>
            </w:r>
          </w:p>
        </w:tc>
        <w:tc>
          <w:tcPr>
            <w:tcW w:w="280" w:type="pct"/>
            <w:tcBorders>
              <w:top w:val="single" w:color="auto" w:sz="4" w:space="0"/>
              <w:left w:val="single" w:color="auto" w:sz="4" w:space="0"/>
              <w:bottom w:val="single" w:color="auto" w:sz="4" w:space="0"/>
              <w:right w:val="single" w:color="auto" w:sz="4" w:space="0"/>
            </w:tcBorders>
            <w:noWrap w:val="0"/>
            <w:vAlign w:val="center"/>
          </w:tcPr>
          <w:p w14:paraId="428712F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3</w:t>
            </w:r>
          </w:p>
        </w:tc>
      </w:tr>
      <w:tr w14:paraId="24444209">
        <w:tblPrEx>
          <w:tblCellMar>
            <w:top w:w="0" w:type="dxa"/>
            <w:left w:w="108" w:type="dxa"/>
            <w:bottom w:w="0" w:type="dxa"/>
            <w:right w:w="108" w:type="dxa"/>
          </w:tblCellMar>
        </w:tblPrEx>
        <w:trPr>
          <w:trHeight w:val="775" w:hRule="atLeast"/>
        </w:trPr>
        <w:tc>
          <w:tcPr>
            <w:tcW w:w="250" w:type="pct"/>
            <w:vMerge w:val="continue"/>
            <w:tcBorders>
              <w:top w:val="single" w:color="auto" w:sz="4" w:space="0"/>
              <w:left w:val="single" w:color="auto" w:sz="4" w:space="0"/>
              <w:bottom w:val="single" w:color="auto" w:sz="4" w:space="0"/>
              <w:right w:val="single" w:color="auto" w:sz="4" w:space="0"/>
            </w:tcBorders>
            <w:noWrap w:val="0"/>
            <w:vAlign w:val="center"/>
          </w:tcPr>
          <w:p w14:paraId="07D60D4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15" w:type="pct"/>
            <w:vMerge w:val="continue"/>
            <w:tcBorders>
              <w:top w:val="single" w:color="auto" w:sz="4" w:space="0"/>
              <w:left w:val="single" w:color="auto" w:sz="4" w:space="0"/>
              <w:bottom w:val="single" w:color="auto" w:sz="4" w:space="0"/>
              <w:right w:val="single" w:color="auto" w:sz="4" w:space="0"/>
            </w:tcBorders>
            <w:noWrap w:val="0"/>
            <w:vAlign w:val="center"/>
          </w:tcPr>
          <w:p w14:paraId="79CF38D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89" w:type="pct"/>
            <w:vMerge w:val="restart"/>
            <w:tcBorders>
              <w:top w:val="single" w:color="auto" w:sz="4" w:space="0"/>
              <w:left w:val="single" w:color="auto" w:sz="4" w:space="0"/>
              <w:bottom w:val="single" w:color="auto" w:sz="4" w:space="0"/>
              <w:right w:val="single" w:color="auto" w:sz="4" w:space="0"/>
            </w:tcBorders>
            <w:noWrap w:val="0"/>
            <w:vAlign w:val="center"/>
          </w:tcPr>
          <w:p w14:paraId="253E600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组织实施</w:t>
            </w:r>
          </w:p>
        </w:tc>
        <w:tc>
          <w:tcPr>
            <w:tcW w:w="197" w:type="pct"/>
            <w:vMerge w:val="restart"/>
            <w:tcBorders>
              <w:top w:val="single" w:color="auto" w:sz="4" w:space="0"/>
              <w:left w:val="single" w:color="auto" w:sz="4" w:space="0"/>
              <w:bottom w:val="single" w:color="auto" w:sz="4" w:space="0"/>
              <w:right w:val="single" w:color="auto" w:sz="4" w:space="0"/>
            </w:tcBorders>
            <w:noWrap w:val="0"/>
            <w:vAlign w:val="center"/>
          </w:tcPr>
          <w:p w14:paraId="336A87F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6</w:t>
            </w:r>
          </w:p>
        </w:tc>
        <w:tc>
          <w:tcPr>
            <w:tcW w:w="224" w:type="pct"/>
            <w:tcBorders>
              <w:top w:val="single" w:color="auto" w:sz="4" w:space="0"/>
              <w:left w:val="single" w:color="auto" w:sz="4" w:space="0"/>
              <w:bottom w:val="single" w:color="auto" w:sz="4" w:space="0"/>
              <w:right w:val="single" w:color="auto" w:sz="4" w:space="0"/>
            </w:tcBorders>
            <w:noWrap w:val="0"/>
            <w:vAlign w:val="center"/>
          </w:tcPr>
          <w:p w14:paraId="12C4EF5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管理制度健全性</w:t>
            </w:r>
          </w:p>
        </w:tc>
        <w:tc>
          <w:tcPr>
            <w:tcW w:w="228" w:type="pct"/>
            <w:tcBorders>
              <w:top w:val="single" w:color="auto" w:sz="4" w:space="0"/>
              <w:left w:val="single" w:color="auto" w:sz="4" w:space="0"/>
              <w:bottom w:val="single" w:color="auto" w:sz="4" w:space="0"/>
              <w:right w:val="single" w:color="auto" w:sz="4" w:space="0"/>
            </w:tcBorders>
            <w:noWrap w:val="0"/>
            <w:vAlign w:val="center"/>
          </w:tcPr>
          <w:p w14:paraId="75FB010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3</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491218F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项目实施单位的财务和业务管理制度是否健全，用以反映和考核财务和业务管理制度对项目顺利实施的保障情况。</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3DEA14D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健全</w:t>
            </w:r>
          </w:p>
        </w:tc>
        <w:tc>
          <w:tcPr>
            <w:tcW w:w="1834" w:type="pct"/>
            <w:tcBorders>
              <w:top w:val="single" w:color="auto" w:sz="4" w:space="0"/>
              <w:left w:val="single" w:color="auto" w:sz="4" w:space="0"/>
              <w:bottom w:val="single" w:color="auto" w:sz="4" w:space="0"/>
              <w:right w:val="single" w:color="auto" w:sz="4" w:space="0"/>
            </w:tcBorders>
            <w:noWrap w:val="0"/>
            <w:vAlign w:val="center"/>
          </w:tcPr>
          <w:p w14:paraId="31222B95">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①是否已制定或具有相应的财务和业务管理制度；</w:t>
            </w:r>
          </w:p>
          <w:p w14:paraId="63F98043">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②财务和业务管理制度是否合法、合规、完整。</w:t>
            </w:r>
          </w:p>
          <w:p w14:paraId="764C6D0E">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以上每条要素各占权重的50%，每有一条不符合，扣除对应的权重分，扣完为止。</w:t>
            </w:r>
          </w:p>
        </w:tc>
        <w:tc>
          <w:tcPr>
            <w:tcW w:w="333" w:type="pct"/>
            <w:tcBorders>
              <w:top w:val="single" w:color="auto" w:sz="4" w:space="0"/>
              <w:left w:val="single" w:color="auto" w:sz="4" w:space="0"/>
              <w:bottom w:val="single" w:color="auto" w:sz="4" w:space="0"/>
              <w:right w:val="single" w:color="auto" w:sz="4" w:space="0"/>
            </w:tcBorders>
            <w:noWrap w:val="0"/>
            <w:vAlign w:val="center"/>
          </w:tcPr>
          <w:p w14:paraId="23D93BB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健全</w:t>
            </w:r>
          </w:p>
        </w:tc>
        <w:tc>
          <w:tcPr>
            <w:tcW w:w="280" w:type="pct"/>
            <w:tcBorders>
              <w:top w:val="single" w:color="auto" w:sz="4" w:space="0"/>
              <w:left w:val="single" w:color="auto" w:sz="4" w:space="0"/>
              <w:bottom w:val="single" w:color="auto" w:sz="4" w:space="0"/>
              <w:right w:val="single" w:color="auto" w:sz="4" w:space="0"/>
            </w:tcBorders>
            <w:noWrap w:val="0"/>
            <w:vAlign w:val="center"/>
          </w:tcPr>
          <w:p w14:paraId="6907EBB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3</w:t>
            </w:r>
          </w:p>
        </w:tc>
      </w:tr>
      <w:tr w14:paraId="16673AA9">
        <w:tblPrEx>
          <w:tblCellMar>
            <w:top w:w="0" w:type="dxa"/>
            <w:left w:w="108" w:type="dxa"/>
            <w:bottom w:w="0" w:type="dxa"/>
            <w:right w:w="108" w:type="dxa"/>
          </w:tblCellMar>
        </w:tblPrEx>
        <w:trPr>
          <w:trHeight w:val="880" w:hRule="atLeast"/>
        </w:trPr>
        <w:tc>
          <w:tcPr>
            <w:tcW w:w="250" w:type="pct"/>
            <w:vMerge w:val="continue"/>
            <w:tcBorders>
              <w:top w:val="single" w:color="auto" w:sz="4" w:space="0"/>
              <w:left w:val="single" w:color="auto" w:sz="4" w:space="0"/>
              <w:bottom w:val="single" w:color="auto" w:sz="4" w:space="0"/>
              <w:right w:val="single" w:color="auto" w:sz="4" w:space="0"/>
            </w:tcBorders>
            <w:noWrap w:val="0"/>
            <w:vAlign w:val="center"/>
          </w:tcPr>
          <w:p w14:paraId="3EE51E2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15" w:type="pct"/>
            <w:vMerge w:val="continue"/>
            <w:tcBorders>
              <w:top w:val="single" w:color="auto" w:sz="4" w:space="0"/>
              <w:left w:val="single" w:color="auto" w:sz="4" w:space="0"/>
              <w:bottom w:val="single" w:color="auto" w:sz="4" w:space="0"/>
              <w:right w:val="single" w:color="auto" w:sz="4" w:space="0"/>
            </w:tcBorders>
            <w:noWrap w:val="0"/>
            <w:vAlign w:val="center"/>
          </w:tcPr>
          <w:p w14:paraId="3B30BF0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89" w:type="pct"/>
            <w:vMerge w:val="continue"/>
            <w:tcBorders>
              <w:top w:val="single" w:color="auto" w:sz="4" w:space="0"/>
              <w:left w:val="single" w:color="auto" w:sz="4" w:space="0"/>
              <w:bottom w:val="single" w:color="auto" w:sz="4" w:space="0"/>
              <w:right w:val="single" w:color="auto" w:sz="4" w:space="0"/>
            </w:tcBorders>
            <w:noWrap w:val="0"/>
            <w:vAlign w:val="center"/>
          </w:tcPr>
          <w:p w14:paraId="1F6DEA3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197" w:type="pct"/>
            <w:vMerge w:val="continue"/>
            <w:tcBorders>
              <w:top w:val="single" w:color="auto" w:sz="4" w:space="0"/>
              <w:left w:val="single" w:color="auto" w:sz="4" w:space="0"/>
              <w:bottom w:val="single" w:color="auto" w:sz="4" w:space="0"/>
              <w:right w:val="single" w:color="auto" w:sz="4" w:space="0"/>
            </w:tcBorders>
            <w:noWrap w:val="0"/>
            <w:vAlign w:val="center"/>
          </w:tcPr>
          <w:p w14:paraId="6D8F7AB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24" w:type="pct"/>
            <w:tcBorders>
              <w:top w:val="single" w:color="auto" w:sz="4" w:space="0"/>
              <w:left w:val="single" w:color="auto" w:sz="4" w:space="0"/>
              <w:bottom w:val="single" w:color="auto" w:sz="4" w:space="0"/>
              <w:right w:val="single" w:color="auto" w:sz="4" w:space="0"/>
            </w:tcBorders>
            <w:noWrap w:val="0"/>
            <w:vAlign w:val="center"/>
          </w:tcPr>
          <w:p w14:paraId="3B0E2C8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制度执行有效性</w:t>
            </w:r>
          </w:p>
        </w:tc>
        <w:tc>
          <w:tcPr>
            <w:tcW w:w="228" w:type="pct"/>
            <w:tcBorders>
              <w:top w:val="single" w:color="auto" w:sz="4" w:space="0"/>
              <w:left w:val="single" w:color="auto" w:sz="4" w:space="0"/>
              <w:bottom w:val="single" w:color="auto" w:sz="4" w:space="0"/>
              <w:right w:val="single" w:color="auto" w:sz="4" w:space="0"/>
            </w:tcBorders>
            <w:noWrap w:val="0"/>
            <w:vAlign w:val="center"/>
          </w:tcPr>
          <w:p w14:paraId="3A4D650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3</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5DDE66C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项目实施是否符合相关管理规定，用以反映和考核相关管理制度的有效执行情况。</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7F3003A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有效</w:t>
            </w:r>
          </w:p>
        </w:tc>
        <w:tc>
          <w:tcPr>
            <w:tcW w:w="1834" w:type="pct"/>
            <w:tcBorders>
              <w:top w:val="single" w:color="auto" w:sz="4" w:space="0"/>
              <w:left w:val="single" w:color="auto" w:sz="4" w:space="0"/>
              <w:bottom w:val="single" w:color="auto" w:sz="4" w:space="0"/>
              <w:right w:val="single" w:color="auto" w:sz="4" w:space="0"/>
            </w:tcBorders>
            <w:noWrap w:val="0"/>
            <w:vAlign w:val="center"/>
          </w:tcPr>
          <w:p w14:paraId="63C153CA">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①否遵守相关法律法规和相关管理规定；</w:t>
            </w:r>
          </w:p>
          <w:p w14:paraId="56799518">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②项目调整及支出调整手续是否完备；</w:t>
            </w:r>
          </w:p>
          <w:p w14:paraId="41CAC31C">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③项目资料是否齐全并及时归档。</w:t>
            </w:r>
          </w:p>
          <w:p w14:paraId="5D3DB215">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①②③齐全得权重分的100%，缺①扣权重分的30%，缺②扣权重分的40%，缺③扣权重分的30%。</w:t>
            </w:r>
          </w:p>
        </w:tc>
        <w:tc>
          <w:tcPr>
            <w:tcW w:w="333" w:type="pct"/>
            <w:tcBorders>
              <w:top w:val="single" w:color="auto" w:sz="4" w:space="0"/>
              <w:left w:val="single" w:color="auto" w:sz="4" w:space="0"/>
              <w:bottom w:val="single" w:color="auto" w:sz="4" w:space="0"/>
              <w:right w:val="single" w:color="auto" w:sz="4" w:space="0"/>
            </w:tcBorders>
            <w:noWrap w:val="0"/>
            <w:vAlign w:val="center"/>
          </w:tcPr>
          <w:p w14:paraId="0D4BFDA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有效</w:t>
            </w:r>
          </w:p>
        </w:tc>
        <w:tc>
          <w:tcPr>
            <w:tcW w:w="280" w:type="pct"/>
            <w:tcBorders>
              <w:top w:val="single" w:color="auto" w:sz="4" w:space="0"/>
              <w:left w:val="single" w:color="auto" w:sz="4" w:space="0"/>
              <w:bottom w:val="single" w:color="auto" w:sz="4" w:space="0"/>
              <w:right w:val="single" w:color="auto" w:sz="4" w:space="0"/>
            </w:tcBorders>
            <w:noWrap w:val="0"/>
            <w:vAlign w:val="center"/>
          </w:tcPr>
          <w:p w14:paraId="3E03587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3</w:t>
            </w:r>
          </w:p>
        </w:tc>
      </w:tr>
      <w:tr w14:paraId="604BAF6D">
        <w:tblPrEx>
          <w:tblCellMar>
            <w:top w:w="0" w:type="dxa"/>
            <w:left w:w="108" w:type="dxa"/>
            <w:bottom w:w="0" w:type="dxa"/>
            <w:right w:w="108" w:type="dxa"/>
          </w:tblCellMar>
        </w:tblPrEx>
        <w:trPr>
          <w:trHeight w:val="797" w:hRule="atLeast"/>
        </w:trPr>
        <w:tc>
          <w:tcPr>
            <w:tcW w:w="250" w:type="pct"/>
            <w:vMerge w:val="restart"/>
            <w:tcBorders>
              <w:top w:val="single" w:color="auto" w:sz="4" w:space="0"/>
              <w:left w:val="single" w:color="auto" w:sz="4" w:space="0"/>
              <w:bottom w:val="single" w:color="auto" w:sz="4" w:space="0"/>
              <w:right w:val="single" w:color="auto" w:sz="4" w:space="0"/>
            </w:tcBorders>
            <w:noWrap w:val="0"/>
            <w:vAlign w:val="center"/>
          </w:tcPr>
          <w:p w14:paraId="6FC9E76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项目产出</w:t>
            </w:r>
          </w:p>
        </w:tc>
        <w:tc>
          <w:tcPr>
            <w:tcW w:w="215" w:type="pct"/>
            <w:vMerge w:val="restart"/>
            <w:tcBorders>
              <w:top w:val="single" w:color="auto" w:sz="4" w:space="0"/>
              <w:left w:val="single" w:color="auto" w:sz="4" w:space="0"/>
              <w:bottom w:val="single" w:color="auto" w:sz="4" w:space="0"/>
              <w:right w:val="single" w:color="auto" w:sz="4" w:space="0"/>
            </w:tcBorders>
            <w:noWrap w:val="0"/>
            <w:vAlign w:val="center"/>
          </w:tcPr>
          <w:p w14:paraId="635673A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40</w:t>
            </w:r>
          </w:p>
        </w:tc>
        <w:tc>
          <w:tcPr>
            <w:tcW w:w="289" w:type="pct"/>
            <w:tcBorders>
              <w:top w:val="single" w:color="auto" w:sz="4" w:space="0"/>
              <w:left w:val="single" w:color="auto" w:sz="4" w:space="0"/>
              <w:bottom w:val="single" w:color="auto" w:sz="4" w:space="0"/>
              <w:right w:val="single" w:color="auto" w:sz="4" w:space="0"/>
            </w:tcBorders>
            <w:noWrap w:val="0"/>
            <w:vAlign w:val="center"/>
          </w:tcPr>
          <w:p w14:paraId="1F32C69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产出数量</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30718AD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w:t>
            </w:r>
          </w:p>
        </w:tc>
        <w:tc>
          <w:tcPr>
            <w:tcW w:w="224" w:type="pct"/>
            <w:tcBorders>
              <w:top w:val="single" w:color="auto" w:sz="4" w:space="0"/>
              <w:left w:val="single" w:color="auto" w:sz="4" w:space="0"/>
              <w:bottom w:val="single" w:color="auto" w:sz="4" w:space="0"/>
              <w:right w:val="single" w:color="auto" w:sz="4" w:space="0"/>
            </w:tcBorders>
            <w:noWrap w:val="0"/>
            <w:vAlign w:val="center"/>
          </w:tcPr>
          <w:p w14:paraId="34DB463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实际完成率</w:t>
            </w:r>
          </w:p>
        </w:tc>
        <w:tc>
          <w:tcPr>
            <w:tcW w:w="228" w:type="pct"/>
            <w:tcBorders>
              <w:top w:val="single" w:color="auto" w:sz="4" w:space="0"/>
              <w:left w:val="single" w:color="auto" w:sz="4" w:space="0"/>
              <w:bottom w:val="single" w:color="auto" w:sz="4" w:space="0"/>
              <w:right w:val="single" w:color="auto" w:sz="4" w:space="0"/>
            </w:tcBorders>
            <w:noWrap w:val="0"/>
            <w:vAlign w:val="center"/>
          </w:tcPr>
          <w:p w14:paraId="66031C7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375E2AD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保障学生个数</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61C37E9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ascii="宋体" w:hAnsi="宋体" w:eastAsia="宋体" w:cs="宋体"/>
                <w:sz w:val="21"/>
                <w:szCs w:val="21"/>
              </w:rPr>
            </w:pPr>
            <w:r>
              <w:rPr>
                <w:rFonts w:hint="eastAsia" w:ascii="宋体" w:hAnsi="宋体" w:eastAsia="宋体" w:cs="宋体"/>
                <w:kern w:val="0"/>
                <w:sz w:val="21"/>
                <w:szCs w:val="21"/>
              </w:rPr>
              <w:t>=2264个</w:t>
            </w:r>
          </w:p>
        </w:tc>
        <w:tc>
          <w:tcPr>
            <w:tcW w:w="1834" w:type="pct"/>
            <w:tcBorders>
              <w:top w:val="single" w:color="auto" w:sz="4" w:space="0"/>
              <w:left w:val="single" w:color="auto" w:sz="4" w:space="0"/>
              <w:bottom w:val="single" w:color="auto" w:sz="4" w:space="0"/>
              <w:right w:val="single" w:color="auto" w:sz="4" w:space="0"/>
            </w:tcBorders>
            <w:noWrap w:val="0"/>
            <w:vAlign w:val="center"/>
          </w:tcPr>
          <w:p w14:paraId="0834B1AB">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实际完成率=（实际完成/预期完成）×100%。</w:t>
            </w:r>
            <w:r>
              <w:rPr>
                <w:rFonts w:hint="eastAsia" w:ascii="宋体" w:hAnsi="宋体" w:eastAsia="宋体" w:cs="宋体"/>
                <w:kern w:val="0"/>
                <w:sz w:val="21"/>
                <w:szCs w:val="21"/>
              </w:rPr>
              <w:br w:type="textWrapping"/>
            </w:r>
            <w:r>
              <w:rPr>
                <w:rFonts w:hint="eastAsia" w:ascii="宋体" w:hAnsi="宋体" w:eastAsia="宋体" w:cs="宋体"/>
                <w:kern w:val="0"/>
                <w:sz w:val="21"/>
                <w:szCs w:val="21"/>
              </w:rPr>
              <w:t>①实际完成率≥100%，且偏离程度＜20%，得满分；</w:t>
            </w:r>
            <w:r>
              <w:rPr>
                <w:rFonts w:hint="eastAsia" w:ascii="宋体" w:hAnsi="宋体" w:eastAsia="宋体" w:cs="宋体"/>
                <w:kern w:val="0"/>
                <w:sz w:val="21"/>
                <w:szCs w:val="21"/>
              </w:rPr>
              <w:br w:type="textWrapping"/>
            </w:r>
            <w:r>
              <w:rPr>
                <w:rFonts w:hint="eastAsia" w:ascii="宋体" w:hAnsi="宋体" w:eastAsia="宋体" w:cs="宋体"/>
                <w:kern w:val="0"/>
                <w:sz w:val="21"/>
                <w:szCs w:val="21"/>
              </w:rPr>
              <w:t>②实际完成率≥100%，偏离程度≥20%，得0分；</w:t>
            </w:r>
            <w:r>
              <w:rPr>
                <w:rFonts w:hint="eastAsia" w:ascii="宋体" w:hAnsi="宋体" w:eastAsia="宋体" w:cs="宋体"/>
                <w:kern w:val="0"/>
                <w:sz w:val="21"/>
                <w:szCs w:val="21"/>
              </w:rPr>
              <w:br w:type="textWrapping"/>
            </w:r>
            <w:r>
              <w:rPr>
                <w:rFonts w:hint="eastAsia" w:ascii="宋体" w:hAnsi="宋体" w:eastAsia="宋体" w:cs="宋体"/>
                <w:kern w:val="0"/>
                <w:sz w:val="21"/>
                <w:szCs w:val="21"/>
              </w:rPr>
              <w:t>③实际完成率×100%＜100%，得分=实际完成率×指标分值。</w:t>
            </w:r>
          </w:p>
        </w:tc>
        <w:tc>
          <w:tcPr>
            <w:tcW w:w="333" w:type="pct"/>
            <w:tcBorders>
              <w:top w:val="single" w:color="auto" w:sz="4" w:space="0"/>
              <w:left w:val="single" w:color="auto" w:sz="4" w:space="0"/>
              <w:bottom w:val="single" w:color="auto" w:sz="4" w:space="0"/>
              <w:right w:val="single" w:color="auto" w:sz="4" w:space="0"/>
            </w:tcBorders>
            <w:noWrap w:val="0"/>
            <w:vAlign w:val="center"/>
          </w:tcPr>
          <w:p w14:paraId="792F3C1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2264人</w:t>
            </w:r>
          </w:p>
        </w:tc>
        <w:tc>
          <w:tcPr>
            <w:tcW w:w="280" w:type="pct"/>
            <w:tcBorders>
              <w:top w:val="single" w:color="auto" w:sz="4" w:space="0"/>
              <w:left w:val="single" w:color="auto" w:sz="4" w:space="0"/>
              <w:bottom w:val="single" w:color="auto" w:sz="4" w:space="0"/>
              <w:right w:val="single" w:color="auto" w:sz="4" w:space="0"/>
            </w:tcBorders>
            <w:noWrap w:val="0"/>
            <w:vAlign w:val="center"/>
          </w:tcPr>
          <w:p w14:paraId="320D1D7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r>
      <w:tr w14:paraId="1B9F2D1B">
        <w:tblPrEx>
          <w:tblCellMar>
            <w:top w:w="0" w:type="dxa"/>
            <w:left w:w="108" w:type="dxa"/>
            <w:bottom w:w="0" w:type="dxa"/>
            <w:right w:w="108" w:type="dxa"/>
          </w:tblCellMar>
        </w:tblPrEx>
        <w:trPr>
          <w:trHeight w:val="780" w:hRule="atLeast"/>
        </w:trPr>
        <w:tc>
          <w:tcPr>
            <w:tcW w:w="250" w:type="pct"/>
            <w:vMerge w:val="continue"/>
            <w:tcBorders>
              <w:top w:val="single" w:color="auto" w:sz="4" w:space="0"/>
              <w:left w:val="single" w:color="auto" w:sz="4" w:space="0"/>
              <w:bottom w:val="single" w:color="auto" w:sz="4" w:space="0"/>
              <w:right w:val="single" w:color="auto" w:sz="4" w:space="0"/>
            </w:tcBorders>
            <w:noWrap w:val="0"/>
            <w:vAlign w:val="center"/>
          </w:tcPr>
          <w:p w14:paraId="70C8D21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15" w:type="pct"/>
            <w:vMerge w:val="continue"/>
            <w:tcBorders>
              <w:top w:val="single" w:color="auto" w:sz="4" w:space="0"/>
              <w:left w:val="single" w:color="auto" w:sz="4" w:space="0"/>
              <w:bottom w:val="single" w:color="auto" w:sz="4" w:space="0"/>
              <w:right w:val="single" w:color="auto" w:sz="4" w:space="0"/>
            </w:tcBorders>
            <w:noWrap w:val="0"/>
            <w:vAlign w:val="center"/>
          </w:tcPr>
          <w:p w14:paraId="33C7CBE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89" w:type="pct"/>
            <w:tcBorders>
              <w:top w:val="single" w:color="auto" w:sz="4" w:space="0"/>
              <w:left w:val="single" w:color="auto" w:sz="4" w:space="0"/>
              <w:bottom w:val="single" w:color="auto" w:sz="4" w:space="0"/>
              <w:right w:val="single" w:color="auto" w:sz="4" w:space="0"/>
            </w:tcBorders>
            <w:noWrap w:val="0"/>
            <w:vAlign w:val="center"/>
          </w:tcPr>
          <w:p w14:paraId="675AE6A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产出质量</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460C031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w:t>
            </w:r>
          </w:p>
        </w:tc>
        <w:tc>
          <w:tcPr>
            <w:tcW w:w="224" w:type="pct"/>
            <w:tcBorders>
              <w:top w:val="single" w:color="auto" w:sz="4" w:space="0"/>
              <w:left w:val="single" w:color="auto" w:sz="4" w:space="0"/>
              <w:bottom w:val="single" w:color="auto" w:sz="4" w:space="0"/>
              <w:right w:val="single" w:color="auto" w:sz="4" w:space="0"/>
            </w:tcBorders>
            <w:noWrap w:val="0"/>
            <w:vAlign w:val="center"/>
          </w:tcPr>
          <w:p w14:paraId="1AC4843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质量达标率</w:t>
            </w:r>
          </w:p>
        </w:tc>
        <w:tc>
          <w:tcPr>
            <w:tcW w:w="228" w:type="pct"/>
            <w:tcBorders>
              <w:top w:val="single" w:color="auto" w:sz="4" w:space="0"/>
              <w:left w:val="single" w:color="auto" w:sz="4" w:space="0"/>
              <w:bottom w:val="single" w:color="auto" w:sz="4" w:space="0"/>
              <w:right w:val="single" w:color="auto" w:sz="4" w:space="0"/>
            </w:tcBorders>
            <w:noWrap w:val="0"/>
            <w:vAlign w:val="center"/>
          </w:tcPr>
          <w:p w14:paraId="23A58B2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79E21E9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资金使用合格率</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75E2D3B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100%</w:t>
            </w:r>
          </w:p>
        </w:tc>
        <w:tc>
          <w:tcPr>
            <w:tcW w:w="1834" w:type="pct"/>
            <w:tcBorders>
              <w:top w:val="single" w:color="auto" w:sz="4" w:space="0"/>
              <w:left w:val="single" w:color="auto" w:sz="4" w:space="0"/>
              <w:right w:val="single" w:color="auto" w:sz="4" w:space="0"/>
            </w:tcBorders>
            <w:noWrap w:val="0"/>
            <w:vAlign w:val="center"/>
          </w:tcPr>
          <w:p w14:paraId="10BBD4D3">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若指标达到标杆值，则得100%权重分；否则，得分=（实际完成/预期完成）×100%×指标分值。</w:t>
            </w:r>
          </w:p>
          <w:p w14:paraId="5E8B040D">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若指标完成值达到标杆值，则得100%权重分；否则，不得分。</w:t>
            </w:r>
          </w:p>
        </w:tc>
        <w:tc>
          <w:tcPr>
            <w:tcW w:w="333" w:type="pct"/>
            <w:tcBorders>
              <w:top w:val="single" w:color="auto" w:sz="4" w:space="0"/>
              <w:left w:val="single" w:color="auto" w:sz="4" w:space="0"/>
              <w:bottom w:val="single" w:color="auto" w:sz="4" w:space="0"/>
              <w:right w:val="single" w:color="auto" w:sz="4" w:space="0"/>
            </w:tcBorders>
            <w:noWrap w:val="0"/>
            <w:vAlign w:val="center"/>
          </w:tcPr>
          <w:p w14:paraId="550588C7">
            <w:pPr>
              <w:keepNext w:val="0"/>
              <w:keepLines w:val="0"/>
              <w:pageBreakBefore w:val="0"/>
              <w:widowControl/>
              <w:kinsoku/>
              <w:wordWrap/>
              <w:overflowPunct/>
              <w:topLinePunct w:val="0"/>
              <w:autoSpaceDE/>
              <w:autoSpaceDN/>
              <w:bidi w:val="0"/>
              <w:adjustRightInd/>
              <w:snapToGrid/>
              <w:spacing w:line="240" w:lineRule="exact"/>
              <w:ind w:firstLine="210" w:firstLineChars="100"/>
              <w:jc w:val="both"/>
              <w:rPr>
                <w:rFonts w:hint="eastAsia" w:ascii="宋体" w:hAnsi="宋体" w:eastAsia="宋体" w:cs="宋体"/>
                <w:sz w:val="21"/>
                <w:szCs w:val="21"/>
              </w:rPr>
            </w:pPr>
            <w:r>
              <w:rPr>
                <w:rFonts w:hint="eastAsia" w:ascii="宋体" w:hAnsi="宋体" w:eastAsia="宋体" w:cs="宋体"/>
                <w:sz w:val="21"/>
                <w:szCs w:val="21"/>
              </w:rPr>
              <w:t>100%</w:t>
            </w:r>
          </w:p>
        </w:tc>
        <w:tc>
          <w:tcPr>
            <w:tcW w:w="280" w:type="pct"/>
            <w:tcBorders>
              <w:top w:val="single" w:color="auto" w:sz="4" w:space="0"/>
              <w:left w:val="single" w:color="auto" w:sz="4" w:space="0"/>
              <w:bottom w:val="single" w:color="auto" w:sz="4" w:space="0"/>
              <w:right w:val="single" w:color="auto" w:sz="4" w:space="0"/>
            </w:tcBorders>
            <w:noWrap w:val="0"/>
            <w:vAlign w:val="center"/>
          </w:tcPr>
          <w:p w14:paraId="7B44131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r>
      <w:tr w14:paraId="0C56BB59">
        <w:tblPrEx>
          <w:tblCellMar>
            <w:top w:w="0" w:type="dxa"/>
            <w:left w:w="108" w:type="dxa"/>
            <w:bottom w:w="0" w:type="dxa"/>
            <w:right w:w="108" w:type="dxa"/>
          </w:tblCellMar>
        </w:tblPrEx>
        <w:trPr>
          <w:trHeight w:val="600" w:hRule="atLeast"/>
        </w:trPr>
        <w:tc>
          <w:tcPr>
            <w:tcW w:w="250" w:type="pct"/>
            <w:vMerge w:val="continue"/>
            <w:tcBorders>
              <w:top w:val="single" w:color="auto" w:sz="4" w:space="0"/>
              <w:left w:val="single" w:color="auto" w:sz="4" w:space="0"/>
              <w:bottom w:val="single" w:color="auto" w:sz="4" w:space="0"/>
              <w:right w:val="single" w:color="auto" w:sz="4" w:space="0"/>
            </w:tcBorders>
            <w:noWrap w:val="0"/>
            <w:vAlign w:val="center"/>
          </w:tcPr>
          <w:p w14:paraId="5C09619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15" w:type="pct"/>
            <w:vMerge w:val="continue"/>
            <w:tcBorders>
              <w:top w:val="single" w:color="auto" w:sz="4" w:space="0"/>
              <w:left w:val="single" w:color="auto" w:sz="4" w:space="0"/>
              <w:bottom w:val="single" w:color="auto" w:sz="4" w:space="0"/>
              <w:right w:val="single" w:color="auto" w:sz="4" w:space="0"/>
            </w:tcBorders>
            <w:noWrap w:val="0"/>
            <w:vAlign w:val="center"/>
          </w:tcPr>
          <w:p w14:paraId="6CA6E2C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89" w:type="pct"/>
            <w:vMerge w:val="restart"/>
            <w:tcBorders>
              <w:top w:val="single" w:color="auto" w:sz="4" w:space="0"/>
              <w:left w:val="single" w:color="auto" w:sz="4" w:space="0"/>
              <w:right w:val="single" w:color="auto" w:sz="4" w:space="0"/>
            </w:tcBorders>
            <w:noWrap w:val="0"/>
            <w:vAlign w:val="center"/>
          </w:tcPr>
          <w:p w14:paraId="100CE46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产出时效</w:t>
            </w:r>
          </w:p>
        </w:tc>
        <w:tc>
          <w:tcPr>
            <w:tcW w:w="197" w:type="pct"/>
            <w:vMerge w:val="restart"/>
            <w:tcBorders>
              <w:top w:val="single" w:color="auto" w:sz="4" w:space="0"/>
              <w:left w:val="single" w:color="auto" w:sz="4" w:space="0"/>
              <w:right w:val="single" w:color="auto" w:sz="4" w:space="0"/>
            </w:tcBorders>
            <w:noWrap w:val="0"/>
            <w:vAlign w:val="center"/>
          </w:tcPr>
          <w:p w14:paraId="467B22F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w:t>
            </w:r>
          </w:p>
        </w:tc>
        <w:tc>
          <w:tcPr>
            <w:tcW w:w="224" w:type="pct"/>
            <w:vMerge w:val="restart"/>
            <w:tcBorders>
              <w:top w:val="single" w:color="auto" w:sz="4" w:space="0"/>
              <w:left w:val="single" w:color="auto" w:sz="4" w:space="0"/>
              <w:right w:val="single" w:color="auto" w:sz="4" w:space="0"/>
            </w:tcBorders>
            <w:noWrap w:val="0"/>
            <w:vAlign w:val="center"/>
          </w:tcPr>
          <w:p w14:paraId="6BBEF05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完成及时率</w:t>
            </w:r>
          </w:p>
        </w:tc>
        <w:tc>
          <w:tcPr>
            <w:tcW w:w="228" w:type="pct"/>
            <w:vMerge w:val="restart"/>
            <w:tcBorders>
              <w:top w:val="single" w:color="auto" w:sz="4" w:space="0"/>
              <w:left w:val="single" w:color="auto" w:sz="4" w:space="0"/>
              <w:right w:val="single" w:color="auto" w:sz="4" w:space="0"/>
            </w:tcBorders>
            <w:noWrap w:val="0"/>
            <w:vAlign w:val="center"/>
          </w:tcPr>
          <w:p w14:paraId="080E781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194CF84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项目完成时间</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7B13E81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2024年12月</w:t>
            </w:r>
          </w:p>
        </w:tc>
        <w:tc>
          <w:tcPr>
            <w:tcW w:w="1834" w:type="pct"/>
            <w:vMerge w:val="restart"/>
            <w:tcBorders>
              <w:top w:val="single" w:color="auto" w:sz="4" w:space="0"/>
              <w:left w:val="single" w:color="auto" w:sz="4" w:space="0"/>
              <w:right w:val="single" w:color="auto" w:sz="4" w:space="0"/>
            </w:tcBorders>
            <w:noWrap w:val="0"/>
            <w:vAlign w:val="center"/>
          </w:tcPr>
          <w:p w14:paraId="12737277">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若指标完成值达到标杆值，则得100%权重分；否则，得分=（实际完成/预期完成）×100%×指标分值。</w:t>
            </w:r>
          </w:p>
          <w:p w14:paraId="18F823B1">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若在规定时间内完成，得100%权重分；若未在规定的时间内完成，得分=（1-未在规定时间内完成工作数/实际完成工作总数）×分值。</w:t>
            </w:r>
          </w:p>
        </w:tc>
        <w:tc>
          <w:tcPr>
            <w:tcW w:w="333" w:type="pct"/>
            <w:tcBorders>
              <w:top w:val="single" w:color="auto" w:sz="4" w:space="0"/>
              <w:left w:val="single" w:color="auto" w:sz="4" w:space="0"/>
              <w:bottom w:val="single" w:color="auto" w:sz="4" w:space="0"/>
              <w:right w:val="single" w:color="auto" w:sz="4" w:space="0"/>
            </w:tcBorders>
            <w:noWrap w:val="0"/>
            <w:vAlign w:val="center"/>
          </w:tcPr>
          <w:p w14:paraId="030136E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2024年12月</w:t>
            </w:r>
          </w:p>
        </w:tc>
        <w:tc>
          <w:tcPr>
            <w:tcW w:w="280" w:type="pct"/>
            <w:tcBorders>
              <w:top w:val="single" w:color="auto" w:sz="4" w:space="0"/>
              <w:left w:val="single" w:color="auto" w:sz="4" w:space="0"/>
              <w:bottom w:val="single" w:color="auto" w:sz="4" w:space="0"/>
              <w:right w:val="single" w:color="auto" w:sz="4" w:space="0"/>
            </w:tcBorders>
            <w:noWrap w:val="0"/>
            <w:vAlign w:val="center"/>
          </w:tcPr>
          <w:p w14:paraId="551D507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r>
      <w:tr w14:paraId="21E56CEA">
        <w:tblPrEx>
          <w:tblCellMar>
            <w:top w:w="0" w:type="dxa"/>
            <w:left w:w="108" w:type="dxa"/>
            <w:bottom w:w="0" w:type="dxa"/>
            <w:right w:w="108" w:type="dxa"/>
          </w:tblCellMar>
        </w:tblPrEx>
        <w:trPr>
          <w:trHeight w:val="600" w:hRule="atLeast"/>
        </w:trPr>
        <w:tc>
          <w:tcPr>
            <w:tcW w:w="250" w:type="pct"/>
            <w:vMerge w:val="continue"/>
            <w:tcBorders>
              <w:left w:val="single" w:color="auto" w:sz="4" w:space="0"/>
              <w:bottom w:val="single" w:color="auto" w:sz="4" w:space="0"/>
              <w:right w:val="single" w:color="auto" w:sz="4" w:space="0"/>
            </w:tcBorders>
            <w:noWrap w:val="0"/>
            <w:vAlign w:val="center"/>
          </w:tcPr>
          <w:p w14:paraId="4CCD210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15" w:type="pct"/>
            <w:vMerge w:val="continue"/>
            <w:tcBorders>
              <w:left w:val="single" w:color="auto" w:sz="4" w:space="0"/>
              <w:bottom w:val="single" w:color="auto" w:sz="4" w:space="0"/>
              <w:right w:val="single" w:color="auto" w:sz="4" w:space="0"/>
            </w:tcBorders>
            <w:noWrap w:val="0"/>
            <w:vAlign w:val="center"/>
          </w:tcPr>
          <w:p w14:paraId="58B9A24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89" w:type="pct"/>
            <w:vMerge w:val="continue"/>
            <w:tcBorders>
              <w:left w:val="single" w:color="auto" w:sz="4" w:space="0"/>
              <w:bottom w:val="single" w:color="auto" w:sz="4" w:space="0"/>
              <w:right w:val="single" w:color="auto" w:sz="4" w:space="0"/>
            </w:tcBorders>
            <w:noWrap w:val="0"/>
            <w:vAlign w:val="center"/>
          </w:tcPr>
          <w:p w14:paraId="1146AEE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197" w:type="pct"/>
            <w:vMerge w:val="continue"/>
            <w:tcBorders>
              <w:left w:val="single" w:color="auto" w:sz="4" w:space="0"/>
              <w:bottom w:val="single" w:color="auto" w:sz="4" w:space="0"/>
              <w:right w:val="single" w:color="auto" w:sz="4" w:space="0"/>
            </w:tcBorders>
            <w:noWrap w:val="0"/>
            <w:vAlign w:val="center"/>
          </w:tcPr>
          <w:p w14:paraId="44DE72C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24" w:type="pct"/>
            <w:vMerge w:val="continue"/>
            <w:tcBorders>
              <w:left w:val="single" w:color="auto" w:sz="4" w:space="0"/>
              <w:bottom w:val="single" w:color="auto" w:sz="4" w:space="0"/>
              <w:right w:val="single" w:color="auto" w:sz="4" w:space="0"/>
            </w:tcBorders>
            <w:noWrap w:val="0"/>
            <w:vAlign w:val="center"/>
          </w:tcPr>
          <w:p w14:paraId="39D3FCE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28" w:type="pct"/>
            <w:vMerge w:val="continue"/>
            <w:tcBorders>
              <w:left w:val="single" w:color="auto" w:sz="4" w:space="0"/>
              <w:bottom w:val="single" w:color="auto" w:sz="4" w:space="0"/>
              <w:right w:val="single" w:color="auto" w:sz="4" w:space="0"/>
            </w:tcBorders>
            <w:noWrap w:val="0"/>
            <w:vAlign w:val="center"/>
          </w:tcPr>
          <w:p w14:paraId="382BD02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7274453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项目支付及时率</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3AD50FA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100%</w:t>
            </w:r>
          </w:p>
        </w:tc>
        <w:tc>
          <w:tcPr>
            <w:tcW w:w="1834" w:type="pct"/>
            <w:vMerge w:val="continue"/>
            <w:tcBorders>
              <w:left w:val="single" w:color="auto" w:sz="4" w:space="0"/>
              <w:right w:val="single" w:color="auto" w:sz="4" w:space="0"/>
            </w:tcBorders>
            <w:noWrap w:val="0"/>
            <w:vAlign w:val="center"/>
          </w:tcPr>
          <w:p w14:paraId="1CA0467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333" w:type="pct"/>
            <w:tcBorders>
              <w:top w:val="single" w:color="auto" w:sz="4" w:space="0"/>
              <w:left w:val="single" w:color="auto" w:sz="4" w:space="0"/>
              <w:bottom w:val="single" w:color="auto" w:sz="4" w:space="0"/>
              <w:right w:val="single" w:color="auto" w:sz="4" w:space="0"/>
            </w:tcBorders>
            <w:noWrap w:val="0"/>
            <w:vAlign w:val="center"/>
          </w:tcPr>
          <w:p w14:paraId="46DF688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100%</w:t>
            </w:r>
          </w:p>
        </w:tc>
        <w:tc>
          <w:tcPr>
            <w:tcW w:w="280" w:type="pct"/>
            <w:tcBorders>
              <w:top w:val="single" w:color="auto" w:sz="4" w:space="0"/>
              <w:left w:val="single" w:color="auto" w:sz="4" w:space="0"/>
              <w:bottom w:val="single" w:color="auto" w:sz="4" w:space="0"/>
              <w:right w:val="single" w:color="auto" w:sz="4" w:space="0"/>
            </w:tcBorders>
            <w:noWrap w:val="0"/>
            <w:vAlign w:val="center"/>
          </w:tcPr>
          <w:p w14:paraId="340865B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r>
      <w:tr w14:paraId="2B460C9F">
        <w:tblPrEx>
          <w:tblCellMar>
            <w:top w:w="0" w:type="dxa"/>
            <w:left w:w="108" w:type="dxa"/>
            <w:bottom w:w="0" w:type="dxa"/>
            <w:right w:w="108" w:type="dxa"/>
          </w:tblCellMar>
        </w:tblPrEx>
        <w:trPr>
          <w:trHeight w:val="1045" w:hRule="atLeast"/>
        </w:trPr>
        <w:tc>
          <w:tcPr>
            <w:tcW w:w="250" w:type="pct"/>
            <w:vMerge w:val="continue"/>
            <w:tcBorders>
              <w:top w:val="single" w:color="auto" w:sz="4" w:space="0"/>
              <w:left w:val="single" w:color="auto" w:sz="4" w:space="0"/>
              <w:bottom w:val="single" w:color="auto" w:sz="4" w:space="0"/>
              <w:right w:val="single" w:color="auto" w:sz="4" w:space="0"/>
            </w:tcBorders>
            <w:noWrap w:val="0"/>
            <w:vAlign w:val="center"/>
          </w:tcPr>
          <w:p w14:paraId="6AB99C6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15" w:type="pct"/>
            <w:vMerge w:val="continue"/>
            <w:tcBorders>
              <w:top w:val="single" w:color="auto" w:sz="4" w:space="0"/>
              <w:left w:val="single" w:color="auto" w:sz="4" w:space="0"/>
              <w:bottom w:val="single" w:color="auto" w:sz="4" w:space="0"/>
              <w:right w:val="single" w:color="auto" w:sz="4" w:space="0"/>
            </w:tcBorders>
            <w:noWrap w:val="0"/>
            <w:vAlign w:val="center"/>
          </w:tcPr>
          <w:p w14:paraId="7467F83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89" w:type="pct"/>
            <w:vMerge w:val="restart"/>
            <w:tcBorders>
              <w:top w:val="single" w:color="auto" w:sz="4" w:space="0"/>
              <w:left w:val="single" w:color="auto" w:sz="4" w:space="0"/>
              <w:right w:val="single" w:color="auto" w:sz="4" w:space="0"/>
            </w:tcBorders>
            <w:noWrap w:val="0"/>
            <w:vAlign w:val="center"/>
          </w:tcPr>
          <w:p w14:paraId="70C1D47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产出成本</w:t>
            </w:r>
          </w:p>
        </w:tc>
        <w:tc>
          <w:tcPr>
            <w:tcW w:w="197" w:type="pct"/>
            <w:vMerge w:val="restart"/>
            <w:tcBorders>
              <w:top w:val="single" w:color="auto" w:sz="4" w:space="0"/>
              <w:left w:val="single" w:color="auto" w:sz="4" w:space="0"/>
              <w:right w:val="single" w:color="auto" w:sz="4" w:space="0"/>
            </w:tcBorders>
            <w:noWrap w:val="0"/>
            <w:vAlign w:val="center"/>
          </w:tcPr>
          <w:p w14:paraId="13FF9F1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w:t>
            </w:r>
          </w:p>
        </w:tc>
        <w:tc>
          <w:tcPr>
            <w:tcW w:w="224" w:type="pct"/>
            <w:vMerge w:val="restart"/>
            <w:tcBorders>
              <w:top w:val="single" w:color="auto" w:sz="4" w:space="0"/>
              <w:left w:val="single" w:color="auto" w:sz="4" w:space="0"/>
              <w:right w:val="single" w:color="auto" w:sz="4" w:space="0"/>
            </w:tcBorders>
            <w:noWrap w:val="0"/>
            <w:vAlign w:val="center"/>
          </w:tcPr>
          <w:p w14:paraId="146AF2F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成本节约率</w:t>
            </w:r>
          </w:p>
        </w:tc>
        <w:tc>
          <w:tcPr>
            <w:tcW w:w="228" w:type="pct"/>
            <w:vMerge w:val="restart"/>
            <w:tcBorders>
              <w:top w:val="single" w:color="auto" w:sz="4" w:space="0"/>
              <w:left w:val="single" w:color="auto" w:sz="4" w:space="0"/>
              <w:right w:val="single" w:color="auto" w:sz="4" w:space="0"/>
            </w:tcBorders>
            <w:noWrap w:val="0"/>
            <w:vAlign w:val="center"/>
          </w:tcPr>
          <w:p w14:paraId="29F6A2C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5A101AA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lang w:val="en-US" w:eastAsia="zh-CN"/>
              </w:rPr>
              <w:t>公用经费</w:t>
            </w:r>
          </w:p>
        </w:tc>
        <w:tc>
          <w:tcPr>
            <w:tcW w:w="884" w:type="dxa"/>
            <w:tcBorders>
              <w:top w:val="single" w:color="auto" w:sz="4" w:space="0"/>
              <w:left w:val="single" w:color="auto" w:sz="4" w:space="0"/>
              <w:bottom w:val="single" w:color="auto" w:sz="4" w:space="0"/>
              <w:right w:val="single" w:color="auto" w:sz="4" w:space="0"/>
            </w:tcBorders>
            <w:noWrap w:val="0"/>
            <w:vAlign w:val="center"/>
          </w:tcPr>
          <w:p w14:paraId="091D9AF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lang w:val="en-US" w:eastAsia="zh-CN"/>
              </w:rPr>
              <w:t>≤98.85万元</w:t>
            </w:r>
          </w:p>
        </w:tc>
        <w:tc>
          <w:tcPr>
            <w:tcW w:w="1834" w:type="pct"/>
            <w:vMerge w:val="restart"/>
            <w:tcBorders>
              <w:top w:val="single" w:color="auto" w:sz="4" w:space="0"/>
              <w:left w:val="single" w:color="auto" w:sz="4" w:space="0"/>
              <w:right w:val="single" w:color="auto" w:sz="4" w:space="0"/>
            </w:tcBorders>
            <w:noWrap w:val="0"/>
            <w:vAlign w:val="center"/>
          </w:tcPr>
          <w:p w14:paraId="3AECE053">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实际完成率=（实际支付资金数/计划应支付资金数）×100%。</w:t>
            </w:r>
            <w:r>
              <w:rPr>
                <w:rFonts w:hint="eastAsia" w:ascii="宋体" w:hAnsi="宋体" w:eastAsia="宋体" w:cs="宋体"/>
                <w:kern w:val="0"/>
                <w:sz w:val="21"/>
                <w:szCs w:val="21"/>
              </w:rPr>
              <w:br w:type="textWrapping"/>
            </w:r>
            <w:r>
              <w:rPr>
                <w:rFonts w:hint="eastAsia" w:ascii="宋体" w:hAnsi="宋体" w:eastAsia="宋体" w:cs="宋体"/>
                <w:kern w:val="0"/>
                <w:sz w:val="21"/>
                <w:szCs w:val="21"/>
              </w:rPr>
              <w:t>①实际完成率＞年度指标值，得0得分；</w:t>
            </w:r>
            <w:r>
              <w:rPr>
                <w:rFonts w:hint="eastAsia" w:ascii="宋体" w:hAnsi="宋体" w:eastAsia="宋体" w:cs="宋体"/>
                <w:kern w:val="0"/>
                <w:sz w:val="21"/>
                <w:szCs w:val="21"/>
              </w:rPr>
              <w:br w:type="textWrapping"/>
            </w:r>
            <w:r>
              <w:rPr>
                <w:rFonts w:hint="eastAsia" w:ascii="宋体" w:hAnsi="宋体" w:eastAsia="宋体" w:cs="宋体"/>
                <w:kern w:val="0"/>
                <w:sz w:val="21"/>
                <w:szCs w:val="21"/>
              </w:rPr>
              <w:t>②实际完成率≤年度指标值，且偏离程度＜20%，得满分；</w:t>
            </w:r>
            <w:r>
              <w:rPr>
                <w:rFonts w:hint="eastAsia" w:ascii="宋体" w:hAnsi="宋体" w:eastAsia="宋体" w:cs="宋体"/>
                <w:kern w:val="0"/>
                <w:sz w:val="21"/>
                <w:szCs w:val="21"/>
              </w:rPr>
              <w:br w:type="textWrapping"/>
            </w:r>
            <w:r>
              <w:rPr>
                <w:rFonts w:hint="eastAsia" w:ascii="宋体" w:hAnsi="宋体" w:eastAsia="宋体" w:cs="宋体"/>
                <w:kern w:val="0"/>
                <w:sz w:val="21"/>
                <w:szCs w:val="21"/>
              </w:rPr>
              <w:t>③实际完成率＜年度指标值，且偏离程度≥20%，得分=实际完成率×分值。</w:t>
            </w:r>
          </w:p>
        </w:tc>
        <w:tc>
          <w:tcPr>
            <w:tcW w:w="333" w:type="pct"/>
            <w:tcBorders>
              <w:top w:val="single" w:color="auto" w:sz="4" w:space="0"/>
              <w:left w:val="single" w:color="auto" w:sz="4" w:space="0"/>
              <w:bottom w:val="single" w:color="auto" w:sz="4" w:space="0"/>
              <w:right w:val="single" w:color="auto" w:sz="4" w:space="0"/>
            </w:tcBorders>
            <w:noWrap w:val="0"/>
            <w:vAlign w:val="center"/>
          </w:tcPr>
          <w:p w14:paraId="15B3954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98.85万元</w:t>
            </w:r>
          </w:p>
        </w:tc>
        <w:tc>
          <w:tcPr>
            <w:tcW w:w="280" w:type="pct"/>
            <w:tcBorders>
              <w:top w:val="single" w:color="auto" w:sz="4" w:space="0"/>
              <w:left w:val="single" w:color="auto" w:sz="4" w:space="0"/>
              <w:bottom w:val="single" w:color="auto" w:sz="4" w:space="0"/>
              <w:right w:val="single" w:color="auto" w:sz="4" w:space="0"/>
            </w:tcBorders>
            <w:noWrap w:val="0"/>
            <w:vAlign w:val="center"/>
          </w:tcPr>
          <w:p w14:paraId="0CC7C18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r>
      <w:tr w14:paraId="0B7D8A90">
        <w:tblPrEx>
          <w:tblCellMar>
            <w:top w:w="0" w:type="dxa"/>
            <w:left w:w="108" w:type="dxa"/>
            <w:bottom w:w="0" w:type="dxa"/>
            <w:right w:w="108" w:type="dxa"/>
          </w:tblCellMar>
        </w:tblPrEx>
        <w:trPr>
          <w:trHeight w:val="90" w:hRule="atLeast"/>
        </w:trPr>
        <w:tc>
          <w:tcPr>
            <w:tcW w:w="250" w:type="pct"/>
            <w:vMerge w:val="continue"/>
            <w:tcBorders>
              <w:left w:val="single" w:color="auto" w:sz="4" w:space="0"/>
              <w:bottom w:val="single" w:color="auto" w:sz="4" w:space="0"/>
              <w:right w:val="single" w:color="auto" w:sz="4" w:space="0"/>
            </w:tcBorders>
            <w:noWrap w:val="0"/>
            <w:vAlign w:val="center"/>
          </w:tcPr>
          <w:p w14:paraId="4525AB0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15" w:type="pct"/>
            <w:vMerge w:val="continue"/>
            <w:tcBorders>
              <w:left w:val="single" w:color="auto" w:sz="4" w:space="0"/>
              <w:bottom w:val="single" w:color="auto" w:sz="4" w:space="0"/>
              <w:right w:val="single" w:color="auto" w:sz="4" w:space="0"/>
            </w:tcBorders>
            <w:noWrap w:val="0"/>
            <w:vAlign w:val="center"/>
          </w:tcPr>
          <w:p w14:paraId="51BA668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89" w:type="pct"/>
            <w:vMerge w:val="continue"/>
            <w:tcBorders>
              <w:left w:val="single" w:color="auto" w:sz="4" w:space="0"/>
              <w:bottom w:val="single" w:color="auto" w:sz="4" w:space="0"/>
              <w:right w:val="single" w:color="auto" w:sz="4" w:space="0"/>
            </w:tcBorders>
            <w:noWrap w:val="0"/>
            <w:vAlign w:val="center"/>
          </w:tcPr>
          <w:p w14:paraId="37E6EE7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197" w:type="pct"/>
            <w:vMerge w:val="continue"/>
            <w:tcBorders>
              <w:left w:val="single" w:color="auto" w:sz="4" w:space="0"/>
              <w:bottom w:val="single" w:color="auto" w:sz="4" w:space="0"/>
              <w:right w:val="single" w:color="auto" w:sz="4" w:space="0"/>
            </w:tcBorders>
            <w:noWrap w:val="0"/>
            <w:vAlign w:val="center"/>
          </w:tcPr>
          <w:p w14:paraId="7788981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24" w:type="pct"/>
            <w:vMerge w:val="continue"/>
            <w:tcBorders>
              <w:left w:val="single" w:color="auto" w:sz="4" w:space="0"/>
              <w:bottom w:val="single" w:color="auto" w:sz="4" w:space="0"/>
              <w:right w:val="single" w:color="auto" w:sz="4" w:space="0"/>
            </w:tcBorders>
            <w:noWrap w:val="0"/>
            <w:vAlign w:val="center"/>
          </w:tcPr>
          <w:p w14:paraId="0524A9E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28" w:type="pct"/>
            <w:vMerge w:val="continue"/>
            <w:tcBorders>
              <w:left w:val="single" w:color="auto" w:sz="4" w:space="0"/>
              <w:bottom w:val="single" w:color="auto" w:sz="4" w:space="0"/>
              <w:right w:val="single" w:color="auto" w:sz="4" w:space="0"/>
            </w:tcBorders>
            <w:noWrap w:val="0"/>
            <w:vAlign w:val="center"/>
          </w:tcPr>
          <w:p w14:paraId="47526DC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267399C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lang w:val="en-US" w:eastAsia="zh-CN"/>
              </w:rPr>
              <w:t>困难学生生活补助项目成本</w:t>
            </w:r>
          </w:p>
        </w:tc>
        <w:tc>
          <w:tcPr>
            <w:tcW w:w="884" w:type="dxa"/>
            <w:tcBorders>
              <w:top w:val="single" w:color="auto" w:sz="4" w:space="0"/>
              <w:left w:val="single" w:color="auto" w:sz="4" w:space="0"/>
              <w:bottom w:val="single" w:color="auto" w:sz="4" w:space="0"/>
              <w:right w:val="single" w:color="auto" w:sz="4" w:space="0"/>
            </w:tcBorders>
            <w:noWrap w:val="0"/>
            <w:vAlign w:val="center"/>
          </w:tcPr>
          <w:p w14:paraId="496BD1C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lang w:val="en-US" w:eastAsia="zh-CN"/>
              </w:rPr>
              <w:t>≤20.37万元</w:t>
            </w:r>
          </w:p>
        </w:tc>
        <w:tc>
          <w:tcPr>
            <w:tcW w:w="1834" w:type="pct"/>
            <w:vMerge w:val="continue"/>
            <w:tcBorders>
              <w:left w:val="single" w:color="auto" w:sz="4" w:space="0"/>
              <w:bottom w:val="single" w:color="auto" w:sz="4" w:space="0"/>
              <w:right w:val="single" w:color="auto" w:sz="4" w:space="0"/>
            </w:tcBorders>
            <w:noWrap w:val="0"/>
            <w:vAlign w:val="center"/>
          </w:tcPr>
          <w:p w14:paraId="606799C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333" w:type="pct"/>
            <w:tcBorders>
              <w:top w:val="single" w:color="auto" w:sz="4" w:space="0"/>
              <w:left w:val="single" w:color="auto" w:sz="4" w:space="0"/>
              <w:bottom w:val="single" w:color="auto" w:sz="4" w:space="0"/>
              <w:right w:val="single" w:color="auto" w:sz="4" w:space="0"/>
            </w:tcBorders>
            <w:noWrap w:val="0"/>
            <w:vAlign w:val="center"/>
          </w:tcPr>
          <w:p w14:paraId="3E98A93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20.37万元</w:t>
            </w:r>
          </w:p>
        </w:tc>
        <w:tc>
          <w:tcPr>
            <w:tcW w:w="280" w:type="pct"/>
            <w:tcBorders>
              <w:top w:val="single" w:color="auto" w:sz="4" w:space="0"/>
              <w:left w:val="single" w:color="auto" w:sz="4" w:space="0"/>
              <w:bottom w:val="single" w:color="auto" w:sz="4" w:space="0"/>
              <w:right w:val="single" w:color="auto" w:sz="4" w:space="0"/>
            </w:tcBorders>
            <w:noWrap w:val="0"/>
            <w:vAlign w:val="center"/>
          </w:tcPr>
          <w:p w14:paraId="1E9C086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r>
      <w:tr w14:paraId="1C31E20A">
        <w:tblPrEx>
          <w:tblCellMar>
            <w:top w:w="0" w:type="dxa"/>
            <w:left w:w="108" w:type="dxa"/>
            <w:bottom w:w="0" w:type="dxa"/>
            <w:right w:w="108" w:type="dxa"/>
          </w:tblCellMar>
        </w:tblPrEx>
        <w:trPr>
          <w:trHeight w:val="450" w:hRule="atLeast"/>
        </w:trPr>
        <w:tc>
          <w:tcPr>
            <w:tcW w:w="250" w:type="pct"/>
            <w:vMerge w:val="restart"/>
            <w:tcBorders>
              <w:top w:val="single" w:color="auto" w:sz="4" w:space="0"/>
              <w:left w:val="single" w:color="auto" w:sz="4" w:space="0"/>
              <w:bottom w:val="single" w:color="auto" w:sz="4" w:space="0"/>
              <w:right w:val="single" w:color="auto" w:sz="4" w:space="0"/>
            </w:tcBorders>
            <w:noWrap w:val="0"/>
            <w:vAlign w:val="center"/>
          </w:tcPr>
          <w:p w14:paraId="217440B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项目效益</w:t>
            </w:r>
          </w:p>
        </w:tc>
        <w:tc>
          <w:tcPr>
            <w:tcW w:w="215" w:type="pct"/>
            <w:vMerge w:val="restart"/>
            <w:tcBorders>
              <w:top w:val="single" w:color="auto" w:sz="4" w:space="0"/>
              <w:left w:val="single" w:color="auto" w:sz="4" w:space="0"/>
              <w:bottom w:val="single" w:color="auto" w:sz="4" w:space="0"/>
              <w:right w:val="single" w:color="auto" w:sz="4" w:space="0"/>
            </w:tcBorders>
            <w:noWrap w:val="0"/>
            <w:vAlign w:val="center"/>
          </w:tcPr>
          <w:p w14:paraId="3C4DD1F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25</w:t>
            </w:r>
          </w:p>
        </w:tc>
        <w:tc>
          <w:tcPr>
            <w:tcW w:w="289" w:type="pct"/>
            <w:vMerge w:val="restart"/>
            <w:tcBorders>
              <w:top w:val="single" w:color="auto" w:sz="4" w:space="0"/>
              <w:left w:val="single" w:color="auto" w:sz="4" w:space="0"/>
              <w:bottom w:val="single" w:color="auto" w:sz="4" w:space="0"/>
              <w:right w:val="single" w:color="auto" w:sz="4" w:space="0"/>
            </w:tcBorders>
            <w:noWrap w:val="0"/>
            <w:vAlign w:val="center"/>
          </w:tcPr>
          <w:p w14:paraId="2AD605A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项目效益</w:t>
            </w:r>
          </w:p>
        </w:tc>
        <w:tc>
          <w:tcPr>
            <w:tcW w:w="197" w:type="pct"/>
            <w:vMerge w:val="restart"/>
            <w:tcBorders>
              <w:top w:val="single" w:color="auto" w:sz="4" w:space="0"/>
              <w:left w:val="single" w:color="auto" w:sz="4" w:space="0"/>
              <w:bottom w:val="single" w:color="auto" w:sz="4" w:space="0"/>
              <w:right w:val="single" w:color="auto" w:sz="4" w:space="0"/>
            </w:tcBorders>
            <w:noWrap w:val="0"/>
            <w:vAlign w:val="center"/>
          </w:tcPr>
          <w:p w14:paraId="09B1CA6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25</w:t>
            </w:r>
          </w:p>
        </w:tc>
        <w:tc>
          <w:tcPr>
            <w:tcW w:w="224" w:type="pct"/>
            <w:tcBorders>
              <w:top w:val="single" w:color="auto" w:sz="4" w:space="0"/>
              <w:left w:val="single" w:color="auto" w:sz="4" w:space="0"/>
              <w:bottom w:val="single" w:color="auto" w:sz="4" w:space="0"/>
              <w:right w:val="single" w:color="auto" w:sz="4" w:space="0"/>
            </w:tcBorders>
            <w:noWrap w:val="0"/>
            <w:vAlign w:val="center"/>
          </w:tcPr>
          <w:p w14:paraId="40F75BC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社会效益</w:t>
            </w:r>
          </w:p>
        </w:tc>
        <w:tc>
          <w:tcPr>
            <w:tcW w:w="228" w:type="pct"/>
            <w:tcBorders>
              <w:top w:val="single" w:color="auto" w:sz="4" w:space="0"/>
              <w:left w:val="single" w:color="auto" w:sz="4" w:space="0"/>
              <w:bottom w:val="single" w:color="auto" w:sz="4" w:space="0"/>
              <w:right w:val="single" w:color="auto" w:sz="4" w:space="0"/>
            </w:tcBorders>
            <w:noWrap w:val="0"/>
            <w:vAlign w:val="center"/>
          </w:tcPr>
          <w:p w14:paraId="306D47D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15</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554C252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有效提高学校工作效率</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583D05E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有效改善</w:t>
            </w:r>
          </w:p>
        </w:tc>
        <w:tc>
          <w:tcPr>
            <w:tcW w:w="1834" w:type="pct"/>
            <w:tcBorders>
              <w:top w:val="single" w:color="auto" w:sz="4" w:space="0"/>
              <w:left w:val="single" w:color="auto" w:sz="4" w:space="0"/>
              <w:bottom w:val="single" w:color="auto" w:sz="4" w:space="0"/>
              <w:right w:val="single" w:color="auto" w:sz="4" w:space="0"/>
            </w:tcBorders>
            <w:noWrap w:val="0"/>
            <w:vAlign w:val="center"/>
          </w:tcPr>
          <w:p w14:paraId="310C5624">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按评判等级赋分。分为基本达成目标、部分实现目标、实现目标程度较低三个档次，并分别按照该指标对应分值区间100%-80%（含）、80%-60%（含）、60%-0%合理确定分值。</w:t>
            </w:r>
          </w:p>
        </w:tc>
        <w:tc>
          <w:tcPr>
            <w:tcW w:w="333" w:type="pct"/>
            <w:tcBorders>
              <w:top w:val="single" w:color="auto" w:sz="4" w:space="0"/>
              <w:left w:val="single" w:color="auto" w:sz="4" w:space="0"/>
              <w:bottom w:val="single" w:color="auto" w:sz="4" w:space="0"/>
              <w:right w:val="single" w:color="auto" w:sz="4" w:space="0"/>
            </w:tcBorders>
            <w:noWrap w:val="0"/>
            <w:vAlign w:val="center"/>
          </w:tcPr>
          <w:p w14:paraId="09B6361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有效改善</w:t>
            </w:r>
          </w:p>
        </w:tc>
        <w:tc>
          <w:tcPr>
            <w:tcW w:w="280" w:type="pct"/>
            <w:tcBorders>
              <w:top w:val="single" w:color="auto" w:sz="4" w:space="0"/>
              <w:left w:val="single" w:color="auto" w:sz="4" w:space="0"/>
              <w:bottom w:val="single" w:color="auto" w:sz="4" w:space="0"/>
              <w:right w:val="single" w:color="auto" w:sz="4" w:space="0"/>
            </w:tcBorders>
            <w:noWrap w:val="0"/>
            <w:vAlign w:val="center"/>
          </w:tcPr>
          <w:p w14:paraId="2EDB63D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r>
      <w:tr w14:paraId="1C8A40A1">
        <w:tblPrEx>
          <w:tblCellMar>
            <w:top w:w="0" w:type="dxa"/>
            <w:left w:w="108" w:type="dxa"/>
            <w:bottom w:w="0" w:type="dxa"/>
            <w:right w:w="108" w:type="dxa"/>
          </w:tblCellMar>
        </w:tblPrEx>
        <w:trPr>
          <w:trHeight w:val="780" w:hRule="atLeast"/>
        </w:trPr>
        <w:tc>
          <w:tcPr>
            <w:tcW w:w="250" w:type="pct"/>
            <w:vMerge w:val="continue"/>
            <w:tcBorders>
              <w:top w:val="single" w:color="auto" w:sz="4" w:space="0"/>
              <w:left w:val="single" w:color="auto" w:sz="4" w:space="0"/>
              <w:bottom w:val="single" w:color="auto" w:sz="4" w:space="0"/>
              <w:right w:val="single" w:color="auto" w:sz="4" w:space="0"/>
            </w:tcBorders>
            <w:noWrap w:val="0"/>
            <w:vAlign w:val="center"/>
          </w:tcPr>
          <w:p w14:paraId="0BFD73E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15" w:type="pct"/>
            <w:vMerge w:val="continue"/>
            <w:tcBorders>
              <w:top w:val="single" w:color="auto" w:sz="4" w:space="0"/>
              <w:left w:val="single" w:color="auto" w:sz="4" w:space="0"/>
              <w:bottom w:val="single" w:color="auto" w:sz="4" w:space="0"/>
              <w:right w:val="single" w:color="auto" w:sz="4" w:space="0"/>
            </w:tcBorders>
            <w:noWrap w:val="0"/>
            <w:vAlign w:val="center"/>
          </w:tcPr>
          <w:p w14:paraId="79403E7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89" w:type="pct"/>
            <w:vMerge w:val="continue"/>
            <w:tcBorders>
              <w:top w:val="single" w:color="auto" w:sz="4" w:space="0"/>
              <w:left w:val="single" w:color="auto" w:sz="4" w:space="0"/>
              <w:bottom w:val="single" w:color="auto" w:sz="4" w:space="0"/>
              <w:right w:val="single" w:color="auto" w:sz="4" w:space="0"/>
            </w:tcBorders>
            <w:noWrap w:val="0"/>
            <w:vAlign w:val="center"/>
          </w:tcPr>
          <w:p w14:paraId="3FA2BF6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197" w:type="pct"/>
            <w:vMerge w:val="continue"/>
            <w:tcBorders>
              <w:top w:val="single" w:color="auto" w:sz="4" w:space="0"/>
              <w:left w:val="single" w:color="auto" w:sz="4" w:space="0"/>
              <w:bottom w:val="single" w:color="auto" w:sz="4" w:space="0"/>
              <w:right w:val="single" w:color="auto" w:sz="4" w:space="0"/>
            </w:tcBorders>
            <w:noWrap w:val="0"/>
            <w:vAlign w:val="center"/>
          </w:tcPr>
          <w:p w14:paraId="3E9F78C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24" w:type="pct"/>
            <w:tcBorders>
              <w:top w:val="single" w:color="auto" w:sz="4" w:space="0"/>
              <w:left w:val="single" w:color="auto" w:sz="4" w:space="0"/>
              <w:bottom w:val="single" w:color="auto" w:sz="4" w:space="0"/>
              <w:right w:val="single" w:color="auto" w:sz="4" w:space="0"/>
            </w:tcBorders>
            <w:noWrap w:val="0"/>
            <w:vAlign w:val="center"/>
          </w:tcPr>
          <w:p w14:paraId="3416486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服务对象满意度</w:t>
            </w:r>
          </w:p>
        </w:tc>
        <w:tc>
          <w:tcPr>
            <w:tcW w:w="228" w:type="pct"/>
            <w:tcBorders>
              <w:top w:val="single" w:color="auto" w:sz="4" w:space="0"/>
              <w:left w:val="single" w:color="auto" w:sz="4" w:space="0"/>
              <w:bottom w:val="single" w:color="auto" w:sz="4" w:space="0"/>
              <w:right w:val="single" w:color="auto" w:sz="4" w:space="0"/>
            </w:tcBorders>
            <w:noWrap w:val="0"/>
            <w:vAlign w:val="center"/>
          </w:tcPr>
          <w:p w14:paraId="5F7685B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04B60F0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学生满意度</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7374E18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≥95%</w:t>
            </w:r>
          </w:p>
        </w:tc>
        <w:tc>
          <w:tcPr>
            <w:tcW w:w="1834" w:type="pct"/>
            <w:tcBorders>
              <w:top w:val="single" w:color="auto" w:sz="4" w:space="0"/>
              <w:left w:val="single" w:color="auto" w:sz="4" w:space="0"/>
              <w:bottom w:val="single" w:color="auto" w:sz="4" w:space="0"/>
              <w:right w:val="single" w:color="auto" w:sz="4" w:space="0"/>
            </w:tcBorders>
            <w:noWrap w:val="0"/>
            <w:vAlign w:val="center"/>
          </w:tcPr>
          <w:p w14:paraId="4828410B">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根据问卷调查，满意度达到标杆值，得权重分的100%；否则低于95%，得分=实际满意度*指标分值。</w:t>
            </w:r>
          </w:p>
        </w:tc>
        <w:tc>
          <w:tcPr>
            <w:tcW w:w="333" w:type="pct"/>
            <w:tcBorders>
              <w:top w:val="single" w:color="auto" w:sz="4" w:space="0"/>
              <w:left w:val="single" w:color="auto" w:sz="4" w:space="0"/>
              <w:bottom w:val="single" w:color="auto" w:sz="4" w:space="0"/>
              <w:right w:val="single" w:color="auto" w:sz="4" w:space="0"/>
            </w:tcBorders>
            <w:noWrap w:val="0"/>
            <w:vAlign w:val="center"/>
          </w:tcPr>
          <w:p w14:paraId="2CA439B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r>
              <w:rPr>
                <w:rFonts w:hint="eastAsia" w:ascii="宋体" w:hAnsi="宋体" w:eastAsia="宋体" w:cs="宋体"/>
                <w:sz w:val="21"/>
                <w:szCs w:val="21"/>
              </w:rPr>
              <w:t>完成</w:t>
            </w:r>
          </w:p>
        </w:tc>
        <w:tc>
          <w:tcPr>
            <w:tcW w:w="280" w:type="pct"/>
            <w:tcBorders>
              <w:top w:val="single" w:color="auto" w:sz="4" w:space="0"/>
              <w:left w:val="single" w:color="auto" w:sz="4" w:space="0"/>
              <w:bottom w:val="single" w:color="auto" w:sz="4" w:space="0"/>
              <w:right w:val="single" w:color="auto" w:sz="4" w:space="0"/>
            </w:tcBorders>
            <w:noWrap w:val="0"/>
            <w:vAlign w:val="center"/>
          </w:tcPr>
          <w:p w14:paraId="6DDE331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r>
      <w:tr w14:paraId="7C73F469">
        <w:tblPrEx>
          <w:tblCellMar>
            <w:top w:w="0" w:type="dxa"/>
            <w:left w:w="108" w:type="dxa"/>
            <w:bottom w:w="0" w:type="dxa"/>
            <w:right w:w="108" w:type="dxa"/>
          </w:tblCellMar>
        </w:tblPrEx>
        <w:trPr>
          <w:trHeight w:val="450" w:hRule="atLeast"/>
        </w:trPr>
        <w:tc>
          <w:tcPr>
            <w:tcW w:w="250" w:type="pct"/>
            <w:tcBorders>
              <w:top w:val="single" w:color="auto" w:sz="4" w:space="0"/>
              <w:left w:val="single" w:color="auto" w:sz="4" w:space="0"/>
              <w:bottom w:val="single" w:color="auto" w:sz="4" w:space="0"/>
              <w:right w:val="single" w:color="auto" w:sz="4" w:space="0"/>
            </w:tcBorders>
            <w:noWrap w:val="0"/>
            <w:vAlign w:val="center"/>
          </w:tcPr>
          <w:p w14:paraId="2BB122E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总分</w:t>
            </w:r>
          </w:p>
        </w:tc>
        <w:tc>
          <w:tcPr>
            <w:tcW w:w="215" w:type="pct"/>
            <w:tcBorders>
              <w:top w:val="single" w:color="auto" w:sz="4" w:space="0"/>
              <w:left w:val="single" w:color="auto" w:sz="4" w:space="0"/>
              <w:bottom w:val="single" w:color="auto" w:sz="4" w:space="0"/>
              <w:right w:val="single" w:color="auto" w:sz="4" w:space="0"/>
            </w:tcBorders>
            <w:noWrap w:val="0"/>
            <w:vAlign w:val="center"/>
          </w:tcPr>
          <w:p w14:paraId="1F8D965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100</w:t>
            </w:r>
          </w:p>
        </w:tc>
        <w:tc>
          <w:tcPr>
            <w:tcW w:w="289" w:type="pct"/>
            <w:tcBorders>
              <w:top w:val="single" w:color="auto" w:sz="4" w:space="0"/>
              <w:left w:val="single" w:color="auto" w:sz="4" w:space="0"/>
              <w:bottom w:val="single" w:color="auto" w:sz="4" w:space="0"/>
              <w:right w:val="single" w:color="auto" w:sz="4" w:space="0"/>
            </w:tcBorders>
            <w:noWrap w:val="0"/>
            <w:vAlign w:val="center"/>
          </w:tcPr>
          <w:p w14:paraId="25F91DD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197" w:type="pct"/>
            <w:tcBorders>
              <w:top w:val="single" w:color="auto" w:sz="4" w:space="0"/>
              <w:left w:val="single" w:color="auto" w:sz="4" w:space="0"/>
              <w:bottom w:val="single" w:color="auto" w:sz="4" w:space="0"/>
              <w:right w:val="single" w:color="auto" w:sz="4" w:space="0"/>
            </w:tcBorders>
            <w:noWrap w:val="0"/>
            <w:vAlign w:val="center"/>
          </w:tcPr>
          <w:p w14:paraId="326D63A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100</w:t>
            </w:r>
          </w:p>
        </w:tc>
        <w:tc>
          <w:tcPr>
            <w:tcW w:w="224" w:type="pct"/>
            <w:tcBorders>
              <w:top w:val="single" w:color="auto" w:sz="4" w:space="0"/>
              <w:left w:val="single" w:color="auto" w:sz="4" w:space="0"/>
              <w:bottom w:val="single" w:color="auto" w:sz="4" w:space="0"/>
              <w:right w:val="single" w:color="auto" w:sz="4" w:space="0"/>
            </w:tcBorders>
            <w:noWrap w:val="0"/>
            <w:vAlign w:val="center"/>
          </w:tcPr>
          <w:p w14:paraId="19AF8D2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28" w:type="pct"/>
            <w:tcBorders>
              <w:top w:val="single" w:color="auto" w:sz="4" w:space="0"/>
              <w:left w:val="single" w:color="auto" w:sz="4" w:space="0"/>
              <w:bottom w:val="single" w:color="auto" w:sz="4" w:space="0"/>
              <w:right w:val="single" w:color="auto" w:sz="4" w:space="0"/>
            </w:tcBorders>
            <w:noWrap w:val="0"/>
            <w:vAlign w:val="center"/>
          </w:tcPr>
          <w:p w14:paraId="6F23B97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100</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6907EE3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310" w:type="pct"/>
            <w:tcBorders>
              <w:top w:val="single" w:color="auto" w:sz="4" w:space="0"/>
              <w:left w:val="single" w:color="auto" w:sz="4" w:space="0"/>
              <w:bottom w:val="single" w:color="auto" w:sz="4" w:space="0"/>
              <w:right w:val="single" w:color="auto" w:sz="4" w:space="0"/>
            </w:tcBorders>
            <w:noWrap w:val="0"/>
            <w:vAlign w:val="center"/>
          </w:tcPr>
          <w:p w14:paraId="608DC8E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w:t>
            </w:r>
          </w:p>
        </w:tc>
        <w:tc>
          <w:tcPr>
            <w:tcW w:w="1834" w:type="pct"/>
            <w:tcBorders>
              <w:top w:val="single" w:color="auto" w:sz="4" w:space="0"/>
              <w:left w:val="single" w:color="auto" w:sz="4" w:space="0"/>
              <w:bottom w:val="single" w:color="auto" w:sz="4" w:space="0"/>
              <w:right w:val="single" w:color="auto" w:sz="4" w:space="0"/>
            </w:tcBorders>
            <w:noWrap w:val="0"/>
            <w:vAlign w:val="center"/>
          </w:tcPr>
          <w:p w14:paraId="22AC16E0">
            <w:pPr>
              <w:keepNext w:val="0"/>
              <w:keepLines w:val="0"/>
              <w:pageBreakBefore w:val="0"/>
              <w:widowControl/>
              <w:kinsoku/>
              <w:wordWrap/>
              <w:overflowPunct/>
              <w:topLinePunct w:val="0"/>
              <w:autoSpaceDE/>
              <w:autoSpaceDN/>
              <w:bidi w:val="0"/>
              <w:adjustRightInd/>
              <w:snapToGrid/>
              <w:spacing w:line="240" w:lineRule="exact"/>
              <w:ind w:firstLine="0" w:firstLineChars="0"/>
              <w:jc w:val="left"/>
              <w:rPr>
                <w:rFonts w:hint="eastAsia" w:ascii="宋体" w:hAnsi="宋体" w:eastAsia="宋体" w:cs="宋体"/>
                <w:sz w:val="21"/>
                <w:szCs w:val="21"/>
              </w:rPr>
            </w:pPr>
          </w:p>
        </w:tc>
        <w:tc>
          <w:tcPr>
            <w:tcW w:w="333" w:type="pct"/>
            <w:tcBorders>
              <w:top w:val="single" w:color="auto" w:sz="4" w:space="0"/>
              <w:left w:val="single" w:color="auto" w:sz="4" w:space="0"/>
              <w:bottom w:val="single" w:color="auto" w:sz="4" w:space="0"/>
              <w:right w:val="single" w:color="auto" w:sz="4" w:space="0"/>
            </w:tcBorders>
            <w:noWrap w:val="0"/>
            <w:vAlign w:val="center"/>
          </w:tcPr>
          <w:p w14:paraId="5634393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sz w:val="21"/>
                <w:szCs w:val="21"/>
              </w:rPr>
            </w:pPr>
          </w:p>
        </w:tc>
        <w:tc>
          <w:tcPr>
            <w:tcW w:w="280" w:type="pct"/>
            <w:tcBorders>
              <w:top w:val="single" w:color="auto" w:sz="4" w:space="0"/>
              <w:left w:val="single" w:color="auto" w:sz="4" w:space="0"/>
              <w:bottom w:val="single" w:color="auto" w:sz="4" w:space="0"/>
              <w:right w:val="single" w:color="auto" w:sz="4" w:space="0"/>
            </w:tcBorders>
            <w:noWrap w:val="0"/>
            <w:vAlign w:val="center"/>
          </w:tcPr>
          <w:p w14:paraId="234D08F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100</w:t>
            </w:r>
          </w:p>
        </w:tc>
      </w:tr>
    </w:tbl>
    <w:p w14:paraId="5526248A">
      <w:pPr>
        <w:pStyle w:val="10"/>
        <w:ind w:firstLine="0" w:firstLineChars="0"/>
        <w:jc w:val="both"/>
        <w:rPr>
          <w:rFonts w:hint="eastAsia" w:ascii="宋体" w:hAnsi="宋体" w:eastAsia="宋体" w:cs="宋体"/>
          <w:sz w:val="24"/>
          <w:szCs w:val="24"/>
        </w:rPr>
      </w:pPr>
      <w:r>
        <w:rPr>
          <w:rFonts w:hint="eastAsia" w:ascii="宋体" w:hAnsi="宋体" w:eastAsia="宋体" w:cs="宋体"/>
          <w:sz w:val="24"/>
          <w:szCs w:val="24"/>
        </w:rPr>
        <w:t>附件2：</w:t>
      </w:r>
    </w:p>
    <w:tbl>
      <w:tblPr>
        <w:tblStyle w:val="23"/>
        <w:tblW w:w="13021" w:type="dxa"/>
        <w:tblInd w:w="96" w:type="dxa"/>
        <w:tblLayout w:type="fixed"/>
        <w:tblCellMar>
          <w:top w:w="0" w:type="dxa"/>
          <w:left w:w="108" w:type="dxa"/>
          <w:bottom w:w="0" w:type="dxa"/>
          <w:right w:w="108" w:type="dxa"/>
        </w:tblCellMar>
      </w:tblPr>
      <w:tblGrid>
        <w:gridCol w:w="1363"/>
        <w:gridCol w:w="1778"/>
        <w:gridCol w:w="2786"/>
        <w:gridCol w:w="2314"/>
        <w:gridCol w:w="3449"/>
        <w:gridCol w:w="1331"/>
      </w:tblGrid>
      <w:tr w14:paraId="75F33169">
        <w:tblPrEx>
          <w:tblCellMar>
            <w:top w:w="0" w:type="dxa"/>
            <w:left w:w="108" w:type="dxa"/>
            <w:bottom w:w="0" w:type="dxa"/>
            <w:right w:w="108" w:type="dxa"/>
          </w:tblCellMar>
        </w:tblPrEx>
        <w:trPr>
          <w:trHeight w:val="364" w:hRule="atLeast"/>
        </w:trPr>
        <w:tc>
          <w:tcPr>
            <w:tcW w:w="1363" w:type="dxa"/>
            <w:tcBorders>
              <w:top w:val="nil"/>
              <w:left w:val="nil"/>
              <w:bottom w:val="nil"/>
              <w:right w:val="nil"/>
            </w:tcBorders>
            <w:noWrap/>
            <w:vAlign w:val="center"/>
          </w:tcPr>
          <w:p w14:paraId="24B553EA">
            <w:pPr>
              <w:widowControl/>
              <w:ind w:firstLine="0" w:firstLineChars="0"/>
              <w:jc w:val="left"/>
              <w:textAlignment w:val="center"/>
              <w:rPr>
                <w:rFonts w:hint="eastAsia" w:ascii="宋体" w:hAnsi="宋体" w:eastAsia="宋体" w:cs="宋体"/>
                <w:sz w:val="22"/>
              </w:rPr>
            </w:pPr>
          </w:p>
        </w:tc>
        <w:tc>
          <w:tcPr>
            <w:tcW w:w="1778" w:type="dxa"/>
            <w:tcBorders>
              <w:top w:val="nil"/>
              <w:left w:val="nil"/>
              <w:bottom w:val="nil"/>
              <w:right w:val="nil"/>
            </w:tcBorders>
            <w:noWrap/>
            <w:vAlign w:val="center"/>
          </w:tcPr>
          <w:p w14:paraId="4D22F693">
            <w:pPr>
              <w:ind w:firstLine="440"/>
              <w:rPr>
                <w:rFonts w:hint="eastAsia" w:ascii="宋体" w:hAnsi="宋体" w:eastAsia="宋体" w:cs="宋体"/>
                <w:sz w:val="22"/>
              </w:rPr>
            </w:pPr>
          </w:p>
        </w:tc>
        <w:tc>
          <w:tcPr>
            <w:tcW w:w="2786" w:type="dxa"/>
            <w:tcBorders>
              <w:top w:val="nil"/>
              <w:left w:val="nil"/>
              <w:bottom w:val="nil"/>
              <w:right w:val="nil"/>
            </w:tcBorders>
            <w:noWrap/>
            <w:vAlign w:val="center"/>
          </w:tcPr>
          <w:p w14:paraId="4E433CD6">
            <w:pPr>
              <w:ind w:firstLine="440"/>
              <w:rPr>
                <w:rFonts w:hint="eastAsia" w:ascii="宋体" w:hAnsi="宋体" w:eastAsia="宋体" w:cs="宋体"/>
                <w:sz w:val="22"/>
              </w:rPr>
            </w:pPr>
          </w:p>
        </w:tc>
        <w:tc>
          <w:tcPr>
            <w:tcW w:w="2314" w:type="dxa"/>
            <w:tcBorders>
              <w:top w:val="nil"/>
              <w:left w:val="nil"/>
              <w:bottom w:val="nil"/>
              <w:right w:val="nil"/>
            </w:tcBorders>
            <w:noWrap/>
            <w:vAlign w:val="center"/>
          </w:tcPr>
          <w:p w14:paraId="158BFF8B">
            <w:pPr>
              <w:ind w:firstLine="440"/>
              <w:rPr>
                <w:rFonts w:hint="eastAsia" w:ascii="宋体" w:hAnsi="宋体" w:eastAsia="宋体" w:cs="宋体"/>
                <w:sz w:val="22"/>
              </w:rPr>
            </w:pPr>
          </w:p>
        </w:tc>
        <w:tc>
          <w:tcPr>
            <w:tcW w:w="3449" w:type="dxa"/>
            <w:tcBorders>
              <w:top w:val="nil"/>
              <w:left w:val="nil"/>
              <w:bottom w:val="nil"/>
              <w:right w:val="nil"/>
            </w:tcBorders>
            <w:noWrap/>
            <w:vAlign w:val="center"/>
          </w:tcPr>
          <w:p w14:paraId="57104523">
            <w:pPr>
              <w:ind w:firstLine="440"/>
              <w:rPr>
                <w:rFonts w:hint="eastAsia" w:ascii="宋体" w:hAnsi="宋体" w:eastAsia="宋体" w:cs="宋体"/>
                <w:sz w:val="22"/>
              </w:rPr>
            </w:pPr>
          </w:p>
        </w:tc>
        <w:tc>
          <w:tcPr>
            <w:tcW w:w="1331" w:type="dxa"/>
            <w:tcBorders>
              <w:top w:val="nil"/>
              <w:left w:val="nil"/>
              <w:bottom w:val="nil"/>
              <w:right w:val="nil"/>
            </w:tcBorders>
            <w:noWrap/>
            <w:vAlign w:val="center"/>
          </w:tcPr>
          <w:p w14:paraId="4C27BDC4">
            <w:pPr>
              <w:ind w:firstLine="440"/>
              <w:rPr>
                <w:rFonts w:hint="eastAsia" w:ascii="宋体" w:hAnsi="宋体" w:eastAsia="宋体" w:cs="宋体"/>
                <w:sz w:val="22"/>
              </w:rPr>
            </w:pPr>
          </w:p>
        </w:tc>
      </w:tr>
      <w:tr w14:paraId="666855D1">
        <w:tblPrEx>
          <w:tblCellMar>
            <w:top w:w="0" w:type="dxa"/>
            <w:left w:w="108" w:type="dxa"/>
            <w:bottom w:w="0" w:type="dxa"/>
            <w:right w:w="108" w:type="dxa"/>
          </w:tblCellMar>
        </w:tblPrEx>
        <w:trPr>
          <w:trHeight w:val="620" w:hRule="atLeast"/>
        </w:trPr>
        <w:tc>
          <w:tcPr>
            <w:tcW w:w="13021" w:type="dxa"/>
            <w:gridSpan w:val="6"/>
            <w:tcBorders>
              <w:top w:val="nil"/>
              <w:left w:val="nil"/>
              <w:bottom w:val="nil"/>
              <w:right w:val="nil"/>
            </w:tcBorders>
            <w:noWrap/>
            <w:vAlign w:val="center"/>
          </w:tcPr>
          <w:p w14:paraId="02AF5DD9">
            <w:pPr>
              <w:widowControl/>
              <w:ind w:firstLine="723"/>
              <w:jc w:val="center"/>
              <w:textAlignment w:val="center"/>
              <w:rPr>
                <w:rFonts w:hint="eastAsia" w:ascii="宋体" w:hAnsi="宋体" w:eastAsia="宋体" w:cs="宋体"/>
                <w:b/>
                <w:bCs/>
                <w:sz w:val="36"/>
                <w:szCs w:val="36"/>
              </w:rPr>
            </w:pPr>
            <w:r>
              <w:rPr>
                <w:rFonts w:hint="eastAsia" w:ascii="宋体" w:hAnsi="宋体" w:eastAsia="宋体" w:cs="宋体"/>
                <w:b/>
                <w:bCs/>
                <w:kern w:val="0"/>
                <w:sz w:val="36"/>
                <w:szCs w:val="36"/>
                <w:lang w:eastAsia="zh-CN"/>
              </w:rPr>
              <w:t>2024年中央城乡义务教育补助</w:t>
            </w:r>
            <w:r>
              <w:rPr>
                <w:rFonts w:hint="eastAsia" w:ascii="宋体" w:hAnsi="宋体" w:eastAsia="宋体" w:cs="宋体"/>
                <w:b/>
                <w:bCs/>
                <w:kern w:val="0"/>
                <w:sz w:val="36"/>
                <w:szCs w:val="36"/>
              </w:rPr>
              <w:t>项目综合得分表</w:t>
            </w:r>
          </w:p>
        </w:tc>
      </w:tr>
      <w:tr w14:paraId="3A35AF12">
        <w:tblPrEx>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4F7D8595">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rPr>
              <w:t>指标</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0FF4F69E">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rPr>
              <w:t>项目决策</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5A547C48">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rPr>
              <w:t>项目过程</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3BBF4EC9">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rPr>
              <w:t>项目产出</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6363967B">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rPr>
              <w:t>项目效益</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75E3D0AC">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rPr>
              <w:t>合计</w:t>
            </w:r>
          </w:p>
        </w:tc>
      </w:tr>
      <w:tr w14:paraId="2F8DE113">
        <w:tblPrEx>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229D7A78">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rPr>
              <w:t>权重</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37C75CF7">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sz w:val="24"/>
                <w:szCs w:val="24"/>
              </w:rPr>
            </w:pPr>
            <w:r>
              <w:rPr>
                <w:rFonts w:hint="eastAsia" w:ascii="宋体" w:hAnsi="宋体" w:eastAsia="宋体" w:cs="宋体"/>
                <w:kern w:val="0"/>
                <w:sz w:val="24"/>
                <w:szCs w:val="24"/>
              </w:rPr>
              <w:t>23.00</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30AE9704">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sz w:val="24"/>
                <w:szCs w:val="24"/>
              </w:rPr>
            </w:pPr>
            <w:r>
              <w:rPr>
                <w:rFonts w:hint="eastAsia" w:ascii="宋体" w:hAnsi="宋体" w:eastAsia="宋体" w:cs="宋体"/>
                <w:kern w:val="0"/>
                <w:sz w:val="24"/>
                <w:szCs w:val="24"/>
              </w:rPr>
              <w:t>12.00</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206A7783">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sz w:val="24"/>
                <w:szCs w:val="24"/>
              </w:rPr>
            </w:pPr>
            <w:r>
              <w:rPr>
                <w:rFonts w:hint="eastAsia" w:ascii="宋体" w:hAnsi="宋体" w:eastAsia="宋体" w:cs="宋体"/>
                <w:kern w:val="0"/>
                <w:sz w:val="24"/>
                <w:szCs w:val="24"/>
              </w:rPr>
              <w:t>40.00</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3A48388D">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sz w:val="24"/>
                <w:szCs w:val="24"/>
              </w:rPr>
            </w:pPr>
            <w:r>
              <w:rPr>
                <w:rFonts w:hint="eastAsia" w:ascii="宋体" w:hAnsi="宋体" w:eastAsia="宋体" w:cs="宋体"/>
                <w:kern w:val="0"/>
                <w:sz w:val="24"/>
                <w:szCs w:val="24"/>
              </w:rPr>
              <w:t>25.00</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48414512">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sz w:val="24"/>
                <w:szCs w:val="24"/>
              </w:rPr>
            </w:pPr>
            <w:r>
              <w:rPr>
                <w:rFonts w:hint="eastAsia" w:ascii="宋体" w:hAnsi="宋体" w:eastAsia="宋体" w:cs="宋体"/>
                <w:kern w:val="0"/>
                <w:sz w:val="24"/>
                <w:szCs w:val="24"/>
              </w:rPr>
              <w:t>100.00</w:t>
            </w:r>
          </w:p>
        </w:tc>
      </w:tr>
      <w:tr w14:paraId="2D05D6CF">
        <w:tblPrEx>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065C8B95">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rPr>
              <w:t>得分</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1DC91B57">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sz w:val="24"/>
                <w:szCs w:val="24"/>
              </w:rPr>
            </w:pPr>
            <w:r>
              <w:rPr>
                <w:rFonts w:hint="eastAsia" w:ascii="宋体" w:hAnsi="宋体" w:eastAsia="宋体" w:cs="宋体"/>
                <w:kern w:val="0"/>
                <w:sz w:val="24"/>
                <w:szCs w:val="24"/>
              </w:rPr>
              <w:t>23.00</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6B4DEC80">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sz w:val="24"/>
                <w:szCs w:val="24"/>
              </w:rPr>
            </w:pPr>
            <w:r>
              <w:rPr>
                <w:rFonts w:hint="eastAsia" w:ascii="宋体" w:hAnsi="宋体" w:eastAsia="宋体" w:cs="宋体"/>
                <w:kern w:val="0"/>
                <w:sz w:val="24"/>
                <w:szCs w:val="24"/>
              </w:rPr>
              <w:t>12.00</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4111B447">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sz w:val="24"/>
                <w:szCs w:val="24"/>
              </w:rPr>
            </w:pPr>
            <w:r>
              <w:rPr>
                <w:rFonts w:hint="eastAsia" w:ascii="宋体" w:hAnsi="宋体" w:eastAsia="宋体" w:cs="宋体"/>
                <w:kern w:val="0"/>
                <w:sz w:val="24"/>
                <w:szCs w:val="24"/>
              </w:rPr>
              <w:t>40.00</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040893EF">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sz w:val="24"/>
                <w:szCs w:val="24"/>
              </w:rPr>
            </w:pPr>
            <w:r>
              <w:rPr>
                <w:rFonts w:hint="eastAsia" w:ascii="宋体" w:hAnsi="宋体" w:eastAsia="宋体" w:cs="宋体"/>
                <w:kern w:val="0"/>
                <w:sz w:val="24"/>
                <w:szCs w:val="24"/>
              </w:rPr>
              <w:t>25.00</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5AA71599">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sz w:val="24"/>
                <w:szCs w:val="24"/>
              </w:rPr>
            </w:pPr>
            <w:r>
              <w:rPr>
                <w:rFonts w:hint="eastAsia" w:ascii="宋体" w:hAnsi="宋体" w:eastAsia="宋体" w:cs="宋体"/>
                <w:kern w:val="0"/>
                <w:sz w:val="24"/>
                <w:szCs w:val="24"/>
              </w:rPr>
              <w:t>100.00</w:t>
            </w:r>
          </w:p>
        </w:tc>
      </w:tr>
      <w:tr w14:paraId="2AFC2DE6">
        <w:tblPrEx>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66422F10">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rPr>
              <w:t>得分率</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2379970D">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sz w:val="24"/>
                <w:szCs w:val="24"/>
              </w:rPr>
            </w:pPr>
            <w:r>
              <w:rPr>
                <w:rFonts w:hint="eastAsia" w:ascii="宋体" w:hAnsi="宋体" w:eastAsia="宋体" w:cs="宋体"/>
                <w:kern w:val="0"/>
                <w:sz w:val="24"/>
                <w:szCs w:val="24"/>
              </w:rPr>
              <w:t>100%</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4F8E61F0">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sz w:val="24"/>
                <w:szCs w:val="24"/>
              </w:rPr>
            </w:pPr>
            <w:r>
              <w:rPr>
                <w:rFonts w:hint="eastAsia" w:ascii="宋体" w:hAnsi="宋体" w:eastAsia="宋体" w:cs="宋体"/>
                <w:kern w:val="0"/>
                <w:sz w:val="24"/>
                <w:szCs w:val="24"/>
              </w:rPr>
              <w:t>100%</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1AAD774A">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sz w:val="24"/>
                <w:szCs w:val="24"/>
              </w:rPr>
            </w:pPr>
            <w:r>
              <w:rPr>
                <w:rFonts w:hint="eastAsia" w:ascii="宋体" w:hAnsi="宋体" w:eastAsia="宋体" w:cs="宋体"/>
                <w:kern w:val="0"/>
                <w:sz w:val="24"/>
                <w:szCs w:val="24"/>
              </w:rPr>
              <w:t>100%</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22B69CB7">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sz w:val="24"/>
                <w:szCs w:val="24"/>
              </w:rPr>
            </w:pPr>
            <w:r>
              <w:rPr>
                <w:rFonts w:hint="eastAsia" w:ascii="宋体" w:hAnsi="宋体" w:eastAsia="宋体" w:cs="宋体"/>
                <w:kern w:val="0"/>
                <w:sz w:val="24"/>
                <w:szCs w:val="24"/>
              </w:rPr>
              <w:t>100%</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6DE98FC0">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sz w:val="24"/>
                <w:szCs w:val="24"/>
              </w:rPr>
            </w:pPr>
            <w:r>
              <w:rPr>
                <w:rFonts w:hint="eastAsia" w:ascii="宋体" w:hAnsi="宋体" w:eastAsia="宋体" w:cs="宋体"/>
                <w:kern w:val="0"/>
                <w:sz w:val="24"/>
                <w:szCs w:val="24"/>
              </w:rPr>
              <w:t>100%</w:t>
            </w:r>
          </w:p>
        </w:tc>
      </w:tr>
    </w:tbl>
    <w:p w14:paraId="649B511B">
      <w:pPr>
        <w:pStyle w:val="10"/>
        <w:ind w:firstLine="0" w:firstLineChars="0"/>
        <w:jc w:val="both"/>
        <w:rPr>
          <w:rFonts w:hint="eastAsia" w:ascii="宋体" w:hAnsi="宋体" w:eastAsia="宋体" w:cs="宋体"/>
          <w:sz w:val="24"/>
          <w:szCs w:val="24"/>
        </w:rPr>
        <w:sectPr>
          <w:pgSz w:w="16838" w:h="11906" w:orient="landscape"/>
          <w:pgMar w:top="1531" w:right="1985" w:bottom="1531" w:left="1701" w:header="851" w:footer="992" w:gutter="0"/>
          <w:pgNumType w:start="1"/>
          <w:cols w:space="720" w:num="1"/>
          <w:docGrid w:type="linesAndChars" w:linePitch="386" w:charSpace="0"/>
        </w:sectPr>
      </w:pPr>
    </w:p>
    <w:p w14:paraId="1A798E7A">
      <w:pPr>
        <w:spacing w:line="360" w:lineRule="auto"/>
        <w:ind w:firstLine="48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附件3：</w:t>
      </w:r>
    </w:p>
    <w:p w14:paraId="3BE416C4">
      <w:pPr>
        <w:adjustRightInd w:val="0"/>
        <w:ind w:firstLine="0" w:firstLineChars="0"/>
        <w:jc w:val="center"/>
        <w:rPr>
          <w:rFonts w:hint="eastAsia" w:ascii="宋体" w:hAnsi="宋体" w:eastAsia="宋体" w:cs="宋体"/>
          <w:b/>
          <w:bCs/>
          <w:kern w:val="0"/>
          <w:sz w:val="36"/>
          <w:szCs w:val="36"/>
          <w:lang w:eastAsia="zh-CN"/>
        </w:rPr>
      </w:pPr>
    </w:p>
    <w:p w14:paraId="7ABD051E">
      <w:pPr>
        <w:spacing w:line="360" w:lineRule="auto"/>
        <w:ind w:firstLine="482"/>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2024年中央城乡义务教育补助项目满意度调查问卷分析报告</w:t>
      </w:r>
    </w:p>
    <w:p w14:paraId="23B2139F">
      <w:pPr>
        <w:adjustRightInd w:val="0"/>
        <w:ind w:firstLine="562"/>
        <w:rPr>
          <w:b/>
          <w:bCs/>
        </w:rPr>
      </w:pPr>
    </w:p>
    <w:p w14:paraId="27DC805C">
      <w:pPr>
        <w:adjustRightInd w:val="0"/>
        <w:ind w:firstLine="480"/>
        <w:rPr>
          <w:sz w:val="24"/>
          <w:szCs w:val="24"/>
        </w:rPr>
      </w:pPr>
      <w:r>
        <w:rPr>
          <w:rFonts w:hint="eastAsia"/>
          <w:sz w:val="24"/>
          <w:szCs w:val="24"/>
        </w:rPr>
        <w:t>为客观评价该项目的社会效果，了解项目受益群体对项目实施后的真实评价情况，对本项目开展满意度问卷调查。问卷调查工作情况如下。问卷调查工作情况如下：</w:t>
      </w:r>
    </w:p>
    <w:p w14:paraId="3F8669CA">
      <w:pPr>
        <w:spacing w:line="360" w:lineRule="auto"/>
        <w:ind w:firstLine="48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一、该问卷调查从2025年3月3日开始至2025年3月7日结束，调查问卷共设置3道题目。</w:t>
      </w:r>
    </w:p>
    <w:p w14:paraId="1DD44282">
      <w:pPr>
        <w:spacing w:line="360" w:lineRule="auto"/>
        <w:ind w:firstLine="48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1.调查对象</w:t>
      </w:r>
    </w:p>
    <w:p w14:paraId="44ABFC5E">
      <w:pPr>
        <w:spacing w:line="360" w:lineRule="auto"/>
        <w:ind w:firstLine="48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本次调查的受益对象为学生，教职工，家长。</w:t>
      </w:r>
    </w:p>
    <w:p w14:paraId="3C3052CB">
      <w:pPr>
        <w:spacing w:line="360" w:lineRule="auto"/>
        <w:ind w:firstLine="48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2.调查内容</w:t>
      </w:r>
    </w:p>
    <w:p w14:paraId="5A7668C4">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①您对城乡义务教育经费保障机制-公用经费补助  和地财教（2023）70号项目的伙食费使用是否满意?</w:t>
      </w:r>
    </w:p>
    <w:p w14:paraId="3E455EE9">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②您对城乡义务教育经费保障机制-公用经费补助  和地财教（2023）70号项目的公用经费的用途是否满意？</w:t>
      </w:r>
    </w:p>
    <w:p w14:paraId="06788D17">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③总的来说，您对目前城乡义务教育经费保障机制-公用经费补助  和地财教（2024）5号项目实施后的整体满意程度如何？</w:t>
      </w:r>
    </w:p>
    <w:p w14:paraId="2901927D">
      <w:pPr>
        <w:pStyle w:val="10"/>
        <w:spacing w:before="0" w:after="0"/>
        <w:ind w:firstLine="482"/>
        <w:jc w:val="both"/>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3.调查方法</w:t>
      </w:r>
    </w:p>
    <w:p w14:paraId="6B198C4E">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问卷调查采取分层抽样和随机抽样相结合的方式进行。在全面调查开展之前会先进行论证，依据论证结果对问卷和抽样方案再进行一次修改和调整之后再付诸实施。</w:t>
      </w:r>
    </w:p>
    <w:p w14:paraId="1F0E689B">
      <w:pPr>
        <w:spacing w:line="360" w:lineRule="auto"/>
        <w:ind w:firstLine="48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4.抽样方式</w:t>
      </w:r>
    </w:p>
    <w:p w14:paraId="5A5B0232">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为确保问卷调查的全面性和代表性，本次调查问卷调查采取随机抽样和分层抽样相结合方式进行。</w:t>
      </w:r>
    </w:p>
    <w:p w14:paraId="685010BC">
      <w:pPr>
        <w:spacing w:line="360" w:lineRule="auto"/>
        <w:ind w:firstLine="482"/>
        <w:rPr>
          <w:rFonts w:hint="eastAsia" w:ascii="宋体" w:hAnsi="宋体" w:eastAsia="宋体" w:cs="宋体"/>
          <w:b/>
          <w:bCs/>
          <w:sz w:val="24"/>
          <w:szCs w:val="24"/>
        </w:rPr>
      </w:pPr>
      <w:r>
        <w:rPr>
          <w:rFonts w:hint="eastAsia" w:ascii="宋体" w:hAnsi="宋体" w:eastAsia="宋体" w:cs="宋体"/>
          <w:b/>
          <w:bCs/>
          <w:sz w:val="24"/>
          <w:szCs w:val="24"/>
        </w:rPr>
        <w:t>5.问卷的发放和回收</w:t>
      </w:r>
    </w:p>
    <w:p w14:paraId="147C7CD1">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为了给调查对象营造良好的作答环境，保证调查的科学性和严谨性，由我单位工作人员在线下发放问卷，邀请相应的调查对象填写问卷。到目前为止共回收问卷20份，其中有效问卷20份，有效问卷回收率为100%。</w:t>
      </w:r>
    </w:p>
    <w:p w14:paraId="20AA20E9">
      <w:pPr>
        <w:spacing w:line="360" w:lineRule="auto"/>
        <w:ind w:firstLine="48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6.问卷调查分析结果</w:t>
      </w:r>
    </w:p>
    <w:p w14:paraId="7C732658">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本次调查过程中，评价小组实际发放问卷20份，回收问卷20份，问卷回收率为100.00%，有效问卷20份，有效回收率100.00%，本次调查的整体情况如下：</w:t>
      </w:r>
    </w:p>
    <w:p w14:paraId="6B6A782D">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第一个问题：该项统计有效问卷数量20份，选择非常满意的人数为19人。选择比较满意的人数为1人，选择一般的人数0人，选择不满意的人数0人，选择非常不满意的人数0人。</w:t>
      </w:r>
    </w:p>
    <w:p w14:paraId="7F09F2A4">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第二个问题：该项统计有效问卷数量20份，选择非常满意的人数为20人。选择比较满意的人数为0人，选择一般的人数0人，选择不满意的人数0人，选择非常不满意的人数0人。</w:t>
      </w:r>
    </w:p>
    <w:p w14:paraId="153F2503">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第三个问题：该项统计有效问卷数量20份，选择非常满意的人数为18人。选择比较满意的人数为2人，选择一般的人数0人，选择不满意的人数0人，选择非常不满意的人数0人。</w:t>
      </w:r>
    </w:p>
    <w:p w14:paraId="34C8425A">
      <w:pPr>
        <w:spacing w:line="360" w:lineRule="auto"/>
        <w:ind w:firstLine="48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二、调查结果统计</w:t>
      </w:r>
    </w:p>
    <w:p w14:paraId="0080F27A">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城乡义务教育经费保障机制-公用经费补助  和地财教（2023）60号项目针对受益人员发放30份调查问卷，最终统计受益人群满意度为100%。</w:t>
      </w:r>
    </w:p>
    <w:p w14:paraId="34D509E2">
      <w:pPr>
        <w:adjustRightInd w:val="0"/>
        <w:ind w:firstLine="480"/>
        <w:rPr>
          <w:sz w:val="24"/>
          <w:szCs w:val="24"/>
        </w:rPr>
      </w:pPr>
    </w:p>
    <w:p w14:paraId="4A8A29D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right"/>
        <w:textAlignment w:val="auto"/>
        <w:rPr>
          <w:rFonts w:hint="eastAsia" w:ascii="Times New Roman" w:hAnsi="Times New Roman" w:cs="宋体"/>
          <w:color w:val="auto"/>
          <w:sz w:val="24"/>
          <w:szCs w:val="24"/>
          <w:highlight w:val="none"/>
          <w:lang w:val="en-US" w:eastAsia="zh-CN"/>
        </w:rPr>
      </w:pPr>
      <w:r>
        <w:rPr>
          <w:rFonts w:hint="eastAsia" w:ascii="Times New Roman" w:hAnsi="Times New Roman" w:cs="宋体"/>
          <w:color w:val="auto"/>
          <w:sz w:val="24"/>
          <w:szCs w:val="24"/>
          <w:highlight w:val="none"/>
          <w:lang w:val="en-US" w:eastAsia="zh-CN"/>
        </w:rPr>
        <w:t>洛浦县第四小学</w:t>
      </w:r>
    </w:p>
    <w:p w14:paraId="66FC506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right"/>
        <w:textAlignment w:val="auto"/>
        <w:rPr>
          <w:rFonts w:hint="default" w:ascii="宋体" w:hAnsi="宋体" w:eastAsia="宋体" w:cs="宋体"/>
          <w:sz w:val="24"/>
          <w:szCs w:val="24"/>
          <w:lang w:val="en-US"/>
        </w:rPr>
      </w:pPr>
      <w:r>
        <w:rPr>
          <w:rFonts w:hint="eastAsia" w:ascii="Times New Roman" w:hAnsi="Times New Roman" w:cs="宋体"/>
          <w:color w:val="auto"/>
          <w:sz w:val="24"/>
          <w:szCs w:val="24"/>
          <w:highlight w:val="none"/>
          <w:lang w:val="en-US" w:eastAsia="zh-CN"/>
        </w:rPr>
        <w:t>2025年3月12日</w:t>
      </w:r>
    </w:p>
    <w:sectPr>
      <w:pgSz w:w="11906" w:h="16838"/>
      <w:pgMar w:top="1985" w:right="1531" w:bottom="1701" w:left="1531" w:header="851" w:footer="992" w:gutter="0"/>
      <w:pgNumType w:start="1"/>
      <w:cols w:space="720" w:num="1"/>
      <w:docGrid w:type="linesAndChars" w:linePitch="3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809C7">
    <w:pPr>
      <w:pStyle w:val="1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615272">
    <w:pPr>
      <w:pStyle w:val="16"/>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1"/>
      <w:numFmt w:val="decimal"/>
      <w:suff w:val="nothing"/>
      <w:lvlText w:val="（%1）"/>
      <w:lvlJc w:val="left"/>
    </w:lvl>
  </w:abstractNum>
  <w:abstractNum w:abstractNumId="1">
    <w:nsid w:val="CF092B84"/>
    <w:multiLevelType w:val="singleLevel"/>
    <w:tmpl w:val="CF092B84"/>
    <w:lvl w:ilvl="0" w:tentative="0">
      <w:start w:val="1"/>
      <w:numFmt w:val="decimal"/>
      <w:suff w:val="nothing"/>
      <w:lvlText w:val="%1）"/>
      <w:lvlJc w:val="left"/>
    </w:lvl>
  </w:abstractNum>
  <w:abstractNum w:abstractNumId="2">
    <w:nsid w:val="0053208E"/>
    <w:multiLevelType w:val="singleLevel"/>
    <w:tmpl w:val="0053208E"/>
    <w:lvl w:ilvl="0" w:tentative="0">
      <w:start w:val="1"/>
      <w:numFmt w:val="decimal"/>
      <w:suff w:val="nothing"/>
      <w:lvlText w:val="（%1）"/>
      <w:lvlJc w:val="left"/>
    </w:lvl>
  </w:abstractNum>
  <w:abstractNum w:abstractNumId="3">
    <w:nsid w:val="59ADCABA"/>
    <w:multiLevelType w:val="singleLevel"/>
    <w:tmpl w:val="59ADCABA"/>
    <w:lvl w:ilvl="0" w:tentative="0">
      <w:start w:val="1"/>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NotTrackMoves/>
  <w:documentProtection w:enforcement="0"/>
  <w:defaultTabStop w:val="420"/>
  <w:drawingGridHorizontalSpacing w:val="140"/>
  <w:drawingGridVerticalSpacing w:val="193"/>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zIzNjhjZjkxMjg2OGJjOTQ0NThhNzBhOGI4YTVmYWYifQ=="/>
  </w:docVars>
  <w:rsids>
    <w:rsidRoot w:val="00000000"/>
    <w:rsid w:val="049A5E1F"/>
    <w:rsid w:val="6A2A3ECF"/>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4">
    <w:name w:val="heading 1"/>
    <w:basedOn w:val="1"/>
    <w:next w:val="2"/>
    <w:link w:val="32"/>
    <w:qFormat/>
    <w:uiPriority w:val="9"/>
    <w:pPr>
      <w:keepNext/>
      <w:keepLines/>
      <w:spacing w:before="340" w:after="330" w:line="578" w:lineRule="auto"/>
      <w:jc w:val="left"/>
      <w:outlineLvl w:val="0"/>
    </w:pPr>
    <w:rPr>
      <w:rFonts w:cs="Times New Roman"/>
      <w:b/>
      <w:bCs/>
      <w:kern w:val="44"/>
      <w:sz w:val="32"/>
      <w:szCs w:val="44"/>
    </w:rPr>
  </w:style>
  <w:style w:type="paragraph" w:styleId="5">
    <w:name w:val="heading 2"/>
    <w:basedOn w:val="1"/>
    <w:next w:val="1"/>
    <w:link w:val="33"/>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link w:val="34"/>
    <w:qFormat/>
    <w:uiPriority w:val="9"/>
    <w:pPr>
      <w:keepNext/>
      <w:keepLines/>
      <w:spacing w:before="260" w:after="260" w:line="416" w:lineRule="auto"/>
      <w:jc w:val="left"/>
      <w:outlineLvl w:val="2"/>
    </w:pPr>
    <w:rPr>
      <w:rFonts w:ascii="Calibri" w:hAnsi="Calibri" w:cs="Times New Roman"/>
      <w:bCs/>
      <w:kern w:val="0"/>
      <w:szCs w:val="32"/>
    </w:rPr>
  </w:style>
  <w:style w:type="paragraph" w:styleId="7">
    <w:name w:val="heading 4"/>
    <w:basedOn w:val="1"/>
    <w:next w:val="1"/>
    <w:link w:val="35"/>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25">
    <w:name w:val="Default Paragraph Font"/>
    <w:unhideWhenUsed/>
    <w:qFormat/>
    <w:uiPriority w:val="1"/>
  </w:style>
  <w:style w:type="table" w:default="1" w:styleId="23">
    <w:name w:val="Normal Table"/>
    <w:unhideWhenUsed/>
    <w:qFormat/>
    <w:uiPriority w:val="99"/>
    <w:tblPr>
      <w:tblCellMar>
        <w:top w:w="0" w:type="dxa"/>
        <w:left w:w="108" w:type="dxa"/>
        <w:bottom w:w="0" w:type="dxa"/>
        <w:right w:w="108" w:type="dxa"/>
      </w:tblCellMar>
    </w:tblPr>
  </w:style>
  <w:style w:type="paragraph" w:styleId="2">
    <w:name w:val="Body Text First Indent 2"/>
    <w:basedOn w:val="3"/>
    <w:link w:val="31"/>
    <w:unhideWhenUsed/>
    <w:qFormat/>
    <w:uiPriority w:val="0"/>
    <w:pPr>
      <w:ind w:firstLine="420"/>
    </w:pPr>
    <w:rPr>
      <w:rFonts w:ascii="Calibri" w:hAnsi="Calibri"/>
    </w:rPr>
  </w:style>
  <w:style w:type="paragraph" w:styleId="3">
    <w:name w:val="Body Text Indent"/>
    <w:basedOn w:val="1"/>
    <w:link w:val="30"/>
    <w:unhideWhenUsed/>
    <w:qFormat/>
    <w:uiPriority w:val="99"/>
    <w:pPr>
      <w:spacing w:after="120"/>
      <w:ind w:left="420" w:leftChars="200"/>
    </w:pPr>
    <w:rPr>
      <w:rFonts w:ascii="Calibri" w:hAnsi="Calibri" w:cs="Times New Roman"/>
      <w:kern w:val="0"/>
      <w:szCs w:val="20"/>
    </w:rPr>
  </w:style>
  <w:style w:type="paragraph" w:styleId="8">
    <w:name w:val="toc 7"/>
    <w:basedOn w:val="1"/>
    <w:next w:val="1"/>
    <w:unhideWhenUsed/>
    <w:qFormat/>
    <w:uiPriority w:val="39"/>
    <w:pPr>
      <w:ind w:left="1680"/>
      <w:jc w:val="left"/>
    </w:pPr>
    <w:rPr>
      <w:rFonts w:ascii="Calibri" w:hAnsi="Calibri" w:cs="Calibri"/>
      <w:sz w:val="18"/>
      <w:szCs w:val="18"/>
    </w:rPr>
  </w:style>
  <w:style w:type="paragraph" w:styleId="9">
    <w:name w:val="Document Map"/>
    <w:basedOn w:val="1"/>
    <w:link w:val="36"/>
    <w:unhideWhenUsed/>
    <w:qFormat/>
    <w:uiPriority w:val="99"/>
    <w:rPr>
      <w:rFonts w:ascii="宋体" w:hAnsi="Calibri" w:eastAsia="宋体" w:cs="Times New Roman"/>
      <w:kern w:val="0"/>
      <w:sz w:val="18"/>
      <w:szCs w:val="18"/>
    </w:rPr>
  </w:style>
  <w:style w:type="paragraph" w:styleId="10">
    <w:name w:val="Body Text"/>
    <w:basedOn w:val="1"/>
    <w:qFormat/>
    <w:uiPriority w:val="0"/>
    <w:pPr>
      <w:spacing w:before="240" w:after="240" w:line="360" w:lineRule="auto"/>
      <w:jc w:val="center"/>
    </w:pPr>
    <w:rPr>
      <w:b/>
      <w:sz w:val="44"/>
    </w:rPr>
  </w:style>
  <w:style w:type="paragraph" w:styleId="11">
    <w:name w:val="toc 5"/>
    <w:basedOn w:val="1"/>
    <w:next w:val="1"/>
    <w:unhideWhenUsed/>
    <w:qFormat/>
    <w:uiPriority w:val="39"/>
    <w:pPr>
      <w:ind w:left="1120"/>
      <w:jc w:val="left"/>
    </w:pPr>
    <w:rPr>
      <w:rFonts w:ascii="Calibri" w:hAnsi="Calibri" w:cs="Calibri"/>
      <w:sz w:val="18"/>
      <w:szCs w:val="18"/>
    </w:rPr>
  </w:style>
  <w:style w:type="paragraph" w:styleId="12">
    <w:name w:val="toc 3"/>
    <w:basedOn w:val="1"/>
    <w:next w:val="1"/>
    <w:unhideWhenUsed/>
    <w:qFormat/>
    <w:uiPriority w:val="39"/>
    <w:pPr>
      <w:ind w:left="560"/>
      <w:jc w:val="left"/>
    </w:pPr>
    <w:rPr>
      <w:rFonts w:ascii="Calibri" w:hAnsi="Calibri" w:cs="Calibri"/>
      <w:i/>
      <w:iCs/>
      <w:sz w:val="20"/>
      <w:szCs w:val="20"/>
    </w:rPr>
  </w:style>
  <w:style w:type="paragraph" w:styleId="13">
    <w:name w:val="toc 8"/>
    <w:basedOn w:val="1"/>
    <w:next w:val="1"/>
    <w:unhideWhenUsed/>
    <w:qFormat/>
    <w:uiPriority w:val="39"/>
    <w:pPr>
      <w:ind w:left="1960"/>
      <w:jc w:val="left"/>
    </w:pPr>
    <w:rPr>
      <w:rFonts w:ascii="Calibri" w:hAnsi="Calibri" w:cs="Calibri"/>
      <w:sz w:val="18"/>
      <w:szCs w:val="18"/>
    </w:rPr>
  </w:style>
  <w:style w:type="paragraph" w:styleId="14">
    <w:name w:val="Balloon Text"/>
    <w:basedOn w:val="1"/>
    <w:link w:val="38"/>
    <w:unhideWhenUsed/>
    <w:qFormat/>
    <w:uiPriority w:val="99"/>
    <w:rPr>
      <w:rFonts w:ascii="Calibri" w:hAnsi="Calibri" w:cs="Times New Roman"/>
      <w:kern w:val="0"/>
      <w:sz w:val="18"/>
      <w:szCs w:val="18"/>
    </w:rPr>
  </w:style>
  <w:style w:type="paragraph" w:styleId="15">
    <w:name w:val="footer"/>
    <w:basedOn w:val="1"/>
    <w:link w:val="39"/>
    <w:unhideWhenUsed/>
    <w:qFormat/>
    <w:uiPriority w:val="99"/>
    <w:pPr>
      <w:tabs>
        <w:tab w:val="center" w:pos="4153"/>
        <w:tab w:val="right" w:pos="8306"/>
      </w:tabs>
      <w:snapToGrid w:val="0"/>
      <w:jc w:val="left"/>
    </w:pPr>
    <w:rPr>
      <w:rFonts w:ascii="Calibri" w:hAnsi="Calibri" w:cs="Times New Roman"/>
      <w:kern w:val="0"/>
      <w:sz w:val="18"/>
      <w:szCs w:val="18"/>
    </w:rPr>
  </w:style>
  <w:style w:type="paragraph" w:styleId="16">
    <w:name w:val="header"/>
    <w:basedOn w:val="1"/>
    <w:link w:val="40"/>
    <w:unhideWhenUsed/>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 w:type="paragraph" w:styleId="17">
    <w:name w:val="toc 1"/>
    <w:basedOn w:val="1"/>
    <w:next w:val="1"/>
    <w:unhideWhenUsed/>
    <w:qFormat/>
    <w:uiPriority w:val="39"/>
    <w:pPr>
      <w:spacing w:before="120" w:after="120"/>
      <w:jc w:val="left"/>
    </w:pPr>
    <w:rPr>
      <w:rFonts w:ascii="Calibri" w:hAnsi="Calibri" w:cs="Calibri"/>
      <w:b/>
      <w:bCs/>
      <w:caps/>
      <w:sz w:val="20"/>
      <w:szCs w:val="20"/>
    </w:rPr>
  </w:style>
  <w:style w:type="paragraph" w:styleId="18">
    <w:name w:val="toc 4"/>
    <w:basedOn w:val="1"/>
    <w:next w:val="1"/>
    <w:unhideWhenUsed/>
    <w:qFormat/>
    <w:uiPriority w:val="39"/>
    <w:pPr>
      <w:ind w:left="840"/>
      <w:jc w:val="left"/>
    </w:pPr>
    <w:rPr>
      <w:rFonts w:ascii="Calibri" w:hAnsi="Calibri" w:cs="Calibri"/>
      <w:sz w:val="18"/>
      <w:szCs w:val="18"/>
    </w:rPr>
  </w:style>
  <w:style w:type="paragraph" w:styleId="19">
    <w:name w:val="toc 6"/>
    <w:basedOn w:val="1"/>
    <w:next w:val="1"/>
    <w:unhideWhenUsed/>
    <w:qFormat/>
    <w:uiPriority w:val="39"/>
    <w:pPr>
      <w:ind w:left="1400"/>
      <w:jc w:val="left"/>
    </w:pPr>
    <w:rPr>
      <w:rFonts w:ascii="Calibri" w:hAnsi="Calibri" w:cs="Calibri"/>
      <w:sz w:val="18"/>
      <w:szCs w:val="18"/>
    </w:rPr>
  </w:style>
  <w:style w:type="paragraph" w:styleId="20">
    <w:name w:val="toc 2"/>
    <w:basedOn w:val="1"/>
    <w:next w:val="1"/>
    <w:unhideWhenUsed/>
    <w:qFormat/>
    <w:uiPriority w:val="39"/>
    <w:pPr>
      <w:ind w:left="280"/>
      <w:jc w:val="left"/>
    </w:pPr>
    <w:rPr>
      <w:rFonts w:ascii="Calibri" w:hAnsi="Calibri" w:cs="Calibri"/>
      <w:smallCaps/>
      <w:sz w:val="20"/>
      <w:szCs w:val="20"/>
    </w:rPr>
  </w:style>
  <w:style w:type="paragraph" w:styleId="21">
    <w:name w:val="toc 9"/>
    <w:basedOn w:val="1"/>
    <w:next w:val="1"/>
    <w:unhideWhenUsed/>
    <w:qFormat/>
    <w:uiPriority w:val="39"/>
    <w:pPr>
      <w:ind w:left="2240"/>
      <w:jc w:val="left"/>
    </w:pPr>
    <w:rPr>
      <w:rFonts w:ascii="Calibri" w:hAnsi="Calibri" w:cs="Calibri"/>
      <w:sz w:val="18"/>
      <w:szCs w:val="18"/>
    </w:rPr>
  </w:style>
  <w:style w:type="paragraph" w:styleId="22">
    <w:name w:val="Title"/>
    <w:basedOn w:val="1"/>
    <w:next w:val="1"/>
    <w:link w:val="41"/>
    <w:qFormat/>
    <w:uiPriority w:val="10"/>
    <w:pPr>
      <w:spacing w:before="240" w:after="60"/>
      <w:jc w:val="center"/>
      <w:outlineLvl w:val="0"/>
    </w:pPr>
    <w:rPr>
      <w:rFonts w:ascii="Cambria" w:hAnsi="Cambria" w:eastAsia="宋体" w:cs="Times New Roman"/>
      <w:b/>
      <w:bCs/>
      <w:sz w:val="32"/>
      <w:szCs w:val="32"/>
    </w:rPr>
  </w:style>
  <w:style w:type="table" w:styleId="24">
    <w:name w:val="Table Grid"/>
    <w:basedOn w:val="2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Hyperlink"/>
    <w:unhideWhenUsed/>
    <w:qFormat/>
    <w:uiPriority w:val="99"/>
    <w:rPr>
      <w:color w:val="0000FF"/>
      <w:u w:val="single"/>
    </w:rPr>
  </w:style>
  <w:style w:type="paragraph" w:customStyle="1" w:styleId="27">
    <w:name w:val="Comment Text"/>
    <w:basedOn w:val="1"/>
    <w:link w:val="37"/>
    <w:unhideWhenUsed/>
    <w:qFormat/>
    <w:uiPriority w:val="99"/>
    <w:rPr>
      <w:rFonts w:ascii="Calibri" w:hAnsi="Calibri" w:cs="Times New Roman"/>
      <w:kern w:val="0"/>
      <w:sz w:val="20"/>
      <w:szCs w:val="20"/>
    </w:rPr>
  </w:style>
  <w:style w:type="paragraph" w:customStyle="1" w:styleId="28">
    <w:name w:val="Comment Subject"/>
    <w:basedOn w:val="27"/>
    <w:next w:val="27"/>
    <w:link w:val="42"/>
    <w:unhideWhenUsed/>
    <w:qFormat/>
    <w:uiPriority w:val="99"/>
    <w:rPr>
      <w:rFonts w:ascii="Calibri" w:hAnsi="Calibri"/>
      <w:b/>
      <w:bCs/>
    </w:rPr>
  </w:style>
  <w:style w:type="character" w:customStyle="1" w:styleId="29">
    <w:name w:val="Comment Reference"/>
    <w:unhideWhenUsed/>
    <w:qFormat/>
    <w:uiPriority w:val="99"/>
    <w:rPr>
      <w:sz w:val="16"/>
      <w:szCs w:val="16"/>
    </w:rPr>
  </w:style>
  <w:style w:type="character" w:customStyle="1" w:styleId="30">
    <w:name w:val="正文文本缩进 Char"/>
    <w:link w:val="3"/>
    <w:semiHidden/>
    <w:qFormat/>
    <w:uiPriority w:val="99"/>
    <w:rPr>
      <w:rFonts w:ascii="Calibri" w:hAnsi="Calibri" w:eastAsia="仿宋_GB2312" w:cs="黑体"/>
      <w:sz w:val="28"/>
    </w:rPr>
  </w:style>
  <w:style w:type="character" w:customStyle="1" w:styleId="31">
    <w:name w:val="正文首行缩进 2 Char"/>
    <w:link w:val="2"/>
    <w:qFormat/>
    <w:uiPriority w:val="0"/>
    <w:rPr>
      <w:rFonts w:ascii="Calibri" w:hAnsi="Calibri" w:eastAsia="仿宋_GB2312" w:cs="黑体"/>
      <w:sz w:val="28"/>
    </w:rPr>
  </w:style>
  <w:style w:type="character" w:customStyle="1" w:styleId="32">
    <w:name w:val="标题 1 Char"/>
    <w:link w:val="4"/>
    <w:uiPriority w:val="9"/>
    <w:rPr>
      <w:rFonts w:ascii="Times New Roman" w:hAnsi="Times New Roman" w:eastAsia="仿宋_GB2312" w:cs="Times New Roman"/>
      <w:b/>
      <w:bCs/>
      <w:kern w:val="44"/>
      <w:sz w:val="32"/>
      <w:szCs w:val="44"/>
    </w:rPr>
  </w:style>
  <w:style w:type="character" w:customStyle="1" w:styleId="33">
    <w:name w:val="标题 2 Char"/>
    <w:link w:val="5"/>
    <w:qFormat/>
    <w:uiPriority w:val="0"/>
    <w:rPr>
      <w:rFonts w:ascii="Cambria" w:hAnsi="Cambria" w:eastAsia="仿宋_GB2312" w:cs="Times New Roman"/>
      <w:b/>
      <w:bCs/>
      <w:kern w:val="0"/>
      <w:sz w:val="30"/>
      <w:szCs w:val="32"/>
    </w:rPr>
  </w:style>
  <w:style w:type="character" w:customStyle="1" w:styleId="34">
    <w:name w:val="标题 3 Char"/>
    <w:link w:val="6"/>
    <w:qFormat/>
    <w:uiPriority w:val="9"/>
    <w:rPr>
      <w:rFonts w:ascii="Calibri" w:hAnsi="Calibri" w:eastAsia="仿宋_GB2312" w:cs="黑体"/>
      <w:bCs/>
      <w:sz w:val="28"/>
      <w:szCs w:val="32"/>
    </w:rPr>
  </w:style>
  <w:style w:type="character" w:customStyle="1" w:styleId="35">
    <w:name w:val="标题 4 Char"/>
    <w:link w:val="7"/>
    <w:semiHidden/>
    <w:qFormat/>
    <w:uiPriority w:val="9"/>
    <w:rPr>
      <w:rFonts w:ascii="Cambria" w:hAnsi="Cambria" w:eastAsia="宋体" w:cs="Times New Roman"/>
      <w:b/>
      <w:bCs/>
      <w:sz w:val="28"/>
      <w:szCs w:val="28"/>
    </w:rPr>
  </w:style>
  <w:style w:type="character" w:customStyle="1" w:styleId="36">
    <w:name w:val="文档结构图 Char"/>
    <w:link w:val="9"/>
    <w:semiHidden/>
    <w:qFormat/>
    <w:uiPriority w:val="99"/>
    <w:rPr>
      <w:rFonts w:ascii="宋体" w:hAnsi="Calibri" w:eastAsia="宋体" w:cs="黑体"/>
      <w:sz w:val="18"/>
      <w:szCs w:val="18"/>
    </w:rPr>
  </w:style>
  <w:style w:type="character" w:customStyle="1" w:styleId="37">
    <w:name w:val="批注文字 Char"/>
    <w:link w:val="27"/>
    <w:semiHidden/>
    <w:uiPriority w:val="99"/>
    <w:rPr>
      <w:rFonts w:ascii="Calibri" w:hAnsi="Calibri" w:eastAsia="仿宋_GB2312" w:cs="黑体"/>
      <w:sz w:val="20"/>
      <w:szCs w:val="20"/>
    </w:rPr>
  </w:style>
  <w:style w:type="character" w:customStyle="1" w:styleId="38">
    <w:name w:val="批注框文本 Char"/>
    <w:link w:val="14"/>
    <w:semiHidden/>
    <w:qFormat/>
    <w:uiPriority w:val="99"/>
    <w:rPr>
      <w:rFonts w:ascii="Calibri" w:hAnsi="Calibri" w:eastAsia="仿宋_GB2312" w:cs="黑体"/>
      <w:sz w:val="18"/>
      <w:szCs w:val="18"/>
    </w:rPr>
  </w:style>
  <w:style w:type="character" w:customStyle="1" w:styleId="39">
    <w:name w:val="页脚 Char"/>
    <w:link w:val="15"/>
    <w:qFormat/>
    <w:uiPriority w:val="99"/>
    <w:rPr>
      <w:rFonts w:ascii="Calibri" w:hAnsi="Calibri" w:eastAsia="仿宋_GB2312" w:cs="黑体"/>
      <w:sz w:val="18"/>
      <w:szCs w:val="18"/>
    </w:rPr>
  </w:style>
  <w:style w:type="character" w:customStyle="1" w:styleId="40">
    <w:name w:val="页眉 Char"/>
    <w:link w:val="16"/>
    <w:qFormat/>
    <w:uiPriority w:val="99"/>
    <w:rPr>
      <w:rFonts w:ascii="Calibri" w:hAnsi="Calibri" w:eastAsia="仿宋_GB2312" w:cs="黑体"/>
      <w:sz w:val="18"/>
      <w:szCs w:val="18"/>
    </w:rPr>
  </w:style>
  <w:style w:type="character" w:customStyle="1" w:styleId="41">
    <w:name w:val="标题 Char"/>
    <w:link w:val="22"/>
    <w:qFormat/>
    <w:uiPriority w:val="10"/>
    <w:rPr>
      <w:rFonts w:ascii="Cambria" w:hAnsi="Cambria"/>
      <w:b/>
      <w:bCs/>
      <w:kern w:val="2"/>
      <w:sz w:val="32"/>
      <w:szCs w:val="32"/>
    </w:rPr>
  </w:style>
  <w:style w:type="character" w:customStyle="1" w:styleId="42">
    <w:name w:val="批注主题 Char"/>
    <w:link w:val="28"/>
    <w:semiHidden/>
    <w:qFormat/>
    <w:uiPriority w:val="99"/>
    <w:rPr>
      <w:rFonts w:ascii="Calibri" w:hAnsi="Calibri" w:eastAsia="仿宋_GB2312" w:cs="黑体"/>
      <w:b/>
      <w:bCs/>
      <w:sz w:val="20"/>
      <w:szCs w:val="20"/>
    </w:rPr>
  </w:style>
  <w:style w:type="character" w:customStyle="1" w:styleId="43">
    <w:name w:val="闻政-正文一级标题 Char"/>
    <w:link w:val="44"/>
    <w:qFormat/>
    <w:uiPriority w:val="3"/>
    <w:rPr>
      <w:rFonts w:ascii="黑体" w:hAnsi="黑体" w:eastAsia="黑体"/>
      <w:bCs/>
      <w:sz w:val="32"/>
      <w:szCs w:val="32"/>
    </w:rPr>
  </w:style>
  <w:style w:type="paragraph" w:customStyle="1" w:styleId="44">
    <w:name w:val="闻政-正文一级标题"/>
    <w:basedOn w:val="6"/>
    <w:next w:val="45"/>
    <w:link w:val="43"/>
    <w:qFormat/>
    <w:uiPriority w:val="3"/>
    <w:pPr>
      <w:spacing w:before="120" w:after="60" w:line="500" w:lineRule="exact"/>
      <w:ind w:firstLine="0" w:firstLineChars="0"/>
      <w:outlineLvl w:val="0"/>
    </w:pPr>
    <w:rPr>
      <w:rFonts w:ascii="黑体" w:hAnsi="黑体" w:eastAsia="黑体"/>
      <w:sz w:val="32"/>
    </w:rPr>
  </w:style>
  <w:style w:type="paragraph" w:customStyle="1" w:styleId="45">
    <w:name w:val="闻政-正文段落文字"/>
    <w:basedOn w:val="1"/>
    <w:link w:val="46"/>
    <w:qFormat/>
    <w:uiPriority w:val="3"/>
    <w:pPr>
      <w:spacing w:line="500" w:lineRule="exact"/>
      <w:ind w:firstLine="200"/>
    </w:pPr>
    <w:rPr>
      <w:rFonts w:cs="Times New Roman"/>
      <w:kern w:val="0"/>
      <w:szCs w:val="28"/>
    </w:rPr>
  </w:style>
  <w:style w:type="character" w:customStyle="1" w:styleId="46">
    <w:name w:val="闻政-正文段落文字 Char"/>
    <w:link w:val="45"/>
    <w:qFormat/>
    <w:uiPriority w:val="3"/>
    <w:rPr>
      <w:rFonts w:ascii="Times New Roman" w:hAnsi="Times New Roman" w:eastAsia="仿宋_GB2312"/>
      <w:sz w:val="28"/>
      <w:szCs w:val="28"/>
    </w:rPr>
  </w:style>
  <w:style w:type="character" w:customStyle="1" w:styleId="47">
    <w:name w:val="闻政-正文二级标题 Char"/>
    <w:link w:val="48"/>
    <w:qFormat/>
    <w:uiPriority w:val="3"/>
    <w:rPr>
      <w:rFonts w:ascii="Times New Roman" w:hAnsi="Times New Roman" w:eastAsia="仿宋_GB2312"/>
      <w:b/>
      <w:bCs/>
      <w:sz w:val="28"/>
      <w:szCs w:val="32"/>
    </w:rPr>
  </w:style>
  <w:style w:type="paragraph" w:customStyle="1" w:styleId="48">
    <w:name w:val="闻政-正文二级标题"/>
    <w:basedOn w:val="5"/>
    <w:next w:val="45"/>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9">
    <w:name w:val="font11"/>
    <w:qFormat/>
    <w:uiPriority w:val="0"/>
    <w:rPr>
      <w:rFonts w:hint="eastAsia" w:ascii="方正仿宋_GBK" w:hAnsi="方正仿宋_GBK" w:eastAsia="方正仿宋_GBK" w:cs="方正仿宋_GBK"/>
      <w:color w:val="000000"/>
      <w:sz w:val="24"/>
      <w:szCs w:val="24"/>
      <w:u w:val="none"/>
    </w:rPr>
  </w:style>
  <w:style w:type="character" w:customStyle="1" w:styleId="50">
    <w:name w:val="50"/>
    <w:qFormat/>
    <w:uiPriority w:val="0"/>
    <w:rPr>
      <w:b/>
      <w:bCs/>
      <w:smallCaps/>
      <w:color w:val="C0504D"/>
      <w:spacing w:val="5"/>
      <w:u w:val="single"/>
    </w:rPr>
  </w:style>
  <w:style w:type="character" w:customStyle="1" w:styleId="51">
    <w:name w:val="闻政-正文三级标题 Char"/>
    <w:link w:val="52"/>
    <w:qFormat/>
    <w:uiPriority w:val="3"/>
    <w:rPr>
      <w:rFonts w:ascii="Times New Roman" w:hAnsi="Times New Roman" w:eastAsia="仿宋_GB2312"/>
      <w:b/>
      <w:snapToGrid w:val="0"/>
      <w:sz w:val="28"/>
      <w:szCs w:val="28"/>
    </w:rPr>
  </w:style>
  <w:style w:type="paragraph" w:customStyle="1" w:styleId="52">
    <w:name w:val="闻政-正文三级标题"/>
    <w:basedOn w:val="1"/>
    <w:next w:val="45"/>
    <w:link w:val="51"/>
    <w:qFormat/>
    <w:uiPriority w:val="3"/>
    <w:pPr>
      <w:widowControl/>
      <w:spacing w:before="120" w:after="60" w:line="500" w:lineRule="exact"/>
      <w:ind w:left="200" w:leftChars="200" w:firstLine="0" w:firstLineChars="0"/>
    </w:pPr>
    <w:rPr>
      <w:rFonts w:cs="Times New Roman"/>
      <w:b/>
      <w:snapToGrid w:val="0"/>
      <w:kern w:val="0"/>
      <w:szCs w:val="28"/>
    </w:rPr>
  </w:style>
  <w:style w:type="character" w:customStyle="1" w:styleId="53">
    <w:name w:val="font21"/>
    <w:qFormat/>
    <w:uiPriority w:val="0"/>
    <w:rPr>
      <w:rFonts w:hint="default" w:ascii="Times New Roman" w:hAnsi="Times New Roman" w:cs="Times New Roman"/>
      <w:color w:val="000000"/>
      <w:sz w:val="24"/>
      <w:szCs w:val="24"/>
      <w:u w:val="none"/>
    </w:rPr>
  </w:style>
  <w:style w:type="character" w:customStyle="1" w:styleId="54">
    <w:name w:val="无间隔 Char"/>
    <w:link w:val="55"/>
    <w:qFormat/>
    <w:uiPriority w:val="1"/>
    <w:rPr>
      <w:rFonts w:eastAsia="仿宋_GB2312" w:cs="黑体"/>
      <w:kern w:val="2"/>
      <w:sz w:val="28"/>
      <w:szCs w:val="22"/>
      <w:lang w:val="en-US" w:eastAsia="zh-CN" w:bidi="ar-SA"/>
    </w:rPr>
  </w:style>
  <w:style w:type="paragraph" w:styleId="55">
    <w:name w:val="No Spacing"/>
    <w:link w:val="54"/>
    <w:qFormat/>
    <w:uiPriority w:val="1"/>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56">
    <w:name w:val="List Paragraph"/>
    <w:basedOn w:val="1"/>
    <w:qFormat/>
    <w:uiPriority w:val="34"/>
    <w:pPr>
      <w:ind w:firstLine="420"/>
    </w:pPr>
  </w:style>
  <w:style w:type="paragraph" w:customStyle="1" w:styleId="57">
    <w:name w:val="和田正文1a"/>
    <w:basedOn w:val="1"/>
    <w:qFormat/>
    <w:uiPriority w:val="0"/>
    <w:pPr>
      <w:spacing w:line="560" w:lineRule="exact"/>
      <w:ind w:firstLine="1004" w:firstLineChars="200"/>
      <w:jc w:val="left"/>
    </w:pPr>
    <w:rPr>
      <w:rFonts w:ascii="Times New Roman" w:hAnsi="Times New Roman" w:cs="Times New Roman"/>
      <w:kern w:val="0"/>
      <w:sz w:val="32"/>
      <w:szCs w:val="32"/>
      <w:lang w:bidi="en-US"/>
    </w:rPr>
  </w:style>
  <w:style w:type="character" w:customStyle="1" w:styleId="58">
    <w:name w:val="font71"/>
    <w:basedOn w:val="25"/>
    <w:qFormat/>
    <w:uiPriority w:val="0"/>
    <w:rPr>
      <w:rFonts w:hint="eastAsia" w:ascii="微软雅黑" w:hAnsi="微软雅黑" w:eastAsia="微软雅黑" w:cs="微软雅黑"/>
      <w:b/>
      <w:bCs/>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AF55E518523748EDA7C887764088D7F1_13</vt:lpwstr>
  </property>
  <property fmtid="{D5CDD505-2E9C-101B-9397-08002B2CF9AE}" pid="4" name="KSOTemplateDocerSaveRecord">
    <vt:lpwstr>eyJoZGlkIjoiMDljYzUzMWQ4OWI0YzBkYjYzMDRhZTY5ZjZkYmFmYTgiLCJ1c2VySWQiOiI2NTE5NDIwMjYifQ==</vt:lpwstr>
  </property>
</Properties>
</file>

<file path=customXml/itemProps1.xml><?xml version="1.0" encoding="utf-8"?>
<ds:datastoreItem xmlns:ds="http://schemas.openxmlformats.org/officeDocument/2006/customXml" ds:itemID="{070b9e3f-08cc-4ffb-8aa8-fd4b86ea162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25</Pages>
  <Words>7888</Words>
  <Characters>8352</Characters>
  <Lines>107</Lines>
  <Paragraphs>30</Paragraphs>
  <TotalTime>0</TotalTime>
  <ScaleCrop>false</ScaleCrop>
  <LinksUpToDate>false</LinksUpToDate>
  <CharactersWithSpaces>8381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2021-04-03T09:53:00Z</dcterms:created>
  <dc:creator>User</dc:creator>
  <cp:lastModifiedBy>忆</cp:lastModifiedBy>
  <dcterms:modified xsi:type="dcterms:W3CDTF">2025-11-28T08:44:41Z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AF55E518523748EDA7C887764088D7F1_13</vt:lpwstr>
  </property>
  <property fmtid="{D5CDD505-2E9C-101B-9397-08002B2CF9AE}" pid="4" name="KSOTemplateDocerSaveRecord">
    <vt:lpwstr>eyJoZGlkIjoiMzEwNjkzMWMxZWMzNzU0NmUyNzQ2NGY3YzlmZjBhZDUiLCJ1c2VySWQiOiI0OTMxMTE3MjUifQ==</vt:lpwstr>
  </property>
</Properties>
</file>