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0DBF7"/>
    <w:p w14:paraId="15756F76">
      <w:pPr>
        <w:pageBreakBefore w:val="0"/>
        <w:widowControl w:val="0"/>
        <w:kinsoku/>
        <w:wordWrap/>
        <w:topLinePunct w:val="0"/>
        <w:autoSpaceDE/>
        <w:autoSpaceDN/>
        <w:bidi w:val="0"/>
        <w:adjustRightInd/>
        <w:snapToGrid/>
        <w:spacing w:line="360" w:lineRule="auto"/>
        <w:ind w:left="0" w:leftChars="0" w:firstLine="640" w:firstLineChars="200"/>
        <w:textAlignment w:val="auto"/>
        <w:rPr>
          <w:rFonts w:hint="default" w:eastAsia="方正仿宋_GBK" w:cs="方正仿宋_GBK"/>
          <w:b/>
          <w:color w:val="auto"/>
          <w:kern w:val="0"/>
          <w:sz w:val="32"/>
          <w:szCs w:val="32"/>
          <w:lang w:val="en-US" w:eastAsia="zh-CN" w:bidi="en-US"/>
        </w:rPr>
      </w:pPr>
    </w:p>
    <w:p w14:paraId="400CFCDD">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000000"/>
          <w:sz w:val="36"/>
          <w:szCs w:val="36"/>
          <w:highlight w:val="none"/>
          <w:lang w:val="en-US" w:eastAsia="zh-CN"/>
        </w:rPr>
      </w:pPr>
      <w:r>
        <w:rPr>
          <w:rFonts w:hint="eastAsia" w:ascii="黑体" w:hAnsi="黑体" w:eastAsia="黑体" w:cs="黑体"/>
          <w:b/>
          <w:color w:val="000000"/>
          <w:sz w:val="36"/>
          <w:szCs w:val="36"/>
          <w:highlight w:val="none"/>
          <w:lang w:val="en-US" w:eastAsia="zh-CN"/>
        </w:rPr>
        <w:t>和田地区洛浦县2024年村级运转经费项目</w:t>
      </w:r>
    </w:p>
    <w:p w14:paraId="0D6EE4C5">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color w:val="000000"/>
          <w:sz w:val="36"/>
          <w:szCs w:val="36"/>
          <w:highlight w:val="none"/>
          <w:lang w:val="en-US" w:eastAsia="zh-CN"/>
        </w:rPr>
      </w:pPr>
      <w:r>
        <w:rPr>
          <w:rFonts w:hint="eastAsia" w:ascii="黑体" w:hAnsi="黑体" w:eastAsia="黑体" w:cs="黑体"/>
          <w:b/>
          <w:color w:val="000000"/>
          <w:sz w:val="36"/>
          <w:szCs w:val="36"/>
          <w:highlight w:val="none"/>
          <w:lang w:val="en-US" w:eastAsia="zh-CN"/>
        </w:rPr>
        <w:t>支出绩效评价报告</w:t>
      </w:r>
    </w:p>
    <w:p w14:paraId="26D0EBF4">
      <w:pPr>
        <w:pStyle w:val="6"/>
        <w:ind w:left="0" w:leftChars="0" w:firstLine="0" w:firstLineChars="0"/>
        <w:jc w:val="center"/>
        <w:rPr>
          <w:rFonts w:hint="eastAsia" w:ascii="黑体" w:hAnsi="黑体" w:eastAsia="黑体" w:cs="黑体"/>
          <w:b/>
          <w:bCs w:val="0"/>
          <w:color w:val="000000"/>
          <w:sz w:val="28"/>
          <w:szCs w:val="28"/>
          <w:highlight w:val="none"/>
          <w:lang w:eastAsia="zh-CN"/>
        </w:rPr>
      </w:pPr>
      <w:r>
        <w:rPr>
          <w:rFonts w:hint="eastAsia" w:ascii="黑体" w:hAnsi="黑体" w:eastAsia="黑体" w:cs="黑体"/>
          <w:b/>
          <w:bCs w:val="0"/>
          <w:color w:val="000000"/>
          <w:sz w:val="28"/>
          <w:szCs w:val="28"/>
          <w:highlight w:val="none"/>
          <w:lang w:eastAsia="zh-CN"/>
        </w:rPr>
        <w:t>（</w:t>
      </w:r>
      <w:r>
        <w:rPr>
          <w:rFonts w:hint="eastAsia" w:ascii="黑体" w:hAnsi="黑体" w:eastAsia="黑体" w:cs="黑体"/>
          <w:b/>
          <w:bCs w:val="0"/>
          <w:color w:val="000000"/>
          <w:sz w:val="28"/>
          <w:szCs w:val="28"/>
          <w:highlight w:val="none"/>
          <w:lang w:val="en-US" w:eastAsia="zh-CN"/>
        </w:rPr>
        <w:t>2024年度</w:t>
      </w:r>
      <w:r>
        <w:rPr>
          <w:rFonts w:hint="eastAsia" w:ascii="黑体" w:hAnsi="黑体" w:eastAsia="黑体" w:cs="黑体"/>
          <w:b/>
          <w:bCs w:val="0"/>
          <w:color w:val="000000"/>
          <w:sz w:val="28"/>
          <w:szCs w:val="28"/>
          <w:highlight w:val="none"/>
          <w:lang w:eastAsia="zh-CN"/>
        </w:rPr>
        <w:t>）</w:t>
      </w:r>
    </w:p>
    <w:p w14:paraId="103463EB">
      <w:pPr>
        <w:pStyle w:val="6"/>
        <w:ind w:left="0" w:leftChars="0" w:firstLine="0" w:firstLineChars="0"/>
        <w:jc w:val="center"/>
        <w:rPr>
          <w:rFonts w:hint="eastAsia" w:eastAsia="方正仿宋_GBK" w:cs="方正仿宋_GBK"/>
          <w:b/>
          <w:color w:val="auto"/>
          <w:kern w:val="0"/>
          <w:sz w:val="32"/>
          <w:szCs w:val="32"/>
          <w:lang w:bidi="en-US"/>
        </w:rPr>
      </w:pPr>
    </w:p>
    <w:p w14:paraId="7952AD75">
      <w:pPr>
        <w:pageBreakBefore w:val="0"/>
        <w:widowControl w:val="0"/>
        <w:kinsoku/>
        <w:wordWrap/>
        <w:topLinePunct w:val="0"/>
        <w:autoSpaceDE/>
        <w:autoSpaceDN/>
        <w:bidi w:val="0"/>
        <w:adjustRightInd/>
        <w:snapToGrid/>
        <w:spacing w:line="360" w:lineRule="auto"/>
        <w:ind w:left="0" w:leftChars="0" w:firstLine="640" w:firstLineChars="200"/>
        <w:jc w:val="center"/>
        <w:textAlignment w:val="auto"/>
        <w:rPr>
          <w:rFonts w:hint="eastAsia" w:eastAsia="方正仿宋_GBK" w:cs="方正仿宋_GBK"/>
          <w:b/>
          <w:color w:val="auto"/>
          <w:kern w:val="0"/>
          <w:sz w:val="32"/>
          <w:szCs w:val="32"/>
          <w:lang w:bidi="en-US"/>
        </w:rPr>
      </w:pPr>
    </w:p>
    <w:p w14:paraId="54A6FEB0">
      <w:pPr>
        <w:pStyle w:val="6"/>
        <w:pageBreakBefore w:val="0"/>
        <w:kinsoku/>
        <w:wordWrap/>
        <w:topLinePunct w:val="0"/>
        <w:autoSpaceDE/>
        <w:autoSpaceDN/>
        <w:bidi w:val="0"/>
        <w:adjustRightInd/>
        <w:snapToGrid/>
        <w:spacing w:before="0" w:after="0" w:line="360" w:lineRule="auto"/>
        <w:ind w:left="0" w:leftChars="0" w:firstLine="640" w:firstLineChars="200"/>
        <w:rPr>
          <w:rFonts w:hint="eastAsia" w:eastAsia="方正仿宋_GBK" w:cs="方正仿宋_GBK"/>
          <w:b/>
          <w:color w:val="auto"/>
          <w:kern w:val="0"/>
          <w:sz w:val="32"/>
          <w:szCs w:val="32"/>
          <w:lang w:bidi="en-US"/>
        </w:rPr>
      </w:pPr>
    </w:p>
    <w:p w14:paraId="6F5DD75B">
      <w:pPr>
        <w:pageBreakBefore w:val="0"/>
        <w:kinsoku/>
        <w:wordWrap/>
        <w:topLinePunct w:val="0"/>
        <w:autoSpaceDE/>
        <w:autoSpaceDN/>
        <w:bidi w:val="0"/>
        <w:adjustRightInd/>
        <w:snapToGrid/>
        <w:spacing w:line="360" w:lineRule="auto"/>
        <w:ind w:left="0" w:leftChars="0" w:firstLine="640" w:firstLineChars="200"/>
        <w:rPr>
          <w:rFonts w:hint="eastAsia" w:eastAsia="方正仿宋_GBK" w:cs="方正仿宋_GBK"/>
          <w:b/>
          <w:color w:val="auto"/>
          <w:kern w:val="0"/>
          <w:sz w:val="32"/>
          <w:szCs w:val="32"/>
          <w:lang w:bidi="en-US"/>
        </w:rPr>
      </w:pPr>
    </w:p>
    <w:p w14:paraId="070A5E64">
      <w:pPr>
        <w:pStyle w:val="6"/>
        <w:pageBreakBefore w:val="0"/>
        <w:kinsoku/>
        <w:wordWrap/>
        <w:topLinePunct w:val="0"/>
        <w:autoSpaceDE/>
        <w:autoSpaceDN/>
        <w:bidi w:val="0"/>
        <w:adjustRightInd/>
        <w:snapToGrid/>
        <w:spacing w:before="0" w:after="0" w:line="360" w:lineRule="auto"/>
        <w:ind w:left="0" w:leftChars="0" w:firstLine="560" w:firstLineChars="200"/>
        <w:rPr>
          <w:rFonts w:hint="eastAsia"/>
          <w:color w:val="auto"/>
        </w:rPr>
      </w:pPr>
    </w:p>
    <w:p w14:paraId="7E5E6E9C">
      <w:pPr>
        <w:pStyle w:val="6"/>
        <w:pageBreakBefore w:val="0"/>
        <w:widowControl w:val="0"/>
        <w:kinsoku/>
        <w:wordWrap/>
        <w:topLinePunct w:val="0"/>
        <w:autoSpaceDE/>
        <w:autoSpaceDN/>
        <w:bidi w:val="0"/>
        <w:adjustRightInd/>
        <w:snapToGrid/>
        <w:spacing w:before="0" w:after="0" w:line="360" w:lineRule="auto"/>
        <w:ind w:left="0" w:leftChars="0" w:firstLine="640" w:firstLineChars="200"/>
        <w:textAlignment w:val="auto"/>
        <w:rPr>
          <w:rFonts w:hint="eastAsia" w:eastAsia="方正仿宋_GBK" w:cs="方正仿宋_GBK"/>
          <w:b/>
          <w:color w:val="auto"/>
          <w:sz w:val="32"/>
          <w:lang w:bidi="en-US"/>
        </w:rPr>
      </w:pPr>
    </w:p>
    <w:p w14:paraId="58358057">
      <w:pPr>
        <w:pageBreakBefore w:val="0"/>
        <w:widowControl w:val="0"/>
        <w:kinsoku/>
        <w:wordWrap/>
        <w:topLinePunct w:val="0"/>
        <w:autoSpaceDE/>
        <w:autoSpaceDN/>
        <w:bidi w:val="0"/>
        <w:adjustRightInd/>
        <w:snapToGrid/>
        <w:spacing w:line="360" w:lineRule="auto"/>
        <w:ind w:left="0" w:leftChars="0" w:firstLine="560" w:firstLineChars="200"/>
        <w:textAlignment w:val="auto"/>
        <w:rPr>
          <w:rFonts w:hint="eastAsia"/>
          <w:color w:val="auto"/>
        </w:rPr>
      </w:pPr>
    </w:p>
    <w:p w14:paraId="793FA76E">
      <w:pPr>
        <w:pageBreakBefore w:val="0"/>
        <w:widowControl w:val="0"/>
        <w:kinsoku/>
        <w:wordWrap/>
        <w:topLinePunct w:val="0"/>
        <w:autoSpaceDE/>
        <w:autoSpaceDN/>
        <w:bidi w:val="0"/>
        <w:adjustRightInd/>
        <w:snapToGrid/>
        <w:spacing w:line="360" w:lineRule="auto"/>
        <w:ind w:left="0" w:leftChars="0" w:firstLine="640" w:firstLineChars="200"/>
        <w:textAlignment w:val="auto"/>
        <w:rPr>
          <w:rFonts w:hint="eastAsia" w:eastAsia="方正仿宋_GBK" w:cs="方正仿宋_GBK"/>
          <w:color w:val="auto"/>
          <w:kern w:val="0"/>
          <w:sz w:val="32"/>
          <w:szCs w:val="32"/>
          <w:lang w:bidi="en-US"/>
        </w:rPr>
      </w:pPr>
    </w:p>
    <w:p w14:paraId="70E67A36">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项目名称：2024年村级运转经费目</w:t>
      </w:r>
    </w:p>
    <w:p w14:paraId="7E884DB3">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eastAsia="zh-CN" w:bidi="en-US"/>
        </w:rPr>
      </w:pPr>
      <w:r>
        <w:rPr>
          <w:rFonts w:hint="eastAsia" w:ascii="宋体" w:hAnsi="宋体" w:eastAsia="宋体" w:cs="宋体"/>
          <w:b/>
          <w:bCs/>
          <w:color w:val="000000"/>
          <w:kern w:val="0"/>
          <w:sz w:val="28"/>
          <w:szCs w:val="28"/>
          <w:highlight w:val="none"/>
          <w:lang w:bidi="en-US"/>
        </w:rPr>
        <w:t>项目单位：</w:t>
      </w:r>
      <w:r>
        <w:rPr>
          <w:rFonts w:hint="eastAsia" w:ascii="宋体" w:hAnsi="宋体" w:eastAsia="宋体" w:cs="宋体"/>
          <w:b/>
          <w:bCs/>
          <w:color w:val="000000"/>
          <w:kern w:val="0"/>
          <w:sz w:val="28"/>
          <w:szCs w:val="28"/>
          <w:highlight w:val="none"/>
          <w:lang w:eastAsia="zh-CN" w:bidi="en-US"/>
        </w:rPr>
        <w:t>洛浦县拜什托格拉克乡人民政府</w:t>
      </w:r>
    </w:p>
    <w:p w14:paraId="6FB82F00">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eastAsia="zh-CN" w:bidi="en-US"/>
        </w:rPr>
      </w:pPr>
      <w:r>
        <w:rPr>
          <w:rFonts w:hint="eastAsia" w:ascii="宋体" w:hAnsi="宋体" w:eastAsia="宋体" w:cs="宋体"/>
          <w:b/>
          <w:bCs/>
          <w:color w:val="000000"/>
          <w:kern w:val="0"/>
          <w:sz w:val="28"/>
          <w:szCs w:val="28"/>
          <w:highlight w:val="none"/>
          <w:lang w:bidi="en-US"/>
        </w:rPr>
        <w:t>主管部门：</w:t>
      </w:r>
      <w:r>
        <w:rPr>
          <w:rFonts w:hint="eastAsia" w:ascii="宋体" w:hAnsi="宋体" w:eastAsia="宋体" w:cs="宋体"/>
          <w:b/>
          <w:bCs/>
          <w:color w:val="000000"/>
          <w:kern w:val="0"/>
          <w:sz w:val="28"/>
          <w:szCs w:val="28"/>
          <w:highlight w:val="none"/>
          <w:lang w:eastAsia="zh-CN" w:bidi="en-US"/>
        </w:rPr>
        <w:t>洛浦县乡村振兴局</w:t>
      </w:r>
    </w:p>
    <w:p w14:paraId="131CF87D">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val="en-US" w:eastAsia="zh-CN" w:bidi="en-US"/>
        </w:rPr>
      </w:pPr>
      <w:r>
        <w:rPr>
          <w:rFonts w:hint="eastAsia" w:ascii="宋体" w:hAnsi="宋体" w:eastAsia="宋体" w:cs="宋体"/>
          <w:b/>
          <w:bCs/>
          <w:color w:val="000000"/>
          <w:kern w:val="0"/>
          <w:sz w:val="28"/>
          <w:szCs w:val="28"/>
          <w:highlight w:val="none"/>
          <w:lang w:bidi="en-US"/>
        </w:rPr>
        <w:t>项目负责人：</w:t>
      </w:r>
      <w:r>
        <w:rPr>
          <w:rFonts w:hint="eastAsia" w:ascii="宋体" w:hAnsi="宋体" w:eastAsia="宋体" w:cs="宋体"/>
          <w:b/>
          <w:bCs/>
          <w:color w:val="000000"/>
          <w:kern w:val="0"/>
          <w:sz w:val="28"/>
          <w:szCs w:val="28"/>
          <w:highlight w:val="none"/>
          <w:lang w:val="en-US" w:eastAsia="zh-CN" w:bidi="en-US"/>
        </w:rPr>
        <w:t>黄得坚</w:t>
      </w:r>
    </w:p>
    <w:p w14:paraId="2D5004F5">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填报时间：</w:t>
      </w:r>
      <w:r>
        <w:rPr>
          <w:rFonts w:hint="eastAsia" w:ascii="宋体" w:hAnsi="宋体" w:eastAsia="宋体" w:cs="宋体"/>
          <w:b/>
          <w:bCs/>
          <w:color w:val="000000"/>
          <w:kern w:val="0"/>
          <w:sz w:val="28"/>
          <w:szCs w:val="28"/>
          <w:highlight w:val="none"/>
          <w:lang w:val="en-US" w:eastAsia="zh-CN" w:bidi="en-US"/>
        </w:rPr>
        <w:t>2025</w:t>
      </w:r>
      <w:r>
        <w:rPr>
          <w:rFonts w:hint="eastAsia" w:ascii="宋体" w:hAnsi="宋体" w:eastAsia="宋体" w:cs="宋体"/>
          <w:b/>
          <w:bCs/>
          <w:color w:val="000000"/>
          <w:kern w:val="0"/>
          <w:sz w:val="28"/>
          <w:szCs w:val="28"/>
          <w:highlight w:val="none"/>
          <w:lang w:bidi="en-US"/>
        </w:rPr>
        <w:t>年</w:t>
      </w:r>
      <w:r>
        <w:rPr>
          <w:rFonts w:hint="eastAsia" w:ascii="宋体" w:hAnsi="宋体" w:eastAsia="宋体" w:cs="宋体"/>
          <w:b/>
          <w:bCs/>
          <w:color w:val="000000"/>
          <w:kern w:val="0"/>
          <w:sz w:val="28"/>
          <w:szCs w:val="28"/>
          <w:highlight w:val="none"/>
          <w:lang w:val="en-US" w:eastAsia="zh-CN" w:bidi="en-US"/>
        </w:rPr>
        <w:t>3</w:t>
      </w:r>
      <w:r>
        <w:rPr>
          <w:rFonts w:hint="eastAsia" w:ascii="宋体" w:hAnsi="宋体" w:eastAsia="宋体" w:cs="宋体"/>
          <w:b/>
          <w:bCs/>
          <w:color w:val="000000"/>
          <w:kern w:val="0"/>
          <w:sz w:val="28"/>
          <w:szCs w:val="28"/>
          <w:highlight w:val="none"/>
          <w:lang w:bidi="en-US"/>
        </w:rPr>
        <w:t>月</w:t>
      </w:r>
      <w:r>
        <w:rPr>
          <w:rFonts w:hint="eastAsia" w:ascii="宋体" w:hAnsi="宋体" w:eastAsia="宋体" w:cs="宋体"/>
          <w:b/>
          <w:bCs/>
          <w:color w:val="000000"/>
          <w:kern w:val="0"/>
          <w:sz w:val="28"/>
          <w:szCs w:val="28"/>
          <w:highlight w:val="none"/>
          <w:lang w:val="en-US" w:eastAsia="zh-CN" w:bidi="en-US"/>
        </w:rPr>
        <w:t>31</w:t>
      </w:r>
      <w:r>
        <w:rPr>
          <w:rFonts w:hint="eastAsia" w:ascii="宋体" w:hAnsi="宋体" w:eastAsia="宋体" w:cs="宋体"/>
          <w:b/>
          <w:bCs/>
          <w:color w:val="000000"/>
          <w:kern w:val="0"/>
          <w:sz w:val="28"/>
          <w:szCs w:val="28"/>
          <w:highlight w:val="none"/>
          <w:lang w:bidi="en-US"/>
        </w:rPr>
        <w:t>日</w:t>
      </w:r>
      <w:bookmarkStart w:id="0" w:name="_Toc68364657"/>
    </w:p>
    <w:p w14:paraId="176B2000">
      <w:pPr>
        <w:pageBreakBefore w:val="0"/>
        <w:widowControl w:val="0"/>
        <w:kinsoku/>
        <w:wordWrap/>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bidi="en-US"/>
        </w:rPr>
      </w:pPr>
    </w:p>
    <w:p w14:paraId="4BA2E8BA">
      <w:pPr>
        <w:pageBreakBefore w:val="0"/>
        <w:widowControl w:val="0"/>
        <w:kinsoku/>
        <w:wordWrap/>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bidi="en-US"/>
        </w:rPr>
      </w:pPr>
    </w:p>
    <w:bookmarkEnd w:id="0"/>
    <w:p w14:paraId="429AF9CE">
      <w:pPr>
        <w:pageBreakBefore w:val="0"/>
        <w:widowControl w:val="0"/>
        <w:kinsoku/>
        <w:wordWrap/>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kern w:val="0"/>
          <w:sz w:val="24"/>
          <w:szCs w:val="24"/>
          <w:lang w:bidi="en-US"/>
        </w:rPr>
      </w:pPr>
    </w:p>
    <w:p w14:paraId="40AFB654">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color w:val="000000"/>
          <w:sz w:val="24"/>
          <w:szCs w:val="24"/>
          <w:highlight w:val="none"/>
        </w:rPr>
      </w:pPr>
      <w:r>
        <w:rPr>
          <w:rFonts w:hint="eastAsia" w:ascii="黑体" w:hAnsi="黑体" w:eastAsia="黑体" w:cs="黑体"/>
          <w:color w:val="000000"/>
          <w:sz w:val="24"/>
          <w:szCs w:val="24"/>
          <w:highlight w:val="none"/>
          <w:lang w:val="en-US" w:eastAsia="zh-CN"/>
        </w:rPr>
        <w:t>一、</w:t>
      </w:r>
      <w:r>
        <w:rPr>
          <w:rFonts w:hint="eastAsia" w:ascii="黑体" w:hAnsi="黑体" w:eastAsia="黑体" w:cs="黑体"/>
          <w:color w:val="000000"/>
          <w:sz w:val="24"/>
          <w:szCs w:val="24"/>
          <w:highlight w:val="none"/>
        </w:rPr>
        <w:t>基本情况</w:t>
      </w:r>
    </w:p>
    <w:p w14:paraId="41E8962D">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bookmarkStart w:id="1" w:name="_Toc68364658"/>
      <w:r>
        <w:rPr>
          <w:rFonts w:hint="eastAsia" w:ascii="宋体" w:hAnsi="宋体" w:eastAsia="宋体" w:cs="宋体"/>
          <w:color w:val="000000"/>
          <w:sz w:val="24"/>
          <w:szCs w:val="24"/>
          <w:highlight w:val="none"/>
          <w:lang w:eastAsia="zh-CN"/>
        </w:rPr>
        <w:t>（一）</w:t>
      </w:r>
      <w:r>
        <w:rPr>
          <w:rFonts w:hint="eastAsia" w:ascii="宋体" w:hAnsi="宋体" w:eastAsia="宋体" w:cs="宋体"/>
          <w:color w:val="000000"/>
          <w:sz w:val="24"/>
          <w:szCs w:val="24"/>
          <w:highlight w:val="none"/>
        </w:rPr>
        <w:t>项目概况</w:t>
      </w:r>
      <w:bookmarkEnd w:id="1"/>
    </w:p>
    <w:p w14:paraId="6ED3EB7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1.项目背景</w:t>
      </w:r>
    </w:p>
    <w:p w14:paraId="55186BF4">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为深入贯彻落实2024年中央和自治区农村综合改革转移支付预算，进一步做好和田地区农村公益事业财政奖补资金项目，根据洛财纪字【2024】9号、洛财纪字【2024】12号文件要求，结合我乡实际制定本方案。</w:t>
      </w:r>
    </w:p>
    <w:p w14:paraId="0B8C3FF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2.</w:t>
      </w:r>
      <w:r>
        <w:rPr>
          <w:rFonts w:hint="eastAsia" w:ascii="宋体" w:hAnsi="宋体" w:eastAsia="宋体" w:cs="宋体"/>
          <w:b/>
          <w:bCs/>
          <w:color w:val="000000"/>
          <w:sz w:val="24"/>
          <w:szCs w:val="24"/>
          <w:highlight w:val="none"/>
        </w:rPr>
        <w:t>主要内容及实施情况</w:t>
      </w:r>
    </w:p>
    <w:p w14:paraId="40A75E8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1）主要内容</w:t>
      </w:r>
    </w:p>
    <w:p w14:paraId="1C8F87E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洛浦县财经委员会会议纪要》（洛财纪字〔2023〕4号）文件实施此项目，项目主要内容为：保障辖区内13个行政村的办公经费、电费等各项运转经费，确保14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p w14:paraId="048CD21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（2）实施情况</w:t>
      </w:r>
    </w:p>
    <w:p w14:paraId="745579ED">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1）项目实施主体</w:t>
      </w:r>
    </w:p>
    <w:p w14:paraId="7958910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本项目主管部门为洛浦县财政局，实施单位为洛浦县拜什托格拉克乡人民政府14个村。</w:t>
      </w:r>
    </w:p>
    <w:p w14:paraId="38D35E15">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2）项目实施时间</w:t>
      </w:r>
    </w:p>
    <w:p w14:paraId="7CC6D73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2024年1月-2024年12月</w:t>
      </w:r>
    </w:p>
    <w:p w14:paraId="30333493">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3）项目实施情况</w:t>
      </w:r>
    </w:p>
    <w:p w14:paraId="4AA9328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资金来源：项目总预算63元，实际拨付金额62.04万元，主要来源于财政拨款62.04元，占比100%；社会捐赠0元，占比0%；村集体经济收入自筹0元，占比0%；资金支出明细：办公经费39.54万元，包括办公用品购置、通讯费等日常办公开销；电费1.62万元，，用于办公区域照明，印刷费5.9万元，取暖费3.63万元，维修维护费2.18万元，租赁费1.84万元，劳务费0.49万元，其他商品服务支出6.84万元。主要成效：组织运转效率提升：稳定的经费保障使得村组织能够按时开展各类会议、工作部署与落实，决策执行更加高效；公共服务水平提高；基层组织建设加强，党建活动经费保障党组织活动丰富多样，党员参与积极性提高，密切党群关系，增强党组织在群众中的影响力和号召力。</w:t>
      </w:r>
    </w:p>
    <w:p w14:paraId="6F3AA0C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.资金投入和使用情况</w:t>
      </w:r>
    </w:p>
    <w:p w14:paraId="6C9EAD2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（1）项目资金安排</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投入情况</w:t>
      </w:r>
    </w:p>
    <w:p w14:paraId="6A4ADEC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本项目预算安排总额为</w:t>
      </w:r>
      <w:r>
        <w:rPr>
          <w:rFonts w:hint="eastAsia" w:ascii="宋体" w:hAnsi="宋体" w:eastAsia="宋体" w:cs="宋体"/>
          <w:color w:val="auto"/>
          <w:sz w:val="24"/>
          <w:szCs w:val="24"/>
          <w:lang w:val="en-US" w:eastAsia="zh-CN"/>
        </w:rPr>
        <w:t>63</w:t>
      </w:r>
      <w:r>
        <w:rPr>
          <w:rFonts w:hint="eastAsia" w:ascii="宋体" w:hAnsi="宋体" w:eastAsia="宋体" w:cs="宋体"/>
          <w:color w:val="auto"/>
          <w:sz w:val="24"/>
          <w:szCs w:val="24"/>
        </w:rPr>
        <w:t>万元，资金来源为部门预算，其中：财政资金</w:t>
      </w:r>
      <w:r>
        <w:rPr>
          <w:rFonts w:hint="eastAsia" w:ascii="宋体" w:hAnsi="宋体" w:eastAsia="宋体" w:cs="宋体"/>
          <w:color w:val="auto"/>
          <w:sz w:val="24"/>
          <w:szCs w:val="24"/>
          <w:lang w:val="en-US" w:eastAsia="zh-CN"/>
        </w:rPr>
        <w:t>63</w:t>
      </w:r>
      <w:r>
        <w:rPr>
          <w:rFonts w:hint="eastAsia" w:ascii="宋体" w:hAnsi="宋体" w:eastAsia="宋体" w:cs="宋体"/>
          <w:color w:val="auto"/>
          <w:sz w:val="24"/>
          <w:szCs w:val="24"/>
        </w:rPr>
        <w:t>万元，其他资金</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含自有资金、社会资金及以前年度结转结余资金）0</w:t>
      </w:r>
      <w:r>
        <w:rPr>
          <w:rFonts w:hint="eastAsia" w:ascii="宋体" w:hAnsi="宋体" w:eastAsia="宋体" w:cs="宋体"/>
          <w:color w:val="auto"/>
          <w:sz w:val="24"/>
          <w:szCs w:val="24"/>
        </w:rPr>
        <w:t>万元，202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年实际收到预算资金</w:t>
      </w:r>
      <w:r>
        <w:rPr>
          <w:rFonts w:hint="eastAsia" w:ascii="宋体" w:hAnsi="宋体" w:eastAsia="宋体" w:cs="宋体"/>
          <w:color w:val="auto"/>
          <w:sz w:val="24"/>
          <w:szCs w:val="24"/>
          <w:lang w:val="en-US" w:eastAsia="zh-CN"/>
        </w:rPr>
        <w:t>62.04</w:t>
      </w:r>
      <w:r>
        <w:rPr>
          <w:rFonts w:hint="eastAsia" w:ascii="宋体" w:hAnsi="宋体" w:eastAsia="宋体" w:cs="宋体"/>
          <w:color w:val="auto"/>
          <w:sz w:val="24"/>
          <w:szCs w:val="24"/>
        </w:rPr>
        <w:t>万元，预算资金到位率为</w:t>
      </w:r>
      <w:r>
        <w:rPr>
          <w:rFonts w:hint="eastAsia" w:ascii="宋体" w:hAnsi="宋体" w:eastAsia="宋体" w:cs="宋体"/>
          <w:color w:val="auto"/>
          <w:sz w:val="24"/>
          <w:szCs w:val="24"/>
          <w:lang w:val="en-US" w:eastAsia="zh-CN"/>
        </w:rPr>
        <w:t>98.44</w:t>
      </w:r>
      <w:r>
        <w:rPr>
          <w:rFonts w:hint="eastAsia" w:ascii="宋体" w:hAnsi="宋体" w:eastAsia="宋体" w:cs="宋体"/>
          <w:color w:val="auto"/>
          <w:sz w:val="24"/>
          <w:szCs w:val="24"/>
        </w:rPr>
        <w:t>%。</w:t>
      </w:r>
    </w:p>
    <w:p w14:paraId="54863FE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（2）项目资金实际使用情况分析</w:t>
      </w:r>
    </w:p>
    <w:p w14:paraId="673F87E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62.04</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98.44%</w:t>
      </w:r>
      <w:r>
        <w:rPr>
          <w:rFonts w:hint="eastAsia" w:ascii="宋体" w:hAnsi="宋体" w:eastAsia="宋体" w:cs="宋体"/>
          <w:color w:val="auto"/>
          <w:sz w:val="24"/>
          <w:szCs w:val="24"/>
        </w:rPr>
        <w:t>。本项目资金主要用于支付</w:t>
      </w:r>
      <w:r>
        <w:rPr>
          <w:rFonts w:hint="eastAsia" w:ascii="宋体" w:hAnsi="宋体" w:eastAsia="宋体" w:cs="宋体"/>
          <w:color w:val="auto"/>
          <w:sz w:val="24"/>
          <w:szCs w:val="24"/>
          <w:lang w:val="en-US" w:eastAsia="zh-CN"/>
        </w:rPr>
        <w:t>村日常开支，</w:t>
      </w:r>
      <w:r>
        <w:rPr>
          <w:rFonts w:hint="eastAsia" w:ascii="宋体" w:hAnsi="宋体" w:eastAsia="宋体" w:cs="宋体"/>
          <w:b w:val="0"/>
          <w:bCs w:val="0"/>
          <w:color w:val="auto"/>
          <w:sz w:val="24"/>
          <w:szCs w:val="24"/>
          <w:lang w:val="en-US" w:eastAsia="zh-CN"/>
        </w:rPr>
        <w:t>办公经费39.54万元，包括办公用品购置、通讯费等日常办公开销；电费1.62万元，，用于办公区域照明，印刷费5.9万元，取暖费3.63万元，维修维护费2.18万元，租赁费1.84万元，劳务费0.49万元，其他商品服务支出6.84万元。</w:t>
      </w:r>
    </w:p>
    <w:p w14:paraId="0B5FE464">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2" w:name="_Toc68364659"/>
      <w:r>
        <w:rPr>
          <w:rFonts w:hint="eastAsia" w:ascii="宋体" w:hAnsi="宋体" w:eastAsia="宋体" w:cs="宋体"/>
          <w:color w:val="auto"/>
          <w:sz w:val="24"/>
          <w:szCs w:val="24"/>
        </w:rPr>
        <w:t>（二）项目绩效目标</w:t>
      </w:r>
      <w:bookmarkEnd w:id="2"/>
    </w:p>
    <w:p w14:paraId="70A0BF2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项目绩效目标包括项目总</w:t>
      </w:r>
      <w:r>
        <w:rPr>
          <w:rFonts w:hint="eastAsia" w:ascii="宋体" w:hAnsi="宋体" w:eastAsia="宋体" w:cs="宋体"/>
          <w:color w:val="auto"/>
          <w:sz w:val="24"/>
          <w:szCs w:val="24"/>
          <w:lang w:val="en-US" w:eastAsia="zh-CN"/>
        </w:rPr>
        <w:t>体</w:t>
      </w:r>
      <w:r>
        <w:rPr>
          <w:rFonts w:hint="eastAsia" w:ascii="宋体" w:hAnsi="宋体" w:eastAsia="宋体" w:cs="宋体"/>
          <w:color w:val="auto"/>
          <w:sz w:val="24"/>
          <w:szCs w:val="24"/>
        </w:rPr>
        <w:t>目标和阶段性目标。</w:t>
      </w:r>
    </w:p>
    <w:p w14:paraId="420D9E6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298F023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根据《洛浦县财经委员会会议纪要》（洛财纪字〔2023〕4号）文件实施此项目，项目主要内容为：保障辖区内1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个行政村的办公经费、电费等各项运转经费，确保</w:t>
      </w:r>
      <w:r>
        <w:rPr>
          <w:rFonts w:hint="eastAsia" w:ascii="宋体" w:hAnsi="宋体" w:eastAsia="宋体" w:cs="宋体"/>
          <w:color w:val="auto"/>
          <w:sz w:val="24"/>
          <w:szCs w:val="24"/>
          <w:lang w:eastAsia="zh-CN"/>
        </w:rPr>
        <w:t>14个村</w:t>
      </w:r>
      <w:r>
        <w:rPr>
          <w:rFonts w:hint="eastAsia" w:ascii="宋体" w:hAnsi="宋体" w:eastAsia="宋体" w:cs="宋体"/>
          <w:color w:val="auto"/>
          <w:sz w:val="24"/>
          <w:szCs w:val="24"/>
        </w:rPr>
        <w:t>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p w14:paraId="3C001B8C">
      <w:pPr>
        <w:pStyle w:val="46"/>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阶段性目标</w:t>
      </w:r>
    </w:p>
    <w:p w14:paraId="509610DB">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5EBE246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（1）产出指标</w:t>
      </w:r>
    </w:p>
    <w:p w14:paraId="4466060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1)数量指标:</w:t>
      </w:r>
    </w:p>
    <w:p w14:paraId="56130D25">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指标1：村级集体经济组织数，预期指标值=14个；</w:t>
      </w:r>
    </w:p>
    <w:p w14:paraId="02F6A36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2）质量指标：</w:t>
      </w:r>
    </w:p>
    <w:p w14:paraId="728BF6C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指标1：保障发放率，预期指标值=100%；</w:t>
      </w:r>
    </w:p>
    <w:p w14:paraId="68DAFF9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3）时效指标：</w:t>
      </w:r>
    </w:p>
    <w:p w14:paraId="0F63CD1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指标1：开始时间，预期指标值2024年1月；</w:t>
      </w:r>
    </w:p>
    <w:p w14:paraId="66CDC14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指标2：结束时间，预期指标值2024年12月；</w:t>
      </w:r>
    </w:p>
    <w:p w14:paraId="36E548A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（2）成本指标：</w:t>
      </w:r>
    </w:p>
    <w:p w14:paraId="13D55492">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1）经济成本指标</w:t>
      </w:r>
    </w:p>
    <w:p w14:paraId="2F9C8A02">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指标1：各村资金分配标准，预期指标值&lt;=4.50万元；</w:t>
      </w:r>
    </w:p>
    <w:p w14:paraId="23AD23D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2）社会成本指标：</w:t>
      </w:r>
    </w:p>
    <w:p w14:paraId="34CF363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该项目无社会成本指标；</w:t>
      </w:r>
    </w:p>
    <w:p w14:paraId="2F9E82A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3）生态成本指标;</w:t>
      </w:r>
    </w:p>
    <w:p w14:paraId="508F7595">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该项目无生态成本指标；</w:t>
      </w:r>
    </w:p>
    <w:p w14:paraId="4EA0F3E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（3）效益指标</w:t>
      </w:r>
    </w:p>
    <w:p w14:paraId="628410D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1）经济效益指标：</w:t>
      </w:r>
    </w:p>
    <w:p w14:paraId="7490F08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该项目无经济效益指标；</w:t>
      </w:r>
    </w:p>
    <w:p w14:paraId="31EBA4F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2）社会效益指标：</w:t>
      </w:r>
    </w:p>
    <w:p w14:paraId="75663325">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指标1：保障村级正常运转运行，预期指标值为有效保障；</w:t>
      </w:r>
    </w:p>
    <w:p w14:paraId="1EDF787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3）生态效益指标：</w:t>
      </w:r>
    </w:p>
    <w:p w14:paraId="45E7AC4C">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该项目无生态效益指标；</w:t>
      </w:r>
    </w:p>
    <w:p w14:paraId="046DE45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（4）服务对象满意度指标：</w:t>
      </w:r>
    </w:p>
    <w:p w14:paraId="47368CE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黑体" w:hAnsi="黑体" w:eastAsia="黑体" w:cs="黑体"/>
          <w:color w:val="auto"/>
          <w:sz w:val="24"/>
          <w:szCs w:val="24"/>
        </w:rPr>
      </w:pPr>
      <w:r>
        <w:rPr>
          <w:rFonts w:hint="eastAsia" w:ascii="宋体" w:hAnsi="宋体" w:eastAsia="宋体" w:cs="宋体"/>
          <w:color w:val="000000"/>
          <w:sz w:val="24"/>
          <w:szCs w:val="24"/>
          <w:highlight w:val="none"/>
          <w:lang w:val="en-US" w:eastAsia="zh-CN"/>
        </w:rPr>
        <w:t>指标1：村干部满意度，预期指标值≥95%。</w:t>
      </w:r>
    </w:p>
    <w:p w14:paraId="7B3DB4B2">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二、绩效评价工作开展情况</w:t>
      </w:r>
      <w:bookmarkEnd w:id="3"/>
    </w:p>
    <w:p w14:paraId="360ED58A">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4" w:name="_Toc68364661"/>
      <w:r>
        <w:rPr>
          <w:rFonts w:hint="eastAsia" w:ascii="宋体" w:hAnsi="宋体" w:eastAsia="宋体" w:cs="宋体"/>
          <w:color w:val="auto"/>
          <w:sz w:val="24"/>
          <w:szCs w:val="24"/>
        </w:rPr>
        <w:t>（一）绩效评价目的、对象和范围</w:t>
      </w:r>
      <w:bookmarkEnd w:id="4"/>
    </w:p>
    <w:p w14:paraId="6E43909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1.绩效评价目的</w:t>
      </w:r>
    </w:p>
    <w:p w14:paraId="36FE189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本次绩效评价遵循财政部《项目支出绩效评价管理办法》（财预〔2020〕10号）《自治区财政支出绩效评价管理暂行办法》（新财预〔2018〕189号）</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自治区财政厅《关于印发〈自治区项目支出绩效目标设置指引〉的通知》（新财预〔2022〕42号）</w:t>
      </w:r>
      <w:r>
        <w:rPr>
          <w:rFonts w:hint="eastAsia" w:ascii="宋体" w:hAnsi="宋体" w:eastAsia="宋体" w:cs="宋体"/>
          <w:color w:val="auto"/>
          <w:sz w:val="24"/>
          <w:szCs w:val="24"/>
          <w:highlight w:val="none"/>
        </w:rPr>
        <w:t>等相关政策文件与规</w:t>
      </w:r>
      <w:r>
        <w:rPr>
          <w:rFonts w:hint="eastAsia" w:ascii="宋体" w:hAnsi="宋体" w:eastAsia="宋体" w:cs="宋体"/>
          <w:color w:val="auto"/>
          <w:sz w:val="24"/>
          <w:szCs w:val="24"/>
        </w:rPr>
        <w:t>定，对洛浦县2024年村级运转经费项目开展本次部门项目支出绩效评价工作。全面了解</w:t>
      </w:r>
      <w:r>
        <w:rPr>
          <w:rFonts w:hint="eastAsia" w:ascii="宋体" w:hAnsi="宋体" w:eastAsia="宋体" w:cs="宋体"/>
          <w:color w:val="auto"/>
          <w:sz w:val="24"/>
          <w:szCs w:val="24"/>
          <w:lang w:val="en-US" w:eastAsia="zh-CN"/>
        </w:rPr>
        <w:t>洛浦县2024年村级运转经费</w:t>
      </w:r>
      <w:r>
        <w:rPr>
          <w:rFonts w:hint="eastAsia" w:ascii="宋体" w:hAnsi="宋体" w:eastAsia="宋体" w:cs="宋体"/>
          <w:color w:val="auto"/>
          <w:sz w:val="24"/>
          <w:szCs w:val="24"/>
        </w:rPr>
        <w:t>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lang w:val="en-US" w:eastAsia="zh-CN"/>
        </w:rPr>
        <w:t>实施</w:t>
      </w:r>
      <w:r>
        <w:rPr>
          <w:rFonts w:hint="eastAsia" w:ascii="宋体" w:hAnsi="宋体" w:eastAsia="宋体" w:cs="宋体"/>
          <w:color w:val="auto"/>
          <w:sz w:val="24"/>
          <w:szCs w:val="24"/>
        </w:rPr>
        <w:t>效果</w:t>
      </w:r>
      <w:r>
        <w:rPr>
          <w:rFonts w:hint="eastAsia" w:ascii="宋体" w:hAnsi="宋体" w:eastAsia="宋体" w:cs="宋体"/>
          <w:color w:val="auto"/>
          <w:sz w:val="24"/>
          <w:szCs w:val="24"/>
          <w:lang w:val="en-US" w:eastAsia="zh-CN"/>
        </w:rPr>
        <w:t>情况。</w:t>
      </w:r>
    </w:p>
    <w:p w14:paraId="0E6F3FF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2BE5786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2316C62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rPr>
        <w:t>财政预算资金使用的效率及效益。</w:t>
      </w:r>
    </w:p>
    <w:p w14:paraId="53B273F4">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2.绩效评价对象</w:t>
      </w:r>
    </w:p>
    <w:p w14:paraId="5D74A6B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i w:val="0"/>
          <w:iCs w:val="0"/>
          <w:caps w:val="0"/>
          <w:color w:val="auto"/>
          <w:spacing w:val="0"/>
          <w:sz w:val="24"/>
          <w:szCs w:val="24"/>
          <w:shd w:val="clear" w:color="auto" w:fill="FFFFFF"/>
        </w:rPr>
        <w:t>洛浦县2024年村级运转经费</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489BDD09">
      <w:pPr>
        <w:pStyle w:val="46"/>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3.绩效评价范围</w:t>
      </w:r>
    </w:p>
    <w:p w14:paraId="2E088FC2">
      <w:pPr>
        <w:pStyle w:val="46"/>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本次绩效评价主要围绕</w:t>
      </w:r>
      <w:r>
        <w:rPr>
          <w:rFonts w:hint="eastAsia" w:ascii="宋体" w:hAnsi="宋体" w:eastAsia="宋体" w:cs="宋体"/>
          <w:i w:val="0"/>
          <w:iCs w:val="0"/>
          <w:caps w:val="0"/>
          <w:color w:val="auto"/>
          <w:spacing w:val="0"/>
          <w:sz w:val="24"/>
          <w:szCs w:val="24"/>
          <w:shd w:val="clear" w:color="auto" w:fill="FFFFFF"/>
        </w:rPr>
        <w:t>洛浦县2024年村级运转经费</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rPr>
        <w:t>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覆盖预算资金支出项目的所有内容进行评价。</w:t>
      </w:r>
    </w:p>
    <w:p w14:paraId="3ECE918C">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（二）绩效评价原则、评价指标体系、评价方法评价标准</w:t>
      </w:r>
      <w:bookmarkEnd w:id="5"/>
    </w:p>
    <w:p w14:paraId="28FE2447">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1.绩效评价原则</w:t>
      </w:r>
    </w:p>
    <w:p w14:paraId="5784EE54">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5B15FCB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（1）科学公正。绩效评价应当运用科学合理的方法，按照规范的程序，对项目绩效进行客观、公正的反映。</w:t>
      </w:r>
    </w:p>
    <w:p w14:paraId="087DED6E">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C0E0215">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（3）激励约束。绩效评价结果应与预算安排、政策调整、改进管理实质性挂钩，体现奖优罚劣和激励相容导向，有效要安排、低效要压减、无效要问责。</w:t>
      </w:r>
    </w:p>
    <w:p w14:paraId="29AA7082">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（4）公开透明。绩效评价结果应依法依规公开，并自觉接受社会监督。</w:t>
      </w:r>
    </w:p>
    <w:p w14:paraId="710A482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根据以上原则，绩效评价应遵循如下要求:</w:t>
      </w:r>
    </w:p>
    <w:p w14:paraId="0FB5E986">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（1）在数据采集时，采取客观数据，主管部门审查、社会中介组织复查，与问卷调查相结合的形式，以保证各项指标的真实性。</w:t>
      </w:r>
    </w:p>
    <w:p w14:paraId="26CD6F6A">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（2）保证评价结果的真实性、公正性，提高评价报告的公信力。</w:t>
      </w:r>
    </w:p>
    <w:p w14:paraId="5CE804D7">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（3）绩</w:t>
      </w:r>
      <w:r>
        <w:rPr>
          <w:rFonts w:hint="eastAsia" w:ascii="宋体" w:hAnsi="宋体" w:eastAsia="宋体" w:cs="宋体"/>
          <w:color w:val="auto"/>
          <w:sz w:val="24"/>
          <w:szCs w:val="24"/>
          <w:lang w:val="en-US" w:eastAsia="zh-CN"/>
        </w:rPr>
        <w:t>效</w:t>
      </w:r>
      <w:r>
        <w:rPr>
          <w:rFonts w:hint="eastAsia" w:ascii="宋体" w:hAnsi="宋体" w:eastAsia="宋体" w:cs="宋体"/>
          <w:color w:val="auto"/>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386ABA5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2.绩效评价指标体系</w:t>
      </w:r>
    </w:p>
    <w:p w14:paraId="37DDFC20">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个二级指标。项目绩效评价体系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详细指标体系见“附件1：项目支出绩效评价体系”。</w:t>
      </w:r>
    </w:p>
    <w:p w14:paraId="07D9B9C0">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3.绩效评价方法</w:t>
      </w:r>
    </w:p>
    <w:p w14:paraId="25D77D4A">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B6C80B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具体</w:t>
      </w:r>
      <w:r>
        <w:rPr>
          <w:rFonts w:hint="eastAsia" w:ascii="宋体" w:hAnsi="宋体" w:eastAsia="宋体" w:cs="宋体"/>
          <w:b w:val="0"/>
          <w:bCs/>
          <w:color w:val="auto"/>
          <w:sz w:val="24"/>
          <w:szCs w:val="24"/>
        </w:rPr>
        <w:t>评价方法的应用如下:</w:t>
      </w:r>
    </w:p>
    <w:p w14:paraId="3191582D">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立项依据充分性：比较法、文献法，查找法律法规政策以及规划，对比实际执行内容和政策支持内容是否匹配。</w:t>
      </w:r>
    </w:p>
    <w:p w14:paraId="26CB928E">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立项程序规范性：比较法、文献法，查找相关项目设立的政策和文件要求，对比分析实际执行程序是否按照政策及文件要求执行，分析立项程序的规范性。</w:t>
      </w:r>
    </w:p>
    <w:p w14:paraId="7431DA2B">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绩效目标合理性：比较法，对比分析年初编制项目支出绩效目标表与项目内容的相关性、资金的匹配性等。</w:t>
      </w:r>
    </w:p>
    <w:p w14:paraId="0377FBE7">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绩效指标明确性：比较法，比较分析年初编制项目支出绩效目标表是否符合双七原则，是否可衡量。</w:t>
      </w:r>
    </w:p>
    <w:p w14:paraId="4641D35A">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预算编制科学性</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成本效益分析法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分析在产出一定的情况下，成本取值是否有依据，是否经过询价，是否按照市场最低成本编制。</w:t>
      </w:r>
    </w:p>
    <w:p w14:paraId="7E4C742F">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lang w:eastAsia="zh-CN"/>
        </w:rPr>
        <w:t>。</w:t>
      </w:r>
    </w:p>
    <w:p w14:paraId="5BA42B70">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资金到位率：比较法，资金到位率预期指标值应为100%，通过实际计算，分析实际完成值和预期指标值之间的差距和原因。</w:t>
      </w:r>
    </w:p>
    <w:p w14:paraId="214A8990">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预算执行率：比较法，预算执行率预期指标值应为100%，通过实际计算，分析实际完成值和预期指标值之间的差距和原因。</w:t>
      </w:r>
    </w:p>
    <w:p w14:paraId="5A169EE4">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资金使用合规性：文献法、实地勘察法，一是查找资金管理办法，包括专项资金管理办法和单位自有资金管理办法；二是通过查账了解具体开支情况，是否专用专用，是否按照标准支出。</w:t>
      </w:r>
    </w:p>
    <w:p w14:paraId="6EB4DE58">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管理制度健全性：文献法、比较法，查阅项目实施人员提供的财务和业务管理制度，将已建立的制度与现行的法律法规和政策要求进行对比，分析项目制度的合法性、合规性、完整性。</w:t>
      </w:r>
    </w:p>
    <w:p w14:paraId="5B590F12">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制度执行有效性：比较法，结合项目实际实施过程性文件，根据已建设的财务管理制度和项目管理制度综合分析制度执行的有效性。</w:t>
      </w:r>
    </w:p>
    <w:p w14:paraId="295B69D3">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BA4DDCC">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定性指标：公众评判法，通过问卷及抽样调查等方式评价本项目实施后社会公众对于其实施效果的满意程度。</w:t>
      </w:r>
    </w:p>
    <w:p w14:paraId="21A577ED">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4.绩效评价标准</w:t>
      </w:r>
    </w:p>
    <w:p w14:paraId="57FCAB40">
      <w:pPr>
        <w:pStyle w:val="46"/>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lang w:val="en-US" w:eastAsia="zh-CN"/>
        </w:rPr>
      </w:pPr>
      <w:bookmarkStart w:id="6" w:name="_Toc68364663"/>
      <w:r>
        <w:rPr>
          <w:rFonts w:hint="eastAsia" w:ascii="宋体" w:hAnsi="宋体" w:eastAsia="宋体" w:cs="宋体"/>
          <w:color w:val="auto"/>
          <w:sz w:val="24"/>
          <w:szCs w:val="24"/>
        </w:rPr>
        <w:t>绩效评价标准通常包括计划标准、行业标准、历史标准等，用于对绩效指标完成情况进行比较、分析、评价。本次评价主</w:t>
      </w:r>
      <w:r>
        <w:rPr>
          <w:rFonts w:hint="eastAsia" w:ascii="宋体" w:hAnsi="宋体" w:eastAsia="宋体" w:cs="宋体"/>
          <w:b w:val="0"/>
          <w:bCs w:val="0"/>
          <w:color w:val="auto"/>
          <w:sz w:val="24"/>
          <w:szCs w:val="24"/>
        </w:rPr>
        <w:t>要采用了计划标准。</w:t>
      </w:r>
    </w:p>
    <w:p w14:paraId="5276DD33">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7" w:name="_Toc17882"/>
      <w:bookmarkStart w:id="8" w:name="_Toc31464"/>
      <w:r>
        <w:rPr>
          <w:rFonts w:hint="eastAsia" w:ascii="宋体" w:hAnsi="宋体" w:eastAsia="宋体" w:cs="宋体"/>
          <w:b/>
          <w:bCs/>
          <w:color w:val="auto"/>
          <w:sz w:val="24"/>
          <w:szCs w:val="24"/>
        </w:rPr>
        <w:t>计划标准：</w:t>
      </w:r>
      <w:r>
        <w:rPr>
          <w:rFonts w:hint="eastAsia" w:ascii="宋体" w:hAnsi="宋体" w:eastAsia="宋体" w:cs="宋体"/>
          <w:color w:val="auto"/>
          <w:sz w:val="24"/>
          <w:szCs w:val="24"/>
        </w:rPr>
        <w:t>指以预先制定的目标、计划、预算、定额等作为评价标准。</w:t>
      </w:r>
      <w:bookmarkEnd w:id="7"/>
      <w:bookmarkEnd w:id="8"/>
    </w:p>
    <w:p w14:paraId="02DA55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行业标准</w:t>
      </w:r>
      <w:r>
        <w:rPr>
          <w:rFonts w:hint="eastAsia" w:ascii="宋体" w:hAnsi="宋体" w:eastAsia="宋体" w:cs="宋体"/>
          <w:color w:val="auto"/>
          <w:sz w:val="24"/>
          <w:szCs w:val="24"/>
          <w:lang w:val="en-US" w:eastAsia="zh-CN"/>
        </w:rPr>
        <w:t>。指参照国家公布的行业指标数据制定的评价标准。</w:t>
      </w:r>
    </w:p>
    <w:p w14:paraId="7405A5DD">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9" w:name="_Toc16028"/>
      <w:bookmarkStart w:id="10" w:name="_Toc430"/>
      <w:r>
        <w:rPr>
          <w:rFonts w:hint="eastAsia" w:ascii="宋体" w:hAnsi="宋体" w:eastAsia="宋体" w:cs="宋体"/>
          <w:b/>
          <w:bCs/>
          <w:color w:val="auto"/>
          <w:sz w:val="24"/>
          <w:szCs w:val="24"/>
        </w:rPr>
        <w:t>历史标准：</w:t>
      </w:r>
      <w:r>
        <w:rPr>
          <w:rFonts w:hint="eastAsia" w:ascii="宋体" w:hAnsi="宋体" w:eastAsia="宋体" w:cs="宋体"/>
          <w:color w:val="auto"/>
          <w:sz w:val="24"/>
          <w:szCs w:val="24"/>
        </w:rPr>
        <w:t>指参照历史数据制定的评价标准，为体现绩效改进的原则，在可实现的条件下应当确定相对较高的评价标准。</w:t>
      </w:r>
      <w:bookmarkEnd w:id="9"/>
      <w:bookmarkEnd w:id="10"/>
    </w:p>
    <w:p w14:paraId="20FA82F2">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（三）绩效评价工作过程</w:t>
      </w:r>
      <w:bookmarkEnd w:id="6"/>
    </w:p>
    <w:p w14:paraId="1C7EDC5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bookmarkStart w:id="11" w:name="_Toc68364664"/>
      <w:r>
        <w:rPr>
          <w:rFonts w:hint="eastAsia" w:ascii="宋体" w:hAnsi="宋体" w:eastAsia="宋体" w:cs="宋体"/>
          <w:b/>
          <w:bCs/>
          <w:color w:val="000000"/>
          <w:sz w:val="24"/>
          <w:szCs w:val="24"/>
          <w:highlight w:val="none"/>
        </w:rPr>
        <w:t>1.前期准备</w:t>
      </w:r>
    </w:p>
    <w:p w14:paraId="7F63D71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BCCBC8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黄得坚</w:t>
      </w:r>
      <w:r>
        <w:rPr>
          <w:rFonts w:hint="eastAsia" w:ascii="宋体" w:hAnsi="宋体" w:eastAsia="宋体" w:cs="宋体"/>
          <w:color w:val="auto"/>
          <w:sz w:val="24"/>
          <w:szCs w:val="24"/>
        </w:rPr>
        <w:t>（评价小组组长）：主要负责</w:t>
      </w:r>
      <w:r>
        <w:rPr>
          <w:rFonts w:hint="eastAsia" w:ascii="宋体" w:hAnsi="宋体" w:eastAsia="宋体" w:cs="宋体"/>
          <w:b w:val="0"/>
          <w:bCs w:val="0"/>
          <w:color w:val="auto"/>
          <w:sz w:val="24"/>
          <w:szCs w:val="24"/>
        </w:rPr>
        <w:t>组织安排绩效评价工作</w:t>
      </w:r>
      <w:r>
        <w:rPr>
          <w:rFonts w:hint="eastAsia" w:ascii="宋体" w:hAnsi="宋体" w:eastAsia="宋体" w:cs="宋体"/>
          <w:color w:val="auto"/>
          <w:sz w:val="24"/>
          <w:szCs w:val="24"/>
        </w:rPr>
        <w:t>;</w:t>
      </w:r>
    </w:p>
    <w:p w14:paraId="2F8DFD9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莫合塔尔·麦麦提明（</w:t>
      </w:r>
      <w:r>
        <w:rPr>
          <w:rFonts w:hint="eastAsia" w:ascii="宋体" w:hAnsi="宋体" w:eastAsia="宋体" w:cs="宋体"/>
          <w:color w:val="auto"/>
          <w:sz w:val="24"/>
          <w:szCs w:val="24"/>
        </w:rPr>
        <w:t>评价小组组员）：主要负责</w:t>
      </w:r>
      <w:r>
        <w:rPr>
          <w:rFonts w:hint="eastAsia" w:ascii="宋体" w:hAnsi="宋体" w:eastAsia="宋体" w:cs="宋体"/>
          <w:b w:val="0"/>
          <w:bCs w:val="0"/>
          <w:color w:val="auto"/>
          <w:sz w:val="24"/>
          <w:szCs w:val="24"/>
        </w:rPr>
        <w:t>资料整理及信息汇总工作</w:t>
      </w:r>
      <w:r>
        <w:rPr>
          <w:rFonts w:hint="eastAsia" w:ascii="宋体" w:hAnsi="宋体" w:eastAsia="宋体" w:cs="宋体"/>
          <w:color w:val="auto"/>
          <w:sz w:val="24"/>
          <w:szCs w:val="24"/>
        </w:rPr>
        <w:t>;</w:t>
      </w:r>
    </w:p>
    <w:p w14:paraId="3770714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奥古丽妮萨</w:t>
      </w:r>
      <w:r>
        <w:rPr>
          <w:rFonts w:hint="eastAsia" w:ascii="宋体" w:hAnsi="宋体" w:eastAsia="宋体" w:cs="宋体"/>
          <w:color w:val="auto"/>
          <w:sz w:val="24"/>
          <w:szCs w:val="24"/>
        </w:rPr>
        <w:t>（评价小组组员）：主要负责</w:t>
      </w:r>
      <w:r>
        <w:rPr>
          <w:rFonts w:hint="eastAsia" w:ascii="宋体" w:hAnsi="宋体" w:eastAsia="宋体" w:cs="宋体"/>
          <w:b w:val="0"/>
          <w:bCs w:val="0"/>
          <w:color w:val="auto"/>
          <w:sz w:val="24"/>
          <w:szCs w:val="24"/>
        </w:rPr>
        <w:t>出具项目绩效评价报告</w:t>
      </w:r>
      <w:r>
        <w:rPr>
          <w:rFonts w:hint="eastAsia" w:ascii="宋体" w:hAnsi="宋体" w:eastAsia="宋体" w:cs="宋体"/>
          <w:color w:val="auto"/>
          <w:sz w:val="24"/>
          <w:szCs w:val="24"/>
        </w:rPr>
        <w:t>。</w:t>
      </w:r>
    </w:p>
    <w:p w14:paraId="290DE24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2.组织实施</w:t>
      </w:r>
    </w:p>
    <w:p w14:paraId="367C464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0344104">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3.分析评价</w:t>
      </w:r>
    </w:p>
    <w:p w14:paraId="4E31F75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日，评价小组按照绩效评价的原则和规范，对取得的资料进行审查核实，对采集的数据进行分析，按照绩效评价指标评分表逐项进行打分、分析、汇总各方评价结果。</w:t>
      </w:r>
    </w:p>
    <w:p w14:paraId="0A16035E">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4.撰写与提交评价报告</w:t>
      </w:r>
    </w:p>
    <w:p w14:paraId="48D581B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189A59E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5.问题整改</w:t>
      </w:r>
    </w:p>
    <w:p w14:paraId="2071D4A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9548614">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6.档案整理</w:t>
      </w:r>
    </w:p>
    <w:p w14:paraId="50F47CD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58BEB197">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三、综合评价情况及评价结论</w:t>
      </w:r>
      <w:bookmarkEnd w:id="11"/>
    </w:p>
    <w:p w14:paraId="17C99060">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2" w:name="_Toc68364665"/>
      <w:r>
        <w:rPr>
          <w:rFonts w:hint="eastAsia" w:ascii="宋体" w:hAnsi="宋体" w:eastAsia="宋体" w:cs="宋体"/>
          <w:color w:val="auto"/>
          <w:sz w:val="24"/>
          <w:szCs w:val="24"/>
        </w:rPr>
        <w:t>（一）综合评价情况</w:t>
      </w:r>
      <w:bookmarkEnd w:id="12"/>
    </w:p>
    <w:p w14:paraId="6D427CC1">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13" w:name="_Toc68364666"/>
      <w:r>
        <w:rPr>
          <w:rFonts w:hint="eastAsia" w:ascii="宋体" w:hAnsi="宋体" w:eastAsia="宋体" w:cs="宋体"/>
          <w:i w:val="0"/>
          <w:iCs w:val="0"/>
          <w:caps w:val="0"/>
          <w:color w:val="auto"/>
          <w:spacing w:val="0"/>
          <w:sz w:val="24"/>
          <w:szCs w:val="24"/>
          <w:shd w:val="clear" w:color="auto" w:fill="FFFFFF"/>
          <w:lang w:val="en-US" w:eastAsia="zh-CN"/>
        </w:rPr>
        <w:t>通过实施洛浦县2024年村级运转经费项目保障村两委正常运转和发展农村经济和社会各项事业，促进社会经济高质量发展。</w:t>
      </w:r>
      <w:r>
        <w:rPr>
          <w:rFonts w:hint="eastAsia" w:ascii="宋体" w:hAnsi="宋体" w:eastAsia="宋体" w:cs="宋体"/>
          <w:i w:val="0"/>
          <w:iCs w:val="0"/>
          <w:caps w:val="0"/>
          <w:color w:val="auto"/>
          <w:spacing w:val="0"/>
          <w:sz w:val="24"/>
          <w:szCs w:val="24"/>
          <w:shd w:val="clear" w:color="auto" w:fill="FFFFFF"/>
        </w:rPr>
        <w:t>项目实施主要通过项目决策、项目过程、项目产出以及项目效益</w:t>
      </w:r>
      <w:r>
        <w:rPr>
          <w:rFonts w:hint="eastAsia" w:ascii="宋体" w:hAnsi="宋体" w:eastAsia="宋体" w:cs="宋体"/>
          <w:color w:val="auto"/>
          <w:sz w:val="24"/>
          <w:szCs w:val="24"/>
        </w:rPr>
        <w:t>等方面进行评价，其中：</w:t>
      </w:r>
    </w:p>
    <w:p w14:paraId="43E69E8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项目决策：该项目主要通过</w:t>
      </w:r>
      <w:r>
        <w:rPr>
          <w:rFonts w:hint="eastAsia" w:ascii="宋体" w:hAnsi="宋体" w:eastAsia="宋体" w:cs="宋体"/>
          <w:color w:val="auto"/>
          <w:kern w:val="2"/>
          <w:sz w:val="24"/>
          <w:szCs w:val="24"/>
          <w:lang w:val="en-US" w:eastAsia="zh-CN" w:bidi="ar-SA"/>
        </w:rPr>
        <w:t>洛财纪字【2024】12号/洛财纪字【2024】9号</w:t>
      </w:r>
      <w:r>
        <w:rPr>
          <w:rFonts w:hint="eastAsia" w:ascii="宋体" w:hAnsi="宋体" w:eastAsia="宋体" w:cs="宋体"/>
          <w:color w:val="auto"/>
          <w:sz w:val="24"/>
          <w:szCs w:val="24"/>
        </w:rPr>
        <w:t>文件立项，项目实施符合</w:t>
      </w:r>
      <w:r>
        <w:rPr>
          <w:rFonts w:hint="eastAsia" w:ascii="宋体" w:hAnsi="宋体" w:eastAsia="宋体" w:cs="宋体"/>
          <w:color w:val="auto"/>
          <w:kern w:val="2"/>
          <w:sz w:val="24"/>
          <w:szCs w:val="24"/>
          <w:lang w:val="en-US" w:eastAsia="zh-CN" w:bidi="ar-SA"/>
        </w:rPr>
        <w:t>我乡实际制定本方案要求，</w:t>
      </w:r>
      <w:r>
        <w:rPr>
          <w:rFonts w:hint="eastAsia" w:ascii="宋体" w:hAnsi="宋体" w:eastAsia="宋体" w:cs="宋体"/>
          <w:color w:val="auto"/>
          <w:sz w:val="24"/>
          <w:szCs w:val="24"/>
        </w:rPr>
        <w:t>项目立项依据充分，立项程序规范。</w:t>
      </w:r>
    </w:p>
    <w:p w14:paraId="6B29D42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项目过程：</w:t>
      </w:r>
      <w:r>
        <w:rPr>
          <w:rFonts w:hint="eastAsia" w:ascii="宋体" w:hAnsi="宋体" w:eastAsia="宋体" w:cs="宋体"/>
          <w:i w:val="0"/>
          <w:iCs w:val="0"/>
          <w:caps w:val="0"/>
          <w:color w:val="auto"/>
          <w:spacing w:val="0"/>
          <w:sz w:val="24"/>
          <w:szCs w:val="24"/>
          <w:shd w:val="clear" w:color="auto" w:fill="FFFFFF"/>
          <w:lang w:val="en-US" w:eastAsia="zh-CN"/>
        </w:rPr>
        <w:t>洛浦县2024年村级运转经费</w:t>
      </w:r>
      <w:r>
        <w:rPr>
          <w:rFonts w:hint="eastAsia" w:ascii="宋体" w:hAnsi="宋体" w:eastAsia="宋体" w:cs="宋体"/>
          <w:color w:val="auto"/>
          <w:sz w:val="24"/>
          <w:szCs w:val="24"/>
        </w:rPr>
        <w:t>项目预算安排</w:t>
      </w:r>
      <w:r>
        <w:rPr>
          <w:rFonts w:hint="eastAsia" w:ascii="宋体" w:hAnsi="宋体" w:eastAsia="宋体" w:cs="宋体"/>
          <w:color w:val="auto"/>
          <w:sz w:val="24"/>
          <w:szCs w:val="24"/>
          <w:lang w:val="en-US" w:eastAsia="zh-CN"/>
        </w:rPr>
        <w:t>63</w:t>
      </w:r>
      <w:r>
        <w:rPr>
          <w:rFonts w:hint="eastAsia" w:ascii="宋体" w:hAnsi="宋体" w:eastAsia="宋体" w:cs="宋体"/>
          <w:color w:val="auto"/>
          <w:sz w:val="24"/>
          <w:szCs w:val="24"/>
        </w:rPr>
        <w:t>万元，实际支出</w:t>
      </w:r>
      <w:r>
        <w:rPr>
          <w:rFonts w:hint="eastAsia" w:ascii="宋体" w:hAnsi="宋体" w:eastAsia="宋体" w:cs="宋体"/>
          <w:color w:val="auto"/>
          <w:sz w:val="24"/>
          <w:szCs w:val="24"/>
          <w:lang w:val="en-US" w:eastAsia="zh-CN"/>
        </w:rPr>
        <w:t>62.04</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98.44</w:t>
      </w:r>
      <w:r>
        <w:rPr>
          <w:rFonts w:hint="eastAsia" w:ascii="宋体" w:hAnsi="宋体" w:eastAsia="宋体" w:cs="宋体"/>
          <w:color w:val="auto"/>
          <w:sz w:val="24"/>
          <w:szCs w:val="24"/>
        </w:rPr>
        <w:t>%。项目资金使用合规，项目财务管理制度健全，财务监控到位，所有资金支付均按照国库集中支付制度严格执行，现有项目管理制度执行情况良好。</w:t>
      </w:r>
    </w:p>
    <w:p w14:paraId="2F80AC6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项目产出：项目实施产生的数量、质量等</w:t>
      </w:r>
      <w:r>
        <w:rPr>
          <w:rFonts w:hint="eastAsia" w:ascii="宋体" w:hAnsi="宋体" w:eastAsia="宋体" w:cs="宋体"/>
          <w:color w:val="auto"/>
          <w:sz w:val="24"/>
          <w:szCs w:val="24"/>
          <w:lang w:val="en-US" w:eastAsia="zh-CN"/>
        </w:rPr>
        <w:t>完成情况本次</w:t>
      </w:r>
      <w:r>
        <w:rPr>
          <w:rFonts w:hint="eastAsia" w:ascii="宋体" w:hAnsi="宋体" w:eastAsia="宋体" w:cs="宋体"/>
          <w:i w:val="0"/>
          <w:iCs w:val="0"/>
          <w:caps w:val="0"/>
          <w:color w:val="auto"/>
          <w:spacing w:val="0"/>
          <w:sz w:val="24"/>
          <w:szCs w:val="24"/>
          <w:shd w:val="clear" w:color="auto" w:fill="FFFFFF"/>
          <w:lang w:val="en-US" w:eastAsia="zh-CN"/>
        </w:rPr>
        <w:t>洛浦县2024年村级运转经费</w:t>
      </w:r>
      <w:r>
        <w:rPr>
          <w:rFonts w:hint="eastAsia" w:ascii="宋体" w:hAnsi="宋体" w:eastAsia="宋体" w:cs="宋体"/>
          <w:color w:val="auto"/>
          <w:sz w:val="24"/>
          <w:szCs w:val="24"/>
          <w:lang w:val="en-US" w:eastAsia="zh-CN"/>
        </w:rPr>
        <w:t>资金要求，计划投资63万元，用于保障辖区内14个行政村的办公经费、电费等各项运转经费。</w:t>
      </w:r>
    </w:p>
    <w:p w14:paraId="20560579">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项目效益：通过实施此项目产生</w:t>
      </w:r>
      <w:r>
        <w:rPr>
          <w:rFonts w:hint="eastAsia" w:ascii="宋体" w:hAnsi="宋体" w:eastAsia="宋体" w:cs="宋体"/>
          <w:color w:val="auto"/>
          <w:sz w:val="24"/>
          <w:szCs w:val="24"/>
          <w:lang w:val="en-US" w:eastAsia="zh-CN" w:bidi="ar-SA"/>
        </w:rPr>
        <w:t>本</w:t>
      </w:r>
      <w:r>
        <w:rPr>
          <w:rFonts w:hint="eastAsia" w:ascii="宋体" w:hAnsi="宋体" w:eastAsia="宋体" w:cs="宋体"/>
          <w:color w:val="auto"/>
          <w:sz w:val="24"/>
          <w:szCs w:val="24"/>
          <w:lang w:val="en-US" w:eastAsia="zh-CN"/>
        </w:rPr>
        <w:t>级绩效评价遵循科学规范、公开公正、绩效相关和问题导向的原则、重点评价项目的资金投入与财务管理、组织管理、产出与效益效果。</w:t>
      </w:r>
    </w:p>
    <w:p w14:paraId="45DF1F8A">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（二）综合评价结论</w:t>
      </w:r>
    </w:p>
    <w:p w14:paraId="5C63B94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依据《中共中央国务院关于全面实施预算绩效管理的意见》《项目支出绩效评价管理办法》（财预〔2020〕10号）文件，绩效评价总分设置为100分，划分为四档：90（含）-100分为“优”、80（含）-90分为“良”、70（含）-80分为“中”、</w:t>
      </w:r>
      <w:r>
        <w:rPr>
          <w:rFonts w:hint="eastAsia" w:ascii="宋体" w:hAnsi="宋体" w:eastAsia="宋体" w:cs="宋体"/>
          <w:color w:val="auto"/>
          <w:sz w:val="24"/>
          <w:szCs w:val="24"/>
          <w:highlight w:val="none"/>
        </w:rPr>
        <w:t>70分以下为“差”。经对</w:t>
      </w:r>
      <w:r>
        <w:rPr>
          <w:rFonts w:hint="eastAsia" w:ascii="宋体" w:hAnsi="宋体" w:eastAsia="宋体" w:cs="宋体"/>
          <w:i w:val="0"/>
          <w:iCs w:val="0"/>
          <w:caps w:val="0"/>
          <w:color w:val="auto"/>
          <w:spacing w:val="0"/>
          <w:sz w:val="24"/>
          <w:szCs w:val="24"/>
          <w:highlight w:val="none"/>
          <w:shd w:val="clear" w:color="auto" w:fill="FFFFFF"/>
          <w:lang w:val="en-US" w:eastAsia="zh-CN"/>
        </w:rPr>
        <w:t>洛浦县2024年村级运转经费</w:t>
      </w:r>
      <w:r>
        <w:rPr>
          <w:rFonts w:hint="eastAsia" w:ascii="宋体" w:hAnsi="宋体" w:eastAsia="宋体" w:cs="宋体"/>
          <w:color w:val="auto"/>
          <w:sz w:val="24"/>
          <w:szCs w:val="24"/>
          <w:highlight w:val="none"/>
        </w:rPr>
        <w:t>项目进行客观评价，最终评分结果：评价总分</w:t>
      </w:r>
      <w:r>
        <w:rPr>
          <w:rFonts w:hint="eastAsia" w:ascii="宋体" w:hAnsi="宋体" w:eastAsia="宋体" w:cs="宋体"/>
          <w:color w:val="auto"/>
          <w:sz w:val="24"/>
          <w:szCs w:val="24"/>
          <w:highlight w:val="none"/>
          <w:lang w:val="en-US" w:eastAsia="zh-CN"/>
        </w:rPr>
        <w:t>99.94</w:t>
      </w:r>
      <w:r>
        <w:rPr>
          <w:rFonts w:hint="eastAsia" w:ascii="宋体" w:hAnsi="宋体" w:eastAsia="宋体" w:cs="宋体"/>
          <w:color w:val="auto"/>
          <w:sz w:val="24"/>
          <w:szCs w:val="24"/>
          <w:highlight w:val="none"/>
        </w:rPr>
        <w:t>分，绩效等级为“</w:t>
      </w:r>
      <w:r>
        <w:rPr>
          <w:rFonts w:hint="eastAsia" w:ascii="宋体" w:hAnsi="宋体" w:eastAsia="宋体" w:cs="宋体"/>
          <w:color w:val="auto"/>
          <w:sz w:val="24"/>
          <w:szCs w:val="24"/>
          <w:highlight w:val="none"/>
          <w:lang w:eastAsia="zh-CN"/>
        </w:rPr>
        <w:t>优</w:t>
      </w:r>
      <w:r>
        <w:rPr>
          <w:rFonts w:hint="eastAsia" w:ascii="宋体" w:hAnsi="宋体" w:eastAsia="宋体" w:cs="宋体"/>
          <w:color w:val="auto"/>
          <w:sz w:val="24"/>
          <w:szCs w:val="24"/>
          <w:highlight w:val="none"/>
        </w:rPr>
        <w:t>”。</w:t>
      </w:r>
      <w:bookmarkEnd w:id="13"/>
      <w:bookmarkStart w:id="14" w:name="_Toc68364667"/>
    </w:p>
    <w:p w14:paraId="58ABC614">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四、绩效评价指标分析</w:t>
      </w:r>
      <w:bookmarkEnd w:id="14"/>
    </w:p>
    <w:p w14:paraId="340B3262">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5" w:name="_Toc68364668"/>
      <w:r>
        <w:rPr>
          <w:rFonts w:hint="eastAsia" w:ascii="宋体" w:hAnsi="宋体" w:eastAsia="宋体" w:cs="宋体"/>
          <w:color w:val="auto"/>
          <w:sz w:val="24"/>
          <w:szCs w:val="24"/>
        </w:rPr>
        <w:t>（一）项目决策情况</w:t>
      </w:r>
    </w:p>
    <w:p w14:paraId="757DA8FA">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项目决策类指标包括项目立项、绩效目标和资金投入三方面的内容，由6个三级指标构成，权重分</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rPr>
        <w:t>，实际得分</w:t>
      </w:r>
      <w:r>
        <w:rPr>
          <w:rFonts w:hint="eastAsia" w:ascii="宋体" w:hAnsi="宋体" w:eastAsia="宋体" w:cs="宋体"/>
          <w:color w:val="auto"/>
          <w:sz w:val="24"/>
          <w:szCs w:val="24"/>
          <w:lang w:val="en-US" w:eastAsia="zh-CN"/>
        </w:rPr>
        <w:t>23</w:t>
      </w:r>
      <w:r>
        <w:rPr>
          <w:rFonts w:hint="eastAsia" w:ascii="宋体" w:hAnsi="宋体" w:eastAsia="宋体" w:cs="宋体"/>
          <w:color w:val="auto"/>
          <w:sz w:val="24"/>
          <w:szCs w:val="24"/>
        </w:rPr>
        <w:t>分，得分率为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10671E93">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立项依据充分性</w:t>
      </w:r>
    </w:p>
    <w:p w14:paraId="4CA9C650">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rPr>
        <w:t>本项目立项符合</w:t>
      </w:r>
      <w:r>
        <w:rPr>
          <w:rFonts w:hint="eastAsia" w:ascii="宋体" w:hAnsi="宋体" w:eastAsia="宋体" w:cs="宋体"/>
          <w:color w:val="auto"/>
          <w:sz w:val="24"/>
          <w:szCs w:val="24"/>
          <w:lang w:val="en-US" w:eastAsia="zh-CN"/>
        </w:rPr>
        <w:t>洛财纪字【2024】9号,洛财纪字【2024】12号</w:t>
      </w:r>
      <w:r>
        <w:rPr>
          <w:rFonts w:hint="eastAsia" w:ascii="宋体" w:hAnsi="宋体" w:eastAsia="宋体" w:cs="宋体"/>
          <w:color w:val="auto"/>
          <w:sz w:val="24"/>
          <w:szCs w:val="24"/>
        </w:rPr>
        <w:t>；本项目立项符合《</w:t>
      </w:r>
      <w:r>
        <w:rPr>
          <w:rFonts w:hint="eastAsia" w:ascii="宋体" w:hAnsi="宋体" w:eastAsia="宋体" w:cs="宋体"/>
          <w:color w:val="auto"/>
          <w:sz w:val="24"/>
          <w:szCs w:val="24"/>
          <w:lang w:val="en-US" w:eastAsia="zh-CN"/>
        </w:rPr>
        <w:t>洛浦县拜什托格拉克乡人民政府</w:t>
      </w:r>
      <w:r>
        <w:rPr>
          <w:rFonts w:hint="eastAsia" w:ascii="宋体" w:hAnsi="宋体" w:eastAsia="宋体" w:cs="宋体"/>
          <w:color w:val="auto"/>
          <w:sz w:val="24"/>
          <w:szCs w:val="24"/>
        </w:rPr>
        <w:t>配置内设机构和人员编制规定》中职责范围中的</w:t>
      </w:r>
      <w:r>
        <w:rPr>
          <w:rFonts w:hint="eastAsia" w:ascii="宋体" w:hAnsi="宋体" w:eastAsia="宋体" w:cs="宋体"/>
          <w:color w:val="auto"/>
          <w:sz w:val="24"/>
          <w:szCs w:val="24"/>
          <w:lang w:eastAsia="zh-CN"/>
        </w:rPr>
        <w:t>相关规定</w:t>
      </w:r>
      <w:r>
        <w:rPr>
          <w:rFonts w:hint="eastAsia" w:ascii="宋体" w:hAnsi="宋体" w:eastAsia="宋体" w:cs="宋体"/>
          <w:color w:val="auto"/>
          <w:sz w:val="24"/>
          <w:szCs w:val="24"/>
        </w:rPr>
        <w:t>，属于我单位履职所需；根据《财政资金直接支付申请书》，本项目资金性质为“公共财政预算”功能分类为“</w:t>
      </w:r>
      <w:r>
        <w:rPr>
          <w:rFonts w:hint="eastAsia" w:ascii="宋体" w:hAnsi="宋体" w:eastAsia="宋体" w:cs="宋体"/>
          <w:color w:val="auto"/>
          <w:sz w:val="24"/>
          <w:szCs w:val="24"/>
          <w:lang w:val="en-US" w:eastAsia="zh-CN"/>
        </w:rPr>
        <w:t>2013299</w:t>
      </w:r>
      <w:r>
        <w:rPr>
          <w:rFonts w:hint="eastAsia" w:ascii="宋体" w:hAnsi="宋体" w:eastAsia="宋体" w:cs="宋体"/>
          <w:color w:val="auto"/>
          <w:sz w:val="24"/>
          <w:szCs w:val="24"/>
        </w:rPr>
        <w:t>”经济分类为“</w:t>
      </w:r>
      <w:r>
        <w:rPr>
          <w:rFonts w:hint="eastAsia" w:ascii="宋体" w:hAnsi="宋体" w:eastAsia="宋体" w:cs="宋体"/>
          <w:color w:val="auto"/>
          <w:sz w:val="24"/>
          <w:szCs w:val="24"/>
          <w:lang w:val="en-US" w:eastAsia="zh-CN"/>
        </w:rPr>
        <w:t>50201</w:t>
      </w:r>
      <w:r>
        <w:rPr>
          <w:rFonts w:hint="eastAsia" w:ascii="宋体" w:hAnsi="宋体" w:eastAsia="宋体" w:cs="宋体"/>
          <w:color w:val="auto"/>
          <w:sz w:val="24"/>
          <w:szCs w:val="24"/>
        </w:rPr>
        <w:t>”属</w:t>
      </w:r>
      <w:r>
        <w:rPr>
          <w:rFonts w:hint="eastAsia" w:ascii="宋体" w:hAnsi="宋体" w:eastAsia="宋体" w:cs="宋体"/>
          <w:color w:val="auto"/>
          <w:sz w:val="24"/>
          <w:szCs w:val="24"/>
          <w:highlight w:val="none"/>
        </w:rPr>
        <w:t>于公共财政支持范围，符合中央、地方事权支出责任划分原则；经检查我单位财政应用平台指标，本项目不存在重复。</w:t>
      </w:r>
    </w:p>
    <w:p w14:paraId="7459425D">
      <w:pPr>
        <w:keepNext w:val="0"/>
        <w:keepLines w:val="0"/>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43486BE1">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2.立项程序规范性</w:t>
      </w:r>
    </w:p>
    <w:p w14:paraId="1041CC1E">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shd w:val="clear" w:color="auto" w:fill="FFFFFF"/>
          <w:lang w:val="en-US" w:eastAsia="zh-CN"/>
        </w:rPr>
        <w:t>洛浦县2024年村级运转经费</w:t>
      </w:r>
      <w:r>
        <w:rPr>
          <w:rFonts w:hint="eastAsia" w:ascii="宋体" w:hAnsi="宋体" w:eastAsia="宋体" w:cs="宋体"/>
          <w:color w:val="auto"/>
          <w:sz w:val="24"/>
          <w:szCs w:val="24"/>
          <w:highlight w:val="none"/>
        </w:rPr>
        <w:t>立项过程中产生的文件均符合相关要求。本项目为</w:t>
      </w:r>
      <w:r>
        <w:rPr>
          <w:rFonts w:hint="eastAsia" w:ascii="宋体" w:hAnsi="宋体" w:eastAsia="宋体" w:cs="宋体"/>
          <w:color w:val="auto"/>
          <w:sz w:val="24"/>
          <w:szCs w:val="24"/>
          <w:highlight w:val="none"/>
          <w:lang w:eastAsia="zh-CN"/>
        </w:rPr>
        <w:t>特定目标</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63</w:t>
      </w:r>
      <w:r>
        <w:rPr>
          <w:rFonts w:hint="eastAsia" w:ascii="宋体" w:hAnsi="宋体" w:eastAsia="宋体" w:cs="宋体"/>
          <w:color w:val="auto"/>
          <w:sz w:val="24"/>
          <w:szCs w:val="24"/>
          <w:highlight w:val="none"/>
        </w:rPr>
        <w:t>万元，不涉及事前绩效评估和风险评估，已委托单位完成本项目可行性研究报告的编制，并经过专家论证。</w:t>
      </w:r>
    </w:p>
    <w:p w14:paraId="205AAEC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highlight w:val="none"/>
        </w:rPr>
        <w:t>综上所述，本指标满分为3分，根</w:t>
      </w:r>
      <w:r>
        <w:rPr>
          <w:rFonts w:hint="eastAsia" w:ascii="宋体" w:hAnsi="宋体" w:eastAsia="宋体" w:cs="宋体"/>
          <w:color w:val="auto"/>
          <w:sz w:val="24"/>
          <w:szCs w:val="24"/>
        </w:rPr>
        <w:t>据评分标准得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分，本项目立项程序合规。</w:t>
      </w:r>
    </w:p>
    <w:p w14:paraId="37528A4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b/>
          <w:bCs/>
          <w:color w:val="000000"/>
          <w:sz w:val="24"/>
          <w:szCs w:val="24"/>
          <w:highlight w:val="none"/>
          <w:lang w:val="en-US" w:eastAsia="zh-CN"/>
        </w:rPr>
        <w:t>3.绩效目标合理性</w:t>
      </w:r>
    </w:p>
    <w:p w14:paraId="12D2B20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该项目年初设定绩效目标主要内容为：根据洛财预[2024]04号文件，拜什托格拉克乡共辖14各村，村级转移支付共63万元，用于14各村完成各级政府交办和下达的各项工作任务及乡村建设，履行法律规定的各项权利和义务，保障村两委正常运转和发展农村经济和社会各项事业，促进社会经济高质量发展</w:t>
      </w:r>
      <w:r>
        <w:rPr>
          <w:rFonts w:hint="eastAsia" w:ascii="宋体" w:hAnsi="宋体" w:eastAsia="宋体" w:cs="宋体"/>
          <w:color w:val="auto"/>
          <w:sz w:val="24"/>
          <w:szCs w:val="24"/>
          <w:highlight w:val="none"/>
          <w:lang w:eastAsia="zh-CN"/>
        </w:rPr>
        <w:t>。</w:t>
      </w:r>
    </w:p>
    <w:p w14:paraId="27182EE2">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绩效目标合理</w:t>
      </w:r>
      <w:r>
        <w:rPr>
          <w:rFonts w:hint="eastAsia" w:ascii="宋体" w:hAnsi="宋体" w:eastAsia="宋体" w:cs="宋体"/>
          <w:color w:val="000000"/>
          <w:sz w:val="24"/>
          <w:szCs w:val="24"/>
          <w:highlight w:val="none"/>
        </w:rPr>
        <w:t>。</w:t>
      </w:r>
    </w:p>
    <w:p w14:paraId="6F7F068E">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4.绩效指标明确性</w:t>
      </w:r>
    </w:p>
    <w:p w14:paraId="53E3CC48">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经检查我单位年初设置的《2024年村级运转经费（县配套）项目支出绩效目标表》，得出如下结论：本项目已将年度绩效目标进行细化为绩效指标</w:t>
      </w:r>
      <w:r>
        <w:rPr>
          <w:rFonts w:hint="eastAsia" w:ascii="宋体" w:hAnsi="宋体" w:eastAsia="宋体" w:cs="宋体"/>
          <w:color w:val="000000"/>
          <w:sz w:val="24"/>
          <w:szCs w:val="24"/>
          <w:highlight w:val="none"/>
          <w:lang w:val="en-US" w:eastAsia="zh-CN"/>
        </w:rPr>
        <w:t>体系</w:t>
      </w:r>
      <w:r>
        <w:rPr>
          <w:rFonts w:hint="eastAsia" w:ascii="宋体" w:hAnsi="宋体" w:eastAsia="宋体" w:cs="宋体"/>
          <w:color w:val="000000"/>
          <w:sz w:val="24"/>
          <w:szCs w:val="24"/>
          <w:highlight w:val="none"/>
        </w:rPr>
        <w:t>，共设置一级指标</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个，二级指标</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个，三级指标</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个，定量指标</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个，定性指标</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个，指标量化率为</w:t>
      </w:r>
      <w:r>
        <w:rPr>
          <w:rFonts w:hint="eastAsia" w:ascii="宋体" w:hAnsi="宋体" w:eastAsia="宋体" w:cs="宋体"/>
          <w:color w:val="000000"/>
          <w:sz w:val="24"/>
          <w:szCs w:val="24"/>
          <w:highlight w:val="none"/>
          <w:lang w:val="en-US" w:eastAsia="zh-CN"/>
        </w:rPr>
        <w:t>85.71</w:t>
      </w:r>
      <w:r>
        <w:rPr>
          <w:rFonts w:hint="eastAsia" w:ascii="宋体" w:hAnsi="宋体" w:eastAsia="宋体" w:cs="宋体"/>
          <w:color w:val="000000"/>
          <w:sz w:val="24"/>
          <w:szCs w:val="24"/>
          <w:highlight w:val="none"/>
        </w:rPr>
        <w:t>%，量化率达70.0%以上</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将项目绩效目标细化分解为具体的绩效指标</w:t>
      </w:r>
      <w:r>
        <w:rPr>
          <w:rFonts w:hint="eastAsia" w:ascii="宋体" w:hAnsi="宋体" w:eastAsia="宋体" w:cs="宋体"/>
          <w:color w:val="000000"/>
          <w:sz w:val="24"/>
          <w:szCs w:val="24"/>
          <w:highlight w:val="none"/>
          <w:lang w:eastAsia="zh-CN"/>
        </w:rPr>
        <w:t>。</w:t>
      </w:r>
    </w:p>
    <w:p w14:paraId="6E7628BB">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该《2024年村级运转经费（县配套）项目绩效目标申报表》中，</w:t>
      </w:r>
      <w:r>
        <w:rPr>
          <w:rFonts w:hint="eastAsia" w:ascii="宋体" w:hAnsi="宋体" w:eastAsia="宋体" w:cs="宋体"/>
          <w:color w:val="000000"/>
          <w:sz w:val="24"/>
          <w:szCs w:val="24"/>
          <w:highlight w:val="none"/>
          <w:lang w:val="en-US" w:eastAsia="zh-CN"/>
        </w:rPr>
        <w:t>已设置</w:t>
      </w:r>
      <w:r>
        <w:rPr>
          <w:rFonts w:hint="eastAsia" w:ascii="宋体" w:hAnsi="宋体" w:eastAsia="宋体" w:cs="宋体"/>
          <w:color w:val="000000"/>
          <w:sz w:val="24"/>
          <w:szCs w:val="24"/>
          <w:highlight w:val="none"/>
        </w:rPr>
        <w:t>数量指标</w:t>
      </w:r>
      <w:r>
        <w:rPr>
          <w:rFonts w:hint="eastAsia" w:ascii="宋体" w:hAnsi="宋体" w:eastAsia="宋体" w:cs="宋体"/>
          <w:color w:val="000000"/>
          <w:sz w:val="24"/>
          <w:szCs w:val="24"/>
          <w:highlight w:val="none"/>
          <w:lang w:eastAsia="zh-CN"/>
        </w:rPr>
        <w:t>“村级集体经济组织数”</w:t>
      </w:r>
      <w:r>
        <w:rPr>
          <w:rFonts w:hint="eastAsia" w:ascii="宋体" w:hAnsi="宋体" w:eastAsia="宋体" w:cs="宋体"/>
          <w:color w:val="000000"/>
          <w:sz w:val="24"/>
          <w:szCs w:val="24"/>
          <w:highlight w:val="none"/>
        </w:rPr>
        <w:t>，三级指标的年度指标值与年度绩效目标中任务数一致，已设置时效指标“</w:t>
      </w:r>
      <w:r>
        <w:rPr>
          <w:rFonts w:hint="eastAsia" w:ascii="宋体" w:hAnsi="宋体" w:eastAsia="宋体" w:cs="宋体"/>
          <w:color w:val="000000"/>
          <w:sz w:val="24"/>
          <w:szCs w:val="24"/>
          <w:highlight w:val="none"/>
          <w:lang w:val="en-US" w:eastAsia="zh-CN"/>
        </w:rPr>
        <w:t>开始时间、结束时间</w:t>
      </w:r>
      <w:r>
        <w:rPr>
          <w:rFonts w:hint="eastAsia" w:ascii="宋体" w:hAnsi="宋体" w:eastAsia="宋体" w:cs="宋体"/>
          <w:color w:val="000000"/>
          <w:sz w:val="24"/>
          <w:szCs w:val="24"/>
          <w:highlight w:val="none"/>
        </w:rPr>
        <w:t>”。已设置的绩效目标具备明确性、可衡量性、可实现性、相关性、时限性。</w:t>
      </w:r>
    </w:p>
    <w:p w14:paraId="7341FEB6">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绩效目标明确</w:t>
      </w:r>
      <w:r>
        <w:rPr>
          <w:rFonts w:hint="eastAsia" w:ascii="宋体" w:hAnsi="宋体" w:eastAsia="宋体" w:cs="宋体"/>
          <w:color w:val="000000"/>
          <w:sz w:val="24"/>
          <w:szCs w:val="24"/>
          <w:highlight w:val="none"/>
        </w:rPr>
        <w:t>。</w:t>
      </w:r>
    </w:p>
    <w:p w14:paraId="01402498">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5.预算编制科学性</w:t>
      </w:r>
    </w:p>
    <w:p w14:paraId="5A1D9C8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lang w:eastAsia="zh-CN"/>
        </w:rPr>
        <w:t>该</w:t>
      </w:r>
      <w:r>
        <w:rPr>
          <w:rFonts w:hint="eastAsia" w:ascii="宋体" w:hAnsi="宋体" w:eastAsia="宋体" w:cs="宋体"/>
          <w:color w:val="000000"/>
          <w:sz w:val="24"/>
          <w:szCs w:val="24"/>
          <w:highlight w:val="none"/>
        </w:rPr>
        <w:t>项目预算编制较科学且经过论证；预算申请内容为</w:t>
      </w:r>
      <w:r>
        <w:rPr>
          <w:rFonts w:hint="eastAsia" w:ascii="宋体" w:hAnsi="宋体" w:eastAsia="宋体" w:cs="宋体"/>
          <w:color w:val="000000"/>
          <w:sz w:val="24"/>
          <w:szCs w:val="24"/>
          <w:highlight w:val="none"/>
          <w:lang w:eastAsia="zh-CN"/>
        </w:rPr>
        <w:t>：根据洛财预[2024]04号文件，拜什托格拉克乡共辖14各村，村级转移支付共63万元，用于14各村完成各级政府交办和下达的各项工作任务及乡村建设，</w:t>
      </w:r>
      <w:r>
        <w:rPr>
          <w:rFonts w:hint="eastAsia" w:ascii="宋体" w:hAnsi="宋体" w:eastAsia="宋体" w:cs="宋体"/>
          <w:color w:val="auto"/>
          <w:sz w:val="24"/>
          <w:szCs w:val="24"/>
          <w:highlight w:val="none"/>
        </w:rPr>
        <w:t>预算申请与</w:t>
      </w:r>
      <w:r>
        <w:rPr>
          <w:rFonts w:hint="eastAsia" w:ascii="宋体" w:hAnsi="宋体" w:eastAsia="宋体" w:cs="宋体"/>
          <w:color w:val="auto"/>
          <w:sz w:val="24"/>
          <w:szCs w:val="24"/>
          <w:highlight w:val="none"/>
          <w:lang w:eastAsia="zh-CN"/>
        </w:rPr>
        <w:t>《2024年村级运转经费（县配套）</w:t>
      </w:r>
      <w:r>
        <w:rPr>
          <w:rFonts w:hint="eastAsia" w:ascii="宋体" w:hAnsi="宋体" w:eastAsia="宋体" w:cs="宋体"/>
          <w:color w:val="auto"/>
          <w:sz w:val="24"/>
          <w:szCs w:val="24"/>
          <w:highlight w:val="none"/>
          <w:lang w:val="en-US" w:eastAsia="zh-CN"/>
        </w:rPr>
        <w:t>项目实施方案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内容匹配；</w:t>
      </w:r>
    </w:p>
    <w:p w14:paraId="1468795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63</w:t>
      </w:r>
      <w:r>
        <w:rPr>
          <w:rFonts w:hint="eastAsia" w:ascii="宋体" w:hAnsi="宋体" w:eastAsia="宋体" w:cs="宋体"/>
          <w:color w:val="auto"/>
          <w:sz w:val="24"/>
          <w:szCs w:val="24"/>
          <w:highlight w:val="none"/>
        </w:rPr>
        <w:t>万元，我单位在预算申请中严格按照项目实施内容及测算标准进行核算，其中：</w:t>
      </w:r>
      <w:r>
        <w:rPr>
          <w:rFonts w:hint="eastAsia" w:ascii="宋体" w:hAnsi="宋体" w:eastAsia="宋体" w:cs="宋体"/>
          <w:color w:val="auto"/>
          <w:kern w:val="2"/>
          <w:sz w:val="24"/>
          <w:szCs w:val="24"/>
          <w:highlight w:val="none"/>
          <w:lang w:val="en-US" w:eastAsia="zh-CN" w:bidi="ar-SA"/>
        </w:rPr>
        <w:t>办公经费39.54万元，包括办公用品购置、通讯费等日常办公开销；电费1.62万元，，用于办公区域照明，印刷费5.9万元，取暖费3.63万元，维修维护费2.18万元，租赁费1.84万元，劳务费0.49万元，其他商品服务支出6.84万元。</w:t>
      </w:r>
      <w:r>
        <w:rPr>
          <w:rFonts w:hint="eastAsia" w:ascii="宋体" w:hAnsi="宋体" w:eastAsia="宋体" w:cs="宋体"/>
          <w:color w:val="auto"/>
          <w:sz w:val="24"/>
          <w:szCs w:val="24"/>
          <w:highlight w:val="none"/>
        </w:rPr>
        <w:t>预算确定资金量与实际工作任务相匹配。本项目预算额度测算依据充分，严格按照标准编制，预算确定资金量与实际工作任务相匹配</w:t>
      </w:r>
      <w:r>
        <w:rPr>
          <w:rFonts w:hint="eastAsia" w:ascii="宋体" w:hAnsi="宋体" w:eastAsia="宋体" w:cs="宋体"/>
          <w:color w:val="auto"/>
          <w:sz w:val="24"/>
          <w:szCs w:val="24"/>
          <w:highlight w:val="none"/>
          <w:lang w:eastAsia="zh-CN"/>
        </w:rPr>
        <w:t>。</w:t>
      </w:r>
    </w:p>
    <w:p w14:paraId="17EBF1FB">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预算编制科学</w:t>
      </w:r>
      <w:r>
        <w:rPr>
          <w:rFonts w:hint="eastAsia" w:ascii="宋体" w:hAnsi="宋体" w:eastAsia="宋体" w:cs="宋体"/>
          <w:color w:val="000000"/>
          <w:sz w:val="24"/>
          <w:szCs w:val="24"/>
          <w:highlight w:val="none"/>
        </w:rPr>
        <w:t>。</w:t>
      </w:r>
    </w:p>
    <w:p w14:paraId="378F3585">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6.资金分配合理性</w:t>
      </w:r>
    </w:p>
    <w:p w14:paraId="4D05C9C8">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本项目实际分配资金以《洛财纪字【2024】9号和《洛财纪字【2024】12号》为依据进行资金分配，预算资金分配依据充分。根据《洛财纪字【2024】9号和《洛财纪字【2024】12号》</w:t>
      </w:r>
      <w:r>
        <w:rPr>
          <w:rFonts w:hint="eastAsia" w:ascii="宋体" w:hAnsi="宋体" w:eastAsia="宋体" w:cs="宋体"/>
          <w:color w:val="000000"/>
          <w:sz w:val="24"/>
          <w:szCs w:val="24"/>
          <w:highlight w:val="none"/>
          <w:lang w:val="en-US" w:eastAsia="zh-CN"/>
        </w:rPr>
        <w:t>文件</w:t>
      </w:r>
      <w:r>
        <w:rPr>
          <w:rFonts w:hint="eastAsia" w:ascii="宋体" w:hAnsi="宋体" w:eastAsia="宋体" w:cs="宋体"/>
          <w:color w:val="000000"/>
          <w:sz w:val="24"/>
          <w:szCs w:val="24"/>
          <w:highlight w:val="none"/>
        </w:rPr>
        <w:t>，本项目实际到位资金</w:t>
      </w:r>
      <w:r>
        <w:rPr>
          <w:rFonts w:hint="eastAsia" w:ascii="宋体" w:hAnsi="宋体" w:eastAsia="宋体" w:cs="宋体"/>
          <w:color w:val="000000"/>
          <w:sz w:val="24"/>
          <w:szCs w:val="24"/>
          <w:highlight w:val="none"/>
          <w:lang w:val="en-US" w:eastAsia="zh-CN"/>
        </w:rPr>
        <w:t>63</w:t>
      </w:r>
      <w:r>
        <w:rPr>
          <w:rFonts w:hint="eastAsia" w:ascii="宋体" w:hAnsi="宋体" w:eastAsia="宋体" w:cs="宋体"/>
          <w:color w:val="000000"/>
          <w:sz w:val="24"/>
          <w:szCs w:val="24"/>
          <w:highlight w:val="none"/>
        </w:rPr>
        <w:t>万元，资金分配额度合理，与我单位实际需求相适应。资金分配与实际相适应</w:t>
      </w:r>
      <w:r>
        <w:rPr>
          <w:rFonts w:hint="eastAsia" w:ascii="宋体" w:hAnsi="宋体" w:eastAsia="宋体" w:cs="宋体"/>
          <w:color w:val="000000"/>
          <w:sz w:val="24"/>
          <w:szCs w:val="24"/>
          <w:highlight w:val="none"/>
          <w:lang w:eastAsia="zh-CN"/>
        </w:rPr>
        <w:t>。</w:t>
      </w:r>
    </w:p>
    <w:p w14:paraId="12F4FA49">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资金分配合理</w:t>
      </w:r>
      <w:r>
        <w:rPr>
          <w:rFonts w:hint="eastAsia" w:ascii="宋体" w:hAnsi="宋体" w:eastAsia="宋体" w:cs="宋体"/>
          <w:color w:val="000000"/>
          <w:sz w:val="24"/>
          <w:szCs w:val="24"/>
          <w:highlight w:val="none"/>
        </w:rPr>
        <w:t>。</w:t>
      </w:r>
    </w:p>
    <w:p w14:paraId="0E06D066">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27E139C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项目过程类指标包括资金管理和组织实施两方面的内容，由5个三级指标构成，权重分为</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2D443FBC">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1.资金到位率：</w:t>
      </w:r>
    </w:p>
    <w:p w14:paraId="64BFA93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本项目预算资金为</w:t>
      </w:r>
      <w:r>
        <w:rPr>
          <w:rFonts w:hint="eastAsia" w:ascii="宋体" w:hAnsi="宋体" w:eastAsia="宋体" w:cs="宋体"/>
          <w:color w:val="auto"/>
          <w:sz w:val="24"/>
          <w:szCs w:val="24"/>
          <w:highlight w:val="none"/>
          <w:lang w:val="en-US" w:eastAsia="zh-CN"/>
        </w:rPr>
        <w:t>63</w:t>
      </w:r>
      <w:r>
        <w:rPr>
          <w:rFonts w:hint="eastAsia" w:ascii="宋体" w:hAnsi="宋体" w:eastAsia="宋体" w:cs="宋体"/>
          <w:color w:val="auto"/>
          <w:sz w:val="24"/>
          <w:szCs w:val="24"/>
          <w:highlight w:val="none"/>
        </w:rPr>
        <w:t>万元，其中：财政安排资金</w:t>
      </w:r>
      <w:r>
        <w:rPr>
          <w:rFonts w:hint="eastAsia" w:ascii="宋体" w:hAnsi="宋体" w:eastAsia="宋体" w:cs="宋体"/>
          <w:color w:val="auto"/>
          <w:sz w:val="24"/>
          <w:szCs w:val="24"/>
          <w:highlight w:val="none"/>
          <w:lang w:val="en-US" w:eastAsia="zh-CN"/>
        </w:rPr>
        <w:t>63</w:t>
      </w:r>
      <w:r>
        <w:rPr>
          <w:rFonts w:hint="eastAsia" w:ascii="宋体" w:hAnsi="宋体" w:eastAsia="宋体" w:cs="宋体"/>
          <w:color w:val="auto"/>
          <w:sz w:val="24"/>
          <w:szCs w:val="24"/>
          <w:highlight w:val="none"/>
        </w:rPr>
        <w:t>万元，其他资金</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万元，实际到位资金</w:t>
      </w:r>
      <w:r>
        <w:rPr>
          <w:rFonts w:hint="eastAsia" w:ascii="宋体" w:hAnsi="宋体" w:eastAsia="宋体" w:cs="宋体"/>
          <w:color w:val="auto"/>
          <w:sz w:val="24"/>
          <w:szCs w:val="24"/>
          <w:highlight w:val="none"/>
          <w:lang w:val="en-US" w:eastAsia="zh-CN"/>
        </w:rPr>
        <w:t>62.04</w:t>
      </w:r>
      <w:r>
        <w:rPr>
          <w:rFonts w:hint="eastAsia" w:ascii="宋体" w:hAnsi="宋体" w:eastAsia="宋体" w:cs="宋体"/>
          <w:color w:val="auto"/>
          <w:sz w:val="24"/>
          <w:szCs w:val="24"/>
          <w:highlight w:val="none"/>
        </w:rPr>
        <w:t>万元，资金到位率</w:t>
      </w:r>
      <w:r>
        <w:rPr>
          <w:rFonts w:hint="eastAsia" w:ascii="宋体" w:hAnsi="宋体" w:eastAsia="宋体" w:cs="宋体"/>
          <w:color w:val="auto"/>
          <w:sz w:val="24"/>
          <w:szCs w:val="24"/>
          <w:highlight w:val="none"/>
          <w:lang w:val="en-US" w:eastAsia="zh-CN"/>
        </w:rPr>
        <w:t>98.44%；通过分析可知，该项目</w:t>
      </w:r>
      <w:r>
        <w:rPr>
          <w:rFonts w:hint="eastAsia" w:ascii="宋体" w:hAnsi="宋体" w:eastAsia="宋体" w:cs="宋体"/>
          <w:color w:val="auto"/>
          <w:sz w:val="24"/>
          <w:szCs w:val="24"/>
          <w:highlight w:val="none"/>
        </w:rPr>
        <w:t>财政资金足额拨付到位，能够及时足额</w:t>
      </w:r>
      <w:r>
        <w:rPr>
          <w:rFonts w:hint="eastAsia" w:ascii="宋体" w:hAnsi="宋体" w:eastAsia="宋体" w:cs="宋体"/>
          <w:color w:val="auto"/>
          <w:sz w:val="24"/>
          <w:szCs w:val="24"/>
          <w:highlight w:val="none"/>
          <w:lang w:val="en-US" w:eastAsia="zh-CN"/>
        </w:rPr>
        <w:t>支付</w:t>
      </w:r>
      <w:r>
        <w:rPr>
          <w:rFonts w:hint="eastAsia" w:ascii="宋体" w:hAnsi="宋体" w:eastAsia="宋体" w:cs="宋体"/>
          <w:color w:val="auto"/>
          <w:sz w:val="24"/>
          <w:szCs w:val="24"/>
          <w:highlight w:val="none"/>
        </w:rPr>
        <w:t>给</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w:t>
      </w:r>
    </w:p>
    <w:p w14:paraId="33AEA9D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分。</w:t>
      </w:r>
    </w:p>
    <w:p w14:paraId="4DC50FE2">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2.预算执行率：</w:t>
      </w:r>
    </w:p>
    <w:p w14:paraId="65A9821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62.04</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实际支付资金</w:t>
      </w:r>
      <w:r>
        <w:rPr>
          <w:rFonts w:hint="eastAsia" w:ascii="宋体" w:hAnsi="宋体" w:eastAsia="宋体" w:cs="宋体"/>
          <w:color w:val="auto"/>
          <w:sz w:val="24"/>
          <w:szCs w:val="24"/>
          <w:highlight w:val="none"/>
        </w:rPr>
        <w:t>×100.0%=</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w:t>
      </w:r>
      <w:r>
        <w:rPr>
          <w:rFonts w:hint="eastAsia" w:ascii="宋体" w:hAnsi="宋体" w:eastAsia="宋体" w:cs="宋体"/>
          <w:color w:val="auto"/>
          <w:sz w:val="24"/>
          <w:szCs w:val="24"/>
          <w:highlight w:val="none"/>
          <w:lang w:eastAsia="zh-CN"/>
        </w:rPr>
        <w:t>。</w:t>
      </w:r>
    </w:p>
    <w:p w14:paraId="7AA14D2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5947144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3.资金使用合规性：</w:t>
      </w:r>
    </w:p>
    <w:p w14:paraId="738CB44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eastAsia="zh-CN"/>
        </w:rPr>
        <w:t>洛浦县拜什托格拉克乡人民政府</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eastAsia="zh-CN"/>
        </w:rPr>
        <w:t>洛浦县拜什托格拉克乡人民政府</w:t>
      </w:r>
      <w:r>
        <w:rPr>
          <w:rFonts w:hint="eastAsia" w:ascii="宋体" w:hAnsi="宋体" w:eastAsia="宋体" w:cs="宋体"/>
          <w:color w:val="auto"/>
          <w:sz w:val="24"/>
          <w:szCs w:val="24"/>
          <w:highlight w:val="none"/>
        </w:rPr>
        <w:t>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w:t>
      </w:r>
      <w:r>
        <w:rPr>
          <w:rFonts w:hint="eastAsia" w:ascii="宋体" w:hAnsi="宋体" w:eastAsia="宋体" w:cs="宋体"/>
          <w:color w:val="auto"/>
          <w:sz w:val="24"/>
          <w:szCs w:val="24"/>
          <w:highlight w:val="none"/>
          <w:lang w:eastAsia="zh-CN"/>
        </w:rPr>
        <w:t>。</w:t>
      </w:r>
    </w:p>
    <w:p w14:paraId="56975E2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160F132C">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4.管理制度健全性：</w:t>
      </w:r>
    </w:p>
    <w:p w14:paraId="3E79CAB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我单位已制定《</w:t>
      </w:r>
      <w:r>
        <w:rPr>
          <w:rFonts w:hint="eastAsia" w:ascii="宋体" w:hAnsi="宋体" w:eastAsia="宋体" w:cs="宋体"/>
          <w:color w:val="auto"/>
          <w:sz w:val="24"/>
          <w:szCs w:val="24"/>
          <w:highlight w:val="none"/>
          <w:lang w:val="en-US" w:eastAsia="zh-CN"/>
        </w:rPr>
        <w:t>拜什托格拉克乡人民政府</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val="en-US" w:eastAsia="zh-CN"/>
        </w:rPr>
        <w:t>拜什托格拉克乡人民政府</w:t>
      </w:r>
      <w:r>
        <w:rPr>
          <w:rFonts w:hint="eastAsia" w:ascii="宋体" w:hAnsi="宋体" w:eastAsia="宋体" w:cs="宋体"/>
          <w:color w:val="auto"/>
          <w:sz w:val="24"/>
          <w:szCs w:val="24"/>
          <w:highlight w:val="none"/>
        </w:rPr>
        <w:t>收支业务管理制度》《</w:t>
      </w:r>
      <w:r>
        <w:rPr>
          <w:rFonts w:hint="eastAsia" w:ascii="宋体" w:hAnsi="宋体" w:eastAsia="宋体" w:cs="宋体"/>
          <w:color w:val="auto"/>
          <w:sz w:val="24"/>
          <w:szCs w:val="24"/>
          <w:highlight w:val="none"/>
          <w:lang w:val="en-US" w:eastAsia="zh-CN"/>
        </w:rPr>
        <w:t>拜什托格拉克乡人民政府</w:t>
      </w:r>
      <w:r>
        <w:rPr>
          <w:rFonts w:hint="eastAsia" w:ascii="宋体" w:hAnsi="宋体" w:eastAsia="宋体" w:cs="宋体"/>
          <w:color w:val="auto"/>
          <w:sz w:val="24"/>
          <w:szCs w:val="24"/>
          <w:highlight w:val="none"/>
        </w:rPr>
        <w:t>采购业务管理制度》《</w:t>
      </w:r>
      <w:r>
        <w:rPr>
          <w:rFonts w:hint="eastAsia" w:ascii="宋体" w:hAnsi="宋体" w:eastAsia="宋体" w:cs="宋体"/>
          <w:color w:val="auto"/>
          <w:sz w:val="24"/>
          <w:szCs w:val="24"/>
          <w:highlight w:val="none"/>
          <w:lang w:val="en-US" w:eastAsia="zh-CN"/>
        </w:rPr>
        <w:t>拜什托格拉克乡人民政</w:t>
      </w:r>
      <w:r>
        <w:rPr>
          <w:rFonts w:hint="eastAsia" w:ascii="宋体" w:hAnsi="宋体" w:eastAsia="宋体" w:cs="宋体"/>
          <w:color w:val="auto"/>
          <w:sz w:val="24"/>
          <w:szCs w:val="24"/>
          <w:highlight w:val="none"/>
          <w:lang w:eastAsia="zh-CN"/>
        </w:rPr>
        <w:t>府</w:t>
      </w:r>
      <w:r>
        <w:rPr>
          <w:rFonts w:hint="eastAsia" w:ascii="宋体" w:hAnsi="宋体" w:eastAsia="宋体" w:cs="宋体"/>
          <w:color w:val="auto"/>
          <w:sz w:val="24"/>
          <w:szCs w:val="24"/>
          <w:highlight w:val="none"/>
        </w:rPr>
        <w:t>合同管理制度》，</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制度均符合行政事业单位内控管理要求，财务和业务管理制度合法、合规、完整，本项目执行符合上述制度规定。</w:t>
      </w:r>
    </w:p>
    <w:p w14:paraId="1387B36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684ED3E8">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5.制度执行有效性：</w:t>
      </w:r>
    </w:p>
    <w:p w14:paraId="519DF2E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①该项目的实施符合《洛浦县2024年村级运转经费</w:t>
      </w:r>
      <w:r>
        <w:rPr>
          <w:rFonts w:hint="eastAsia" w:ascii="宋体" w:hAnsi="宋体" w:eastAsia="宋体" w:cs="宋体"/>
          <w:color w:val="auto"/>
          <w:sz w:val="24"/>
          <w:szCs w:val="24"/>
          <w:highlight w:val="none"/>
          <w:lang w:eastAsia="zh-CN"/>
        </w:rPr>
        <w:t>实施</w:t>
      </w:r>
      <w:r>
        <w:rPr>
          <w:rFonts w:hint="eastAsia" w:ascii="宋体" w:hAnsi="宋体" w:eastAsia="宋体" w:cs="宋体"/>
          <w:color w:val="auto"/>
          <w:sz w:val="24"/>
          <w:szCs w:val="24"/>
          <w:highlight w:val="none"/>
        </w:rPr>
        <w:t>办法》《洛浦县2024年村级运转经费</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管理制度》《洛浦县2024年村级运转经费</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采购业务管理制度》《洛浦县2024年村级运转经费</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0019FDF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3A27B09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③该项目是否存在调整，调整手续是否齐全，如未调整，则填“该项目实施过程中不存在调整事项”。</w:t>
      </w:r>
    </w:p>
    <w:p w14:paraId="7D0788C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洛浦县2024年村级运转经费工作领导小组，由</w:t>
      </w:r>
      <w:r>
        <w:rPr>
          <w:rFonts w:hint="eastAsia" w:ascii="宋体" w:hAnsi="宋体" w:eastAsia="宋体" w:cs="宋体"/>
          <w:color w:val="auto"/>
          <w:sz w:val="24"/>
          <w:szCs w:val="24"/>
          <w:highlight w:val="none"/>
          <w:lang w:val="en-US" w:eastAsia="zh-CN"/>
        </w:rPr>
        <w:t>买图送</w:t>
      </w:r>
      <w:r>
        <w:rPr>
          <w:rFonts w:hint="eastAsia" w:ascii="宋体" w:hAnsi="宋体" w:eastAsia="宋体" w:cs="宋体"/>
          <w:color w:val="auto"/>
          <w:sz w:val="24"/>
          <w:szCs w:val="24"/>
          <w:highlight w:val="none"/>
        </w:rPr>
        <w:t>任组长，负责项目的组织工作；</w:t>
      </w:r>
      <w:r>
        <w:rPr>
          <w:rFonts w:hint="eastAsia" w:ascii="宋体" w:hAnsi="宋体" w:eastAsia="宋体" w:cs="宋体"/>
          <w:color w:val="auto"/>
          <w:sz w:val="24"/>
          <w:szCs w:val="24"/>
          <w:highlight w:val="none"/>
          <w:lang w:val="en-US" w:eastAsia="zh-CN"/>
        </w:rPr>
        <w:t>张腾</w:t>
      </w:r>
      <w:r>
        <w:rPr>
          <w:rFonts w:hint="eastAsia" w:ascii="宋体" w:hAnsi="宋体" w:eastAsia="宋体" w:cs="宋体"/>
          <w:color w:val="auto"/>
          <w:sz w:val="24"/>
          <w:szCs w:val="24"/>
          <w:highlight w:val="none"/>
        </w:rPr>
        <w:t>副组长，负责项目的实施工作；组员包括：</w:t>
      </w:r>
      <w:r>
        <w:rPr>
          <w:rFonts w:hint="eastAsia" w:ascii="宋体" w:hAnsi="宋体" w:eastAsia="宋体" w:cs="宋体"/>
          <w:color w:val="auto"/>
          <w:sz w:val="24"/>
          <w:szCs w:val="24"/>
          <w:highlight w:val="none"/>
          <w:lang w:val="en-US" w:eastAsia="zh-CN"/>
        </w:rPr>
        <w:t>奥古丽妮萨</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val="en-US" w:eastAsia="zh-CN"/>
        </w:rPr>
        <w:t>侯爽</w:t>
      </w:r>
      <w:r>
        <w:rPr>
          <w:rFonts w:hint="eastAsia" w:ascii="宋体" w:hAnsi="宋体" w:eastAsia="宋体" w:cs="宋体"/>
          <w:color w:val="auto"/>
          <w:sz w:val="24"/>
          <w:szCs w:val="24"/>
          <w:highlight w:val="none"/>
        </w:rPr>
        <w:t>，主要负责项目监督管理、验收以及资金核拨等工作。</w:t>
      </w:r>
    </w:p>
    <w:p w14:paraId="4A095EA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7F082098">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1ABBBCE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项目产出类指标包括产出数量、产出质量、产出时效、产出成本四方面的内容，由4个三级指标构成，权重分为</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39.84</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99.60</w:t>
      </w:r>
      <w:r>
        <w:rPr>
          <w:rFonts w:hint="eastAsia" w:ascii="宋体" w:hAnsi="宋体" w:eastAsia="宋体" w:cs="宋体"/>
          <w:color w:val="auto"/>
          <w:sz w:val="24"/>
          <w:szCs w:val="24"/>
          <w:highlight w:val="none"/>
        </w:rPr>
        <w:t>%。</w:t>
      </w:r>
    </w:p>
    <w:p w14:paraId="0063181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1.对于“产出数量”</w:t>
      </w:r>
    </w:p>
    <w:p w14:paraId="69B1394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村级集体经济组织数</w:t>
      </w:r>
      <w:r>
        <w:rPr>
          <w:rFonts w:hint="eastAsia" w:ascii="宋体" w:hAnsi="宋体" w:eastAsia="宋体" w:cs="宋体"/>
          <w:color w:val="auto"/>
          <w:sz w:val="24"/>
          <w:szCs w:val="24"/>
          <w:highlight w:val="none"/>
        </w:rPr>
        <w:t>，预期指标值</w:t>
      </w:r>
      <w:r>
        <w:rPr>
          <w:rFonts w:hint="eastAsia" w:ascii="宋体" w:hAnsi="宋体" w:eastAsia="宋体" w:cs="宋体"/>
          <w:color w:val="auto"/>
          <w:sz w:val="24"/>
          <w:szCs w:val="24"/>
          <w:highlight w:val="none"/>
          <w:lang w:eastAsia="zh-CN"/>
        </w:rPr>
        <w:t>为等于</w:t>
      </w:r>
      <w:r>
        <w:rPr>
          <w:rFonts w:hint="eastAsia" w:ascii="宋体" w:hAnsi="宋体" w:eastAsia="宋体" w:cs="宋体"/>
          <w:color w:val="auto"/>
          <w:sz w:val="24"/>
          <w:szCs w:val="24"/>
          <w:highlight w:val="none"/>
          <w:lang w:val="en-US" w:eastAsia="zh-CN"/>
        </w:rPr>
        <w:t>14个，</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14个，</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306A241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58D95CB5">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2.对于“产出质量”</w:t>
      </w:r>
    </w:p>
    <w:p w14:paraId="3FCB75E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保障发放率，预期指标值</w:t>
      </w:r>
      <w:r>
        <w:rPr>
          <w:rFonts w:hint="eastAsia" w:ascii="宋体" w:hAnsi="宋体" w:eastAsia="宋体" w:cs="宋体"/>
          <w:color w:val="000000"/>
          <w:sz w:val="24"/>
          <w:szCs w:val="24"/>
          <w:highlight w:val="none"/>
          <w:lang w:val="en-US" w:eastAsia="zh-CN"/>
        </w:rPr>
        <w:t>等于100%</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6DD576C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合计得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46B427A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3.对于“产出时效”</w:t>
      </w:r>
    </w:p>
    <w:p w14:paraId="705FE419">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开始时间，预期指标值202</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年</w:t>
      </w:r>
      <w:r>
        <w:rPr>
          <w:rFonts w:hint="eastAsia" w:ascii="宋体" w:hAnsi="宋体" w:eastAsia="宋体" w:cs="宋体"/>
          <w:b w:val="0"/>
          <w:color w:val="000000"/>
          <w:sz w:val="24"/>
          <w:szCs w:val="24"/>
          <w:highlight w:val="none"/>
          <w:lang w:val="en-US" w:eastAsia="zh-CN"/>
        </w:rPr>
        <w:t>1</w:t>
      </w:r>
      <w:r>
        <w:rPr>
          <w:rFonts w:hint="eastAsia" w:ascii="宋体" w:hAnsi="宋体" w:eastAsia="宋体" w:cs="宋体"/>
          <w:b w:val="0"/>
          <w:color w:val="000000"/>
          <w:sz w:val="24"/>
          <w:szCs w:val="24"/>
          <w:highlight w:val="none"/>
        </w:rPr>
        <w:t>月，实际完成值202</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年</w:t>
      </w:r>
      <w:r>
        <w:rPr>
          <w:rFonts w:hint="eastAsia" w:ascii="宋体" w:hAnsi="宋体" w:eastAsia="宋体" w:cs="宋体"/>
          <w:b w:val="0"/>
          <w:color w:val="000000"/>
          <w:sz w:val="24"/>
          <w:szCs w:val="24"/>
          <w:highlight w:val="none"/>
          <w:lang w:val="en-US" w:eastAsia="zh-CN"/>
        </w:rPr>
        <w:t>1</w:t>
      </w:r>
      <w:r>
        <w:rPr>
          <w:rFonts w:hint="eastAsia" w:ascii="宋体" w:hAnsi="宋体" w:eastAsia="宋体" w:cs="宋体"/>
          <w:b w:val="0"/>
          <w:color w:val="000000"/>
          <w:sz w:val="24"/>
          <w:szCs w:val="24"/>
          <w:highlight w:val="none"/>
        </w:rPr>
        <w:t>月，指标完成率为</w:t>
      </w:r>
      <w:r>
        <w:rPr>
          <w:rFonts w:hint="eastAsia" w:ascii="宋体" w:hAnsi="宋体" w:eastAsia="宋体" w:cs="宋体"/>
          <w:b w:val="0"/>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5</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4C2F215F">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结束时间，预期指标值2024年</w:t>
      </w:r>
      <w:r>
        <w:rPr>
          <w:rFonts w:hint="eastAsia" w:ascii="宋体" w:hAnsi="宋体" w:eastAsia="宋体" w:cs="宋体"/>
          <w:b w:val="0"/>
          <w:color w:val="000000"/>
          <w:sz w:val="24"/>
          <w:szCs w:val="24"/>
          <w:highlight w:val="none"/>
          <w:lang w:val="en-US" w:eastAsia="zh-CN"/>
        </w:rPr>
        <w:t>12</w:t>
      </w:r>
      <w:r>
        <w:rPr>
          <w:rFonts w:hint="eastAsia" w:ascii="宋体" w:hAnsi="宋体" w:eastAsia="宋体" w:cs="宋体"/>
          <w:b w:val="0"/>
          <w:color w:val="000000"/>
          <w:sz w:val="24"/>
          <w:szCs w:val="24"/>
          <w:highlight w:val="none"/>
        </w:rPr>
        <w:t>月，实际完成值2024年</w:t>
      </w:r>
      <w:r>
        <w:rPr>
          <w:rFonts w:hint="eastAsia" w:ascii="宋体" w:hAnsi="宋体" w:eastAsia="宋体" w:cs="宋体"/>
          <w:b w:val="0"/>
          <w:color w:val="000000"/>
          <w:sz w:val="24"/>
          <w:szCs w:val="24"/>
          <w:highlight w:val="none"/>
          <w:lang w:val="en-US" w:eastAsia="zh-CN"/>
        </w:rPr>
        <w:t>12</w:t>
      </w:r>
      <w:r>
        <w:rPr>
          <w:rFonts w:hint="eastAsia" w:ascii="宋体" w:hAnsi="宋体" w:eastAsia="宋体" w:cs="宋体"/>
          <w:b w:val="0"/>
          <w:color w:val="000000"/>
          <w:sz w:val="24"/>
          <w:szCs w:val="24"/>
          <w:highlight w:val="none"/>
        </w:rPr>
        <w:t>月，指标完成率</w:t>
      </w:r>
      <w:r>
        <w:rPr>
          <w:rFonts w:hint="eastAsia" w:ascii="宋体" w:hAnsi="宋体" w:eastAsia="宋体" w:cs="宋体"/>
          <w:b w:val="0"/>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5</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6BBFCC1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000000"/>
          <w:sz w:val="24"/>
          <w:szCs w:val="24"/>
          <w:highlight w:val="none"/>
        </w:rPr>
        <w:t>合计得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78064723">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4.对于“产出成本”</w:t>
      </w:r>
    </w:p>
    <w:p w14:paraId="0AB3846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各村资金分配标准，预期指标值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4.50万元，实际完成值</w:t>
      </w:r>
      <w:r>
        <w:rPr>
          <w:rFonts w:hint="eastAsia" w:ascii="宋体" w:hAnsi="宋体" w:eastAsia="宋体" w:cs="宋体"/>
          <w:color w:val="000000"/>
          <w:sz w:val="24"/>
          <w:szCs w:val="24"/>
          <w:highlight w:val="none"/>
          <w:lang w:val="en-US" w:eastAsia="zh-CN"/>
        </w:rPr>
        <w:t>4.43</w:t>
      </w:r>
      <w:r>
        <w:rPr>
          <w:rFonts w:hint="eastAsia" w:ascii="宋体" w:hAnsi="宋体" w:eastAsia="宋体" w:cs="宋体"/>
          <w:color w:val="000000"/>
          <w:sz w:val="24"/>
          <w:szCs w:val="24"/>
          <w:highlight w:val="none"/>
        </w:rPr>
        <w:t>万元，指标完成率</w:t>
      </w:r>
      <w:r>
        <w:rPr>
          <w:rFonts w:hint="eastAsia" w:ascii="宋体" w:hAnsi="宋体" w:eastAsia="宋体" w:cs="宋体"/>
          <w:color w:val="000000"/>
          <w:sz w:val="24"/>
          <w:szCs w:val="24"/>
          <w:highlight w:val="none"/>
          <w:lang w:val="en-US" w:eastAsia="zh-CN"/>
        </w:rPr>
        <w:t>98.44%，</w:t>
      </w:r>
      <w:r>
        <w:rPr>
          <w:rFonts w:hint="eastAsia" w:ascii="宋体" w:hAnsi="宋体" w:eastAsia="宋体" w:cs="宋体"/>
          <w:b w:val="0"/>
          <w:color w:val="000000"/>
          <w:sz w:val="24"/>
          <w:szCs w:val="24"/>
          <w:highlight w:val="none"/>
        </w:rPr>
        <w:t>与预期目标一致，根据评分标准，该指标扣分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9.84</w:t>
      </w:r>
      <w:r>
        <w:rPr>
          <w:rFonts w:hint="eastAsia" w:ascii="宋体" w:hAnsi="宋体" w:eastAsia="宋体" w:cs="宋体"/>
          <w:color w:val="000000"/>
          <w:sz w:val="24"/>
          <w:szCs w:val="24"/>
          <w:highlight w:val="none"/>
        </w:rPr>
        <w:t>分。</w:t>
      </w:r>
    </w:p>
    <w:p w14:paraId="462FE196">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合计得</w:t>
      </w:r>
      <w:r>
        <w:rPr>
          <w:rFonts w:hint="eastAsia" w:ascii="宋体" w:hAnsi="宋体" w:eastAsia="宋体" w:cs="宋体"/>
          <w:b w:val="0"/>
          <w:bCs/>
          <w:color w:val="000000"/>
          <w:sz w:val="24"/>
          <w:szCs w:val="24"/>
          <w:highlight w:val="none"/>
          <w:lang w:val="en-US" w:eastAsia="zh-CN"/>
        </w:rPr>
        <w:t>9.84</w:t>
      </w:r>
      <w:r>
        <w:rPr>
          <w:rFonts w:hint="eastAsia" w:ascii="宋体" w:hAnsi="宋体" w:eastAsia="宋体" w:cs="宋体"/>
          <w:b w:val="0"/>
          <w:bCs/>
          <w:color w:val="000000"/>
          <w:sz w:val="24"/>
          <w:szCs w:val="24"/>
          <w:highlight w:val="none"/>
        </w:rPr>
        <w:t>分。</w:t>
      </w:r>
    </w:p>
    <w:p w14:paraId="58C7CEAF">
      <w:pPr>
        <w:pStyle w:val="2"/>
        <w:rPr>
          <w:rFonts w:hint="eastAsia"/>
        </w:rPr>
      </w:pPr>
    </w:p>
    <w:p w14:paraId="39CD2EC3">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3CE7AAA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分，得分率为100%。</w:t>
      </w:r>
    </w:p>
    <w:p w14:paraId="6D291831">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1.对于“社会效益指标”</w:t>
      </w:r>
    </w:p>
    <w:p w14:paraId="2DAADEBB">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bCs w:val="0"/>
          <w:color w:val="000000"/>
          <w:sz w:val="24"/>
          <w:szCs w:val="24"/>
          <w:highlight w:val="none"/>
        </w:rPr>
        <w:t>保障村级正常运转运行，预期指标值为</w:t>
      </w:r>
      <w:r>
        <w:rPr>
          <w:rFonts w:hint="eastAsia" w:ascii="宋体" w:hAnsi="宋体" w:eastAsia="宋体" w:cs="宋体"/>
          <w:b w:val="0"/>
          <w:bCs w:val="0"/>
          <w:color w:val="000000"/>
          <w:sz w:val="24"/>
          <w:szCs w:val="24"/>
          <w:highlight w:val="none"/>
          <w:lang w:val="en-US" w:eastAsia="zh-CN"/>
        </w:rPr>
        <w:t>有效保障</w:t>
      </w:r>
      <w:r>
        <w:rPr>
          <w:rFonts w:hint="eastAsia" w:ascii="宋体" w:hAnsi="宋体" w:eastAsia="宋体" w:cs="宋体"/>
          <w:b w:val="0"/>
          <w:bCs w:val="0"/>
          <w:color w:val="000000"/>
          <w:sz w:val="24"/>
          <w:szCs w:val="24"/>
          <w:highlight w:val="none"/>
        </w:rPr>
        <w:t>，实际完成值为</w:t>
      </w:r>
      <w:r>
        <w:rPr>
          <w:rFonts w:hint="eastAsia" w:ascii="宋体" w:hAnsi="宋体" w:eastAsia="宋体" w:cs="宋体"/>
          <w:b w:val="0"/>
          <w:bCs w:val="0"/>
          <w:color w:val="000000"/>
          <w:sz w:val="24"/>
          <w:szCs w:val="24"/>
          <w:highlight w:val="none"/>
          <w:lang w:val="en-US" w:eastAsia="zh-CN"/>
        </w:rPr>
        <w:t>有效保障</w:t>
      </w:r>
      <w:r>
        <w:rPr>
          <w:rFonts w:hint="eastAsia" w:ascii="宋体" w:hAnsi="宋体" w:eastAsia="宋体" w:cs="宋体"/>
          <w:b w:val="0"/>
          <w:bCs w:val="0"/>
          <w:color w:val="000000"/>
          <w:sz w:val="24"/>
          <w:szCs w:val="24"/>
          <w:highlight w:val="none"/>
        </w:rPr>
        <w:t>，指标完成率</w:t>
      </w:r>
      <w:r>
        <w:rPr>
          <w:rFonts w:hint="eastAsia" w:ascii="宋体" w:hAnsi="宋体" w:eastAsia="宋体" w:cs="宋体"/>
          <w:b w:val="0"/>
          <w:bCs w:val="0"/>
          <w:color w:val="000000"/>
          <w:sz w:val="24"/>
          <w:szCs w:val="24"/>
          <w:highlight w:val="none"/>
          <w:lang w:val="en-US" w:eastAsia="zh-CN"/>
        </w:rPr>
        <w:t>100%</w:t>
      </w:r>
      <w:r>
        <w:rPr>
          <w:rFonts w:hint="eastAsia" w:ascii="宋体" w:hAnsi="宋体" w:eastAsia="宋体" w:cs="宋体"/>
          <w:b w:val="0"/>
          <w:bCs w:val="0"/>
          <w:color w:val="000000"/>
          <w:sz w:val="24"/>
          <w:szCs w:val="24"/>
          <w:highlight w:val="none"/>
        </w:rPr>
        <w:t>，与预期指标一致，根据评分标准，该指标不扣分，得</w:t>
      </w:r>
      <w:r>
        <w:rPr>
          <w:rFonts w:hint="eastAsia" w:ascii="宋体" w:hAnsi="宋体" w:eastAsia="宋体" w:cs="宋体"/>
          <w:b w:val="0"/>
          <w:bCs w:val="0"/>
          <w:color w:val="000000"/>
          <w:sz w:val="24"/>
          <w:szCs w:val="24"/>
          <w:highlight w:val="none"/>
          <w:lang w:val="en-US" w:eastAsia="zh-CN"/>
        </w:rPr>
        <w:t>15</w:t>
      </w:r>
      <w:r>
        <w:rPr>
          <w:rFonts w:hint="eastAsia" w:ascii="宋体" w:hAnsi="宋体" w:eastAsia="宋体" w:cs="宋体"/>
          <w:b w:val="0"/>
          <w:bCs w:val="0"/>
          <w:color w:val="000000"/>
          <w:sz w:val="24"/>
          <w:szCs w:val="24"/>
          <w:highlight w:val="none"/>
        </w:rPr>
        <w:t>分。</w:t>
      </w:r>
      <w:bookmarkEnd w:id="15"/>
    </w:p>
    <w:p w14:paraId="247CDF22">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2.对于“经济效益指标”</w:t>
      </w:r>
    </w:p>
    <w:p w14:paraId="10F88CB9">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lang w:val="en-US" w:eastAsia="zh-CN"/>
        </w:rPr>
        <w:t>该项目不涉及</w:t>
      </w:r>
      <w:r>
        <w:rPr>
          <w:rFonts w:hint="eastAsia" w:ascii="宋体" w:hAnsi="宋体" w:eastAsia="宋体" w:cs="宋体"/>
          <w:b w:val="0"/>
          <w:bCs w:val="0"/>
          <w:color w:val="000000"/>
          <w:sz w:val="24"/>
          <w:szCs w:val="24"/>
          <w:highlight w:val="none"/>
        </w:rPr>
        <w:t>经济效益指标</w:t>
      </w:r>
      <w:r>
        <w:rPr>
          <w:rFonts w:hint="eastAsia" w:ascii="宋体" w:hAnsi="宋体" w:eastAsia="宋体" w:cs="宋体"/>
          <w:b w:val="0"/>
          <w:bCs w:val="0"/>
          <w:color w:val="000000"/>
          <w:sz w:val="24"/>
          <w:szCs w:val="24"/>
          <w:highlight w:val="none"/>
          <w:lang w:val="en-US" w:eastAsia="zh-CN"/>
        </w:rPr>
        <w:t>。</w:t>
      </w:r>
    </w:p>
    <w:p w14:paraId="68A025A2">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3.对于“生态效益指标”</w:t>
      </w:r>
    </w:p>
    <w:p w14:paraId="67C05074">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该项目不涉及生态效益指标。</w:t>
      </w:r>
    </w:p>
    <w:p w14:paraId="0B610A7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4.满意度指标分析</w:t>
      </w:r>
    </w:p>
    <w:p w14:paraId="7009F718">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村干部满意度</w:t>
      </w:r>
      <w:r>
        <w:rPr>
          <w:rFonts w:hint="eastAsia" w:ascii="宋体" w:hAnsi="宋体" w:eastAsia="宋体" w:cs="宋体"/>
          <w:color w:val="000000"/>
          <w:sz w:val="24"/>
          <w:szCs w:val="24"/>
          <w:highlight w:val="none"/>
        </w:rPr>
        <w:t>，预期指标值</w:t>
      </w:r>
      <w:r>
        <w:rPr>
          <w:rFonts w:hint="eastAsia" w:ascii="宋体" w:hAnsi="宋体" w:eastAsia="宋体" w:cs="宋体"/>
          <w:color w:val="000000"/>
          <w:sz w:val="24"/>
          <w:szCs w:val="24"/>
          <w:highlight w:val="none"/>
          <w:lang w:val="en-US" w:eastAsia="zh-CN"/>
        </w:rPr>
        <w:t>大于等于95%</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95%</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，与预期目标一致，根据评分标准，该指标不扣分,得10分。</w:t>
      </w:r>
    </w:p>
    <w:p w14:paraId="3B710BE5">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合计得</w:t>
      </w:r>
      <w:r>
        <w:rPr>
          <w:rFonts w:hint="eastAsia" w:ascii="宋体" w:hAnsi="宋体" w:eastAsia="宋体" w:cs="宋体"/>
          <w:b w:val="0"/>
          <w:bCs/>
          <w:color w:val="000000"/>
          <w:sz w:val="24"/>
          <w:szCs w:val="24"/>
          <w:highlight w:val="none"/>
          <w:lang w:val="en-US" w:eastAsia="zh-CN"/>
        </w:rPr>
        <w:t>25</w:t>
      </w:r>
      <w:r>
        <w:rPr>
          <w:rFonts w:hint="eastAsia" w:ascii="宋体" w:hAnsi="宋体" w:eastAsia="宋体" w:cs="宋体"/>
          <w:b w:val="0"/>
          <w:bCs/>
          <w:color w:val="000000"/>
          <w:sz w:val="24"/>
          <w:szCs w:val="24"/>
          <w:highlight w:val="none"/>
        </w:rPr>
        <w:t>分。</w:t>
      </w:r>
    </w:p>
    <w:p w14:paraId="14578EB0">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五、预算执行进度与绩效指标偏差情况</w:t>
      </w:r>
    </w:p>
    <w:p w14:paraId="6F45CD7F">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63</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62.04</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62.04</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17E7B3A4">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85.71</w:t>
      </w:r>
      <w:r>
        <w:rPr>
          <w:rFonts w:hint="eastAsia" w:ascii="宋体" w:hAnsi="宋体" w:eastAsia="宋体" w:cs="宋体"/>
          <w:color w:val="auto"/>
          <w:sz w:val="24"/>
          <w:szCs w:val="24"/>
        </w:rPr>
        <w:t>%。</w:t>
      </w:r>
    </w:p>
    <w:p w14:paraId="11D94A90">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综上所述本项目预算执行率与总体完成率之间的偏差为</w:t>
      </w:r>
      <w:r>
        <w:rPr>
          <w:rFonts w:hint="eastAsia" w:ascii="宋体" w:hAnsi="宋体" w:eastAsia="宋体" w:cs="宋体"/>
          <w:color w:val="auto"/>
          <w:sz w:val="24"/>
          <w:szCs w:val="24"/>
          <w:lang w:val="en-US" w:eastAsia="zh-CN"/>
        </w:rPr>
        <w:t>14.29</w:t>
      </w:r>
      <w:r>
        <w:rPr>
          <w:rFonts w:hint="eastAsia" w:ascii="宋体" w:hAnsi="宋体" w:eastAsia="宋体" w:cs="宋体"/>
          <w:color w:val="auto"/>
          <w:sz w:val="24"/>
          <w:szCs w:val="24"/>
        </w:rPr>
        <w:t>%。</w:t>
      </w:r>
    </w:p>
    <w:p w14:paraId="477AAEEA">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6" w:name="_Toc68364673"/>
    </w:p>
    <w:p w14:paraId="1AE9C0A2">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六、主要经验及做法、存在的问题及原因分析</w:t>
      </w:r>
    </w:p>
    <w:p w14:paraId="4718FE6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（一）主要经验及做法</w:t>
      </w:r>
      <w:bookmarkEnd w:id="16"/>
    </w:p>
    <w:p w14:paraId="54E22087">
      <w:pPr>
        <w:pStyle w:val="60"/>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一是本项目能够严格按照《项目实施方案》执行，项目执行情况较好。</w:t>
      </w:r>
      <w:r>
        <w:rPr>
          <w:rFonts w:hint="eastAsia" w:ascii="宋体" w:hAnsi="宋体" w:eastAsia="宋体" w:cs="宋体"/>
          <w:color w:val="auto"/>
          <w:sz w:val="24"/>
          <w:szCs w:val="24"/>
          <w:lang w:val="en-US" w:eastAsia="zh-CN"/>
        </w:rPr>
        <w:t>本项目的实施：一是村级层面改善人居环境整治，户级层面降低交通事故风险，起到举足轻重的作用；二是路灯亮化，为群众出行提供便利，解决群众夜间出行安全感问题，从而进一步改善村容村貌；三是使群众感受到党的温暖，让他们过上更加干净、整洁的生活，产生对美好生活的追求，激发他们内生动力。</w:t>
      </w:r>
    </w:p>
    <w:p w14:paraId="1CD9F27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二是加强组织领导，本项目绩效评价工作，有主要领导亲自挂帅，分管领导具体负责，从项目到资金，均能够很好的执行。</w:t>
      </w:r>
    </w:p>
    <w:p w14:paraId="1C5B7B6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三是加强沟通协调，我单位及时向领导汇报项目建设进度，加强与施工单位的沟通，确保项目按期完工。</w:t>
      </w:r>
      <w:r>
        <w:rPr>
          <w:rFonts w:hint="eastAsia" w:ascii="宋体" w:hAnsi="宋体" w:eastAsia="宋体" w:cs="宋体"/>
          <w:color w:val="auto"/>
          <w:sz w:val="24"/>
          <w:szCs w:val="24"/>
          <w:lang w:val="en-US" w:eastAsia="zh-CN"/>
        </w:rPr>
        <w:t>村人居环境整治是打响乡村振兴战略的第一枪，全力打造提升村容村貌，打造宜居农村，持续改善人居环境，关系到广大村民的自身利益。过去的农村，给人们留下的印象永远是</w:t>
      </w:r>
      <w:r>
        <w:rPr>
          <w:rFonts w:hint="eastAsia" w:ascii="宋体" w:hAnsi="宋体" w:eastAsia="宋体" w:cs="宋体"/>
          <w:color w:val="auto"/>
          <w:sz w:val="24"/>
          <w:szCs w:val="24"/>
          <w:lang w:eastAsia="zh-CN"/>
        </w:rPr>
        <w:t>照明有助</w:t>
      </w:r>
      <w:r>
        <w:rPr>
          <w:rFonts w:hint="eastAsia" w:ascii="宋体" w:hAnsi="宋体" w:eastAsia="宋体" w:cs="宋体"/>
          <w:color w:val="auto"/>
          <w:sz w:val="24"/>
          <w:szCs w:val="24"/>
          <w:lang w:val="en-US" w:eastAsia="zh-CN"/>
        </w:rPr>
        <w:t>、所以，改变农村“</w:t>
      </w:r>
      <w:r>
        <w:rPr>
          <w:rFonts w:hint="eastAsia" w:ascii="宋体" w:hAnsi="宋体" w:eastAsia="宋体" w:cs="宋体"/>
          <w:color w:val="auto"/>
          <w:sz w:val="24"/>
          <w:szCs w:val="24"/>
          <w:lang w:eastAsia="zh-CN"/>
        </w:rPr>
        <w:t>交通事故风险</w:t>
      </w:r>
      <w:r>
        <w:rPr>
          <w:rFonts w:hint="eastAsia" w:ascii="宋体" w:hAnsi="宋体" w:eastAsia="宋体" w:cs="宋体"/>
          <w:color w:val="auto"/>
          <w:sz w:val="24"/>
          <w:szCs w:val="24"/>
          <w:lang w:val="en-US" w:eastAsia="zh-CN"/>
        </w:rPr>
        <w:t>”的现象是时代的要求，随着人们生活水平的提高，经济收入的增加，广大村民对生活质量要求越来越高，衣食住行有了新的要求，农村人居环境整治是彻底改变村容村貌的必要之路。</w:t>
      </w:r>
    </w:p>
    <w:p w14:paraId="3FC66F01">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rPr>
      </w:pPr>
      <w:bookmarkStart w:id="17" w:name="_Toc68364674"/>
      <w:r>
        <w:rPr>
          <w:rFonts w:hint="eastAsia" w:ascii="宋体" w:hAnsi="宋体" w:eastAsia="宋体" w:cs="宋体"/>
          <w:color w:val="auto"/>
          <w:sz w:val="24"/>
          <w:szCs w:val="24"/>
        </w:rPr>
        <w:t>（二）存在问题及原因分析</w:t>
      </w:r>
      <w:bookmarkEnd w:id="17"/>
    </w:p>
    <w:p w14:paraId="61D1F91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一是对各项指标和指标值要进一步优化、完善，主要在细化、量化上改进；</w:t>
      </w:r>
    </w:p>
    <w:p w14:paraId="7ADFB91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二是部门评价工作还存在自我审定的局限性，会影响评价质量，容易造成问题的疏漏，在客观性和公正性上说服力不强；</w:t>
      </w:r>
    </w:p>
    <w:p w14:paraId="2DFE11F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是缺少带着问题去评价的意识；本项目资金来源为2024年农村综合改革（农村公益事业财政奖补）项目专项资金，在项目实施过程中严格落实项目单位法人制度，村第一书记为第一责任人，在项目实施过程中严格管理，在资金使用方面严格按照农村公益事业财政奖补的专项资金使用管理办法执行，实行报账制，杜绝占用、挪用资金情况发生。</w:t>
      </w:r>
    </w:p>
    <w:p w14:paraId="1B9396C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四是现场评价的工作量少，后续效益评价具体措施和方法较少。</w:t>
      </w:r>
    </w:p>
    <w:p w14:paraId="65EE7314">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rPr>
      </w:pPr>
      <w:bookmarkStart w:id="18" w:name="_Toc68364675"/>
      <w:r>
        <w:rPr>
          <w:rFonts w:hint="eastAsia" w:ascii="宋体" w:hAnsi="宋体" w:eastAsia="宋体" w:cs="宋体"/>
          <w:color w:val="auto"/>
          <w:sz w:val="24"/>
          <w:szCs w:val="24"/>
        </w:rPr>
        <w:t>七、有关建议</w:t>
      </w:r>
      <w:bookmarkEnd w:id="18"/>
    </w:p>
    <w:p w14:paraId="385E9148">
      <w:pPr>
        <w:pStyle w:val="13"/>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bookmarkStart w:id="19" w:name="_Toc68364676"/>
      <w:r>
        <w:rPr>
          <w:rFonts w:hint="eastAsia" w:ascii="宋体" w:hAnsi="宋体" w:eastAsia="宋体" w:cs="宋体"/>
          <w:color w:val="auto"/>
          <w:kern w:val="0"/>
          <w:sz w:val="24"/>
          <w:szCs w:val="24"/>
          <w:lang w:val="en-US" w:eastAsia="zh-CN" w:bidi="ar-SA"/>
        </w:rPr>
        <w:t>（一）提高认识，加强宣传引导。项目实施初期村级召开专题会议研究，确定亮化道路路段，对项目进行公示，扩大宣传范围，营造良好的氛围。</w:t>
      </w:r>
    </w:p>
    <w:p w14:paraId="3575796D">
      <w:pPr>
        <w:pStyle w:val="13"/>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二）严格项目审批，将工作落到实处。以上项目实施村两委积极听取各有关部门及农户需求，制定采购计划，明确采购标准，供货时限等要求，项目经审批后通过招投标方式进行招标，确保采购程序符合标准，在项目实施过程中严格把关，按照项目程序进行审批。</w:t>
      </w:r>
    </w:p>
    <w:p w14:paraId="7AF19547">
      <w:pPr>
        <w:pStyle w:val="13"/>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SA"/>
        </w:rPr>
        <w:t>加强管理，严格资金使用。本项目资金来源为2024年农村综合改革（农村公益事业财政奖补）项目专项资金，在项目实施过程中严格落实项目单位法人制度，村第一书记为第一责任人，在项目实施过程中严格管理，在资金使用方面严格按照农村公益事业财政奖补的专项资金使用管理办法执行，实行报账制，杜绝占用、挪用资金情况发生。</w:t>
      </w:r>
    </w:p>
    <w:p w14:paraId="411183B1">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八、其他需要说明的问题</w:t>
      </w:r>
      <w:bookmarkEnd w:id="19"/>
    </w:p>
    <w:p w14:paraId="779290D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我单位对上述项目支出绩效评价报告内反映内容的真实性、完整性负责，</w:t>
      </w:r>
      <w:r>
        <w:rPr>
          <w:rFonts w:hint="eastAsia" w:ascii="宋体" w:hAnsi="宋体" w:eastAsia="宋体" w:cs="宋体"/>
          <w:color w:val="auto"/>
          <w:sz w:val="24"/>
          <w:szCs w:val="24"/>
          <w:lang w:val="en-US" w:eastAsia="zh-CN"/>
        </w:rPr>
        <w:t>愿</w:t>
      </w:r>
      <w:r>
        <w:rPr>
          <w:rFonts w:hint="eastAsia" w:ascii="宋体" w:hAnsi="宋体" w:eastAsia="宋体" w:cs="宋体"/>
          <w:color w:val="auto"/>
          <w:sz w:val="24"/>
          <w:szCs w:val="24"/>
        </w:rPr>
        <w:t>接受上级部门及社会公众监督。</w:t>
      </w:r>
    </w:p>
    <w:p w14:paraId="6C446D23">
      <w:pPr>
        <w:pageBreakBefore w:val="0"/>
        <w:kinsoku/>
        <w:wordWrap/>
        <w:topLinePunct w:val="0"/>
        <w:autoSpaceDE/>
        <w:autoSpaceDN/>
        <w:bidi w:val="0"/>
        <w:adjustRightInd/>
        <w:snapToGrid/>
        <w:spacing w:line="360" w:lineRule="auto"/>
        <w:ind w:left="0" w:leftChars="0"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附件1：</w:t>
      </w:r>
      <w:r>
        <w:rPr>
          <w:rFonts w:hint="eastAsia" w:ascii="宋体" w:hAnsi="宋体" w:eastAsia="宋体" w:cs="宋体"/>
          <w:i w:val="0"/>
          <w:iCs w:val="0"/>
          <w:caps w:val="0"/>
          <w:color w:val="auto"/>
          <w:spacing w:val="0"/>
          <w:sz w:val="24"/>
          <w:szCs w:val="24"/>
          <w:shd w:val="clear" w:color="auto" w:fill="FFFFFF"/>
        </w:rPr>
        <w:t>洛浦县2024年村级运转经费</w:t>
      </w:r>
      <w:r>
        <w:rPr>
          <w:rFonts w:hint="eastAsia" w:ascii="宋体" w:hAnsi="宋体" w:eastAsia="宋体" w:cs="宋体"/>
          <w:i w:val="0"/>
          <w:iCs w:val="0"/>
          <w:caps w:val="0"/>
          <w:color w:val="auto"/>
          <w:spacing w:val="0"/>
          <w:sz w:val="24"/>
          <w:szCs w:val="24"/>
          <w:shd w:val="clear" w:color="auto" w:fill="FFFFFF"/>
          <w:lang w:val="en-US" w:eastAsia="zh-CN"/>
        </w:rPr>
        <w:t>项目</w:t>
      </w:r>
      <w:r>
        <w:rPr>
          <w:rFonts w:hint="eastAsia" w:ascii="宋体" w:hAnsi="宋体" w:eastAsia="宋体" w:cs="宋体"/>
          <w:color w:val="auto"/>
          <w:kern w:val="0"/>
          <w:sz w:val="24"/>
          <w:szCs w:val="24"/>
          <w:lang w:val="en-US" w:eastAsia="zh-CN" w:bidi="ar-SA"/>
        </w:rPr>
        <w:t>绩效评价指标体系</w:t>
      </w:r>
    </w:p>
    <w:p w14:paraId="524CEF57">
      <w:pPr>
        <w:pageBreakBefore w:val="0"/>
        <w:kinsoku/>
        <w:wordWrap/>
        <w:topLinePunct w:val="0"/>
        <w:autoSpaceDE/>
        <w:autoSpaceDN/>
        <w:bidi w:val="0"/>
        <w:adjustRightInd/>
        <w:snapToGrid/>
        <w:spacing w:line="360" w:lineRule="auto"/>
        <w:ind w:left="0" w:leftChars="0"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附件2：</w:t>
      </w:r>
      <w:r>
        <w:rPr>
          <w:rFonts w:hint="eastAsia" w:ascii="宋体" w:hAnsi="宋体" w:eastAsia="宋体" w:cs="宋体"/>
          <w:i w:val="0"/>
          <w:iCs w:val="0"/>
          <w:caps w:val="0"/>
          <w:color w:val="auto"/>
          <w:spacing w:val="0"/>
          <w:sz w:val="24"/>
          <w:szCs w:val="24"/>
          <w:shd w:val="clear" w:color="auto" w:fill="FFFFFF"/>
        </w:rPr>
        <w:t>洛浦县2024年村级运转经费</w:t>
      </w:r>
      <w:r>
        <w:rPr>
          <w:rFonts w:hint="eastAsia" w:ascii="宋体" w:hAnsi="宋体" w:eastAsia="宋体" w:cs="宋体"/>
          <w:i w:val="0"/>
          <w:iCs w:val="0"/>
          <w:caps w:val="0"/>
          <w:color w:val="auto"/>
          <w:spacing w:val="0"/>
          <w:sz w:val="24"/>
          <w:szCs w:val="24"/>
          <w:shd w:val="clear" w:color="auto" w:fill="FFFFFF"/>
          <w:lang w:val="en-US" w:eastAsia="zh-CN"/>
        </w:rPr>
        <w:t>项目</w:t>
      </w:r>
      <w:r>
        <w:rPr>
          <w:rFonts w:hint="eastAsia" w:ascii="宋体" w:hAnsi="宋体" w:eastAsia="宋体" w:cs="宋体"/>
          <w:color w:val="auto"/>
          <w:kern w:val="0"/>
          <w:sz w:val="24"/>
          <w:szCs w:val="24"/>
          <w:lang w:val="en-US" w:eastAsia="zh-CN" w:bidi="ar-SA"/>
        </w:rPr>
        <w:t>综合得分表</w:t>
      </w:r>
    </w:p>
    <w:p w14:paraId="3DED6F2E">
      <w:pPr>
        <w:pageBreakBefore w:val="0"/>
        <w:kinsoku/>
        <w:wordWrap/>
        <w:topLinePunct w:val="0"/>
        <w:autoSpaceDE/>
        <w:autoSpaceDN/>
        <w:bidi w:val="0"/>
        <w:adjustRightInd/>
        <w:snapToGrid/>
        <w:spacing w:line="360" w:lineRule="auto"/>
        <w:ind w:left="0" w:leftChars="0"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附件3：</w:t>
      </w:r>
      <w:r>
        <w:rPr>
          <w:rFonts w:hint="eastAsia" w:ascii="宋体" w:hAnsi="宋体" w:eastAsia="宋体" w:cs="宋体"/>
          <w:i w:val="0"/>
          <w:iCs w:val="0"/>
          <w:caps w:val="0"/>
          <w:color w:val="auto"/>
          <w:spacing w:val="0"/>
          <w:sz w:val="24"/>
          <w:szCs w:val="24"/>
          <w:shd w:val="clear" w:color="auto" w:fill="FFFFFF"/>
        </w:rPr>
        <w:t>洛浦县2024年村级运转经费</w:t>
      </w:r>
      <w:r>
        <w:rPr>
          <w:rFonts w:hint="eastAsia" w:ascii="宋体" w:hAnsi="宋体" w:eastAsia="宋体" w:cs="宋体"/>
          <w:i w:val="0"/>
          <w:iCs w:val="0"/>
          <w:caps w:val="0"/>
          <w:color w:val="auto"/>
          <w:spacing w:val="0"/>
          <w:sz w:val="24"/>
          <w:szCs w:val="24"/>
          <w:shd w:val="clear" w:color="auto" w:fill="FFFFFF"/>
          <w:lang w:val="en-US" w:eastAsia="zh-CN"/>
        </w:rPr>
        <w:t>项目</w:t>
      </w:r>
      <w:r>
        <w:rPr>
          <w:rFonts w:hint="eastAsia" w:ascii="宋体" w:hAnsi="宋体" w:eastAsia="宋体" w:cs="宋体"/>
          <w:color w:val="auto"/>
          <w:kern w:val="0"/>
          <w:sz w:val="24"/>
          <w:szCs w:val="24"/>
          <w:lang w:val="en-US" w:eastAsia="zh-CN" w:bidi="ar-SA"/>
        </w:rPr>
        <w:t>满意度调查问分析情况</w:t>
      </w:r>
    </w:p>
    <w:p w14:paraId="27695BB7">
      <w:pPr>
        <w:pStyle w:val="10"/>
        <w:pageBreakBefore w:val="0"/>
        <w:kinsoku/>
        <w:wordWrap/>
        <w:topLinePunct w:val="0"/>
        <w:autoSpaceDE/>
        <w:autoSpaceDN/>
        <w:bidi w:val="0"/>
        <w:adjustRightInd/>
        <w:snapToGrid/>
        <w:spacing w:before="0" w:after="0" w:line="360" w:lineRule="auto"/>
        <w:ind w:left="0" w:leftChars="0" w:firstLine="480" w:firstLineChars="200"/>
        <w:jc w:val="both"/>
        <w:rPr>
          <w:rFonts w:hint="eastAsia" w:ascii="宋体" w:hAnsi="宋体" w:eastAsia="宋体" w:cs="宋体"/>
          <w:color w:val="auto"/>
          <w:sz w:val="24"/>
          <w:szCs w:val="24"/>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535"/>
        <w:gridCol w:w="666"/>
        <w:gridCol w:w="548"/>
        <w:gridCol w:w="807"/>
        <w:gridCol w:w="698"/>
        <w:gridCol w:w="2012"/>
        <w:gridCol w:w="1240"/>
        <w:gridCol w:w="4471"/>
        <w:gridCol w:w="967"/>
        <w:gridCol w:w="748"/>
      </w:tblGrid>
      <w:tr w14:paraId="4927F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11"/>
            <w:noWrap w:val="0"/>
            <w:vAlign w:val="center"/>
          </w:tcPr>
          <w:p w14:paraId="7C1D6B8A">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附件1：</w:t>
            </w:r>
          </w:p>
        </w:tc>
      </w:tr>
      <w:tr w14:paraId="4017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11"/>
            <w:noWrap w:val="0"/>
            <w:vAlign w:val="center"/>
          </w:tcPr>
          <w:p w14:paraId="2ACF96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和田地区洛浦县2024年村级运转经费项目绩效评价指标体系综合评分表</w:t>
            </w:r>
          </w:p>
        </w:tc>
      </w:tr>
      <w:tr w14:paraId="4791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1" w:type="pct"/>
            <w:noWrap w:val="0"/>
            <w:vAlign w:val="center"/>
          </w:tcPr>
          <w:p w14:paraId="46ED06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一级指标</w:t>
            </w:r>
          </w:p>
        </w:tc>
        <w:tc>
          <w:tcPr>
            <w:tcW w:w="200" w:type="pct"/>
            <w:noWrap w:val="0"/>
            <w:vAlign w:val="center"/>
          </w:tcPr>
          <w:p w14:paraId="242DAE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分值</w:t>
            </w:r>
          </w:p>
        </w:tc>
        <w:tc>
          <w:tcPr>
            <w:tcW w:w="249" w:type="pct"/>
            <w:noWrap w:val="0"/>
            <w:vAlign w:val="center"/>
          </w:tcPr>
          <w:p w14:paraId="1B12FD4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二级指标</w:t>
            </w:r>
          </w:p>
        </w:tc>
        <w:tc>
          <w:tcPr>
            <w:tcW w:w="205" w:type="pct"/>
            <w:noWrap w:val="0"/>
            <w:vAlign w:val="center"/>
          </w:tcPr>
          <w:p w14:paraId="3E773F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分值</w:t>
            </w:r>
          </w:p>
        </w:tc>
        <w:tc>
          <w:tcPr>
            <w:tcW w:w="302" w:type="pct"/>
            <w:noWrap w:val="0"/>
            <w:vAlign w:val="center"/>
          </w:tcPr>
          <w:p w14:paraId="061D41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三级指标</w:t>
            </w:r>
          </w:p>
        </w:tc>
        <w:tc>
          <w:tcPr>
            <w:tcW w:w="261" w:type="pct"/>
            <w:noWrap w:val="0"/>
            <w:vAlign w:val="center"/>
          </w:tcPr>
          <w:p w14:paraId="798743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分值</w:t>
            </w:r>
          </w:p>
        </w:tc>
        <w:tc>
          <w:tcPr>
            <w:tcW w:w="753" w:type="pct"/>
            <w:noWrap w:val="0"/>
            <w:vAlign w:val="center"/>
          </w:tcPr>
          <w:p w14:paraId="1375FF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指标解释</w:t>
            </w:r>
          </w:p>
        </w:tc>
        <w:tc>
          <w:tcPr>
            <w:tcW w:w="464" w:type="pct"/>
            <w:noWrap w:val="0"/>
            <w:vAlign w:val="center"/>
          </w:tcPr>
          <w:p w14:paraId="538D47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标杆值</w:t>
            </w:r>
          </w:p>
        </w:tc>
        <w:tc>
          <w:tcPr>
            <w:tcW w:w="1673" w:type="pct"/>
            <w:noWrap w:val="0"/>
            <w:vAlign w:val="center"/>
          </w:tcPr>
          <w:p w14:paraId="3E0D09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评分标准</w:t>
            </w:r>
          </w:p>
        </w:tc>
        <w:tc>
          <w:tcPr>
            <w:tcW w:w="362" w:type="pct"/>
            <w:noWrap w:val="0"/>
            <w:vAlign w:val="center"/>
          </w:tcPr>
          <w:p w14:paraId="5EBB1FF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完成值</w:t>
            </w:r>
          </w:p>
        </w:tc>
        <w:tc>
          <w:tcPr>
            <w:tcW w:w="274" w:type="pct"/>
            <w:noWrap w:val="0"/>
            <w:vAlign w:val="center"/>
          </w:tcPr>
          <w:p w14:paraId="680D9D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得分</w:t>
            </w:r>
          </w:p>
        </w:tc>
      </w:tr>
      <w:tr w14:paraId="4A8A4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1" w:type="pct"/>
            <w:vMerge w:val="restart"/>
            <w:noWrap w:val="0"/>
            <w:vAlign w:val="center"/>
          </w:tcPr>
          <w:p w14:paraId="02D014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项目决策</w:t>
            </w:r>
          </w:p>
        </w:tc>
        <w:tc>
          <w:tcPr>
            <w:tcW w:w="200" w:type="pct"/>
            <w:vMerge w:val="restart"/>
            <w:noWrap w:val="0"/>
            <w:vAlign w:val="center"/>
          </w:tcPr>
          <w:p w14:paraId="68951D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23</w:t>
            </w:r>
          </w:p>
        </w:tc>
        <w:tc>
          <w:tcPr>
            <w:tcW w:w="249" w:type="pct"/>
            <w:vMerge w:val="restart"/>
            <w:noWrap w:val="0"/>
            <w:vAlign w:val="center"/>
          </w:tcPr>
          <w:p w14:paraId="435B22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项目立项</w:t>
            </w:r>
          </w:p>
        </w:tc>
        <w:tc>
          <w:tcPr>
            <w:tcW w:w="205" w:type="pct"/>
            <w:vMerge w:val="restart"/>
            <w:noWrap w:val="0"/>
            <w:vAlign w:val="center"/>
          </w:tcPr>
          <w:p w14:paraId="58DD7F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302" w:type="pct"/>
            <w:noWrap w:val="0"/>
            <w:vAlign w:val="center"/>
          </w:tcPr>
          <w:p w14:paraId="4B9AF5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立项依据充分性</w:t>
            </w:r>
          </w:p>
        </w:tc>
        <w:tc>
          <w:tcPr>
            <w:tcW w:w="261" w:type="pct"/>
            <w:noWrap w:val="0"/>
            <w:vAlign w:val="center"/>
          </w:tcPr>
          <w:p w14:paraId="6931B4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w:t>
            </w:r>
          </w:p>
        </w:tc>
        <w:tc>
          <w:tcPr>
            <w:tcW w:w="753" w:type="pct"/>
            <w:noWrap w:val="0"/>
            <w:vAlign w:val="center"/>
          </w:tcPr>
          <w:p w14:paraId="38A800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项目立项是否符合法律法规、相关政策、发展规划以及部门职责，用以反映和考核项目立项依据情况。</w:t>
            </w:r>
          </w:p>
        </w:tc>
        <w:tc>
          <w:tcPr>
            <w:tcW w:w="464" w:type="pct"/>
            <w:noWrap w:val="0"/>
            <w:vAlign w:val="center"/>
          </w:tcPr>
          <w:p w14:paraId="6CD6C0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充分</w:t>
            </w:r>
          </w:p>
        </w:tc>
        <w:tc>
          <w:tcPr>
            <w:tcW w:w="1673" w:type="pct"/>
            <w:noWrap w:val="0"/>
            <w:vAlign w:val="center"/>
          </w:tcPr>
          <w:p w14:paraId="3BAF0C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①项目立项是否符合国家法律法规、国民经济发展规划和相关政策；</w:t>
            </w:r>
          </w:p>
          <w:p w14:paraId="2C39A6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②项目立项是否符合行业发展规划和政策要求；</w:t>
            </w:r>
          </w:p>
          <w:p w14:paraId="68D001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③项目立项是否与部门职责范围相符，</w:t>
            </w:r>
            <w:bookmarkStart w:id="20" w:name="_GoBack"/>
            <w:bookmarkEnd w:id="20"/>
            <w:r>
              <w:rPr>
                <w:rFonts w:hint="eastAsia" w:ascii="宋体" w:hAnsi="宋体" w:eastAsia="宋体" w:cs="宋体"/>
                <w:i w:val="0"/>
                <w:iCs w:val="0"/>
                <w:color w:val="auto"/>
                <w:kern w:val="0"/>
                <w:sz w:val="21"/>
                <w:szCs w:val="21"/>
                <w:u w:val="none"/>
                <w:lang w:val="en-US" w:eastAsia="zh-CN"/>
              </w:rPr>
              <w:t>属于部门履职所需；</w:t>
            </w:r>
          </w:p>
          <w:p w14:paraId="5826A0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④项目是否属于公共财政支持范围，是否符合中央、地方事权支出责任划分原则；</w:t>
            </w:r>
          </w:p>
          <w:p w14:paraId="64046A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⑤项目是否与相关部门同类项目或部门内部相关项目重复。</w:t>
            </w:r>
          </w:p>
          <w:p w14:paraId="2F0D14E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以上每条要素占权重分的20%，每有一条不符合，扣除对应权重分，扣完为止。</w:t>
            </w:r>
          </w:p>
        </w:tc>
        <w:tc>
          <w:tcPr>
            <w:tcW w:w="362" w:type="pct"/>
            <w:noWrap w:val="0"/>
            <w:vAlign w:val="center"/>
          </w:tcPr>
          <w:p w14:paraId="064BCD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充分</w:t>
            </w:r>
          </w:p>
        </w:tc>
        <w:tc>
          <w:tcPr>
            <w:tcW w:w="274" w:type="pct"/>
            <w:noWrap w:val="0"/>
            <w:vAlign w:val="center"/>
          </w:tcPr>
          <w:p w14:paraId="161189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w:t>
            </w:r>
          </w:p>
        </w:tc>
      </w:tr>
      <w:tr w14:paraId="3A16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251" w:type="pct"/>
            <w:vMerge w:val="continue"/>
            <w:noWrap w:val="0"/>
            <w:vAlign w:val="center"/>
          </w:tcPr>
          <w:p w14:paraId="50C2255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273128D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4D73D7E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0AC47E4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noWrap w:val="0"/>
            <w:vAlign w:val="center"/>
          </w:tcPr>
          <w:p w14:paraId="6CEBB0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立项程序规范性</w:t>
            </w:r>
          </w:p>
        </w:tc>
        <w:tc>
          <w:tcPr>
            <w:tcW w:w="261" w:type="pct"/>
            <w:noWrap w:val="0"/>
            <w:vAlign w:val="center"/>
          </w:tcPr>
          <w:p w14:paraId="3FECC5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53" w:type="pct"/>
            <w:noWrap w:val="0"/>
            <w:vAlign w:val="center"/>
          </w:tcPr>
          <w:p w14:paraId="1F33F3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项目申请、设立过程是否符合相关要求，用以反映和考核项目立项的规范情况。</w:t>
            </w:r>
          </w:p>
        </w:tc>
        <w:tc>
          <w:tcPr>
            <w:tcW w:w="464" w:type="pct"/>
            <w:noWrap w:val="0"/>
            <w:vAlign w:val="center"/>
          </w:tcPr>
          <w:p w14:paraId="66A1D3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规范</w:t>
            </w:r>
          </w:p>
        </w:tc>
        <w:tc>
          <w:tcPr>
            <w:tcW w:w="1673" w:type="pct"/>
            <w:noWrap w:val="0"/>
            <w:vAlign w:val="center"/>
          </w:tcPr>
          <w:p w14:paraId="594E34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①项目是否按照规定的程序申请设立；</w:t>
            </w:r>
          </w:p>
          <w:p w14:paraId="5A93B1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②审批文件、材料是否符合相关要求；</w:t>
            </w:r>
          </w:p>
          <w:p w14:paraId="53B2B6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③事前是否已经过必要的可行性研究、专家论证、风险评估、绩效评估、集体决策。</w:t>
            </w:r>
          </w:p>
          <w:p w14:paraId="2DC55D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①②③齐全得权重分的100%，缺①扣权重分的40%，缺②扣权重分的30%，缺③扣权重分的30%。</w:t>
            </w:r>
          </w:p>
        </w:tc>
        <w:tc>
          <w:tcPr>
            <w:tcW w:w="362" w:type="pct"/>
            <w:noWrap w:val="0"/>
            <w:vAlign w:val="center"/>
          </w:tcPr>
          <w:p w14:paraId="095E6C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规范</w:t>
            </w:r>
          </w:p>
        </w:tc>
        <w:tc>
          <w:tcPr>
            <w:tcW w:w="274" w:type="pct"/>
            <w:noWrap w:val="0"/>
            <w:vAlign w:val="center"/>
          </w:tcPr>
          <w:p w14:paraId="69DAC4F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r>
      <w:tr w14:paraId="2BACC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atLeast"/>
        </w:trPr>
        <w:tc>
          <w:tcPr>
            <w:tcW w:w="251" w:type="pct"/>
            <w:vMerge w:val="continue"/>
            <w:noWrap w:val="0"/>
            <w:vAlign w:val="center"/>
          </w:tcPr>
          <w:p w14:paraId="0CE4545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347763C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restart"/>
            <w:noWrap w:val="0"/>
            <w:vAlign w:val="center"/>
          </w:tcPr>
          <w:p w14:paraId="064CE3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绩效目标</w:t>
            </w:r>
          </w:p>
        </w:tc>
        <w:tc>
          <w:tcPr>
            <w:tcW w:w="205" w:type="pct"/>
            <w:vMerge w:val="restart"/>
            <w:noWrap w:val="0"/>
            <w:vAlign w:val="center"/>
          </w:tcPr>
          <w:p w14:paraId="1166B3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302" w:type="pct"/>
            <w:noWrap w:val="0"/>
            <w:vAlign w:val="center"/>
          </w:tcPr>
          <w:p w14:paraId="27A218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绩效目标合理性</w:t>
            </w:r>
          </w:p>
        </w:tc>
        <w:tc>
          <w:tcPr>
            <w:tcW w:w="261" w:type="pct"/>
            <w:noWrap w:val="0"/>
            <w:vAlign w:val="center"/>
          </w:tcPr>
          <w:p w14:paraId="4128D8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753" w:type="pct"/>
            <w:noWrap w:val="0"/>
            <w:vAlign w:val="center"/>
          </w:tcPr>
          <w:p w14:paraId="559A6A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项目所设定的绩效目标是否依据充分，是否符合客观实际，用以反映和考核项目绩效目标与项目实施的相符情况。</w:t>
            </w:r>
          </w:p>
        </w:tc>
        <w:tc>
          <w:tcPr>
            <w:tcW w:w="464" w:type="pct"/>
            <w:noWrap w:val="0"/>
            <w:vAlign w:val="center"/>
          </w:tcPr>
          <w:p w14:paraId="6B1E4A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1673" w:type="pct"/>
            <w:noWrap w:val="0"/>
            <w:vAlign w:val="center"/>
          </w:tcPr>
          <w:p w14:paraId="7695FC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①项目是否有绩效目标；</w:t>
            </w:r>
          </w:p>
          <w:p w14:paraId="5E3AEE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②项目绩效目标与实际工作内容是否具有相关性；</w:t>
            </w:r>
          </w:p>
          <w:p w14:paraId="0DEE8B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③项目预期产出效益和效果是否符合正常的业绩水平；</w:t>
            </w:r>
          </w:p>
          <w:p w14:paraId="149B15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④是否与预算确定的项目投资额或资金量相匹配。</w:t>
            </w:r>
          </w:p>
          <w:p w14:paraId="2879E5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以上每条要素各占权重的25%，每有一条不符合，扣除对应的权重分，扣完为止。</w:t>
            </w:r>
          </w:p>
        </w:tc>
        <w:tc>
          <w:tcPr>
            <w:tcW w:w="362" w:type="pct"/>
            <w:noWrap w:val="0"/>
            <w:vAlign w:val="center"/>
          </w:tcPr>
          <w:p w14:paraId="150D17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274" w:type="pct"/>
            <w:noWrap w:val="0"/>
            <w:vAlign w:val="center"/>
          </w:tcPr>
          <w:p w14:paraId="31DC42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r>
      <w:tr w14:paraId="1A29C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1" w:type="pct"/>
            <w:vMerge w:val="continue"/>
            <w:noWrap w:val="0"/>
            <w:vAlign w:val="center"/>
          </w:tcPr>
          <w:p w14:paraId="05104B8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57C7CE0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287B86B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03BA997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noWrap w:val="0"/>
            <w:vAlign w:val="center"/>
          </w:tcPr>
          <w:p w14:paraId="47CCC1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绩效指标明确性</w:t>
            </w:r>
          </w:p>
        </w:tc>
        <w:tc>
          <w:tcPr>
            <w:tcW w:w="261" w:type="pct"/>
            <w:noWrap w:val="0"/>
            <w:vAlign w:val="center"/>
          </w:tcPr>
          <w:p w14:paraId="63D2DC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753" w:type="pct"/>
            <w:noWrap w:val="0"/>
            <w:vAlign w:val="center"/>
          </w:tcPr>
          <w:p w14:paraId="1E0ACA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依据绩效目标设定的绩效指标是否清晰、细化、可衡量等，用以反映和考核项目绩效目标的明细化情况。</w:t>
            </w:r>
          </w:p>
        </w:tc>
        <w:tc>
          <w:tcPr>
            <w:tcW w:w="464" w:type="pct"/>
            <w:noWrap w:val="0"/>
            <w:vAlign w:val="center"/>
          </w:tcPr>
          <w:p w14:paraId="1B1BD9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明确</w:t>
            </w:r>
          </w:p>
        </w:tc>
        <w:tc>
          <w:tcPr>
            <w:tcW w:w="1673" w:type="pct"/>
            <w:noWrap w:val="0"/>
            <w:vAlign w:val="center"/>
          </w:tcPr>
          <w:p w14:paraId="35A4B1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①是否将项目绩效目标细化分解为具体的绩效指标；</w:t>
            </w:r>
          </w:p>
          <w:p w14:paraId="68ECB0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②是否通过清晰、可衡量的指标值予以体现；</w:t>
            </w:r>
          </w:p>
          <w:p w14:paraId="4EA7BB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③是否与项目目标任务数或计划数相对应。</w:t>
            </w:r>
          </w:p>
          <w:p w14:paraId="1D887E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①②③齐全得权重分的100%，缺①扣权重分的20%，缺②扣权重分的50%，缺③扣权重分的30%。</w:t>
            </w:r>
          </w:p>
        </w:tc>
        <w:tc>
          <w:tcPr>
            <w:tcW w:w="362" w:type="pct"/>
            <w:noWrap w:val="0"/>
            <w:vAlign w:val="center"/>
          </w:tcPr>
          <w:p w14:paraId="7B8B29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明确</w:t>
            </w:r>
          </w:p>
        </w:tc>
        <w:tc>
          <w:tcPr>
            <w:tcW w:w="274" w:type="pct"/>
            <w:noWrap w:val="0"/>
            <w:vAlign w:val="center"/>
          </w:tcPr>
          <w:p w14:paraId="202250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r>
      <w:tr w14:paraId="7384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251" w:type="pct"/>
            <w:vMerge w:val="continue"/>
            <w:noWrap w:val="0"/>
            <w:vAlign w:val="center"/>
          </w:tcPr>
          <w:p w14:paraId="298DF80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4C2EE8D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restart"/>
            <w:noWrap w:val="0"/>
            <w:vAlign w:val="center"/>
          </w:tcPr>
          <w:p w14:paraId="1B6774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资金投入</w:t>
            </w:r>
          </w:p>
        </w:tc>
        <w:tc>
          <w:tcPr>
            <w:tcW w:w="205" w:type="pct"/>
            <w:vMerge w:val="restart"/>
            <w:noWrap w:val="0"/>
            <w:vAlign w:val="center"/>
          </w:tcPr>
          <w:p w14:paraId="739625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8</w:t>
            </w:r>
          </w:p>
        </w:tc>
        <w:tc>
          <w:tcPr>
            <w:tcW w:w="302" w:type="pct"/>
            <w:noWrap w:val="0"/>
            <w:vAlign w:val="center"/>
          </w:tcPr>
          <w:p w14:paraId="134F6C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预算编制科学性</w:t>
            </w:r>
          </w:p>
        </w:tc>
        <w:tc>
          <w:tcPr>
            <w:tcW w:w="261" w:type="pct"/>
            <w:noWrap w:val="0"/>
            <w:vAlign w:val="center"/>
          </w:tcPr>
          <w:p w14:paraId="4E6548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4</w:t>
            </w:r>
          </w:p>
        </w:tc>
        <w:tc>
          <w:tcPr>
            <w:tcW w:w="753" w:type="pct"/>
            <w:noWrap w:val="0"/>
            <w:vAlign w:val="center"/>
          </w:tcPr>
          <w:p w14:paraId="1CDBEE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项目预算编制是否经过科学论证、有明确标准，资金额度与年度目标是否相适应，用以反映和考核项目预算编制的科学性、合理性情况。</w:t>
            </w:r>
          </w:p>
        </w:tc>
        <w:tc>
          <w:tcPr>
            <w:tcW w:w="464" w:type="pct"/>
            <w:noWrap w:val="0"/>
            <w:vAlign w:val="center"/>
          </w:tcPr>
          <w:p w14:paraId="68BA65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科学</w:t>
            </w:r>
          </w:p>
        </w:tc>
        <w:tc>
          <w:tcPr>
            <w:tcW w:w="1673" w:type="pct"/>
            <w:noWrap w:val="0"/>
            <w:vAlign w:val="center"/>
          </w:tcPr>
          <w:p w14:paraId="32BB0E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①预算编制是否经过科学论证；</w:t>
            </w:r>
          </w:p>
          <w:p w14:paraId="5829BE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②预算内容与项目内容是否匹配；</w:t>
            </w:r>
          </w:p>
          <w:p w14:paraId="6593D1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③预算额度测算依据是否充分，是否按照标准编制；</w:t>
            </w:r>
          </w:p>
          <w:p w14:paraId="1144A8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④预算确定的项目投资额或资金量是否与工作任务相匹配。</w:t>
            </w:r>
          </w:p>
          <w:p w14:paraId="669C15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以上每条要素各占权重的25%，每有一条不符合，扣除对应的权重分，扣完为止。</w:t>
            </w:r>
          </w:p>
        </w:tc>
        <w:tc>
          <w:tcPr>
            <w:tcW w:w="362" w:type="pct"/>
            <w:noWrap w:val="0"/>
            <w:vAlign w:val="center"/>
          </w:tcPr>
          <w:p w14:paraId="606208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科学</w:t>
            </w:r>
          </w:p>
        </w:tc>
        <w:tc>
          <w:tcPr>
            <w:tcW w:w="274" w:type="pct"/>
            <w:noWrap w:val="0"/>
            <w:vAlign w:val="center"/>
          </w:tcPr>
          <w:p w14:paraId="2EFA51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4</w:t>
            </w:r>
          </w:p>
        </w:tc>
      </w:tr>
      <w:tr w14:paraId="5187C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1" w:type="pct"/>
            <w:vMerge w:val="continue"/>
            <w:noWrap w:val="0"/>
            <w:vAlign w:val="center"/>
          </w:tcPr>
          <w:p w14:paraId="0F6A912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695AEAB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3809C6D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7C92FDF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noWrap w:val="0"/>
            <w:vAlign w:val="center"/>
          </w:tcPr>
          <w:p w14:paraId="42E96D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资金分配合理性</w:t>
            </w:r>
          </w:p>
        </w:tc>
        <w:tc>
          <w:tcPr>
            <w:tcW w:w="261" w:type="pct"/>
            <w:noWrap w:val="0"/>
            <w:vAlign w:val="center"/>
          </w:tcPr>
          <w:p w14:paraId="65A2BD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4</w:t>
            </w:r>
          </w:p>
        </w:tc>
        <w:tc>
          <w:tcPr>
            <w:tcW w:w="753" w:type="pct"/>
            <w:noWrap w:val="0"/>
            <w:vAlign w:val="center"/>
          </w:tcPr>
          <w:p w14:paraId="55FF5B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项目预算资金分配是否有测算依据，与补助单位或地方实际是否相适应，用以反映和考核项目预算资金分配的科学性、合理性情况。</w:t>
            </w:r>
          </w:p>
        </w:tc>
        <w:tc>
          <w:tcPr>
            <w:tcW w:w="464" w:type="pct"/>
            <w:noWrap w:val="0"/>
            <w:vAlign w:val="center"/>
          </w:tcPr>
          <w:p w14:paraId="517CD1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1673" w:type="pct"/>
            <w:noWrap w:val="0"/>
            <w:vAlign w:val="center"/>
          </w:tcPr>
          <w:p w14:paraId="474B74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①预算资金分配依据是否充分；</w:t>
            </w:r>
          </w:p>
          <w:p w14:paraId="6F7EB4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②资金分配额度是否合理，与项目单位或地方实际是否相适应。</w:t>
            </w:r>
          </w:p>
          <w:p w14:paraId="052552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以上每条要素各占权重的50%，每有一条不符合，扣除对应的权重分，扣完为止。</w:t>
            </w:r>
          </w:p>
        </w:tc>
        <w:tc>
          <w:tcPr>
            <w:tcW w:w="362" w:type="pct"/>
            <w:noWrap w:val="0"/>
            <w:vAlign w:val="center"/>
          </w:tcPr>
          <w:p w14:paraId="64F587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274" w:type="pct"/>
            <w:noWrap w:val="0"/>
            <w:vAlign w:val="center"/>
          </w:tcPr>
          <w:p w14:paraId="4E6179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4</w:t>
            </w:r>
          </w:p>
        </w:tc>
      </w:tr>
      <w:tr w14:paraId="62E0D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251" w:type="pct"/>
            <w:vMerge w:val="restart"/>
            <w:noWrap w:val="0"/>
            <w:vAlign w:val="center"/>
          </w:tcPr>
          <w:p w14:paraId="46FF26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项目过程</w:t>
            </w:r>
          </w:p>
        </w:tc>
        <w:tc>
          <w:tcPr>
            <w:tcW w:w="200" w:type="pct"/>
            <w:vMerge w:val="restart"/>
            <w:noWrap w:val="0"/>
            <w:vAlign w:val="center"/>
          </w:tcPr>
          <w:p w14:paraId="2DFE88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12</w:t>
            </w:r>
          </w:p>
        </w:tc>
        <w:tc>
          <w:tcPr>
            <w:tcW w:w="249" w:type="pct"/>
            <w:vMerge w:val="restart"/>
            <w:noWrap w:val="0"/>
            <w:vAlign w:val="center"/>
          </w:tcPr>
          <w:p w14:paraId="2C75A4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资金管理</w:t>
            </w:r>
          </w:p>
        </w:tc>
        <w:tc>
          <w:tcPr>
            <w:tcW w:w="205" w:type="pct"/>
            <w:vMerge w:val="restart"/>
            <w:noWrap w:val="0"/>
            <w:vAlign w:val="center"/>
          </w:tcPr>
          <w:p w14:paraId="3966F0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6</w:t>
            </w:r>
          </w:p>
        </w:tc>
        <w:tc>
          <w:tcPr>
            <w:tcW w:w="302" w:type="pct"/>
            <w:noWrap w:val="0"/>
            <w:vAlign w:val="center"/>
          </w:tcPr>
          <w:p w14:paraId="27903F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资金到位率</w:t>
            </w:r>
          </w:p>
        </w:tc>
        <w:tc>
          <w:tcPr>
            <w:tcW w:w="261" w:type="pct"/>
            <w:noWrap w:val="0"/>
            <w:vAlign w:val="center"/>
          </w:tcPr>
          <w:p w14:paraId="1A18F5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w:t>
            </w:r>
          </w:p>
        </w:tc>
        <w:tc>
          <w:tcPr>
            <w:tcW w:w="753" w:type="pct"/>
            <w:noWrap w:val="0"/>
            <w:vAlign w:val="center"/>
          </w:tcPr>
          <w:p w14:paraId="394B95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实际到位资金与预算资金的比率，用以反映和考核资金落实情况对项目实施的总体保障程度。</w:t>
            </w:r>
          </w:p>
        </w:tc>
        <w:tc>
          <w:tcPr>
            <w:tcW w:w="464" w:type="pct"/>
            <w:noWrap w:val="0"/>
            <w:vAlign w:val="center"/>
          </w:tcPr>
          <w:p w14:paraId="560590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1673" w:type="pct"/>
            <w:noWrap w:val="0"/>
            <w:vAlign w:val="center"/>
          </w:tcPr>
          <w:p w14:paraId="204D34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资金到位率=（实际到位资金/预算资金）×100%。</w:t>
            </w:r>
          </w:p>
          <w:p w14:paraId="2784C7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资金到位率=100%，得权重分满分，每降低1%，扣除5%权重分，扣完为止。</w:t>
            </w:r>
          </w:p>
        </w:tc>
        <w:tc>
          <w:tcPr>
            <w:tcW w:w="362" w:type="pct"/>
            <w:noWrap w:val="0"/>
            <w:vAlign w:val="center"/>
          </w:tcPr>
          <w:p w14:paraId="474259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734" w:type="dxa"/>
            <w:noWrap w:val="0"/>
            <w:vAlign w:val="center"/>
          </w:tcPr>
          <w:p w14:paraId="71D18F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w:t>
            </w:r>
          </w:p>
        </w:tc>
      </w:tr>
      <w:tr w14:paraId="74768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251" w:type="pct"/>
            <w:vMerge w:val="continue"/>
            <w:noWrap w:val="0"/>
            <w:vAlign w:val="center"/>
          </w:tcPr>
          <w:p w14:paraId="633094B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14DE0F8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2975631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696D6DD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noWrap w:val="0"/>
            <w:vAlign w:val="center"/>
          </w:tcPr>
          <w:p w14:paraId="5387DC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预算执行率</w:t>
            </w:r>
          </w:p>
        </w:tc>
        <w:tc>
          <w:tcPr>
            <w:tcW w:w="261" w:type="pct"/>
            <w:noWrap w:val="0"/>
            <w:vAlign w:val="center"/>
          </w:tcPr>
          <w:p w14:paraId="04A634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w:t>
            </w:r>
          </w:p>
        </w:tc>
        <w:tc>
          <w:tcPr>
            <w:tcW w:w="753" w:type="pct"/>
            <w:noWrap w:val="0"/>
            <w:vAlign w:val="center"/>
          </w:tcPr>
          <w:p w14:paraId="735C1C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项目预算资金是否按照计划执行，用以反映或考核项目预算执行情况。</w:t>
            </w:r>
          </w:p>
        </w:tc>
        <w:tc>
          <w:tcPr>
            <w:tcW w:w="464" w:type="pct"/>
            <w:noWrap w:val="0"/>
            <w:vAlign w:val="center"/>
          </w:tcPr>
          <w:p w14:paraId="6AFE7D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1673" w:type="pct"/>
            <w:noWrap w:val="0"/>
            <w:vAlign w:val="center"/>
          </w:tcPr>
          <w:p w14:paraId="4C1017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预算执行率=（实际支出资金/实际到位资金）×100%。</w:t>
            </w:r>
          </w:p>
          <w:p w14:paraId="3CBEFB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预算执行率=100%，得权重分满分；若预算执行率＜100%，得分=预算执行率*分值；若执行率≤60%，则不得分。</w:t>
            </w:r>
          </w:p>
        </w:tc>
        <w:tc>
          <w:tcPr>
            <w:tcW w:w="362" w:type="pct"/>
            <w:noWrap w:val="0"/>
            <w:vAlign w:val="center"/>
          </w:tcPr>
          <w:p w14:paraId="405797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734" w:type="dxa"/>
            <w:noWrap w:val="0"/>
            <w:vAlign w:val="center"/>
          </w:tcPr>
          <w:p w14:paraId="586B6C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w:t>
            </w:r>
          </w:p>
        </w:tc>
      </w:tr>
      <w:tr w14:paraId="6F54C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251" w:type="pct"/>
            <w:vMerge w:val="continue"/>
            <w:noWrap w:val="0"/>
            <w:vAlign w:val="center"/>
          </w:tcPr>
          <w:p w14:paraId="1646071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108D8B4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707C28B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4076411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noWrap w:val="0"/>
            <w:vAlign w:val="center"/>
          </w:tcPr>
          <w:p w14:paraId="08FE27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资金使用合规性</w:t>
            </w:r>
          </w:p>
        </w:tc>
        <w:tc>
          <w:tcPr>
            <w:tcW w:w="261" w:type="pct"/>
            <w:noWrap w:val="0"/>
            <w:vAlign w:val="center"/>
          </w:tcPr>
          <w:p w14:paraId="041155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753" w:type="pct"/>
            <w:noWrap w:val="0"/>
            <w:vAlign w:val="center"/>
          </w:tcPr>
          <w:p w14:paraId="2FFE9C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项目资金使用是否符合相关的财务管理制度规定，用以反映和考核项目资金的规范运行情况。</w:t>
            </w:r>
          </w:p>
        </w:tc>
        <w:tc>
          <w:tcPr>
            <w:tcW w:w="464" w:type="pct"/>
            <w:noWrap w:val="0"/>
            <w:vAlign w:val="center"/>
          </w:tcPr>
          <w:p w14:paraId="593F5F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合规</w:t>
            </w:r>
          </w:p>
        </w:tc>
        <w:tc>
          <w:tcPr>
            <w:tcW w:w="1673" w:type="pct"/>
            <w:noWrap w:val="0"/>
            <w:vAlign w:val="center"/>
          </w:tcPr>
          <w:p w14:paraId="310705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①否符合国家财经法规和财务管理制度以及有关专项资金管理办法的规定；</w:t>
            </w:r>
          </w:p>
          <w:p w14:paraId="4C7BC5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②资金的拨付是否有完整的审批程序和手续；</w:t>
            </w:r>
          </w:p>
          <w:p w14:paraId="0B5B10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③是否符合项目预算批复或合同规定的用途；</w:t>
            </w:r>
          </w:p>
          <w:p w14:paraId="5D9847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④是否存在截留、挤占、挪用、虚列支出等情况。</w:t>
            </w:r>
          </w:p>
          <w:p w14:paraId="46D79D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以上每条指标各占权重分的25%，要素①②不符合，扣除对应权重分；要素③④不符合属于重大违纪，该指标不得分。</w:t>
            </w:r>
          </w:p>
        </w:tc>
        <w:tc>
          <w:tcPr>
            <w:tcW w:w="362" w:type="pct"/>
            <w:noWrap w:val="0"/>
            <w:vAlign w:val="center"/>
          </w:tcPr>
          <w:p w14:paraId="649D5E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合规</w:t>
            </w:r>
          </w:p>
        </w:tc>
        <w:tc>
          <w:tcPr>
            <w:tcW w:w="734" w:type="dxa"/>
            <w:noWrap w:val="0"/>
            <w:vAlign w:val="center"/>
          </w:tcPr>
          <w:p w14:paraId="00B918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w:t>
            </w:r>
          </w:p>
        </w:tc>
      </w:tr>
      <w:tr w14:paraId="7608A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1" w:type="pct"/>
            <w:vMerge w:val="continue"/>
            <w:noWrap w:val="0"/>
            <w:vAlign w:val="center"/>
          </w:tcPr>
          <w:p w14:paraId="0F3384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4EB6E04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restart"/>
            <w:noWrap w:val="0"/>
            <w:vAlign w:val="center"/>
          </w:tcPr>
          <w:p w14:paraId="79F880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组织实施</w:t>
            </w:r>
          </w:p>
        </w:tc>
        <w:tc>
          <w:tcPr>
            <w:tcW w:w="205" w:type="pct"/>
            <w:vMerge w:val="restart"/>
            <w:noWrap w:val="0"/>
            <w:vAlign w:val="center"/>
          </w:tcPr>
          <w:p w14:paraId="2CA702A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6</w:t>
            </w:r>
          </w:p>
        </w:tc>
        <w:tc>
          <w:tcPr>
            <w:tcW w:w="302" w:type="pct"/>
            <w:noWrap w:val="0"/>
            <w:vAlign w:val="center"/>
          </w:tcPr>
          <w:p w14:paraId="02CAD3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管理制度健全性</w:t>
            </w:r>
          </w:p>
        </w:tc>
        <w:tc>
          <w:tcPr>
            <w:tcW w:w="261" w:type="pct"/>
            <w:noWrap w:val="0"/>
            <w:vAlign w:val="center"/>
          </w:tcPr>
          <w:p w14:paraId="202F05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53" w:type="pct"/>
            <w:noWrap w:val="0"/>
            <w:vAlign w:val="center"/>
          </w:tcPr>
          <w:p w14:paraId="4D3B45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项目实施单位的财务和业务管理制度是否健全，用以反映和考核财务和业务管理制度对项目顺利实施的保障情况。</w:t>
            </w:r>
          </w:p>
        </w:tc>
        <w:tc>
          <w:tcPr>
            <w:tcW w:w="464" w:type="pct"/>
            <w:noWrap w:val="0"/>
            <w:vAlign w:val="center"/>
          </w:tcPr>
          <w:p w14:paraId="4A5F71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健全</w:t>
            </w:r>
          </w:p>
        </w:tc>
        <w:tc>
          <w:tcPr>
            <w:tcW w:w="1673" w:type="pct"/>
            <w:noWrap w:val="0"/>
            <w:vAlign w:val="center"/>
          </w:tcPr>
          <w:p w14:paraId="45ADA2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①是否已制定或具有相应的财务和业务管理制度；</w:t>
            </w:r>
          </w:p>
          <w:p w14:paraId="7C40F7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②财务和业务管理制度是否合法、合规、完整。</w:t>
            </w:r>
          </w:p>
          <w:p w14:paraId="5EFC32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以上每条要素各占权重的50%，每有一条不符合，扣除对应的权重分，扣完为止。</w:t>
            </w:r>
          </w:p>
        </w:tc>
        <w:tc>
          <w:tcPr>
            <w:tcW w:w="362" w:type="pct"/>
            <w:noWrap w:val="0"/>
            <w:vAlign w:val="center"/>
          </w:tcPr>
          <w:p w14:paraId="0A7303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健全</w:t>
            </w:r>
          </w:p>
        </w:tc>
        <w:tc>
          <w:tcPr>
            <w:tcW w:w="274" w:type="pct"/>
            <w:noWrap w:val="0"/>
            <w:vAlign w:val="center"/>
          </w:tcPr>
          <w:p w14:paraId="4870CE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r>
      <w:tr w14:paraId="69DDC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251" w:type="pct"/>
            <w:vMerge w:val="continue"/>
            <w:noWrap w:val="0"/>
            <w:vAlign w:val="center"/>
          </w:tcPr>
          <w:p w14:paraId="5FBC25A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2DBA26E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2ACCC34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66DBA84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noWrap w:val="0"/>
            <w:vAlign w:val="center"/>
          </w:tcPr>
          <w:p w14:paraId="4D37E5B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制度执行有效性</w:t>
            </w:r>
          </w:p>
        </w:tc>
        <w:tc>
          <w:tcPr>
            <w:tcW w:w="261" w:type="pct"/>
            <w:noWrap w:val="0"/>
            <w:vAlign w:val="center"/>
          </w:tcPr>
          <w:p w14:paraId="04543E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53" w:type="pct"/>
            <w:noWrap w:val="0"/>
            <w:vAlign w:val="center"/>
          </w:tcPr>
          <w:p w14:paraId="3BD443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项目实施是否符合相关管理规定，用以反映和考核相关管理制度的有效执行情况。</w:t>
            </w:r>
          </w:p>
        </w:tc>
        <w:tc>
          <w:tcPr>
            <w:tcW w:w="464" w:type="pct"/>
            <w:noWrap w:val="0"/>
            <w:vAlign w:val="center"/>
          </w:tcPr>
          <w:p w14:paraId="677FCCF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有效</w:t>
            </w:r>
          </w:p>
        </w:tc>
        <w:tc>
          <w:tcPr>
            <w:tcW w:w="1673" w:type="pct"/>
            <w:noWrap w:val="0"/>
            <w:vAlign w:val="center"/>
          </w:tcPr>
          <w:p w14:paraId="0D57D1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①否遵守相关法律法规和相关管理规定；</w:t>
            </w:r>
          </w:p>
          <w:p w14:paraId="479DB5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②项目调整及支出调整手续是否完备；</w:t>
            </w:r>
          </w:p>
          <w:p w14:paraId="2F80C3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③项目资料是否齐全并及时归档。</w:t>
            </w:r>
          </w:p>
          <w:p w14:paraId="3B42A1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①②③齐全得权重分的100%，缺①扣权重分的30%，缺②扣权重分的40%，缺③扣权重分的30%。</w:t>
            </w:r>
          </w:p>
        </w:tc>
        <w:tc>
          <w:tcPr>
            <w:tcW w:w="362" w:type="pct"/>
            <w:noWrap w:val="0"/>
            <w:vAlign w:val="center"/>
          </w:tcPr>
          <w:p w14:paraId="0CB327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有效</w:t>
            </w:r>
          </w:p>
        </w:tc>
        <w:tc>
          <w:tcPr>
            <w:tcW w:w="274" w:type="pct"/>
            <w:noWrap w:val="0"/>
            <w:vAlign w:val="center"/>
          </w:tcPr>
          <w:p w14:paraId="19EAAE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r>
      <w:tr w14:paraId="0D83E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51" w:type="pct"/>
            <w:vMerge w:val="restart"/>
            <w:noWrap w:val="0"/>
            <w:vAlign w:val="center"/>
          </w:tcPr>
          <w:p w14:paraId="062118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项目产出</w:t>
            </w:r>
          </w:p>
        </w:tc>
        <w:tc>
          <w:tcPr>
            <w:tcW w:w="200" w:type="pct"/>
            <w:vMerge w:val="restart"/>
            <w:noWrap w:val="0"/>
            <w:vAlign w:val="center"/>
          </w:tcPr>
          <w:p w14:paraId="5B9463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40</w:t>
            </w:r>
          </w:p>
        </w:tc>
        <w:tc>
          <w:tcPr>
            <w:tcW w:w="249" w:type="pct"/>
            <w:noWrap w:val="0"/>
            <w:vAlign w:val="center"/>
          </w:tcPr>
          <w:p w14:paraId="6301DB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产出数量</w:t>
            </w:r>
          </w:p>
        </w:tc>
        <w:tc>
          <w:tcPr>
            <w:tcW w:w="205" w:type="pct"/>
            <w:noWrap w:val="0"/>
            <w:vAlign w:val="center"/>
          </w:tcPr>
          <w:p w14:paraId="7A99F2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302" w:type="pct"/>
            <w:noWrap w:val="0"/>
            <w:vAlign w:val="center"/>
          </w:tcPr>
          <w:p w14:paraId="5D8017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w:t>
            </w:r>
          </w:p>
        </w:tc>
        <w:tc>
          <w:tcPr>
            <w:tcW w:w="261" w:type="pct"/>
            <w:noWrap w:val="0"/>
            <w:vAlign w:val="center"/>
          </w:tcPr>
          <w:p w14:paraId="3D78B1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753" w:type="pct"/>
            <w:noWrap/>
            <w:vAlign w:val="center"/>
          </w:tcPr>
          <w:p w14:paraId="375F17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村级集体经济组织数</w:t>
            </w:r>
          </w:p>
        </w:tc>
        <w:tc>
          <w:tcPr>
            <w:tcW w:w="464" w:type="pct"/>
            <w:noWrap w:val="0"/>
            <w:vAlign w:val="center"/>
          </w:tcPr>
          <w:p w14:paraId="532C7A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=14个</w:t>
            </w:r>
          </w:p>
        </w:tc>
        <w:tc>
          <w:tcPr>
            <w:tcW w:w="1673" w:type="pct"/>
            <w:noWrap w:val="0"/>
            <w:vAlign w:val="center"/>
          </w:tcPr>
          <w:p w14:paraId="0D8AD9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实际完成率=（实际完成/预期完成）×100%。①实际完成率≥100%，且偏离程度＜20%，得满分；②实际完成率≥100%，偏离程度≥20%，得0分；③实际完成率×100%＜100%，得分=实际完成率×指标分值。</w:t>
            </w:r>
          </w:p>
        </w:tc>
        <w:tc>
          <w:tcPr>
            <w:tcW w:w="362" w:type="pct"/>
            <w:noWrap w:val="0"/>
            <w:vAlign w:val="center"/>
          </w:tcPr>
          <w:p w14:paraId="3770E9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14个</w:t>
            </w:r>
          </w:p>
        </w:tc>
        <w:tc>
          <w:tcPr>
            <w:tcW w:w="274" w:type="pct"/>
            <w:noWrap w:val="0"/>
            <w:vAlign w:val="center"/>
          </w:tcPr>
          <w:p w14:paraId="4CCCE1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r>
      <w:tr w14:paraId="16DE8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251" w:type="pct"/>
            <w:vMerge w:val="continue"/>
            <w:noWrap w:val="0"/>
            <w:vAlign w:val="center"/>
          </w:tcPr>
          <w:p w14:paraId="3827371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05DFA9C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noWrap w:val="0"/>
            <w:vAlign w:val="center"/>
          </w:tcPr>
          <w:p w14:paraId="533632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产出质量</w:t>
            </w:r>
          </w:p>
        </w:tc>
        <w:tc>
          <w:tcPr>
            <w:tcW w:w="205" w:type="pct"/>
            <w:noWrap w:val="0"/>
            <w:vAlign w:val="center"/>
          </w:tcPr>
          <w:p w14:paraId="13D260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302" w:type="pct"/>
            <w:noWrap w:val="0"/>
            <w:vAlign w:val="center"/>
          </w:tcPr>
          <w:p w14:paraId="5C8414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质量达标率</w:t>
            </w:r>
          </w:p>
        </w:tc>
        <w:tc>
          <w:tcPr>
            <w:tcW w:w="261" w:type="pct"/>
            <w:noWrap w:val="0"/>
            <w:vAlign w:val="center"/>
          </w:tcPr>
          <w:p w14:paraId="47321B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753" w:type="pct"/>
            <w:noWrap/>
            <w:vAlign w:val="center"/>
          </w:tcPr>
          <w:p w14:paraId="5D00AF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资金保障率</w:t>
            </w:r>
          </w:p>
        </w:tc>
        <w:tc>
          <w:tcPr>
            <w:tcW w:w="464" w:type="pct"/>
            <w:noWrap w:val="0"/>
            <w:vAlign w:val="center"/>
          </w:tcPr>
          <w:p w14:paraId="7E3C6B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1673" w:type="pct"/>
            <w:noWrap w:val="0"/>
            <w:vAlign w:val="center"/>
          </w:tcPr>
          <w:p w14:paraId="44C313F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若指标达到标杆值，则得100%权重分；否则，得分=（实际完成/预期完成）×100%×指标分值。若指标完成值达到标杆值，则得100%权重分；否则，不得分。</w:t>
            </w:r>
          </w:p>
        </w:tc>
        <w:tc>
          <w:tcPr>
            <w:tcW w:w="362" w:type="pct"/>
            <w:noWrap w:val="0"/>
            <w:vAlign w:val="center"/>
          </w:tcPr>
          <w:p w14:paraId="4FE2AA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74" w:type="pct"/>
            <w:noWrap w:val="0"/>
            <w:vAlign w:val="center"/>
          </w:tcPr>
          <w:p w14:paraId="50DA40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r>
      <w:tr w14:paraId="63E81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51" w:type="pct"/>
            <w:vMerge w:val="continue"/>
            <w:noWrap w:val="0"/>
            <w:vAlign w:val="center"/>
          </w:tcPr>
          <w:p w14:paraId="433E0DA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15350B3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restart"/>
            <w:noWrap w:val="0"/>
            <w:vAlign w:val="center"/>
          </w:tcPr>
          <w:p w14:paraId="362250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产出时效</w:t>
            </w:r>
          </w:p>
        </w:tc>
        <w:tc>
          <w:tcPr>
            <w:tcW w:w="205" w:type="pct"/>
            <w:vMerge w:val="restart"/>
            <w:noWrap w:val="0"/>
            <w:vAlign w:val="center"/>
          </w:tcPr>
          <w:p w14:paraId="4DD90B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302" w:type="pct"/>
            <w:vMerge w:val="restart"/>
            <w:noWrap w:val="0"/>
            <w:vAlign w:val="center"/>
          </w:tcPr>
          <w:p w14:paraId="152023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完成及时率</w:t>
            </w:r>
          </w:p>
        </w:tc>
        <w:tc>
          <w:tcPr>
            <w:tcW w:w="261" w:type="pct"/>
            <w:noWrap w:val="0"/>
            <w:vAlign w:val="center"/>
          </w:tcPr>
          <w:p w14:paraId="495D43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5</w:t>
            </w:r>
          </w:p>
        </w:tc>
        <w:tc>
          <w:tcPr>
            <w:tcW w:w="753" w:type="pct"/>
            <w:noWrap/>
            <w:vAlign w:val="center"/>
          </w:tcPr>
          <w:p w14:paraId="4D4D83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开始时间</w:t>
            </w:r>
          </w:p>
        </w:tc>
        <w:tc>
          <w:tcPr>
            <w:tcW w:w="464" w:type="pct"/>
            <w:noWrap w:val="0"/>
            <w:vAlign w:val="center"/>
          </w:tcPr>
          <w:p w14:paraId="0E9F0B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2024年1月</w:t>
            </w:r>
          </w:p>
        </w:tc>
        <w:tc>
          <w:tcPr>
            <w:tcW w:w="1673" w:type="pct"/>
            <w:vMerge w:val="restart"/>
            <w:noWrap w:val="0"/>
            <w:vAlign w:val="center"/>
          </w:tcPr>
          <w:p w14:paraId="527AEF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指标完成值达到标杆值，则得100%权重分；否则，得分=（实际完成/预期完成）×100%×指标分值。若在规定时间内完成，得100%权重分；若未在规定的时间内完成，得分=（1-未在规定时间内完成工作数/实际完成工作总数）×分值。</w:t>
            </w:r>
          </w:p>
        </w:tc>
        <w:tc>
          <w:tcPr>
            <w:tcW w:w="362" w:type="pct"/>
            <w:noWrap w:val="0"/>
            <w:vAlign w:val="center"/>
          </w:tcPr>
          <w:p w14:paraId="020299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2024年1月</w:t>
            </w:r>
          </w:p>
        </w:tc>
        <w:tc>
          <w:tcPr>
            <w:tcW w:w="274" w:type="pct"/>
            <w:noWrap w:val="0"/>
            <w:vAlign w:val="center"/>
          </w:tcPr>
          <w:p w14:paraId="0F70FB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5</w:t>
            </w:r>
          </w:p>
        </w:tc>
      </w:tr>
      <w:tr w14:paraId="13684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51" w:type="pct"/>
            <w:vMerge w:val="continue"/>
            <w:noWrap w:val="0"/>
            <w:vAlign w:val="center"/>
          </w:tcPr>
          <w:p w14:paraId="540274B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0232CCF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202E696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67166CD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vMerge w:val="continue"/>
            <w:noWrap w:val="0"/>
            <w:vAlign w:val="center"/>
          </w:tcPr>
          <w:p w14:paraId="385A8D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1" w:type="pct"/>
            <w:noWrap w:val="0"/>
            <w:vAlign w:val="center"/>
          </w:tcPr>
          <w:p w14:paraId="7D5FD2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5</w:t>
            </w:r>
          </w:p>
        </w:tc>
        <w:tc>
          <w:tcPr>
            <w:tcW w:w="753" w:type="pct"/>
            <w:noWrap/>
            <w:vAlign w:val="center"/>
          </w:tcPr>
          <w:p w14:paraId="1CD58A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结束时间</w:t>
            </w:r>
          </w:p>
        </w:tc>
        <w:tc>
          <w:tcPr>
            <w:tcW w:w="464" w:type="pct"/>
            <w:noWrap w:val="0"/>
            <w:vAlign w:val="center"/>
          </w:tcPr>
          <w:p w14:paraId="3CD441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default"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2024年12月</w:t>
            </w:r>
          </w:p>
        </w:tc>
        <w:tc>
          <w:tcPr>
            <w:tcW w:w="1673" w:type="pct"/>
            <w:vMerge w:val="continue"/>
            <w:noWrap w:val="0"/>
            <w:vAlign w:val="center"/>
          </w:tcPr>
          <w:p w14:paraId="1C4B864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62" w:type="pct"/>
            <w:noWrap w:val="0"/>
            <w:vAlign w:val="center"/>
          </w:tcPr>
          <w:p w14:paraId="399DE87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2024年12月</w:t>
            </w:r>
          </w:p>
        </w:tc>
        <w:tc>
          <w:tcPr>
            <w:tcW w:w="274" w:type="pct"/>
            <w:noWrap w:val="0"/>
            <w:vAlign w:val="center"/>
          </w:tcPr>
          <w:p w14:paraId="710F28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5</w:t>
            </w:r>
          </w:p>
        </w:tc>
      </w:tr>
      <w:tr w14:paraId="4A0C2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251" w:type="pct"/>
            <w:vMerge w:val="continue"/>
            <w:noWrap w:val="0"/>
            <w:vAlign w:val="center"/>
          </w:tcPr>
          <w:p w14:paraId="1F8D235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41E8EB8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noWrap w:val="0"/>
            <w:vAlign w:val="center"/>
          </w:tcPr>
          <w:p w14:paraId="4E48E2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产出成本</w:t>
            </w:r>
          </w:p>
        </w:tc>
        <w:tc>
          <w:tcPr>
            <w:tcW w:w="205" w:type="pct"/>
            <w:noWrap w:val="0"/>
            <w:vAlign w:val="center"/>
          </w:tcPr>
          <w:p w14:paraId="306D0A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302" w:type="pct"/>
            <w:noWrap w:val="0"/>
            <w:vAlign w:val="center"/>
          </w:tcPr>
          <w:p w14:paraId="483D0C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成本节约率</w:t>
            </w:r>
          </w:p>
        </w:tc>
        <w:tc>
          <w:tcPr>
            <w:tcW w:w="261" w:type="pct"/>
            <w:noWrap w:val="0"/>
            <w:vAlign w:val="center"/>
          </w:tcPr>
          <w:p w14:paraId="097D0F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753" w:type="pct"/>
            <w:noWrap/>
            <w:vAlign w:val="center"/>
          </w:tcPr>
          <w:p w14:paraId="6A1C179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每个村运转成本</w:t>
            </w:r>
          </w:p>
        </w:tc>
        <w:tc>
          <w:tcPr>
            <w:tcW w:w="464" w:type="pct"/>
            <w:noWrap w:val="0"/>
            <w:vAlign w:val="center"/>
          </w:tcPr>
          <w:p w14:paraId="62EE15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&lt;=4.50万元</w:t>
            </w:r>
          </w:p>
        </w:tc>
        <w:tc>
          <w:tcPr>
            <w:tcW w:w="1673" w:type="pct"/>
            <w:noWrap w:val="0"/>
            <w:vAlign w:val="center"/>
          </w:tcPr>
          <w:p w14:paraId="6C3B94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支付资金数/计划应支付资金数）×100%。①实际完成率＞年度指标值，得0得分；②实际完成率≤年度指标值，且偏离程度＜20%，得满分；③实际完成率＜年度指标值，且偏离程度≥20%，得分=实际完成率×分值。</w:t>
            </w:r>
          </w:p>
        </w:tc>
        <w:tc>
          <w:tcPr>
            <w:tcW w:w="362" w:type="pct"/>
            <w:noWrap w:val="0"/>
            <w:vAlign w:val="center"/>
          </w:tcPr>
          <w:p w14:paraId="5281F4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=4.43万元元/村</w:t>
            </w:r>
          </w:p>
        </w:tc>
        <w:tc>
          <w:tcPr>
            <w:tcW w:w="274" w:type="pct"/>
            <w:noWrap w:val="0"/>
            <w:vAlign w:val="center"/>
          </w:tcPr>
          <w:p w14:paraId="793B0C95">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9.84</w:t>
            </w:r>
          </w:p>
        </w:tc>
      </w:tr>
      <w:tr w14:paraId="4223B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251" w:type="pct"/>
            <w:vMerge w:val="restart"/>
            <w:noWrap w:val="0"/>
            <w:vAlign w:val="center"/>
          </w:tcPr>
          <w:p w14:paraId="35F5A1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项目效益</w:t>
            </w:r>
          </w:p>
        </w:tc>
        <w:tc>
          <w:tcPr>
            <w:tcW w:w="200" w:type="pct"/>
            <w:vMerge w:val="restart"/>
            <w:noWrap w:val="0"/>
            <w:vAlign w:val="center"/>
          </w:tcPr>
          <w:p w14:paraId="4BA5D9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25</w:t>
            </w:r>
          </w:p>
        </w:tc>
        <w:tc>
          <w:tcPr>
            <w:tcW w:w="249" w:type="pct"/>
            <w:vMerge w:val="restart"/>
            <w:noWrap w:val="0"/>
            <w:vAlign w:val="center"/>
          </w:tcPr>
          <w:p w14:paraId="4B02F1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项目效益</w:t>
            </w:r>
          </w:p>
        </w:tc>
        <w:tc>
          <w:tcPr>
            <w:tcW w:w="205" w:type="pct"/>
            <w:vMerge w:val="restart"/>
            <w:noWrap w:val="0"/>
            <w:vAlign w:val="center"/>
          </w:tcPr>
          <w:p w14:paraId="64E43B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25</w:t>
            </w:r>
          </w:p>
        </w:tc>
        <w:tc>
          <w:tcPr>
            <w:tcW w:w="302" w:type="pct"/>
            <w:noWrap w:val="0"/>
            <w:vAlign w:val="center"/>
          </w:tcPr>
          <w:p w14:paraId="22DC17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社经济效益</w:t>
            </w:r>
          </w:p>
        </w:tc>
        <w:tc>
          <w:tcPr>
            <w:tcW w:w="261" w:type="pct"/>
            <w:noWrap w:val="0"/>
            <w:vAlign w:val="center"/>
          </w:tcPr>
          <w:p w14:paraId="1322F7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15</w:t>
            </w:r>
          </w:p>
        </w:tc>
        <w:tc>
          <w:tcPr>
            <w:tcW w:w="753" w:type="pct"/>
            <w:noWrap/>
            <w:vAlign w:val="center"/>
          </w:tcPr>
          <w:p w14:paraId="122400C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保障各村村正常运行</w:t>
            </w:r>
          </w:p>
        </w:tc>
        <w:tc>
          <w:tcPr>
            <w:tcW w:w="464" w:type="pct"/>
            <w:noWrap w:val="0"/>
            <w:vAlign w:val="center"/>
          </w:tcPr>
          <w:p w14:paraId="10ED3D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有效保障</w:t>
            </w:r>
          </w:p>
        </w:tc>
        <w:tc>
          <w:tcPr>
            <w:tcW w:w="1673" w:type="pct"/>
            <w:noWrap w:val="0"/>
            <w:vAlign w:val="center"/>
          </w:tcPr>
          <w:p w14:paraId="2913F2E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按评判等级赋分。分为基本达成目标、部分实现目标、实现目标程度较低三个档次，并分别按照该指标对应分值区间100%-80%（含）、80%-60%（含）、60%-0%合理确定分值。</w:t>
            </w:r>
          </w:p>
        </w:tc>
        <w:tc>
          <w:tcPr>
            <w:tcW w:w="362" w:type="pct"/>
            <w:noWrap w:val="0"/>
            <w:vAlign w:val="center"/>
          </w:tcPr>
          <w:p w14:paraId="09339D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有效保障</w:t>
            </w:r>
          </w:p>
        </w:tc>
        <w:tc>
          <w:tcPr>
            <w:tcW w:w="274" w:type="pct"/>
            <w:noWrap w:val="0"/>
            <w:vAlign w:val="center"/>
          </w:tcPr>
          <w:p w14:paraId="4E30F7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15</w:t>
            </w:r>
          </w:p>
        </w:tc>
      </w:tr>
      <w:tr w14:paraId="2AA6F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251" w:type="pct"/>
            <w:vMerge w:val="continue"/>
            <w:noWrap w:val="0"/>
            <w:vAlign w:val="center"/>
          </w:tcPr>
          <w:p w14:paraId="2A342BB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0" w:type="pct"/>
            <w:vMerge w:val="continue"/>
            <w:noWrap w:val="0"/>
            <w:vAlign w:val="center"/>
          </w:tcPr>
          <w:p w14:paraId="0A06DCD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49" w:type="pct"/>
            <w:vMerge w:val="continue"/>
            <w:noWrap w:val="0"/>
            <w:vAlign w:val="center"/>
          </w:tcPr>
          <w:p w14:paraId="06A4B79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vMerge w:val="continue"/>
            <w:noWrap w:val="0"/>
            <w:vAlign w:val="center"/>
          </w:tcPr>
          <w:p w14:paraId="7D22869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02" w:type="pct"/>
            <w:noWrap w:val="0"/>
            <w:vAlign w:val="center"/>
          </w:tcPr>
          <w:p w14:paraId="1CCCD8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服务对象满意度</w:t>
            </w:r>
          </w:p>
        </w:tc>
        <w:tc>
          <w:tcPr>
            <w:tcW w:w="261" w:type="pct"/>
            <w:noWrap w:val="0"/>
            <w:vAlign w:val="center"/>
          </w:tcPr>
          <w:p w14:paraId="1F8DC0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753" w:type="pct"/>
            <w:noWrap w:val="0"/>
            <w:vAlign w:val="center"/>
          </w:tcPr>
          <w:p w14:paraId="76481B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村干部满意度</w:t>
            </w:r>
          </w:p>
        </w:tc>
        <w:tc>
          <w:tcPr>
            <w:tcW w:w="464" w:type="pct"/>
            <w:noWrap w:val="0"/>
            <w:vAlign w:val="center"/>
          </w:tcPr>
          <w:p w14:paraId="5C885D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&gt;=95%</w:t>
            </w:r>
          </w:p>
        </w:tc>
        <w:tc>
          <w:tcPr>
            <w:tcW w:w="1673" w:type="pct"/>
            <w:noWrap w:val="0"/>
            <w:vAlign w:val="center"/>
          </w:tcPr>
          <w:p w14:paraId="35FC8B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根据问卷调查，满意度达到标杆值，得权重分的100%；否则低于95%，得分=实际满意度*指标分值。</w:t>
            </w:r>
          </w:p>
        </w:tc>
        <w:tc>
          <w:tcPr>
            <w:tcW w:w="362" w:type="pct"/>
            <w:noWrap w:val="0"/>
            <w:vAlign w:val="center"/>
          </w:tcPr>
          <w:p w14:paraId="125325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74" w:type="pct"/>
            <w:noWrap w:val="0"/>
            <w:vAlign w:val="center"/>
          </w:tcPr>
          <w:p w14:paraId="4FC9F2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r>
      <w:tr w14:paraId="36A3B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1" w:type="pct"/>
            <w:noWrap w:val="0"/>
            <w:vAlign w:val="center"/>
          </w:tcPr>
          <w:p w14:paraId="1AC424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总分</w:t>
            </w:r>
          </w:p>
        </w:tc>
        <w:tc>
          <w:tcPr>
            <w:tcW w:w="200" w:type="pct"/>
            <w:noWrap w:val="0"/>
            <w:vAlign w:val="center"/>
          </w:tcPr>
          <w:p w14:paraId="16762D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49" w:type="pct"/>
            <w:noWrap w:val="0"/>
            <w:vAlign w:val="center"/>
          </w:tcPr>
          <w:p w14:paraId="4255C55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5" w:type="pct"/>
            <w:noWrap w:val="0"/>
            <w:vAlign w:val="center"/>
          </w:tcPr>
          <w:p w14:paraId="53BEDA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302" w:type="pct"/>
            <w:noWrap w:val="0"/>
            <w:vAlign w:val="center"/>
          </w:tcPr>
          <w:p w14:paraId="64035F5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1" w:type="pct"/>
            <w:noWrap w:val="0"/>
            <w:vAlign w:val="center"/>
          </w:tcPr>
          <w:p w14:paraId="10B337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753" w:type="pct"/>
            <w:noWrap w:val="0"/>
            <w:vAlign w:val="center"/>
          </w:tcPr>
          <w:p w14:paraId="738FE17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464" w:type="pct"/>
            <w:noWrap w:val="0"/>
            <w:vAlign w:val="center"/>
          </w:tcPr>
          <w:p w14:paraId="7245FA1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673" w:type="pct"/>
            <w:noWrap w:val="0"/>
            <w:vAlign w:val="center"/>
          </w:tcPr>
          <w:p w14:paraId="6AFF7346">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auto"/>
                <w:sz w:val="21"/>
                <w:szCs w:val="21"/>
                <w:u w:val="none"/>
              </w:rPr>
            </w:pPr>
          </w:p>
        </w:tc>
        <w:tc>
          <w:tcPr>
            <w:tcW w:w="362" w:type="pct"/>
            <w:noWrap w:val="0"/>
            <w:vAlign w:val="center"/>
          </w:tcPr>
          <w:p w14:paraId="2CCA2CF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74" w:type="pct"/>
            <w:noWrap w:val="0"/>
            <w:vAlign w:val="center"/>
          </w:tcPr>
          <w:p w14:paraId="06C4E5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99.84</w:t>
            </w:r>
          </w:p>
        </w:tc>
      </w:tr>
    </w:tbl>
    <w:p w14:paraId="62CE2950">
      <w:pPr>
        <w:pStyle w:val="10"/>
        <w:ind w:left="0" w:leftChars="0" w:firstLine="0" w:firstLineChars="0"/>
        <w:jc w:val="both"/>
        <w:rPr>
          <w:rFonts w:hint="eastAsia" w:ascii="宋体" w:hAnsi="宋体" w:eastAsia="宋体" w:cs="宋体"/>
          <w:color w:val="9BBB59"/>
          <w:sz w:val="24"/>
          <w:szCs w:val="24"/>
          <w:lang w:eastAsia="zh-CN"/>
        </w:rPr>
      </w:pPr>
    </w:p>
    <w:p w14:paraId="7C5C83D9">
      <w:pPr>
        <w:pStyle w:val="10"/>
        <w:ind w:left="0" w:leftChars="0" w:firstLine="0" w:firstLineChars="0"/>
        <w:jc w:val="both"/>
        <w:rPr>
          <w:rFonts w:hint="eastAsia" w:ascii="宋体" w:hAnsi="宋体" w:eastAsia="宋体" w:cs="宋体"/>
          <w:color w:val="auto"/>
          <w:sz w:val="24"/>
          <w:szCs w:val="24"/>
          <w:lang w:eastAsia="zh-CN"/>
        </w:rPr>
      </w:pPr>
    </w:p>
    <w:p w14:paraId="11D5ACF2">
      <w:pPr>
        <w:pStyle w:val="10"/>
        <w:ind w:left="0" w:leftChars="0" w:firstLine="0" w:firstLineChars="0"/>
        <w:jc w:val="both"/>
        <w:rPr>
          <w:rFonts w:hint="eastAsia" w:ascii="宋体" w:hAnsi="宋体" w:eastAsia="宋体" w:cs="宋体"/>
          <w:color w:val="auto"/>
          <w:sz w:val="24"/>
          <w:szCs w:val="24"/>
          <w:lang w:eastAsia="zh-CN"/>
        </w:rPr>
      </w:pPr>
    </w:p>
    <w:p w14:paraId="0EB0B67F">
      <w:pPr>
        <w:pStyle w:val="10"/>
        <w:ind w:left="0" w:leftChars="0" w:firstLine="0" w:firstLineChars="0"/>
        <w:jc w:val="both"/>
        <w:rPr>
          <w:rFonts w:hint="eastAsia" w:ascii="宋体" w:hAnsi="宋体" w:eastAsia="宋体" w:cs="宋体"/>
          <w:color w:val="auto"/>
          <w:sz w:val="24"/>
          <w:szCs w:val="24"/>
          <w:lang w:eastAsia="zh-CN"/>
        </w:rPr>
      </w:pPr>
    </w:p>
    <w:p w14:paraId="6128B14C">
      <w:pPr>
        <w:pStyle w:val="10"/>
        <w:ind w:left="0" w:leftChars="0" w:firstLine="0" w:firstLineChars="0"/>
        <w:jc w:val="both"/>
        <w:rPr>
          <w:rFonts w:hint="eastAsia" w:ascii="宋体" w:hAnsi="宋体" w:eastAsia="宋体" w:cs="宋体"/>
          <w:color w:val="auto"/>
          <w:sz w:val="24"/>
          <w:szCs w:val="24"/>
          <w:lang w:eastAsia="zh-CN"/>
        </w:rPr>
      </w:pPr>
    </w:p>
    <w:p w14:paraId="01D9750E">
      <w:pPr>
        <w:pStyle w:val="10"/>
        <w:ind w:left="0" w:leftChars="0" w:firstLine="0" w:firstLineChars="0"/>
        <w:jc w:val="both"/>
        <w:rPr>
          <w:rFonts w:hint="eastAsia" w:ascii="宋体" w:hAnsi="宋体" w:eastAsia="宋体" w:cs="宋体"/>
          <w:color w:val="auto"/>
          <w:sz w:val="24"/>
          <w:szCs w:val="24"/>
          <w:lang w:eastAsia="zh-CN"/>
        </w:rPr>
      </w:pPr>
    </w:p>
    <w:p w14:paraId="3E4F5226">
      <w:pPr>
        <w:pStyle w:val="10"/>
        <w:ind w:left="0" w:leftChars="0" w:firstLine="0" w:firstLineChars="0"/>
        <w:jc w:val="both"/>
        <w:rPr>
          <w:rFonts w:hint="eastAsia" w:ascii="宋体" w:hAnsi="宋体" w:eastAsia="宋体" w:cs="宋体"/>
          <w:color w:val="auto"/>
          <w:sz w:val="24"/>
          <w:szCs w:val="24"/>
          <w:lang w:eastAsia="zh-CN"/>
        </w:rPr>
      </w:pPr>
    </w:p>
    <w:p w14:paraId="6E38014C">
      <w:pPr>
        <w:pStyle w:val="10"/>
        <w:ind w:left="0" w:leftChars="0" w:firstLine="0" w:firstLineChars="0"/>
        <w:jc w:val="both"/>
        <w:rPr>
          <w:rFonts w:hint="eastAsia" w:ascii="宋体" w:hAnsi="宋体" w:eastAsia="宋体" w:cs="宋体"/>
          <w:color w:val="auto"/>
          <w:sz w:val="24"/>
          <w:szCs w:val="24"/>
          <w:lang w:eastAsia="zh-CN"/>
        </w:rPr>
      </w:pPr>
    </w:p>
    <w:p w14:paraId="254491E7">
      <w:pPr>
        <w:pStyle w:val="10"/>
        <w:ind w:left="0" w:leftChars="0" w:firstLine="0" w:firstLineChars="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附件2：</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01"/>
        <w:gridCol w:w="2454"/>
        <w:gridCol w:w="2283"/>
        <w:gridCol w:w="2283"/>
        <w:gridCol w:w="2455"/>
        <w:gridCol w:w="2292"/>
      </w:tblGrid>
      <w:tr w14:paraId="2780A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000" w:type="pct"/>
            <w:gridSpan w:val="6"/>
            <w:tcBorders>
              <w:top w:val="nil"/>
              <w:left w:val="nil"/>
              <w:bottom w:val="nil"/>
              <w:right w:val="nil"/>
            </w:tcBorders>
            <w:noWrap/>
            <w:vAlign w:val="center"/>
          </w:tcPr>
          <w:p w14:paraId="60BFCF9B">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36"/>
                <w:szCs w:val="36"/>
                <w:highlight w:val="none"/>
                <w:u w:val="none"/>
                <w:lang w:val="en-US" w:eastAsia="zh-CN"/>
              </w:rPr>
              <w:t>和田地区洛浦县2024年村级运转经费项目综合得分表</w:t>
            </w:r>
          </w:p>
        </w:tc>
      </w:tr>
      <w:tr w14:paraId="2C68F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599" w:type="pct"/>
            <w:tcBorders>
              <w:top w:val="single" w:color="auto" w:sz="8" w:space="0"/>
              <w:left w:val="single" w:color="auto" w:sz="8" w:space="0"/>
              <w:bottom w:val="single" w:color="auto" w:sz="8" w:space="0"/>
              <w:right w:val="single" w:color="auto" w:sz="8" w:space="0"/>
            </w:tcBorders>
            <w:shd w:val="clear" w:color="auto" w:fill="FFFFFF"/>
            <w:noWrap w:val="0"/>
            <w:vAlign w:val="center"/>
          </w:tcPr>
          <w:p w14:paraId="65560CC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指标</w:t>
            </w:r>
          </w:p>
        </w:tc>
        <w:tc>
          <w:tcPr>
            <w:tcW w:w="918" w:type="pct"/>
            <w:tcBorders>
              <w:top w:val="single" w:color="auto" w:sz="8" w:space="0"/>
              <w:left w:val="nil"/>
              <w:bottom w:val="single" w:color="auto" w:sz="8" w:space="0"/>
              <w:right w:val="single" w:color="auto" w:sz="8" w:space="0"/>
            </w:tcBorders>
            <w:shd w:val="clear" w:color="auto" w:fill="FFFFFF"/>
            <w:noWrap w:val="0"/>
            <w:vAlign w:val="center"/>
          </w:tcPr>
          <w:p w14:paraId="0AB58EB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项目决策</w:t>
            </w:r>
          </w:p>
        </w:tc>
        <w:tc>
          <w:tcPr>
            <w:tcW w:w="854" w:type="pct"/>
            <w:tcBorders>
              <w:top w:val="single" w:color="auto" w:sz="8" w:space="0"/>
              <w:left w:val="nil"/>
              <w:bottom w:val="single" w:color="auto" w:sz="8" w:space="0"/>
              <w:right w:val="single" w:color="auto" w:sz="8" w:space="0"/>
            </w:tcBorders>
            <w:shd w:val="clear" w:color="auto" w:fill="FFFFFF"/>
            <w:noWrap w:val="0"/>
            <w:vAlign w:val="center"/>
          </w:tcPr>
          <w:p w14:paraId="79177F3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项目过程</w:t>
            </w:r>
          </w:p>
        </w:tc>
        <w:tc>
          <w:tcPr>
            <w:tcW w:w="854" w:type="pct"/>
            <w:tcBorders>
              <w:top w:val="single" w:color="auto" w:sz="8" w:space="0"/>
              <w:left w:val="nil"/>
              <w:bottom w:val="single" w:color="auto" w:sz="8" w:space="0"/>
              <w:right w:val="single" w:color="auto" w:sz="8" w:space="0"/>
            </w:tcBorders>
            <w:shd w:val="clear" w:color="auto" w:fill="FFFFFF"/>
            <w:noWrap w:val="0"/>
            <w:vAlign w:val="center"/>
          </w:tcPr>
          <w:p w14:paraId="622273D7">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项目产出</w:t>
            </w:r>
          </w:p>
        </w:tc>
        <w:tc>
          <w:tcPr>
            <w:tcW w:w="918" w:type="pct"/>
            <w:tcBorders>
              <w:top w:val="single" w:color="auto" w:sz="8" w:space="0"/>
              <w:left w:val="nil"/>
              <w:bottom w:val="single" w:color="auto" w:sz="8" w:space="0"/>
              <w:right w:val="single" w:color="auto" w:sz="8" w:space="0"/>
            </w:tcBorders>
            <w:shd w:val="clear" w:color="auto" w:fill="FFFFFF"/>
            <w:noWrap w:val="0"/>
            <w:vAlign w:val="center"/>
          </w:tcPr>
          <w:p w14:paraId="6B61391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项目效益</w:t>
            </w:r>
          </w:p>
        </w:tc>
        <w:tc>
          <w:tcPr>
            <w:tcW w:w="855" w:type="pct"/>
            <w:tcBorders>
              <w:top w:val="single" w:color="auto" w:sz="8" w:space="0"/>
              <w:left w:val="nil"/>
              <w:bottom w:val="single" w:color="auto" w:sz="8" w:space="0"/>
              <w:right w:val="single" w:color="auto" w:sz="8" w:space="0"/>
            </w:tcBorders>
            <w:shd w:val="clear" w:color="auto" w:fill="FFFFFF"/>
            <w:noWrap w:val="0"/>
            <w:vAlign w:val="center"/>
          </w:tcPr>
          <w:p w14:paraId="39E3408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合计</w:t>
            </w:r>
          </w:p>
        </w:tc>
      </w:tr>
      <w:tr w14:paraId="0A4CC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99" w:type="pct"/>
            <w:tcBorders>
              <w:top w:val="nil"/>
              <w:left w:val="single" w:color="auto" w:sz="8" w:space="0"/>
              <w:bottom w:val="single" w:color="auto" w:sz="8" w:space="0"/>
              <w:right w:val="single" w:color="auto" w:sz="8" w:space="0"/>
            </w:tcBorders>
            <w:shd w:val="clear" w:color="auto" w:fill="FFFFFF"/>
            <w:noWrap w:val="0"/>
            <w:vAlign w:val="center"/>
          </w:tcPr>
          <w:p w14:paraId="72ACB82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权重</w:t>
            </w:r>
          </w:p>
        </w:tc>
        <w:tc>
          <w:tcPr>
            <w:tcW w:w="2454" w:type="dxa"/>
            <w:tcBorders>
              <w:top w:val="nil"/>
              <w:left w:val="nil"/>
              <w:bottom w:val="single" w:color="auto" w:sz="8" w:space="0"/>
              <w:right w:val="single" w:color="auto" w:sz="8" w:space="0"/>
            </w:tcBorders>
            <w:noWrap w:val="0"/>
            <w:vAlign w:val="center"/>
          </w:tcPr>
          <w:p w14:paraId="7850DCDB">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23.00</w:t>
            </w:r>
          </w:p>
        </w:tc>
        <w:tc>
          <w:tcPr>
            <w:tcW w:w="2283" w:type="dxa"/>
            <w:tcBorders>
              <w:top w:val="nil"/>
              <w:left w:val="nil"/>
              <w:bottom w:val="single" w:color="auto" w:sz="8" w:space="0"/>
              <w:right w:val="single" w:color="auto" w:sz="8" w:space="0"/>
            </w:tcBorders>
            <w:noWrap w:val="0"/>
            <w:vAlign w:val="center"/>
          </w:tcPr>
          <w:p w14:paraId="3502C344">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12.00</w:t>
            </w:r>
          </w:p>
        </w:tc>
        <w:tc>
          <w:tcPr>
            <w:tcW w:w="2283" w:type="dxa"/>
            <w:tcBorders>
              <w:top w:val="nil"/>
              <w:left w:val="nil"/>
              <w:bottom w:val="single" w:color="auto" w:sz="8" w:space="0"/>
              <w:right w:val="single" w:color="auto" w:sz="8" w:space="0"/>
            </w:tcBorders>
            <w:noWrap w:val="0"/>
            <w:vAlign w:val="center"/>
          </w:tcPr>
          <w:p w14:paraId="1FE798B2">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40.00</w:t>
            </w:r>
          </w:p>
        </w:tc>
        <w:tc>
          <w:tcPr>
            <w:tcW w:w="2455" w:type="dxa"/>
            <w:tcBorders>
              <w:top w:val="nil"/>
              <w:left w:val="nil"/>
              <w:bottom w:val="single" w:color="auto" w:sz="8" w:space="0"/>
              <w:right w:val="single" w:color="auto" w:sz="8" w:space="0"/>
            </w:tcBorders>
            <w:noWrap w:val="0"/>
            <w:vAlign w:val="center"/>
          </w:tcPr>
          <w:p w14:paraId="06336192">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25.00</w:t>
            </w:r>
          </w:p>
        </w:tc>
        <w:tc>
          <w:tcPr>
            <w:tcW w:w="2292" w:type="dxa"/>
            <w:tcBorders>
              <w:top w:val="nil"/>
              <w:left w:val="nil"/>
              <w:bottom w:val="single" w:color="auto" w:sz="8" w:space="0"/>
              <w:right w:val="single" w:color="auto" w:sz="8" w:space="0"/>
            </w:tcBorders>
            <w:noWrap w:val="0"/>
            <w:vAlign w:val="center"/>
          </w:tcPr>
          <w:p w14:paraId="107ECE31">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100.00</w:t>
            </w:r>
          </w:p>
        </w:tc>
      </w:tr>
      <w:tr w14:paraId="4B164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99" w:type="pct"/>
            <w:tcBorders>
              <w:top w:val="nil"/>
              <w:left w:val="single" w:color="auto" w:sz="8" w:space="0"/>
              <w:bottom w:val="single" w:color="auto" w:sz="8" w:space="0"/>
              <w:right w:val="single" w:color="auto" w:sz="8" w:space="0"/>
            </w:tcBorders>
            <w:shd w:val="clear" w:color="auto" w:fill="FFFFFF"/>
            <w:noWrap w:val="0"/>
            <w:vAlign w:val="center"/>
          </w:tcPr>
          <w:p w14:paraId="3DDAC06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得分</w:t>
            </w:r>
          </w:p>
        </w:tc>
        <w:tc>
          <w:tcPr>
            <w:tcW w:w="2454" w:type="dxa"/>
            <w:tcBorders>
              <w:top w:val="nil"/>
              <w:left w:val="nil"/>
              <w:bottom w:val="single" w:color="auto" w:sz="8" w:space="0"/>
              <w:right w:val="single" w:color="auto" w:sz="8" w:space="0"/>
            </w:tcBorders>
            <w:shd w:val="clear" w:color="auto" w:fill="auto"/>
            <w:noWrap w:val="0"/>
            <w:vAlign w:val="center"/>
          </w:tcPr>
          <w:p w14:paraId="3958C5C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23.00</w:t>
            </w:r>
          </w:p>
        </w:tc>
        <w:tc>
          <w:tcPr>
            <w:tcW w:w="2283" w:type="dxa"/>
            <w:tcBorders>
              <w:top w:val="nil"/>
              <w:left w:val="nil"/>
              <w:bottom w:val="single" w:color="auto" w:sz="8" w:space="0"/>
              <w:right w:val="single" w:color="auto" w:sz="8" w:space="0"/>
            </w:tcBorders>
            <w:shd w:val="clear" w:color="auto" w:fill="auto"/>
            <w:noWrap w:val="0"/>
            <w:vAlign w:val="center"/>
          </w:tcPr>
          <w:p w14:paraId="0D2D04EA">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12.00</w:t>
            </w:r>
          </w:p>
        </w:tc>
        <w:tc>
          <w:tcPr>
            <w:tcW w:w="2283" w:type="dxa"/>
            <w:tcBorders>
              <w:top w:val="nil"/>
              <w:left w:val="nil"/>
              <w:bottom w:val="single" w:color="auto" w:sz="8" w:space="0"/>
              <w:right w:val="single" w:color="auto" w:sz="8" w:space="0"/>
            </w:tcBorders>
            <w:shd w:val="clear" w:color="auto" w:fill="auto"/>
            <w:noWrap w:val="0"/>
            <w:vAlign w:val="center"/>
          </w:tcPr>
          <w:p w14:paraId="72F197DA">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39.84</w:t>
            </w:r>
          </w:p>
        </w:tc>
        <w:tc>
          <w:tcPr>
            <w:tcW w:w="2455" w:type="dxa"/>
            <w:tcBorders>
              <w:top w:val="nil"/>
              <w:left w:val="nil"/>
              <w:bottom w:val="single" w:color="auto" w:sz="8" w:space="0"/>
              <w:right w:val="single" w:color="auto" w:sz="8" w:space="0"/>
            </w:tcBorders>
            <w:shd w:val="clear" w:color="auto" w:fill="FFFFFF"/>
            <w:noWrap w:val="0"/>
            <w:vAlign w:val="center"/>
          </w:tcPr>
          <w:p w14:paraId="31A2F827">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25.00</w:t>
            </w:r>
          </w:p>
        </w:tc>
        <w:tc>
          <w:tcPr>
            <w:tcW w:w="2292" w:type="dxa"/>
            <w:tcBorders>
              <w:top w:val="nil"/>
              <w:left w:val="nil"/>
              <w:bottom w:val="single" w:color="auto" w:sz="8" w:space="0"/>
              <w:right w:val="single" w:color="auto" w:sz="8" w:space="0"/>
            </w:tcBorders>
            <w:noWrap w:val="0"/>
            <w:vAlign w:val="center"/>
          </w:tcPr>
          <w:p w14:paraId="23870E3A">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rPr>
              <w:t>99.84</w:t>
            </w:r>
          </w:p>
        </w:tc>
      </w:tr>
      <w:tr w14:paraId="5339F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99" w:type="pct"/>
            <w:tcBorders>
              <w:top w:val="nil"/>
              <w:left w:val="single" w:color="auto" w:sz="8" w:space="0"/>
              <w:bottom w:val="single" w:color="auto" w:sz="8" w:space="0"/>
              <w:right w:val="single" w:color="auto" w:sz="8" w:space="0"/>
            </w:tcBorders>
            <w:shd w:val="clear" w:color="auto" w:fill="FFFFFF"/>
            <w:noWrap w:val="0"/>
            <w:vAlign w:val="center"/>
          </w:tcPr>
          <w:p w14:paraId="11B77A6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kern w:val="0"/>
                <w:sz w:val="24"/>
                <w:szCs w:val="24"/>
                <w:highlight w:val="none"/>
                <w:u w:val="none"/>
                <w:lang w:val="en-US" w:eastAsia="zh-CN"/>
              </w:rPr>
            </w:pPr>
            <w:r>
              <w:rPr>
                <w:rFonts w:hint="eastAsia" w:ascii="宋体" w:hAnsi="宋体" w:eastAsia="宋体" w:cs="宋体"/>
                <w:b/>
                <w:bCs/>
                <w:i w:val="0"/>
                <w:iCs w:val="0"/>
                <w:color w:val="000000"/>
                <w:kern w:val="0"/>
                <w:sz w:val="24"/>
                <w:szCs w:val="24"/>
                <w:highlight w:val="none"/>
                <w:u w:val="none"/>
                <w:lang w:val="en-US" w:eastAsia="zh-CN"/>
              </w:rPr>
              <w:t>得分率</w:t>
            </w:r>
          </w:p>
        </w:tc>
        <w:tc>
          <w:tcPr>
            <w:tcW w:w="918" w:type="pct"/>
            <w:tcBorders>
              <w:top w:val="nil"/>
              <w:left w:val="nil"/>
              <w:bottom w:val="single" w:color="auto" w:sz="8" w:space="0"/>
              <w:right w:val="single" w:color="auto" w:sz="8" w:space="0"/>
            </w:tcBorders>
            <w:noWrap w:val="0"/>
            <w:vAlign w:val="center"/>
          </w:tcPr>
          <w:p w14:paraId="00CB356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b w:val="0"/>
                <w:bCs w:val="0"/>
                <w:i w:val="0"/>
                <w:iCs w:val="0"/>
                <w:color w:val="000000"/>
                <w:kern w:val="0"/>
                <w:sz w:val="24"/>
                <w:szCs w:val="24"/>
                <w:highlight w:val="none"/>
                <w:u w:val="none"/>
                <w:lang w:val="en-US" w:eastAsia="zh-CN"/>
              </w:rPr>
              <w:t>100.00%</w:t>
            </w:r>
          </w:p>
        </w:tc>
        <w:tc>
          <w:tcPr>
            <w:tcW w:w="854" w:type="pct"/>
            <w:tcBorders>
              <w:top w:val="nil"/>
              <w:left w:val="nil"/>
              <w:bottom w:val="single" w:color="auto" w:sz="8" w:space="0"/>
              <w:right w:val="single" w:color="auto" w:sz="8" w:space="0"/>
            </w:tcBorders>
            <w:noWrap w:val="0"/>
            <w:vAlign w:val="center"/>
          </w:tcPr>
          <w:p w14:paraId="1E921BA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b w:val="0"/>
                <w:bCs w:val="0"/>
                <w:i w:val="0"/>
                <w:iCs w:val="0"/>
                <w:color w:val="000000"/>
                <w:kern w:val="0"/>
                <w:sz w:val="24"/>
                <w:szCs w:val="24"/>
                <w:highlight w:val="none"/>
                <w:u w:val="none"/>
                <w:lang w:val="en-US" w:eastAsia="zh-CN"/>
              </w:rPr>
              <w:t>100.00%</w:t>
            </w:r>
          </w:p>
        </w:tc>
        <w:tc>
          <w:tcPr>
            <w:tcW w:w="854" w:type="pct"/>
            <w:tcBorders>
              <w:top w:val="nil"/>
              <w:left w:val="nil"/>
              <w:bottom w:val="single" w:color="auto" w:sz="8" w:space="0"/>
              <w:right w:val="single" w:color="auto" w:sz="8" w:space="0"/>
            </w:tcBorders>
            <w:noWrap w:val="0"/>
            <w:vAlign w:val="center"/>
          </w:tcPr>
          <w:p w14:paraId="5F1FCFA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b w:val="0"/>
                <w:bCs w:val="0"/>
                <w:i w:val="0"/>
                <w:iCs w:val="0"/>
                <w:color w:val="000000"/>
                <w:kern w:val="0"/>
                <w:sz w:val="24"/>
                <w:szCs w:val="24"/>
                <w:highlight w:val="none"/>
                <w:u w:val="none"/>
                <w:lang w:val="en-US" w:eastAsia="zh-CN"/>
              </w:rPr>
              <w:t>99.60%</w:t>
            </w:r>
          </w:p>
        </w:tc>
        <w:tc>
          <w:tcPr>
            <w:tcW w:w="918" w:type="pct"/>
            <w:tcBorders>
              <w:top w:val="nil"/>
              <w:left w:val="nil"/>
              <w:bottom w:val="single" w:color="auto" w:sz="8" w:space="0"/>
              <w:right w:val="single" w:color="auto" w:sz="8" w:space="0"/>
            </w:tcBorders>
            <w:noWrap w:val="0"/>
            <w:vAlign w:val="center"/>
          </w:tcPr>
          <w:p w14:paraId="3FBC1AC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b w:val="0"/>
                <w:bCs w:val="0"/>
                <w:i w:val="0"/>
                <w:iCs w:val="0"/>
                <w:color w:val="000000"/>
                <w:kern w:val="0"/>
                <w:sz w:val="24"/>
                <w:szCs w:val="24"/>
                <w:highlight w:val="none"/>
                <w:u w:val="none"/>
                <w:lang w:val="en-US" w:eastAsia="zh-CN"/>
              </w:rPr>
              <w:t>100.00%</w:t>
            </w:r>
          </w:p>
        </w:tc>
        <w:tc>
          <w:tcPr>
            <w:tcW w:w="855" w:type="pct"/>
            <w:tcBorders>
              <w:top w:val="nil"/>
              <w:left w:val="nil"/>
              <w:bottom w:val="single" w:color="auto" w:sz="8" w:space="0"/>
              <w:right w:val="single" w:color="auto" w:sz="8" w:space="0"/>
            </w:tcBorders>
            <w:noWrap w:val="0"/>
            <w:vAlign w:val="center"/>
          </w:tcPr>
          <w:p w14:paraId="2EC8EA0C">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宋体" w:hAnsi="宋体" w:eastAsia="宋体" w:cs="宋体"/>
                <w:b w:val="0"/>
                <w:bCs w:val="0"/>
                <w:i w:val="0"/>
                <w:iCs w:val="0"/>
                <w:color w:val="000000"/>
                <w:kern w:val="0"/>
                <w:sz w:val="24"/>
                <w:szCs w:val="24"/>
                <w:highlight w:val="none"/>
                <w:u w:val="none"/>
                <w:lang w:val="en-US" w:eastAsia="zh-CN"/>
              </w:rPr>
            </w:pPr>
            <w:r>
              <w:rPr>
                <w:rFonts w:hint="eastAsia" w:ascii="宋体" w:hAnsi="宋体" w:eastAsia="宋体" w:cs="宋体"/>
                <w:b w:val="0"/>
                <w:bCs w:val="0"/>
                <w:i w:val="0"/>
                <w:iCs w:val="0"/>
                <w:color w:val="000000"/>
                <w:kern w:val="0"/>
                <w:sz w:val="24"/>
                <w:szCs w:val="24"/>
                <w:highlight w:val="none"/>
                <w:u w:val="none"/>
                <w:lang w:val="en-US" w:eastAsia="zh-CN"/>
              </w:rPr>
              <w:t>99.84%</w:t>
            </w:r>
          </w:p>
        </w:tc>
      </w:tr>
    </w:tbl>
    <w:p w14:paraId="09E8A0EB">
      <w:pPr>
        <w:pStyle w:val="10"/>
        <w:pageBreakBefore w:val="0"/>
        <w:kinsoku/>
        <w:wordWrap/>
        <w:topLinePunct w:val="0"/>
        <w:autoSpaceDE/>
        <w:autoSpaceDN/>
        <w:bidi w:val="0"/>
        <w:adjustRightInd/>
        <w:snapToGrid/>
        <w:spacing w:before="0" w:after="0" w:line="360" w:lineRule="auto"/>
        <w:ind w:left="0" w:leftChars="0" w:firstLine="480" w:firstLineChars="200"/>
        <w:jc w:val="both"/>
        <w:rPr>
          <w:rFonts w:hint="eastAsia" w:ascii="宋体" w:hAnsi="宋体" w:eastAsia="宋体" w:cs="宋体"/>
          <w:color w:val="auto"/>
          <w:sz w:val="24"/>
          <w:szCs w:val="24"/>
          <w:lang w:eastAsia="zh-CN"/>
        </w:rPr>
        <w:sectPr>
          <w:footerReference r:id="rId7" w:type="default"/>
          <w:pgSz w:w="16838" w:h="11906" w:orient="landscape"/>
          <w:pgMar w:top="1531" w:right="1985" w:bottom="1531" w:left="1701" w:header="851" w:footer="992" w:gutter="0"/>
          <w:pgNumType w:start="1"/>
          <w:cols w:space="720" w:num="1"/>
          <w:docGrid w:type="linesAndChars" w:linePitch="386" w:charSpace="0"/>
        </w:sectPr>
      </w:pPr>
    </w:p>
    <w:p w14:paraId="14B17D5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附件3：</w:t>
      </w:r>
    </w:p>
    <w:p w14:paraId="5D9FE37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2024年村级运转经费（县配套）</w:t>
      </w:r>
      <w:r>
        <w:rPr>
          <w:rFonts w:hint="eastAsia" w:ascii="宋体" w:hAnsi="宋体" w:eastAsia="宋体" w:cs="宋体"/>
          <w:b/>
          <w:bCs/>
          <w:color w:val="auto"/>
          <w:sz w:val="24"/>
          <w:szCs w:val="24"/>
          <w:highlight w:val="none"/>
          <w:lang w:val="en-US" w:eastAsia="zh-CN"/>
        </w:rPr>
        <w:t>项目</w:t>
      </w:r>
    </w:p>
    <w:p w14:paraId="76369AB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调查问卷</w:t>
      </w:r>
      <w:r>
        <w:rPr>
          <w:rFonts w:hint="eastAsia" w:ascii="宋体" w:hAnsi="宋体" w:eastAsia="宋体" w:cs="宋体"/>
          <w:b/>
          <w:bCs/>
          <w:color w:val="auto"/>
          <w:sz w:val="24"/>
          <w:szCs w:val="24"/>
          <w:highlight w:val="none"/>
          <w:lang w:val="en-US" w:eastAsia="zh-CN"/>
        </w:rPr>
        <w:t>分析报告</w:t>
      </w:r>
    </w:p>
    <w:p w14:paraId="55D71D13">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为客观评价该项目的社会效果，了解</w:t>
      </w:r>
      <w:r>
        <w:rPr>
          <w:rFonts w:hint="eastAsia" w:ascii="宋体" w:hAnsi="宋体" w:eastAsia="宋体" w:cs="宋体"/>
          <w:color w:val="000000"/>
          <w:sz w:val="24"/>
          <w:szCs w:val="24"/>
          <w:highlight w:val="none"/>
          <w:lang w:val="en-US" w:eastAsia="zh-CN"/>
        </w:rPr>
        <w:t>项目受益群体</w:t>
      </w:r>
      <w:r>
        <w:rPr>
          <w:rFonts w:hint="eastAsia" w:ascii="宋体" w:hAnsi="宋体" w:eastAsia="宋体" w:cs="宋体"/>
          <w:color w:val="000000"/>
          <w:sz w:val="24"/>
          <w:szCs w:val="24"/>
          <w:highlight w:val="none"/>
        </w:rPr>
        <w:t>对项目</w:t>
      </w:r>
      <w:r>
        <w:rPr>
          <w:rFonts w:hint="eastAsia" w:ascii="宋体" w:hAnsi="宋体" w:eastAsia="宋体" w:cs="宋体"/>
          <w:color w:val="000000"/>
          <w:sz w:val="24"/>
          <w:szCs w:val="24"/>
          <w:highlight w:val="none"/>
          <w:lang w:val="en-US" w:eastAsia="zh-CN"/>
        </w:rPr>
        <w:t>实施后</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val="en-US" w:eastAsia="zh-CN"/>
        </w:rPr>
        <w:t>真实</w:t>
      </w:r>
      <w:r>
        <w:rPr>
          <w:rFonts w:hint="eastAsia" w:ascii="宋体" w:hAnsi="宋体" w:eastAsia="宋体" w:cs="宋体"/>
          <w:color w:val="000000"/>
          <w:sz w:val="24"/>
          <w:szCs w:val="24"/>
          <w:highlight w:val="none"/>
        </w:rPr>
        <w:t>评价情况，对本项目</w:t>
      </w:r>
      <w:r>
        <w:rPr>
          <w:rFonts w:hint="eastAsia" w:ascii="宋体" w:hAnsi="宋体" w:eastAsia="宋体" w:cs="宋体"/>
          <w:color w:val="000000"/>
          <w:sz w:val="24"/>
          <w:szCs w:val="24"/>
          <w:highlight w:val="none"/>
          <w:lang w:eastAsia="zh-CN"/>
        </w:rPr>
        <w:t>开展</w:t>
      </w:r>
      <w:r>
        <w:rPr>
          <w:rFonts w:hint="eastAsia" w:ascii="宋体" w:hAnsi="宋体" w:eastAsia="宋体" w:cs="宋体"/>
          <w:color w:val="000000"/>
          <w:sz w:val="24"/>
          <w:szCs w:val="24"/>
          <w:highlight w:val="none"/>
        </w:rPr>
        <w:t>满意度问卷调查。问卷调查工作情况如下。问卷调查工作情况如下：</w:t>
      </w:r>
    </w:p>
    <w:p w14:paraId="2DAD4AA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该问卷调查从202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日开始至202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21</w:t>
      </w:r>
      <w:r>
        <w:rPr>
          <w:rFonts w:hint="eastAsia" w:ascii="宋体" w:hAnsi="宋体" w:eastAsia="宋体" w:cs="宋体"/>
          <w:b/>
          <w:bCs/>
          <w:color w:val="auto"/>
          <w:sz w:val="24"/>
          <w:szCs w:val="24"/>
          <w:highlight w:val="none"/>
        </w:rPr>
        <w:t>日结束，调查问卷共设置</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道题目。</w:t>
      </w:r>
    </w:p>
    <w:p w14:paraId="001CF177">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对象</w:t>
      </w:r>
    </w:p>
    <w:p w14:paraId="196A78E0">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本次调查的受益对象为村民。</w:t>
      </w:r>
    </w:p>
    <w:p w14:paraId="6193AA1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iCs w:val="0"/>
          <w:color w:val="auto"/>
          <w:sz w:val="24"/>
          <w:szCs w:val="24"/>
          <w:highlight w:val="none"/>
        </w:rPr>
        <w:t>2.</w:t>
      </w:r>
      <w:r>
        <w:rPr>
          <w:rFonts w:hint="eastAsia" w:ascii="宋体" w:hAnsi="宋体" w:eastAsia="宋体" w:cs="宋体"/>
          <w:b/>
          <w:bCs/>
          <w:i w:val="0"/>
          <w:iCs w:val="0"/>
          <w:color w:val="auto"/>
          <w:sz w:val="24"/>
          <w:szCs w:val="24"/>
          <w:highlight w:val="none"/>
          <w:lang w:eastAsia="zh-CN"/>
        </w:rPr>
        <w:t>调查</w:t>
      </w:r>
      <w:r>
        <w:rPr>
          <w:rFonts w:hint="eastAsia" w:ascii="宋体" w:hAnsi="宋体" w:eastAsia="宋体" w:cs="宋体"/>
          <w:b/>
          <w:bCs/>
          <w:i w:val="0"/>
          <w:iCs w:val="0"/>
          <w:color w:val="auto"/>
          <w:sz w:val="24"/>
          <w:szCs w:val="24"/>
          <w:highlight w:val="none"/>
        </w:rPr>
        <w:t>内容</w:t>
      </w:r>
    </w:p>
    <w:p w14:paraId="2CE35979">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1.您对村组织运转经费项目对本村使用于化解债务效果是否满意?</w:t>
      </w:r>
    </w:p>
    <w:p w14:paraId="215778B2">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非常满意比较满意一般不满意</w:t>
      </w:r>
    </w:p>
    <w:p w14:paraId="5DD5124E">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2.您对村组织运转经费项目资金对本村开展各项工作带来的效益是否满意？</w:t>
      </w:r>
    </w:p>
    <w:p w14:paraId="47F13A2A">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非常满意比较满意一般不满意</w:t>
      </w:r>
    </w:p>
    <w:p w14:paraId="6B210182">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3.总的来说，你对村组织运转经费项目完成后对社会带来的效益是否满意？</w:t>
      </w:r>
    </w:p>
    <w:p w14:paraId="1993C805">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非常满意比较满意一般不满意</w:t>
      </w:r>
    </w:p>
    <w:p w14:paraId="6E39221A">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方法</w:t>
      </w:r>
    </w:p>
    <w:p w14:paraId="406C7547">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问卷调查采取分层抽样和随机抽样相结合的方式进行。在全面调查开展之前会先进行论证，依据论证结果对问卷和抽样方案再进行一次修改和调整之后再付诸实施。</w:t>
      </w:r>
    </w:p>
    <w:p w14:paraId="3E67CCE4">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抽样方式</w:t>
      </w:r>
    </w:p>
    <w:p w14:paraId="3455E878">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为确保问卷调查的全面性和代表性，本次调查问卷调查采取随机抽样和分层抽样相结合方式进行。</w:t>
      </w:r>
    </w:p>
    <w:p w14:paraId="2C6F02B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5.问卷的发放和回收</w:t>
      </w:r>
    </w:p>
    <w:p w14:paraId="018E894C">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为了给调查对象营造良好的作答环境，保证调查的科学性和严谨性，由我单位工作人员在线下发放问卷，邀请相应的调查对象填写问卷。到目前为止共回收问卷30份，其中有效问卷30份，有效问卷回收率为100%。</w:t>
      </w:r>
    </w:p>
    <w:p w14:paraId="0E095336">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6.问卷调查分析结果</w:t>
      </w:r>
    </w:p>
    <w:p w14:paraId="3261DAD6">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本次调查过程中，评价小组实际发放问卷30份，回收问卷30份，问卷回收率为100.00%，有效问卷30份，有效回收率100.00%，本次调查的整体情况如下：</w:t>
      </w:r>
    </w:p>
    <w:p w14:paraId="3C9FED4F">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第一个问题：该项统计有效问卷数量30份，选择非常满意的人数为29人。选择比较满意的人数为1人，选择一般的人数0人，选择不满意的人数0人，选择非常不满意的人数0人。</w:t>
      </w:r>
    </w:p>
    <w:p w14:paraId="7CA1AFC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第二个问题：该项统计有效问卷数量30份，选择非常满意的人数为27人。选择比较满意的人数为3人，选择一般的人数0人，选择不满意的人数0人，选择非常不满意的人数0人。</w:t>
      </w:r>
    </w:p>
    <w:p w14:paraId="061F38F1">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第三个问题：该项统计有效问卷数量30份，选择非常满意的人数为30人。选择比较满意的人数为0人，选择一般的人数0人，选择不满意的人数0人，选择非常不满意的人数0人。</w:t>
      </w:r>
    </w:p>
    <w:p w14:paraId="1DC678D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二、调查结果统计</w:t>
      </w:r>
    </w:p>
    <w:p w14:paraId="25EEE277">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村组织运转经费项目针对受益人员发放30份调查问卷，最终统计受益人群满意度为100%。</w:t>
      </w:r>
    </w:p>
    <w:p w14:paraId="17DE3F2F">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洛浦县拜什托格拉克乡人民政府</w:t>
      </w:r>
    </w:p>
    <w:p w14:paraId="2B4D5E6E">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2025年3月18日</w: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684862-7BCD-47DE-81C0-3EB4F2526B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panose1 w:val="02000000000000000000"/>
    <w:charset w:val="86"/>
    <w:family w:val="script"/>
    <w:pitch w:val="default"/>
    <w:sig w:usb0="A00002BF" w:usb1="38CF7CFA" w:usb2="00082016" w:usb3="00000000" w:csb0="00040001" w:csb1="00000000"/>
    <w:embedRegular r:id="rId2" w:fontKey="{82519631-BF94-4675-89F9-61CB51166EE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2D46F">
    <w:pPr>
      <w:pStyle w:val="16"/>
      <w:ind w:firstLine="360"/>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14:paraId="10D6483E">
                <w:pPr>
                  <w:pStyle w:val="16"/>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13</w:t>
                </w:r>
                <w:r>
                  <w:rPr>
                    <w:sz w:val="21"/>
                    <w:szCs w:val="21"/>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98767">
    <w:pPr>
      <w:pStyle w:val="16"/>
      <w:ind w:firstLine="360"/>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aspectratio="f"/>
          <v:textbox inset="0mm,0mm,0mm,0mm" style="mso-fit-shape-to-text:t;">
            <w:txbxContent>
              <w:p w14:paraId="69D75268">
                <w:pPr>
                  <w:pStyle w:val="16"/>
                </w:pPr>
                <w:r>
                  <w:t>第</w:t>
                </w:r>
                <w:r>
                  <w:fldChar w:fldCharType="begin"/>
                </w:r>
                <w:r>
                  <w:instrText xml:space="preserve"> PAGE  \* MERGEFORMAT </w:instrText>
                </w:r>
                <w:r>
                  <w:fldChar w:fldCharType="separate"/>
                </w:r>
                <w:r>
                  <w:t>1</w:t>
                </w:r>
                <w:r>
                  <w:fldChar w:fldCharType="end"/>
                </w:r>
                <w:r>
                  <w:t>页共</w:t>
                </w:r>
                <w:r>
                  <w:fldChar w:fldCharType="begin"/>
                </w:r>
                <w:r>
                  <w:instrText xml:space="preserve"> NUMPAGES  \* MERGEFORMAT </w:instrText>
                </w:r>
                <w:r>
                  <w:fldChar w:fldCharType="separate"/>
                </w:r>
                <w:r>
                  <w:t>28</w:t>
                </w:r>
                <w:r>
                  <w:fldChar w:fldCharType="end"/>
                </w:r>
                <w:r>
                  <w:t>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7BC38">
    <w:pPr>
      <w:pStyle w:val="17"/>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chineseCounting"/>
      <w:suff w:val="nothing"/>
      <w:lvlText w:val="（%1）"/>
      <w:lvlJc w:val="left"/>
      <w:rPr>
        <w:rFonts w:hint="eastAsia"/>
        <w:b/>
        <w:bCs/>
      </w:rPr>
    </w:lvl>
  </w:abstractNum>
  <w:abstractNum w:abstractNumId="1">
    <w:nsid w:val="0053208E"/>
    <w:multiLevelType w:val="singleLevel"/>
    <w:tmpl w:val="0053208E"/>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229D6CEF"/>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3"/>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4"/>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5"/>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6"/>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6">
    <w:name w:val="Default Paragraph Font"/>
    <w:unhideWhenUsed/>
    <w:uiPriority w:val="1"/>
  </w:style>
  <w:style w:type="table" w:default="1" w:styleId="24">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2"/>
    <w:unhideWhenUsed/>
    <w:qFormat/>
    <w:uiPriority w:val="0"/>
    <w:pPr>
      <w:ind w:firstLine="420"/>
    </w:pPr>
  </w:style>
  <w:style w:type="paragraph" w:styleId="3">
    <w:name w:val="Body Text Indent"/>
    <w:basedOn w:val="1"/>
    <w:link w:val="31"/>
    <w:unhideWhenUsed/>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7"/>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uiPriority w:val="39"/>
    <w:pPr>
      <w:ind w:left="560"/>
      <w:jc w:val="left"/>
    </w:pPr>
    <w:rPr>
      <w:rFonts w:ascii="Calibri" w:hAnsi="Calibri" w:cs="Calibri"/>
      <w:i/>
      <w:iCs/>
      <w:sz w:val="20"/>
      <w:szCs w:val="20"/>
    </w:rPr>
  </w:style>
  <w:style w:type="paragraph" w:styleId="13">
    <w:name w:val="Plain Text"/>
    <w:basedOn w:val="1"/>
    <w:qFormat/>
    <w:uiPriority w:val="99"/>
    <w:rPr>
      <w:rFonts w:ascii="宋体" w:hAnsi="Courier New" w:cs="Courier New"/>
      <w:szCs w:val="21"/>
    </w:rPr>
  </w:style>
  <w:style w:type="paragraph" w:styleId="14">
    <w:name w:val="toc 8"/>
    <w:basedOn w:val="1"/>
    <w:next w:val="1"/>
    <w:unhideWhenUsed/>
    <w:uiPriority w:val="39"/>
    <w:pPr>
      <w:ind w:left="1960"/>
      <w:jc w:val="left"/>
    </w:pPr>
    <w:rPr>
      <w:rFonts w:ascii="Calibri" w:hAnsi="Calibri" w:cs="Calibri"/>
      <w:sz w:val="18"/>
      <w:szCs w:val="18"/>
    </w:rPr>
  </w:style>
  <w:style w:type="paragraph" w:styleId="15">
    <w:name w:val="Balloon Text"/>
    <w:basedOn w:val="1"/>
    <w:link w:val="39"/>
    <w:unhideWhenUsed/>
    <w:uiPriority w:val="99"/>
    <w:rPr>
      <w:rFonts w:cs="Times New Roman"/>
      <w:kern w:val="0"/>
      <w:sz w:val="18"/>
      <w:szCs w:val="18"/>
    </w:rPr>
  </w:style>
  <w:style w:type="paragraph" w:styleId="16">
    <w:name w:val="footer"/>
    <w:basedOn w:val="1"/>
    <w:link w:val="40"/>
    <w:unhideWhenUsed/>
    <w:qFormat/>
    <w:uiPriority w:val="99"/>
    <w:pPr>
      <w:tabs>
        <w:tab w:val="center" w:pos="4153"/>
        <w:tab w:val="right" w:pos="8306"/>
      </w:tabs>
      <w:snapToGrid w:val="0"/>
      <w:jc w:val="left"/>
    </w:pPr>
    <w:rPr>
      <w:rFonts w:cs="Times New Roman"/>
      <w:kern w:val="0"/>
      <w:sz w:val="18"/>
      <w:szCs w:val="18"/>
    </w:rPr>
  </w:style>
  <w:style w:type="paragraph" w:styleId="17">
    <w:name w:val="header"/>
    <w:basedOn w:val="1"/>
    <w:link w:val="4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8">
    <w:name w:val="toc 1"/>
    <w:basedOn w:val="1"/>
    <w:next w:val="1"/>
    <w:unhideWhenUsed/>
    <w:uiPriority w:val="39"/>
    <w:pPr>
      <w:spacing w:before="120" w:after="120"/>
      <w:jc w:val="left"/>
    </w:pPr>
    <w:rPr>
      <w:rFonts w:ascii="Calibri" w:hAnsi="Calibri" w:cs="Calibri"/>
      <w:b/>
      <w:bCs/>
      <w:caps/>
      <w:sz w:val="20"/>
      <w:szCs w:val="20"/>
    </w:rPr>
  </w:style>
  <w:style w:type="paragraph" w:styleId="19">
    <w:name w:val="toc 4"/>
    <w:basedOn w:val="1"/>
    <w:next w:val="1"/>
    <w:unhideWhenUsed/>
    <w:uiPriority w:val="39"/>
    <w:pPr>
      <w:ind w:left="840"/>
      <w:jc w:val="left"/>
    </w:pPr>
    <w:rPr>
      <w:rFonts w:ascii="Calibri" w:hAnsi="Calibri" w:cs="Calibri"/>
      <w:sz w:val="18"/>
      <w:szCs w:val="18"/>
    </w:rPr>
  </w:style>
  <w:style w:type="paragraph" w:styleId="20">
    <w:name w:val="toc 6"/>
    <w:basedOn w:val="1"/>
    <w:next w:val="1"/>
    <w:unhideWhenUsed/>
    <w:uiPriority w:val="39"/>
    <w:pPr>
      <w:ind w:left="1400"/>
      <w:jc w:val="left"/>
    </w:pPr>
    <w:rPr>
      <w:rFonts w:ascii="Calibri" w:hAnsi="Calibri" w:cs="Calibri"/>
      <w:sz w:val="18"/>
      <w:szCs w:val="18"/>
    </w:rPr>
  </w:style>
  <w:style w:type="paragraph" w:styleId="21">
    <w:name w:val="toc 2"/>
    <w:basedOn w:val="1"/>
    <w:next w:val="1"/>
    <w:unhideWhenUsed/>
    <w:uiPriority w:val="39"/>
    <w:pPr>
      <w:ind w:left="280"/>
      <w:jc w:val="left"/>
    </w:pPr>
    <w:rPr>
      <w:rFonts w:ascii="Calibri" w:hAnsi="Calibri" w:cs="Calibri"/>
      <w:smallCaps/>
      <w:sz w:val="20"/>
      <w:szCs w:val="20"/>
    </w:rPr>
  </w:style>
  <w:style w:type="paragraph" w:styleId="22">
    <w:name w:val="toc 9"/>
    <w:basedOn w:val="1"/>
    <w:next w:val="1"/>
    <w:unhideWhenUsed/>
    <w:uiPriority w:val="39"/>
    <w:pPr>
      <w:ind w:left="2240"/>
      <w:jc w:val="left"/>
    </w:pPr>
    <w:rPr>
      <w:rFonts w:ascii="Calibri" w:hAnsi="Calibri" w:cs="Calibri"/>
      <w:sz w:val="18"/>
      <w:szCs w:val="18"/>
    </w:rPr>
  </w:style>
  <w:style w:type="paragraph" w:styleId="23">
    <w:name w:val="Title"/>
    <w:basedOn w:val="1"/>
    <w:next w:val="1"/>
    <w:link w:val="42"/>
    <w:qFormat/>
    <w:uiPriority w:val="10"/>
    <w:pPr>
      <w:spacing w:before="240" w:after="60"/>
      <w:jc w:val="center"/>
      <w:outlineLvl w:val="0"/>
    </w:pPr>
    <w:rPr>
      <w:rFonts w:ascii="Cambria" w:hAnsi="Cambria" w:eastAsia="宋体" w:cs="Times New Roman"/>
      <w:b/>
      <w:bCs/>
      <w:sz w:val="32"/>
      <w:szCs w:val="32"/>
    </w:rPr>
  </w:style>
  <w:style w:type="table" w:styleId="25">
    <w:name w:val="Table Grid"/>
    <w:basedOn w:val="2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unhideWhenUsed/>
    <w:uiPriority w:val="99"/>
    <w:rPr>
      <w:color w:val="0000FF"/>
      <w:u w:val="single"/>
    </w:rPr>
  </w:style>
  <w:style w:type="paragraph" w:customStyle="1" w:styleId="28">
    <w:name w:val="Comment Text"/>
    <w:basedOn w:val="1"/>
    <w:link w:val="38"/>
    <w:unhideWhenUsed/>
    <w:uiPriority w:val="99"/>
    <w:rPr>
      <w:rFonts w:cs="Times New Roman"/>
      <w:kern w:val="0"/>
      <w:sz w:val="20"/>
      <w:szCs w:val="20"/>
    </w:rPr>
  </w:style>
  <w:style w:type="paragraph" w:customStyle="1" w:styleId="29">
    <w:name w:val="Comment Subject"/>
    <w:basedOn w:val="28"/>
    <w:next w:val="28"/>
    <w:link w:val="43"/>
    <w:unhideWhenUsed/>
    <w:uiPriority w:val="99"/>
    <w:rPr>
      <w:b/>
      <w:bCs/>
    </w:rPr>
  </w:style>
  <w:style w:type="character" w:customStyle="1" w:styleId="30">
    <w:name w:val="Comment Reference"/>
    <w:unhideWhenUsed/>
    <w:uiPriority w:val="99"/>
    <w:rPr>
      <w:sz w:val="16"/>
      <w:szCs w:val="16"/>
    </w:rPr>
  </w:style>
  <w:style w:type="character" w:customStyle="1" w:styleId="31">
    <w:name w:val="正文文本缩进 Char"/>
    <w:link w:val="3"/>
    <w:semiHidden/>
    <w:uiPriority w:val="99"/>
    <w:rPr>
      <w:rFonts w:ascii="Calibri" w:hAnsi="Calibri" w:eastAsia="仿宋_GB2312" w:cs="黑体"/>
      <w:sz w:val="28"/>
    </w:rPr>
  </w:style>
  <w:style w:type="character" w:customStyle="1" w:styleId="32">
    <w:name w:val="正文首行缩进 2 Char"/>
    <w:link w:val="2"/>
    <w:uiPriority w:val="0"/>
    <w:rPr>
      <w:rFonts w:ascii="Calibri" w:hAnsi="Calibri" w:eastAsia="仿宋_GB2312" w:cs="黑体"/>
      <w:sz w:val="28"/>
    </w:rPr>
  </w:style>
  <w:style w:type="character" w:customStyle="1" w:styleId="33">
    <w:name w:val="标题 1 Char"/>
    <w:link w:val="4"/>
    <w:uiPriority w:val="9"/>
    <w:rPr>
      <w:rFonts w:ascii="Times New Roman" w:hAnsi="Times New Roman" w:eastAsia="仿宋_GB2312" w:cs="Times New Roman"/>
      <w:b/>
      <w:bCs/>
      <w:kern w:val="44"/>
      <w:sz w:val="32"/>
      <w:szCs w:val="44"/>
    </w:rPr>
  </w:style>
  <w:style w:type="character" w:customStyle="1" w:styleId="34">
    <w:name w:val="标题 2 Char"/>
    <w:link w:val="5"/>
    <w:uiPriority w:val="0"/>
    <w:rPr>
      <w:rFonts w:ascii="Cambria" w:hAnsi="Cambria" w:eastAsia="仿宋_GB2312" w:cs="Times New Roman"/>
      <w:b/>
      <w:bCs/>
      <w:kern w:val="0"/>
      <w:sz w:val="30"/>
      <w:szCs w:val="32"/>
    </w:rPr>
  </w:style>
  <w:style w:type="character" w:customStyle="1" w:styleId="35">
    <w:name w:val="标题 3 Char"/>
    <w:link w:val="6"/>
    <w:uiPriority w:val="9"/>
    <w:rPr>
      <w:rFonts w:ascii="Calibri" w:hAnsi="Calibri" w:eastAsia="仿宋_GB2312" w:cs="黑体"/>
      <w:bCs/>
      <w:sz w:val="28"/>
      <w:szCs w:val="32"/>
    </w:rPr>
  </w:style>
  <w:style w:type="character" w:customStyle="1" w:styleId="36">
    <w:name w:val="标题 4 Char"/>
    <w:link w:val="7"/>
    <w:semiHidden/>
    <w:uiPriority w:val="9"/>
    <w:rPr>
      <w:rFonts w:ascii="Cambria" w:hAnsi="Cambria" w:eastAsia="宋体" w:cs="Times New Roman"/>
      <w:b/>
      <w:bCs/>
      <w:sz w:val="28"/>
      <w:szCs w:val="28"/>
    </w:rPr>
  </w:style>
  <w:style w:type="character" w:customStyle="1" w:styleId="37">
    <w:name w:val="文档结构图 Char"/>
    <w:link w:val="9"/>
    <w:semiHidden/>
    <w:uiPriority w:val="99"/>
    <w:rPr>
      <w:rFonts w:ascii="宋体" w:hAnsi="Calibri" w:eastAsia="宋体" w:cs="黑体"/>
      <w:sz w:val="18"/>
      <w:szCs w:val="18"/>
    </w:rPr>
  </w:style>
  <w:style w:type="character" w:customStyle="1" w:styleId="38">
    <w:name w:val="批注文字 Char"/>
    <w:link w:val="28"/>
    <w:semiHidden/>
    <w:uiPriority w:val="99"/>
    <w:rPr>
      <w:rFonts w:ascii="Calibri" w:hAnsi="Calibri" w:eastAsia="仿宋_GB2312" w:cs="黑体"/>
      <w:sz w:val="20"/>
      <w:szCs w:val="20"/>
    </w:rPr>
  </w:style>
  <w:style w:type="character" w:customStyle="1" w:styleId="39">
    <w:name w:val="批注框文本 Char"/>
    <w:link w:val="15"/>
    <w:semiHidden/>
    <w:uiPriority w:val="99"/>
    <w:rPr>
      <w:rFonts w:ascii="Calibri" w:hAnsi="Calibri" w:eastAsia="仿宋_GB2312" w:cs="黑体"/>
      <w:sz w:val="18"/>
      <w:szCs w:val="18"/>
    </w:rPr>
  </w:style>
  <w:style w:type="character" w:customStyle="1" w:styleId="40">
    <w:name w:val="页脚 Char"/>
    <w:link w:val="16"/>
    <w:uiPriority w:val="99"/>
    <w:rPr>
      <w:rFonts w:ascii="Calibri" w:hAnsi="Calibri" w:eastAsia="仿宋_GB2312" w:cs="黑体"/>
      <w:sz w:val="18"/>
      <w:szCs w:val="18"/>
    </w:rPr>
  </w:style>
  <w:style w:type="character" w:customStyle="1" w:styleId="41">
    <w:name w:val="页眉 Char"/>
    <w:link w:val="17"/>
    <w:uiPriority w:val="99"/>
    <w:rPr>
      <w:rFonts w:ascii="Calibri" w:hAnsi="Calibri" w:eastAsia="仿宋_GB2312" w:cs="黑体"/>
      <w:sz w:val="18"/>
      <w:szCs w:val="18"/>
    </w:rPr>
  </w:style>
  <w:style w:type="character" w:customStyle="1" w:styleId="42">
    <w:name w:val="标题 Char"/>
    <w:link w:val="23"/>
    <w:uiPriority w:val="10"/>
    <w:rPr>
      <w:rFonts w:ascii="Cambria" w:hAnsi="Cambria"/>
      <w:b/>
      <w:bCs/>
      <w:kern w:val="2"/>
      <w:sz w:val="32"/>
      <w:szCs w:val="32"/>
    </w:rPr>
  </w:style>
  <w:style w:type="character" w:customStyle="1" w:styleId="43">
    <w:name w:val="批注主题 Char"/>
    <w:link w:val="29"/>
    <w:semiHidden/>
    <w:uiPriority w:val="99"/>
    <w:rPr>
      <w:rFonts w:ascii="Calibri" w:hAnsi="Calibri" w:eastAsia="仿宋_GB2312" w:cs="黑体"/>
      <w:b/>
      <w:bCs/>
      <w:sz w:val="20"/>
      <w:szCs w:val="20"/>
    </w:rPr>
  </w:style>
  <w:style w:type="character" w:customStyle="1" w:styleId="44">
    <w:name w:val="闻政-正文一级标题 Char"/>
    <w:link w:val="45"/>
    <w:uiPriority w:val="3"/>
    <w:rPr>
      <w:rFonts w:ascii="黑体" w:hAnsi="黑体" w:eastAsia="黑体"/>
      <w:bCs/>
      <w:sz w:val="32"/>
      <w:szCs w:val="32"/>
    </w:rPr>
  </w:style>
  <w:style w:type="paragraph" w:customStyle="1" w:styleId="45">
    <w:name w:val="闻政-正文一级标题"/>
    <w:basedOn w:val="6"/>
    <w:next w:val="46"/>
    <w:link w:val="44"/>
    <w:qFormat/>
    <w:uiPriority w:val="3"/>
    <w:pPr>
      <w:spacing w:before="120" w:after="60" w:line="500" w:lineRule="exact"/>
      <w:ind w:firstLine="0" w:firstLineChars="0"/>
      <w:outlineLvl w:val="0"/>
    </w:pPr>
    <w:rPr>
      <w:rFonts w:ascii="黑体" w:hAnsi="黑体" w:eastAsia="黑体"/>
      <w:sz w:val="32"/>
    </w:rPr>
  </w:style>
  <w:style w:type="paragraph" w:customStyle="1" w:styleId="46">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7">
    <w:name w:val="闻政-正文段落文字 Char"/>
    <w:link w:val="46"/>
    <w:uiPriority w:val="3"/>
    <w:rPr>
      <w:rFonts w:ascii="Times New Roman" w:hAnsi="Times New Roman" w:eastAsia="仿宋_GB2312"/>
      <w:sz w:val="28"/>
      <w:szCs w:val="28"/>
    </w:rPr>
  </w:style>
  <w:style w:type="character" w:customStyle="1" w:styleId="48">
    <w:name w:val="闻政-正文二级标题 Char"/>
    <w:link w:val="49"/>
    <w:uiPriority w:val="3"/>
    <w:rPr>
      <w:rFonts w:ascii="Times New Roman" w:hAnsi="Times New Roman" w:eastAsia="仿宋_GB2312"/>
      <w:b/>
      <w:bCs/>
      <w:sz w:val="28"/>
      <w:szCs w:val="32"/>
    </w:rPr>
  </w:style>
  <w:style w:type="paragraph" w:customStyle="1" w:styleId="49">
    <w:name w:val="闻政-正文二级标题"/>
    <w:basedOn w:val="5"/>
    <w:next w:val="46"/>
    <w:link w:val="48"/>
    <w:qFormat/>
    <w:uiPriority w:val="3"/>
    <w:pPr>
      <w:spacing w:before="120" w:after="60" w:line="500" w:lineRule="exact"/>
      <w:ind w:left="200" w:leftChars="200" w:firstLine="0" w:firstLineChars="0"/>
    </w:pPr>
    <w:rPr>
      <w:rFonts w:ascii="Times New Roman" w:hAnsi="Times New Roman"/>
      <w:sz w:val="28"/>
    </w:rPr>
  </w:style>
  <w:style w:type="character" w:customStyle="1" w:styleId="50">
    <w:name w:val="font11"/>
    <w:uiPriority w:val="0"/>
    <w:rPr>
      <w:rFonts w:hint="eastAsia" w:ascii="方正仿宋_GBK" w:hAnsi="方正仿宋_GBK" w:eastAsia="方正仿宋_GBK" w:cs="方正仿宋_GBK"/>
      <w:color w:val="000000"/>
      <w:sz w:val="24"/>
      <w:szCs w:val="24"/>
      <w:u w:val="none"/>
    </w:rPr>
  </w:style>
  <w:style w:type="character" w:customStyle="1" w:styleId="51">
    <w:name w:val="51"/>
    <w:qFormat/>
    <w:uiPriority w:val="0"/>
    <w:rPr>
      <w:b/>
      <w:bCs/>
      <w:smallCaps/>
      <w:color w:val="C0504D"/>
      <w:spacing w:val="5"/>
      <w:u w:val="single"/>
    </w:rPr>
  </w:style>
  <w:style w:type="character" w:customStyle="1" w:styleId="52">
    <w:name w:val="闻政-正文三级标题 Char"/>
    <w:link w:val="53"/>
    <w:uiPriority w:val="3"/>
    <w:rPr>
      <w:rFonts w:ascii="Times New Roman" w:hAnsi="Times New Roman" w:eastAsia="仿宋_GB2312"/>
      <w:b/>
      <w:snapToGrid w:val="0"/>
      <w:sz w:val="28"/>
      <w:szCs w:val="28"/>
    </w:rPr>
  </w:style>
  <w:style w:type="paragraph" w:customStyle="1" w:styleId="53">
    <w:name w:val="闻政-正文三级标题"/>
    <w:basedOn w:val="1"/>
    <w:next w:val="46"/>
    <w:link w:val="52"/>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4">
    <w:name w:val="font21"/>
    <w:uiPriority w:val="0"/>
    <w:rPr>
      <w:rFonts w:hint="default" w:ascii="Times New Roman" w:hAnsi="Times New Roman" w:cs="Times New Roman"/>
      <w:color w:val="000000"/>
      <w:sz w:val="24"/>
      <w:szCs w:val="24"/>
      <w:u w:val="none"/>
    </w:rPr>
  </w:style>
  <w:style w:type="character" w:customStyle="1" w:styleId="55">
    <w:name w:val="无间隔 Char"/>
    <w:link w:val="56"/>
    <w:uiPriority w:val="1"/>
    <w:rPr>
      <w:rFonts w:eastAsia="仿宋_GB2312" w:cs="黑体"/>
      <w:kern w:val="2"/>
      <w:sz w:val="28"/>
      <w:szCs w:val="22"/>
      <w:lang w:val="en-US" w:eastAsia="zh-CN" w:bidi="ar-SA"/>
    </w:rPr>
  </w:style>
  <w:style w:type="paragraph" w:styleId="56">
    <w:name w:val="No Spacing"/>
    <w:link w:val="55"/>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7">
    <w:name w:val="List Paragraph"/>
    <w:basedOn w:val="1"/>
    <w:qFormat/>
    <w:uiPriority w:val="34"/>
    <w:pPr>
      <w:ind w:firstLine="420"/>
    </w:pPr>
  </w:style>
  <w:style w:type="paragraph" w:customStyle="1" w:styleId="58">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character" w:customStyle="1" w:styleId="59">
    <w:name w:val="font71"/>
    <w:basedOn w:val="26"/>
    <w:uiPriority w:val="0"/>
    <w:rPr>
      <w:rFonts w:hint="eastAsia" w:ascii="微软雅黑" w:hAnsi="微软雅黑" w:eastAsia="微软雅黑" w:cs="微软雅黑"/>
      <w:b/>
      <w:bCs/>
      <w:color w:val="000000"/>
      <w:sz w:val="32"/>
      <w:szCs w:val="32"/>
      <w:u w:val="none"/>
    </w:rPr>
  </w:style>
  <w:style w:type="paragraph" w:customStyle="1" w:styleId="60">
    <w:name w:val="样式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43A88A857ACA47A680FC483120956567_13</vt:lpwstr>
  </property>
  <property fmtid="{D5CDD505-2E9C-101B-9397-08002B2CF9AE}" pid="4" name="KSOTemplateDocerSaveRecord">
    <vt:lpwstr>eyJoZGlkIjoiMDQ1ZWQzNDcwNGQ1NmI1YmE2ZjNjNDU5NGM2YmIyNzMiLCJ1c2VySWQiOiIxNjA3OTQ0OTI4In0=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7316dd-68c6-4e24-a851-3e8264b19b6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14028</Words>
  <Characters>14981</Characters>
  <Lines>44</Lines>
  <Paragraphs>12</Paragraphs>
  <TotalTime>5</TotalTime>
  <ScaleCrop>false</ScaleCrop>
  <LinksUpToDate>false</LinksUpToDate>
  <CharactersWithSpaces>14981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2025-12-25T11:12:08Z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43A88A857ACA47A680FC483120956567_13</vt:lpwstr>
  </property>
  <property fmtid="{D5CDD505-2E9C-101B-9397-08002B2CF9AE}" pid="4" name="KSOTemplateDocerSaveRecord">
    <vt:lpwstr>eyJoZGlkIjoiYjM4NWYyMWE2NWU1OGNiMmIxMmZkYzA5MWEwNzJlZmIiLCJ1c2VySWQiOiI0MzE2NzY3NzkifQ==</vt:lpwstr>
  </property>
</Properties>
</file>