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洛浦县阿其克乡一贯制学校2024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41E7489">
      <w:r>
        <w:br w:type="page"/>
      </w:r>
    </w:p>
    <w:p w14:paraId="4AD1E045">
      <w:pPr>
        <w:spacing w:line="640" w:lineRule="exact"/>
        <w:jc w:val="center"/>
        <w:outlineLvl w:val="1"/>
      </w:pPr>
      <w:r>
        <w:rPr>
          <w:rFonts w:ascii="黑体" w:hAnsi="黑体" w:eastAsia="黑体"/>
          <w:sz w:val="32"/>
        </w:rPr>
        <w:t>第一部分 单位概况</w:t>
      </w:r>
    </w:p>
    <w:p w14:paraId="647B1711">
      <w:pPr>
        <w:spacing w:line="640" w:lineRule="exact"/>
        <w:ind w:firstLine="640"/>
        <w:jc w:val="both"/>
        <w:outlineLvl w:val="2"/>
      </w:pPr>
      <w:r>
        <w:rPr>
          <w:rFonts w:ascii="黑体" w:hAnsi="黑体" w:eastAsia="黑体"/>
          <w:sz w:val="32"/>
        </w:rPr>
        <w:t>一、主要职能</w:t>
      </w:r>
    </w:p>
    <w:p w14:paraId="064747DE">
      <w:pPr>
        <w:spacing w:line="580" w:lineRule="exact"/>
        <w:ind w:firstLine="640"/>
        <w:jc w:val="both"/>
      </w:pPr>
      <w:r>
        <w:rPr>
          <w:rFonts w:ascii="仿宋_GB2312" w:hAnsi="仿宋_GB2312" w:eastAsia="仿宋_GB2312"/>
          <w:sz w:val="32"/>
        </w:rPr>
        <w:t>洛浦县阿其克乡一贯制学校的主要职</w:t>
      </w:r>
      <w:r>
        <w:rPr>
          <w:rFonts w:hint="eastAsia" w:ascii="仿宋_GB2312" w:hAnsi="仿宋_GB2312" w:eastAsia="仿宋_GB2312"/>
          <w:sz w:val="32"/>
          <w:lang w:eastAsia="zh-CN"/>
        </w:rPr>
        <w:t>能是</w:t>
      </w:r>
      <w:r>
        <w:rPr>
          <w:rFonts w:ascii="仿宋_GB2312" w:hAnsi="仿宋_GB2312" w:eastAsia="仿宋_GB2312"/>
          <w:sz w:val="32"/>
        </w:rPr>
        <w:t>认真贯彻落实党和国家的教育方针、政策，正确执行上级主管部门的决议和指示，根据教育规律、社会要求和学校实际，组织制定学校发展的远景规划、近期目标、学年和学期各项工作计划以及各项工作指标并组织实施。</w:t>
      </w:r>
    </w:p>
    <w:p w14:paraId="1A139BA4">
      <w:pPr>
        <w:spacing w:line="580" w:lineRule="exact"/>
        <w:ind w:firstLine="640"/>
        <w:jc w:val="both"/>
      </w:pPr>
      <w:r>
        <w:rPr>
          <w:rFonts w:ascii="仿宋_GB2312" w:hAnsi="仿宋_GB2312" w:eastAsia="仿宋_GB2312"/>
          <w:sz w:val="32"/>
        </w:rPr>
        <w:t>制定教师队伍建设规划，不断提高他们的政治素质、文化业务水平和科研水平。全面实施素质教育，培养德、智、体、美等方面全面发展的社会主义事业的建设者和接班人。</w:t>
      </w:r>
    </w:p>
    <w:p w14:paraId="2A2E16C0">
      <w:pPr>
        <w:spacing w:line="640" w:lineRule="exact"/>
        <w:ind w:firstLine="640"/>
        <w:jc w:val="both"/>
        <w:outlineLvl w:val="2"/>
      </w:pPr>
      <w:r>
        <w:rPr>
          <w:rFonts w:ascii="黑体" w:hAnsi="黑体" w:eastAsia="黑体"/>
          <w:sz w:val="32"/>
        </w:rPr>
        <w:t>二、机构设置及人员情况</w:t>
      </w:r>
    </w:p>
    <w:p w14:paraId="746AB9A4">
      <w:pPr>
        <w:spacing w:line="580" w:lineRule="exact"/>
        <w:ind w:firstLine="640"/>
        <w:jc w:val="both"/>
      </w:pPr>
      <w:r>
        <w:rPr>
          <w:rFonts w:ascii="仿宋_GB2312" w:hAnsi="仿宋_GB2312" w:eastAsia="仿宋_GB2312"/>
          <w:sz w:val="32"/>
        </w:rPr>
        <w:t>洛浦县阿其克乡一贯制学校2024年度，实有人数43人，其中：在职人员38人，增加0人；离休人员0人，增加0人；退休人员5人,减少1人。</w:t>
      </w:r>
    </w:p>
    <w:p w14:paraId="39E2A698">
      <w:pPr>
        <w:spacing w:line="580" w:lineRule="exact"/>
        <w:ind w:firstLine="640"/>
        <w:jc w:val="both"/>
      </w:pPr>
      <w:r>
        <w:rPr>
          <w:rFonts w:ascii="仿宋_GB2312" w:hAnsi="仿宋_GB2312" w:eastAsia="仿宋_GB2312"/>
          <w:sz w:val="32"/>
        </w:rPr>
        <w:t>洛浦县阿其克乡一贯制学校无下属预算单位，下设5个科室，分别是：学校行政办公室、教务室、德育办、后勤办、财务室。</w:t>
      </w:r>
    </w:p>
    <w:p w14:paraId="3895AAFA">
      <w:r>
        <w:br w:type="page"/>
      </w:r>
    </w:p>
    <w:p w14:paraId="48EFA177">
      <w:pPr>
        <w:spacing w:line="240" w:lineRule="auto"/>
        <w:jc w:val="center"/>
        <w:outlineLvl w:val="1"/>
      </w:pPr>
      <w:r>
        <w:rPr>
          <w:rFonts w:ascii="黑体" w:hAnsi="黑体" w:eastAsia="黑体"/>
          <w:sz w:val="32"/>
        </w:rPr>
        <w:t>第二部分 部门决算情况说明</w:t>
      </w:r>
    </w:p>
    <w:p w14:paraId="055F444C">
      <w:pPr>
        <w:spacing w:line="640" w:lineRule="exact"/>
        <w:ind w:firstLine="640"/>
        <w:jc w:val="both"/>
        <w:outlineLvl w:val="2"/>
      </w:pPr>
      <w:r>
        <w:rPr>
          <w:rFonts w:ascii="黑体" w:hAnsi="黑体" w:eastAsia="黑体"/>
          <w:sz w:val="32"/>
        </w:rPr>
        <w:t>一、收入支出决算总体情况说明</w:t>
      </w:r>
    </w:p>
    <w:p w14:paraId="60E36C35">
      <w:pPr>
        <w:spacing w:line="580" w:lineRule="exact"/>
        <w:ind w:firstLine="640"/>
        <w:jc w:val="both"/>
      </w:pPr>
      <w:r>
        <w:rPr>
          <w:rFonts w:ascii="仿宋_GB2312" w:hAnsi="仿宋_GB2312" w:eastAsia="仿宋_GB2312"/>
          <w:b/>
          <w:sz w:val="32"/>
        </w:rPr>
        <w:t>2024年度收入总计777.93万元，</w:t>
      </w:r>
      <w:r>
        <w:rPr>
          <w:rFonts w:ascii="仿宋_GB2312" w:hAnsi="仿宋_GB2312" w:eastAsia="仿宋_GB2312"/>
          <w:b w:val="0"/>
          <w:sz w:val="32"/>
        </w:rPr>
        <w:t>其中：本年收入合计777.93万元，使用非财政拨款结余（含专用结余）0.00万元，年初结转和结余0.00万元。</w:t>
      </w:r>
    </w:p>
    <w:p w14:paraId="2F4EF903">
      <w:pPr>
        <w:spacing w:line="580" w:lineRule="exact"/>
        <w:ind w:firstLine="640"/>
        <w:jc w:val="both"/>
      </w:pPr>
      <w:r>
        <w:rPr>
          <w:rFonts w:ascii="仿宋_GB2312" w:hAnsi="仿宋_GB2312" w:eastAsia="仿宋_GB2312"/>
          <w:b/>
          <w:sz w:val="32"/>
        </w:rPr>
        <w:t>2024年度支出总计777.93万元，</w:t>
      </w:r>
      <w:r>
        <w:rPr>
          <w:rFonts w:ascii="仿宋_GB2312" w:hAnsi="仿宋_GB2312" w:eastAsia="仿宋_GB2312"/>
          <w:b w:val="0"/>
          <w:sz w:val="32"/>
        </w:rPr>
        <w:t>其中：本年支出合计777.93万元，结余分配0.00万元，年末结转和结余0.00万元。</w:t>
      </w:r>
    </w:p>
    <w:p w14:paraId="508EA6D6">
      <w:pPr>
        <w:spacing w:line="580" w:lineRule="exact"/>
        <w:ind w:firstLine="640"/>
        <w:jc w:val="both"/>
      </w:pPr>
      <w:r>
        <w:rPr>
          <w:rFonts w:ascii="仿宋_GB2312" w:hAnsi="仿宋_GB2312" w:eastAsia="仿宋_GB2312"/>
          <w:b w:val="0"/>
          <w:sz w:val="32"/>
        </w:rPr>
        <w:t>收入支出总体与上年相比，增加17.67万元，增长2.32%，主要原因是：1.本年在职人员工资调增，社保、公积金基数调增，人员经费增加。2.2024年营养改善补助资金较上年增加。</w:t>
      </w:r>
    </w:p>
    <w:p w14:paraId="27C62CA7">
      <w:pPr>
        <w:spacing w:line="640" w:lineRule="exact"/>
        <w:ind w:firstLine="640"/>
        <w:jc w:val="both"/>
        <w:outlineLvl w:val="2"/>
      </w:pPr>
      <w:r>
        <w:rPr>
          <w:rFonts w:ascii="黑体" w:hAnsi="黑体" w:eastAsia="黑体"/>
          <w:sz w:val="32"/>
        </w:rPr>
        <w:t>二、收入决算情况说明</w:t>
      </w:r>
    </w:p>
    <w:p w14:paraId="41417528">
      <w:pPr>
        <w:spacing w:line="580" w:lineRule="exact"/>
        <w:ind w:firstLine="640"/>
        <w:jc w:val="both"/>
      </w:pPr>
      <w:r>
        <w:rPr>
          <w:rFonts w:ascii="仿宋_GB2312" w:hAnsi="仿宋_GB2312" w:eastAsia="仿宋_GB2312"/>
          <w:b/>
          <w:sz w:val="32"/>
        </w:rPr>
        <w:t>本年收入777.93万元，</w:t>
      </w:r>
      <w:r>
        <w:rPr>
          <w:rFonts w:ascii="仿宋_GB2312" w:hAnsi="仿宋_GB2312" w:eastAsia="仿宋_GB2312"/>
          <w:b w:val="0"/>
          <w:sz w:val="32"/>
        </w:rPr>
        <w:t>其中：财政拨款收入777.93万元，占100.00%；上级补助收入0.00万元，占0.00%；事业收入0.00万元，占0.00%；经营收入0.00万元，占0.00%；附属单位上缴收入0.00万元，占0.00%；其他收入0.00万元，占0.00%。</w:t>
      </w:r>
    </w:p>
    <w:p w14:paraId="54BCD5A4">
      <w:pPr>
        <w:spacing w:line="640" w:lineRule="exact"/>
        <w:ind w:firstLine="640"/>
        <w:jc w:val="both"/>
        <w:outlineLvl w:val="2"/>
      </w:pPr>
      <w:r>
        <w:rPr>
          <w:rFonts w:ascii="黑体" w:hAnsi="黑体" w:eastAsia="黑体"/>
          <w:sz w:val="32"/>
        </w:rPr>
        <w:t>三、支出决算情况说明</w:t>
      </w:r>
    </w:p>
    <w:p w14:paraId="1E10A139">
      <w:pPr>
        <w:spacing w:line="580" w:lineRule="exact"/>
        <w:ind w:firstLine="640"/>
        <w:jc w:val="both"/>
      </w:pPr>
      <w:r>
        <w:rPr>
          <w:rFonts w:ascii="仿宋_GB2312" w:hAnsi="仿宋_GB2312" w:eastAsia="仿宋_GB2312"/>
          <w:b/>
          <w:sz w:val="32"/>
        </w:rPr>
        <w:t>本年支出777.93万元，</w:t>
      </w:r>
      <w:r>
        <w:rPr>
          <w:rFonts w:ascii="仿宋_GB2312" w:hAnsi="仿宋_GB2312" w:eastAsia="仿宋_GB2312"/>
          <w:b w:val="0"/>
          <w:sz w:val="32"/>
        </w:rPr>
        <w:t>其中：基本支出724.40万元，占93.12%；项目支出53.53万元，占6.88%；上缴上级支出0.00万元，占0.00%；经营支出0.00万元，占0.00%；对附属单位补助支出0.00万元，占0.00%。</w:t>
      </w:r>
    </w:p>
    <w:p w14:paraId="61EDFDD0">
      <w:pPr>
        <w:spacing w:line="640" w:lineRule="exact"/>
        <w:ind w:firstLine="640"/>
        <w:jc w:val="both"/>
        <w:outlineLvl w:val="2"/>
      </w:pPr>
      <w:r>
        <w:rPr>
          <w:rFonts w:ascii="黑体" w:hAnsi="黑体" w:eastAsia="黑体"/>
          <w:sz w:val="32"/>
        </w:rPr>
        <w:t>四、财政拨款收入支出决算总体情况说明</w:t>
      </w:r>
    </w:p>
    <w:p w14:paraId="32BAAC89">
      <w:pPr>
        <w:spacing w:line="580" w:lineRule="exact"/>
        <w:ind w:firstLine="640"/>
        <w:jc w:val="both"/>
      </w:pPr>
      <w:r>
        <w:rPr>
          <w:rFonts w:ascii="仿宋_GB2312" w:hAnsi="仿宋_GB2312" w:eastAsia="仿宋_GB2312"/>
          <w:b/>
          <w:sz w:val="32"/>
        </w:rPr>
        <w:t>2024年度财政拨款收入总计777.93万元，</w:t>
      </w:r>
      <w:r>
        <w:rPr>
          <w:rFonts w:ascii="仿宋_GB2312" w:hAnsi="仿宋_GB2312" w:eastAsia="仿宋_GB2312"/>
          <w:b w:val="0"/>
          <w:sz w:val="32"/>
        </w:rPr>
        <w:t>其中：年初财政拨款结转和结余0.00万元，本年财政拨款收入777.93万元。</w:t>
      </w:r>
      <w:r>
        <w:rPr>
          <w:rFonts w:ascii="仿宋_GB2312" w:hAnsi="仿宋_GB2312" w:eastAsia="仿宋_GB2312"/>
          <w:b/>
          <w:sz w:val="32"/>
        </w:rPr>
        <w:t>财政拨款支出总计777.93万元，</w:t>
      </w:r>
      <w:r>
        <w:rPr>
          <w:rFonts w:ascii="仿宋_GB2312" w:hAnsi="仿宋_GB2312" w:eastAsia="仿宋_GB2312"/>
          <w:b w:val="0"/>
          <w:sz w:val="32"/>
        </w:rPr>
        <w:t>其中：年末财政拨款结转和结余0.00万元，本年财政拨款支出777.93万元。</w:t>
      </w:r>
    </w:p>
    <w:p w14:paraId="67819C5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增加17.71万元，增长2.33%，主要原因是：1.本年在职人员工资调增，社保、公积金基数调增，人员经费增加。2.2024年营养改善补助资金较上年增加。</w:t>
      </w:r>
      <w:r>
        <w:rPr>
          <w:rFonts w:ascii="仿宋_GB2312" w:hAnsi="仿宋_GB2312" w:eastAsia="仿宋_GB2312"/>
          <w:b/>
          <w:sz w:val="32"/>
        </w:rPr>
        <w:t>与年初预算相比，</w:t>
      </w:r>
      <w:r>
        <w:rPr>
          <w:rFonts w:ascii="仿宋_GB2312" w:hAnsi="仿宋_GB2312" w:eastAsia="仿宋_GB2312"/>
          <w:b w:val="0"/>
          <w:sz w:val="32"/>
        </w:rPr>
        <w:t>年初预算数935.23万元，决算数777.93万元，预决算差异率-16.82%，主要原因是：年中调减家庭经济困难非寄宿生生活补助资金，导致预决算差异。</w:t>
      </w:r>
    </w:p>
    <w:p w14:paraId="2EAE589B">
      <w:pPr>
        <w:spacing w:line="640" w:lineRule="exact"/>
        <w:ind w:firstLine="640"/>
        <w:jc w:val="both"/>
        <w:outlineLvl w:val="2"/>
      </w:pPr>
      <w:r>
        <w:rPr>
          <w:rFonts w:ascii="黑体" w:hAnsi="黑体" w:eastAsia="黑体"/>
          <w:sz w:val="32"/>
        </w:rPr>
        <w:t>五、一般公共预算财政拨款支出决算情况说明</w:t>
      </w:r>
    </w:p>
    <w:p w14:paraId="0AE1C7E8">
      <w:pPr>
        <w:spacing w:line="640" w:lineRule="exact"/>
        <w:ind w:firstLine="640"/>
        <w:jc w:val="both"/>
        <w:outlineLvl w:val="3"/>
      </w:pPr>
      <w:r>
        <w:rPr>
          <w:rFonts w:ascii="楷体_GB2312" w:hAnsi="楷体_GB2312" w:eastAsia="楷体_GB2312"/>
          <w:b/>
          <w:sz w:val="32"/>
        </w:rPr>
        <w:t>（一）一般公共预算财政拨款支出决算总体情况</w:t>
      </w:r>
    </w:p>
    <w:p w14:paraId="1803FE2C">
      <w:pPr>
        <w:spacing w:line="580" w:lineRule="exact"/>
        <w:ind w:firstLine="640"/>
        <w:jc w:val="both"/>
      </w:pPr>
      <w:r>
        <w:rPr>
          <w:rFonts w:ascii="仿宋_GB2312" w:hAnsi="仿宋_GB2312" w:eastAsia="仿宋_GB2312"/>
          <w:b/>
          <w:sz w:val="32"/>
        </w:rPr>
        <w:t>2024年度一般公共预算财政拨款支出777.93万元，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增加17.71万元，增长2.33%，主要原因是：1.本年在职人员工资调增，社保、公积金基数调增，人员经费增加。2.2024年营养改善补助资金较上年增加。</w:t>
      </w:r>
      <w:r>
        <w:rPr>
          <w:rFonts w:ascii="仿宋_GB2312" w:hAnsi="仿宋_GB2312" w:eastAsia="仿宋_GB2312"/>
          <w:b/>
          <w:sz w:val="32"/>
        </w:rPr>
        <w:t>与年初预算相比,</w:t>
      </w:r>
      <w:r>
        <w:rPr>
          <w:rFonts w:ascii="仿宋_GB2312" w:hAnsi="仿宋_GB2312" w:eastAsia="仿宋_GB2312"/>
          <w:b w:val="0"/>
          <w:sz w:val="32"/>
        </w:rPr>
        <w:t>年初预算数935.23万元，决算数777.93万元，预决算差异率-16.82%，主要原因是：年中调减家庭经济困难非寄宿生生活补助资金，导致预决算差异。</w:t>
      </w:r>
    </w:p>
    <w:p w14:paraId="40A79133">
      <w:pPr>
        <w:spacing w:line="640" w:lineRule="exact"/>
        <w:ind w:firstLine="640"/>
        <w:jc w:val="both"/>
        <w:outlineLvl w:val="3"/>
      </w:pPr>
      <w:r>
        <w:rPr>
          <w:rFonts w:ascii="楷体_GB2312" w:hAnsi="楷体_GB2312" w:eastAsia="楷体_GB2312"/>
          <w:b/>
          <w:sz w:val="32"/>
        </w:rPr>
        <w:t>（二）一般公共预算财政拨款支出决算结构情况</w:t>
      </w:r>
    </w:p>
    <w:p w14:paraId="10AFE530">
      <w:pPr>
        <w:spacing w:line="580" w:lineRule="exact"/>
        <w:ind w:firstLine="640"/>
        <w:jc w:val="both"/>
      </w:pPr>
      <w:r>
        <w:rPr>
          <w:rFonts w:ascii="仿宋_GB2312" w:hAnsi="仿宋_GB2312" w:eastAsia="仿宋_GB2312"/>
          <w:b w:val="0"/>
          <w:sz w:val="32"/>
        </w:rPr>
        <w:t>1.教育支出(类)777.93万元,占100.00%。</w:t>
      </w:r>
    </w:p>
    <w:p w14:paraId="58755D64">
      <w:pPr>
        <w:spacing w:line="640" w:lineRule="exact"/>
        <w:ind w:firstLine="640"/>
        <w:jc w:val="both"/>
        <w:outlineLvl w:val="3"/>
      </w:pPr>
      <w:r>
        <w:rPr>
          <w:rFonts w:ascii="楷体_GB2312" w:hAnsi="楷体_GB2312" w:eastAsia="楷体_GB2312"/>
          <w:b/>
          <w:sz w:val="32"/>
        </w:rPr>
        <w:t>（三）一般公共预算财政拨款支出决算具体情况</w:t>
      </w:r>
    </w:p>
    <w:p w14:paraId="79B4B934">
      <w:pPr>
        <w:spacing w:line="580" w:lineRule="exact"/>
        <w:ind w:firstLine="640"/>
        <w:jc w:val="both"/>
      </w:pPr>
      <w:r>
        <w:rPr>
          <w:rFonts w:ascii="仿宋_GB2312" w:hAnsi="仿宋_GB2312" w:eastAsia="仿宋_GB2312"/>
          <w:b w:val="0"/>
          <w:sz w:val="32"/>
        </w:rPr>
        <w:t>1.教育支出(类)普通教育(款)学前教育(项):支出决算数为7.14万元，比上年决算减少13.74万元，下降65.80%,主要原因是：幼儿人数减少，伙食补助经费减少。</w:t>
      </w:r>
    </w:p>
    <w:p w14:paraId="4D101D50">
      <w:pPr>
        <w:spacing w:line="580" w:lineRule="exact"/>
        <w:ind w:firstLine="640"/>
        <w:jc w:val="both"/>
      </w:pPr>
      <w:r>
        <w:rPr>
          <w:rFonts w:ascii="仿宋_GB2312" w:hAnsi="仿宋_GB2312" w:eastAsia="仿宋_GB2312"/>
          <w:b w:val="0"/>
          <w:sz w:val="32"/>
        </w:rPr>
        <w:t>2.教育支出(类)普通教育(款)小学教育(项):支出决算数为717.27万元，比上年决算增加38.34万元，增长5.65%,主要原因是：在职人员工资调增，社保，住房公积金等相关人员经费增加。本年功能科目调整，家庭经济困难寄宿生生活补助从其他普通教育支</w:t>
      </w:r>
      <w:r>
        <w:rPr>
          <w:rFonts w:hint="eastAsia" w:ascii="仿宋_GB2312" w:hAnsi="仿宋_GB2312" w:eastAsia="仿宋_GB2312"/>
          <w:b w:val="0"/>
          <w:sz w:val="32"/>
          <w:lang w:eastAsia="zh-CN"/>
        </w:rPr>
        <w:t>出项</w:t>
      </w:r>
      <w:r>
        <w:rPr>
          <w:rFonts w:ascii="仿宋_GB2312" w:hAnsi="仿宋_GB2312" w:eastAsia="仿宋_GB2312"/>
          <w:b w:val="0"/>
          <w:sz w:val="32"/>
        </w:rPr>
        <w:t>目调整至小学教育科目列支，导致经费增加。</w:t>
      </w:r>
    </w:p>
    <w:p w14:paraId="12F7AA16">
      <w:pPr>
        <w:spacing w:line="580" w:lineRule="exact"/>
        <w:ind w:firstLine="640"/>
        <w:jc w:val="both"/>
      </w:pPr>
      <w:r>
        <w:rPr>
          <w:rFonts w:ascii="仿宋_GB2312" w:hAnsi="仿宋_GB2312" w:eastAsia="仿宋_GB2312"/>
          <w:b w:val="0"/>
          <w:sz w:val="32"/>
        </w:rPr>
        <w:t>3.教育支出(类)普通教育(款)初中教育(项):支出决算数为50.54万元，比上年决算增加50.54万元，增长100.00%,主要原因是：本年增加2024年营养改善补助资金。</w:t>
      </w:r>
    </w:p>
    <w:p w14:paraId="648238B2">
      <w:pPr>
        <w:spacing w:line="580" w:lineRule="exact"/>
        <w:ind w:firstLine="640"/>
        <w:jc w:val="both"/>
      </w:pPr>
      <w:r>
        <w:rPr>
          <w:rFonts w:ascii="仿宋_GB2312" w:hAnsi="仿宋_GB2312" w:eastAsia="仿宋_GB2312"/>
          <w:b w:val="0"/>
          <w:sz w:val="32"/>
        </w:rPr>
        <w:t>4.教育支出(类)普通教育(款)其他普通教育支出(项):支出决算数为2.99万元，比上年决算减少52.40万元，下降94.60%,主要原因是：本年功能科目调整，家庭经济困难寄宿生生活补助从其他普通教育支</w:t>
      </w:r>
      <w:r>
        <w:rPr>
          <w:rFonts w:hint="eastAsia" w:ascii="仿宋_GB2312" w:hAnsi="仿宋_GB2312" w:eastAsia="仿宋_GB2312"/>
          <w:b w:val="0"/>
          <w:sz w:val="32"/>
          <w:lang w:eastAsia="zh-CN"/>
        </w:rPr>
        <w:t>出项</w:t>
      </w:r>
      <w:r>
        <w:rPr>
          <w:rFonts w:ascii="仿宋_GB2312" w:hAnsi="仿宋_GB2312" w:eastAsia="仿宋_GB2312"/>
          <w:b w:val="0"/>
          <w:sz w:val="32"/>
        </w:rPr>
        <w:t>目调整至小学教育科目列支，导致经费减少。</w:t>
      </w:r>
    </w:p>
    <w:p w14:paraId="1AD6D449">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0.00万元，比上年决算减少5.02万元，下降100.00%,主要原因是：本年功能科目调整，养老保险缴费上年度单独列支，本年调整至主科目列支，导致经费较上年减少。</w:t>
      </w:r>
    </w:p>
    <w:p w14:paraId="396A3DC0">
      <w:pPr>
        <w:spacing w:line="640" w:lineRule="exact"/>
        <w:ind w:firstLine="640"/>
        <w:jc w:val="both"/>
        <w:outlineLvl w:val="2"/>
      </w:pPr>
      <w:r>
        <w:rPr>
          <w:rFonts w:ascii="黑体" w:hAnsi="黑体" w:eastAsia="黑体"/>
          <w:sz w:val="32"/>
        </w:rPr>
        <w:t>六、一般公共预算财政拨款基本支出决算情况说明</w:t>
      </w:r>
    </w:p>
    <w:p w14:paraId="04F08B41">
      <w:pPr>
        <w:spacing w:line="580" w:lineRule="exact"/>
        <w:ind w:firstLine="640"/>
        <w:jc w:val="both"/>
      </w:pPr>
      <w:r>
        <w:rPr>
          <w:rFonts w:ascii="仿宋_GB2312" w:hAnsi="仿宋_GB2312" w:eastAsia="仿宋_GB2312"/>
          <w:b w:val="0"/>
          <w:sz w:val="32"/>
        </w:rPr>
        <w:t>2024年度一般公共预算财政拨款基本支出724.40万元，其中：</w:t>
      </w:r>
      <w:r>
        <w:rPr>
          <w:rFonts w:ascii="仿宋_GB2312" w:hAnsi="仿宋_GB2312" w:eastAsia="仿宋_GB2312"/>
          <w:b/>
          <w:sz w:val="32"/>
        </w:rPr>
        <w:t>人员经费677.69万元，</w:t>
      </w:r>
      <w:r>
        <w:rPr>
          <w:rFonts w:ascii="仿宋_GB2312" w:hAnsi="仿宋_GB2312" w:eastAsia="仿宋_GB2312"/>
          <w:b w:val="0"/>
          <w:sz w:val="32"/>
        </w:rPr>
        <w:t>包括：基本工资、津贴补贴、绩效工资、机关事业单位基本养老保险缴费、职工基本医疗保险缴费、其他社会保障缴费、住房公积金、退休费、生活补助。</w:t>
      </w:r>
    </w:p>
    <w:p w14:paraId="623E7F38">
      <w:pPr>
        <w:spacing w:line="580" w:lineRule="exact"/>
        <w:ind w:firstLine="640"/>
        <w:jc w:val="both"/>
      </w:pPr>
      <w:r>
        <w:rPr>
          <w:rFonts w:ascii="仿宋_GB2312" w:hAnsi="仿宋_GB2312" w:eastAsia="仿宋_GB2312"/>
          <w:b/>
          <w:sz w:val="32"/>
        </w:rPr>
        <w:t>公用经费46.71万元，</w:t>
      </w:r>
      <w:r>
        <w:rPr>
          <w:rFonts w:ascii="仿宋_GB2312" w:hAnsi="仿宋_GB2312" w:eastAsia="仿宋_GB2312"/>
          <w:b w:val="0"/>
          <w:sz w:val="32"/>
        </w:rPr>
        <w:t>包括：办公费、印刷费、水费、电费、邮电费、取暖费、物业管理费、维修（护）费、培训费、劳务费、其他交通费用、其他商品和服务支出。</w:t>
      </w:r>
    </w:p>
    <w:p w14:paraId="226B9F6F">
      <w:pPr>
        <w:spacing w:line="640" w:lineRule="exact"/>
        <w:ind w:firstLine="640"/>
        <w:jc w:val="both"/>
        <w:outlineLvl w:val="2"/>
      </w:pPr>
      <w:r>
        <w:rPr>
          <w:rFonts w:ascii="黑体" w:hAnsi="黑体" w:eastAsia="黑体"/>
          <w:sz w:val="32"/>
        </w:rPr>
        <w:t>七、政府性基金预算财政拨款收入支出决算情况说明</w:t>
      </w:r>
    </w:p>
    <w:p w14:paraId="5213DDF0">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C4E1BF4">
      <w:pPr>
        <w:spacing w:line="640" w:lineRule="exact"/>
        <w:ind w:firstLine="640"/>
        <w:jc w:val="both"/>
        <w:outlineLvl w:val="2"/>
      </w:pPr>
      <w:r>
        <w:rPr>
          <w:rFonts w:ascii="黑体" w:hAnsi="黑体" w:eastAsia="黑体"/>
          <w:sz w:val="32"/>
        </w:rPr>
        <w:t>八、国有资本经营预算财政拨款收入支出决算情况说明</w:t>
      </w:r>
    </w:p>
    <w:p w14:paraId="0540A4F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2FB328A">
      <w:pPr>
        <w:spacing w:line="640" w:lineRule="exact"/>
        <w:ind w:firstLine="640"/>
        <w:jc w:val="both"/>
        <w:outlineLvl w:val="2"/>
      </w:pPr>
      <w:r>
        <w:rPr>
          <w:rFonts w:ascii="黑体" w:hAnsi="黑体" w:eastAsia="黑体"/>
          <w:sz w:val="32"/>
        </w:rPr>
        <w:t>九、财政拨款“三公”经费支出决算情况说明</w:t>
      </w:r>
    </w:p>
    <w:p w14:paraId="0C12E753">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59233CDD">
      <w:pPr>
        <w:spacing w:line="580" w:lineRule="exact"/>
        <w:ind w:firstLine="640"/>
        <w:jc w:val="both"/>
      </w:pPr>
      <w:r>
        <w:rPr>
          <w:rFonts w:ascii="仿宋_GB2312" w:hAnsi="仿宋_GB2312" w:eastAsia="仿宋_GB2312"/>
          <w:b/>
          <w:sz w:val="32"/>
        </w:rPr>
        <w:t>具体情况如下：</w:t>
      </w:r>
    </w:p>
    <w:p w14:paraId="46286A7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D00B0E3">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差异车辆为一般业务用车，预算未安排公务用车运行维护费。</w:t>
      </w:r>
    </w:p>
    <w:p w14:paraId="53FF8B6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CACE48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326A425E">
      <w:pPr>
        <w:spacing w:line="640" w:lineRule="exact"/>
        <w:ind w:firstLine="640"/>
        <w:jc w:val="both"/>
        <w:outlineLvl w:val="2"/>
      </w:pPr>
      <w:r>
        <w:rPr>
          <w:rFonts w:ascii="黑体" w:hAnsi="黑体" w:eastAsia="黑体"/>
          <w:sz w:val="32"/>
        </w:rPr>
        <w:t>十、其他重要事项的情况说明</w:t>
      </w:r>
    </w:p>
    <w:p w14:paraId="69EA5F2B">
      <w:pPr>
        <w:spacing w:line="640" w:lineRule="exact"/>
        <w:ind w:firstLine="640"/>
        <w:jc w:val="both"/>
        <w:outlineLvl w:val="3"/>
      </w:pPr>
      <w:r>
        <w:rPr>
          <w:rFonts w:ascii="楷体_GB2312" w:hAnsi="楷体_GB2312" w:eastAsia="楷体_GB2312"/>
          <w:b/>
          <w:sz w:val="32"/>
        </w:rPr>
        <w:t>（一）机关运行经费及公用经费支出情况</w:t>
      </w:r>
    </w:p>
    <w:p w14:paraId="460C9C3C">
      <w:pPr>
        <w:spacing w:line="580" w:lineRule="exact"/>
        <w:ind w:firstLine="640"/>
        <w:jc w:val="both"/>
      </w:pPr>
      <w:r>
        <w:rPr>
          <w:rFonts w:ascii="仿宋_GB2312" w:hAnsi="仿宋_GB2312" w:eastAsia="仿宋_GB2312"/>
          <w:b w:val="0"/>
          <w:sz w:val="32"/>
        </w:rPr>
        <w:t>2024年度洛浦县阿其克乡一贯制学校（事业单位）公用经费支出46.71万元，比上年增加7.51万元，增长19.16%，主要原因是：本年更新、维护补充办公用品，导致公用经费较上年增加。</w:t>
      </w:r>
    </w:p>
    <w:p w14:paraId="2176862E">
      <w:pPr>
        <w:spacing w:line="640" w:lineRule="exact"/>
        <w:ind w:firstLine="640"/>
        <w:jc w:val="both"/>
        <w:outlineLvl w:val="3"/>
      </w:pPr>
      <w:r>
        <w:rPr>
          <w:rFonts w:ascii="楷体_GB2312" w:hAnsi="楷体_GB2312" w:eastAsia="楷体_GB2312"/>
          <w:b/>
          <w:sz w:val="32"/>
        </w:rPr>
        <w:t>（二）政府采购情况</w:t>
      </w:r>
    </w:p>
    <w:p w14:paraId="36EA14E6">
      <w:pPr>
        <w:spacing w:line="580" w:lineRule="exact"/>
        <w:ind w:firstLine="640"/>
        <w:jc w:val="both"/>
      </w:pPr>
      <w:r>
        <w:rPr>
          <w:rFonts w:ascii="仿宋_GB2312" w:hAnsi="仿宋_GB2312" w:eastAsia="仿宋_GB2312"/>
          <w:b w:val="0"/>
          <w:sz w:val="32"/>
        </w:rPr>
        <w:t>2024年度政府采购支出总额1.61万元，其中：政府采购货物支出1.61万元、政府采购工程支出0.00万元、政府采购服务支出0.00万元。</w:t>
      </w:r>
    </w:p>
    <w:p w14:paraId="4FC34B40">
      <w:pPr>
        <w:spacing w:line="580" w:lineRule="exact"/>
        <w:ind w:firstLine="640"/>
        <w:jc w:val="both"/>
      </w:pPr>
      <w:r>
        <w:rPr>
          <w:rFonts w:ascii="仿宋_GB2312" w:hAnsi="仿宋_GB2312" w:eastAsia="仿宋_GB2312"/>
          <w:b w:val="0"/>
          <w:sz w:val="32"/>
        </w:rPr>
        <w:t>授予中小企业合同金额1.61万元，占政府采购支出总额的100.00%，其中：授予小微企业合同金额1.27万元，占政府采购支出总额的78.88%。</w:t>
      </w:r>
    </w:p>
    <w:p w14:paraId="6741D39D">
      <w:pPr>
        <w:spacing w:line="640" w:lineRule="exact"/>
        <w:ind w:firstLine="640"/>
        <w:jc w:val="both"/>
        <w:outlineLvl w:val="3"/>
      </w:pPr>
      <w:r>
        <w:rPr>
          <w:rFonts w:ascii="楷体_GB2312" w:hAnsi="楷体_GB2312" w:eastAsia="楷体_GB2312"/>
          <w:b/>
          <w:sz w:val="32"/>
        </w:rPr>
        <w:t>（三）国有资产占用情况说明</w:t>
      </w:r>
    </w:p>
    <w:p w14:paraId="5549A7EB">
      <w:pPr>
        <w:spacing w:line="580" w:lineRule="exact"/>
        <w:ind w:firstLine="640"/>
        <w:jc w:val="both"/>
      </w:pPr>
      <w:r>
        <w:rPr>
          <w:rFonts w:ascii="仿宋_GB2312" w:hAnsi="仿宋_GB2312" w:eastAsia="仿宋_GB2312"/>
          <w:b w:val="0"/>
          <w:sz w:val="32"/>
        </w:rPr>
        <w:t>截至2024年12月31日，房屋2,848.56平方米，价值338.26万元。车辆1辆，价值5.49万元，其中：副部（省）级及以上领导用车0辆、主要负责人用车0辆、机要通信用车0辆、应急保障用车0辆、执法执勤用车0辆、特种专业技术用车0辆、离退休干部服务用车0辆、其他用车1辆，其他用车主要是：一般业务用车。单价100万元（含）以上设备（不含车辆）0台（套）。</w:t>
      </w:r>
    </w:p>
    <w:p w14:paraId="712895F2">
      <w:pPr>
        <w:spacing w:line="640" w:lineRule="exact"/>
        <w:ind w:firstLine="640"/>
        <w:jc w:val="both"/>
        <w:outlineLvl w:val="2"/>
      </w:pPr>
      <w:r>
        <w:rPr>
          <w:rFonts w:ascii="黑体" w:hAnsi="黑体" w:eastAsia="黑体"/>
          <w:sz w:val="32"/>
        </w:rPr>
        <w:t>十一、预算绩效的情况说明</w:t>
      </w:r>
    </w:p>
    <w:p w14:paraId="2F86EB21">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777.93万元，实际执行总额777.93万元；预算绩效评价项目4个，全年预算数107.59万元，全年执行数104.08万元。预算绩效管理取得的成效</w:t>
      </w:r>
      <w:r>
        <w:rPr>
          <w:rFonts w:hint="eastAsia" w:ascii="仿宋_GB2312" w:hAnsi="仿宋_GB2312" w:eastAsia="仿宋_GB2312"/>
          <w:b w:val="0"/>
          <w:sz w:val="32"/>
          <w:lang w:eastAsia="zh-CN"/>
        </w:rPr>
        <w:t>：一</w:t>
      </w:r>
      <w:r>
        <w:rPr>
          <w:rFonts w:ascii="仿宋_GB2312" w:hAnsi="仿宋_GB2312" w:eastAsia="仿宋_GB2312"/>
          <w:b w:val="0"/>
          <w:sz w:val="32"/>
        </w:rPr>
        <w:t>是通过加强预算绩效管理，预算绩效管理质量得到了显著提高；二是通过深入分析预算绩效管理的数据和信息，有助于更好地了解自身财务状况，从而制定更加科学合理的财政政策和经济决策。发现的问题及原因：年初预算不精准，实际执行偏差较大。下一步改进措施：一</w:t>
      </w:r>
      <w:r>
        <w:rPr>
          <w:rFonts w:hint="eastAsia" w:ascii="仿宋_GB2312" w:hAnsi="仿宋_GB2312" w:eastAsia="仿宋_GB2312"/>
          <w:b w:val="0"/>
          <w:sz w:val="32"/>
          <w:lang w:eastAsia="zh-CN"/>
        </w:rPr>
        <w:t>是加</w:t>
      </w:r>
      <w:r>
        <w:rPr>
          <w:rFonts w:ascii="仿宋_GB2312" w:hAnsi="仿宋_GB2312" w:eastAsia="仿宋_GB2312"/>
          <w:b w:val="0"/>
          <w:sz w:val="32"/>
        </w:rPr>
        <w:t>强新行政单位会计制度和新预算法学习培训、规范账务处理，加强新《中华人民共和国预算法</w:t>
      </w:r>
      <w:r>
        <w:rPr>
          <w:rFonts w:hint="eastAsia" w:ascii="仿宋_GB2312" w:hAnsi="仿宋_GB2312" w:eastAsia="仿宋_GB2312"/>
          <w:b w:val="0"/>
          <w:sz w:val="32"/>
          <w:lang w:eastAsia="zh-CN"/>
        </w:rPr>
        <w:t>》《</w:t>
      </w:r>
      <w:r>
        <w:rPr>
          <w:rFonts w:ascii="仿宋_GB2312" w:hAnsi="仿宋_GB2312" w:eastAsia="仿宋_GB2312"/>
          <w:b w:val="0"/>
          <w:sz w:val="32"/>
        </w:rPr>
        <w:t>行政单位会计制度</w:t>
      </w:r>
      <w:r>
        <w:rPr>
          <w:rFonts w:hint="eastAsia" w:ascii="仿宋_GB2312" w:hAnsi="仿宋_GB2312" w:eastAsia="仿宋_GB2312"/>
          <w:b w:val="0"/>
          <w:sz w:val="32"/>
          <w:lang w:eastAsia="zh-CN"/>
        </w:rPr>
        <w:t>》《中华人民共和国会计法》《</w:t>
      </w:r>
      <w:r>
        <w:rPr>
          <w:rFonts w:ascii="仿宋_GB2312" w:hAnsi="仿宋_GB2312" w:eastAsia="仿宋_GB2312"/>
          <w:b w:val="0"/>
          <w:sz w:val="32"/>
        </w:rPr>
        <w:t>行政单位财务规则》等学习培训,规范部门预算收支核算。</w:t>
      </w:r>
      <w:r>
        <w:rPr>
          <w:rFonts w:hint="eastAsia" w:ascii="仿宋_GB2312" w:hAnsi="仿宋_GB2312" w:eastAsia="仿宋_GB2312"/>
          <w:b w:val="0"/>
          <w:sz w:val="32"/>
          <w:lang w:val="en-US" w:eastAsia="zh-CN"/>
        </w:rPr>
        <w:t>二</w:t>
      </w:r>
      <w:r>
        <w:rPr>
          <w:rFonts w:ascii="仿宋_GB2312" w:hAnsi="仿宋_GB2312" w:eastAsia="仿宋_GB2312"/>
          <w:b w:val="0"/>
          <w:sz w:val="32"/>
        </w:rPr>
        <w:t>是制定和完善基本支出、项目支出等各项支出标准,严格按项目进度执行预算,增强预算的约束力和严肃性。</w:t>
      </w:r>
      <w:r>
        <w:rPr>
          <w:rFonts w:hint="eastAsia" w:ascii="仿宋_GB2312" w:hAnsi="仿宋_GB2312" w:eastAsia="仿宋_GB2312"/>
          <w:b w:val="0"/>
          <w:sz w:val="32"/>
          <w:lang w:val="en-US" w:eastAsia="zh-CN"/>
        </w:rPr>
        <w:t>三</w:t>
      </w:r>
      <w:r>
        <w:rPr>
          <w:rFonts w:ascii="仿宋_GB2312" w:hAnsi="仿宋_GB2312" w:eastAsia="仿宋_GB2312"/>
          <w:b w:val="0"/>
          <w:sz w:val="32"/>
        </w:rPr>
        <w:t>是落实预算执行分析,及时了解预算执行差异,合理调整、纠正预算执行偏差，切实提高部门预算收支管理水平。尽可能地做到决算与预算相衔接。</w:t>
      </w:r>
      <w:bookmarkStart w:id="0" w:name="_GoBack"/>
      <w:bookmarkEnd w:id="0"/>
      <w:r>
        <w:rPr>
          <w:rFonts w:ascii="仿宋_GB2312" w:hAnsi="仿宋_GB2312" w:eastAsia="仿宋_GB2312"/>
          <w:b w:val="0"/>
          <w:sz w:val="32"/>
        </w:rPr>
        <w:t>具体附整体支出绩效自评表，项目支出绩效自评表和评价报告。</w:t>
      </w:r>
    </w:p>
    <w:p w14:paraId="33A6180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4DC7A58">
        <w:tc>
          <w:tcPr>
            <w:tcW w:w="8847" w:type="dxa"/>
            <w:gridSpan w:val="9"/>
            <w:vAlign w:val="center"/>
          </w:tcPr>
          <w:p w14:paraId="631AFF54">
            <w:pPr>
              <w:jc w:val="center"/>
            </w:pPr>
            <w:r>
              <w:rPr>
                <w:rFonts w:ascii="宋体" w:hAnsi="宋体" w:eastAsia="宋体"/>
                <w:sz w:val="24"/>
              </w:rPr>
              <w:t>单位整体支出绩效自评表</w:t>
            </w:r>
          </w:p>
        </w:tc>
      </w:tr>
      <w:tr w14:paraId="2A7F0F20">
        <w:tblPrEx>
          <w:tblCellMar>
            <w:top w:w="0" w:type="dxa"/>
            <w:left w:w="108" w:type="dxa"/>
            <w:bottom w:w="0" w:type="dxa"/>
            <w:right w:w="108" w:type="dxa"/>
          </w:tblCellMar>
        </w:tblPrEx>
        <w:tc>
          <w:tcPr>
            <w:tcW w:w="8847" w:type="dxa"/>
            <w:gridSpan w:val="9"/>
            <w:vAlign w:val="center"/>
          </w:tcPr>
          <w:p w14:paraId="7BEAE45E">
            <w:pPr>
              <w:jc w:val="center"/>
            </w:pPr>
            <w:r>
              <w:rPr>
                <w:rFonts w:ascii="宋体" w:hAnsi="宋体" w:eastAsia="宋体"/>
                <w:sz w:val="24"/>
              </w:rPr>
              <w:t>（2024年度）</w:t>
            </w:r>
          </w:p>
        </w:tc>
      </w:tr>
      <w:tr w14:paraId="1DBA09D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47825">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3619FD7">
            <w:pPr>
              <w:jc w:val="center"/>
            </w:pPr>
            <w:r>
              <w:rPr>
                <w:rFonts w:ascii="宋体" w:hAnsi="宋体" w:eastAsia="宋体"/>
                <w:sz w:val="16"/>
              </w:rPr>
              <w:t>洛浦县阿其克乡一贯制学校</w:t>
            </w:r>
          </w:p>
        </w:tc>
      </w:tr>
      <w:tr w14:paraId="4DD1EFE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12D0B3">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21E96">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4911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7AB7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8DE7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79D5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D28D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B9AC5">
            <w:pPr>
              <w:jc w:val="center"/>
            </w:pPr>
            <w:r>
              <w:rPr>
                <w:rFonts w:ascii="宋体" w:hAnsi="宋体" w:eastAsia="宋体"/>
                <w:sz w:val="16"/>
              </w:rPr>
              <w:t>得分</w:t>
            </w:r>
          </w:p>
        </w:tc>
      </w:tr>
      <w:tr w14:paraId="0AF747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95C9F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76D009">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74F79">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F94E2">
            <w:pPr>
              <w:jc w:val="center"/>
            </w:pPr>
            <w:r>
              <w:rPr>
                <w:rFonts w:ascii="宋体" w:hAnsi="宋体" w:eastAsia="宋体"/>
                <w:sz w:val="16"/>
              </w:rPr>
              <w:t>128.95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1E526">
            <w:pPr>
              <w:jc w:val="center"/>
            </w:pPr>
            <w:r>
              <w:rPr>
                <w:rFonts w:ascii="宋体" w:hAnsi="宋体" w:eastAsia="宋体"/>
                <w:sz w:val="16"/>
              </w:rPr>
              <w:t>100.24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519B1">
            <w:pPr>
              <w:jc w:val="center"/>
            </w:pPr>
            <w:r>
              <w:rPr>
                <w:rFonts w:ascii="宋体" w:hAnsi="宋体" w:eastAsia="宋体"/>
                <w:sz w:val="16"/>
              </w:rPr>
              <w:t>100.24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655E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957C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2592E">
            <w:pPr>
              <w:jc w:val="center"/>
            </w:pPr>
            <w:r>
              <w:rPr>
                <w:rFonts w:ascii="宋体" w:hAnsi="宋体" w:eastAsia="宋体"/>
                <w:sz w:val="16"/>
              </w:rPr>
              <w:t>-</w:t>
            </w:r>
          </w:p>
        </w:tc>
      </w:tr>
      <w:tr w14:paraId="6E13FE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06A4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88D89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B3662">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9C958">
            <w:pPr>
              <w:jc w:val="center"/>
            </w:pPr>
            <w:r>
              <w:rPr>
                <w:rFonts w:ascii="宋体" w:hAnsi="宋体" w:eastAsia="宋体"/>
                <w:sz w:val="16"/>
              </w:rPr>
              <w:t>806.30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6895D">
            <w:pPr>
              <w:jc w:val="center"/>
            </w:pPr>
            <w:r>
              <w:rPr>
                <w:rFonts w:ascii="宋体" w:hAnsi="宋体" w:eastAsia="宋体"/>
                <w:sz w:val="16"/>
              </w:rPr>
              <w:t>677.69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E8F25">
            <w:pPr>
              <w:jc w:val="center"/>
            </w:pPr>
            <w:r>
              <w:rPr>
                <w:rFonts w:ascii="宋体" w:hAnsi="宋体" w:eastAsia="宋体"/>
                <w:sz w:val="16"/>
              </w:rPr>
              <w:t>677.69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C460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B359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C9B6B">
            <w:pPr>
              <w:jc w:val="center"/>
            </w:pPr>
            <w:r>
              <w:rPr>
                <w:rFonts w:ascii="宋体" w:hAnsi="宋体" w:eastAsia="宋体"/>
                <w:sz w:val="16"/>
              </w:rPr>
              <w:t>-</w:t>
            </w:r>
          </w:p>
        </w:tc>
      </w:tr>
      <w:tr w14:paraId="421B78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F0612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C6C1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CD824">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5AA4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6188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3052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D7A9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B9FA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88511">
            <w:pPr>
              <w:jc w:val="center"/>
            </w:pPr>
            <w:r>
              <w:rPr>
                <w:rFonts w:ascii="宋体" w:hAnsi="宋体" w:eastAsia="宋体"/>
                <w:sz w:val="16"/>
              </w:rPr>
              <w:t>-</w:t>
            </w:r>
          </w:p>
        </w:tc>
      </w:tr>
      <w:tr w14:paraId="23CEEC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A1337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D8B3D">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0738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45B09">
            <w:pPr>
              <w:jc w:val="center"/>
            </w:pPr>
            <w:r>
              <w:rPr>
                <w:rFonts w:ascii="宋体" w:hAnsi="宋体" w:eastAsia="宋体"/>
                <w:sz w:val="16"/>
              </w:rPr>
              <w:t>935.25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5EA15">
            <w:pPr>
              <w:jc w:val="center"/>
            </w:pPr>
            <w:r>
              <w:rPr>
                <w:rFonts w:ascii="宋体" w:hAnsi="宋体" w:eastAsia="宋体"/>
                <w:sz w:val="16"/>
              </w:rPr>
              <w:t>777.93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71E4A">
            <w:pPr>
              <w:jc w:val="center"/>
            </w:pPr>
            <w:r>
              <w:rPr>
                <w:rFonts w:ascii="宋体" w:hAnsi="宋体" w:eastAsia="宋体"/>
                <w:sz w:val="16"/>
              </w:rPr>
              <w:t>777.93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14FF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BD657">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48E76">
            <w:pPr>
              <w:jc w:val="center"/>
            </w:pPr>
            <w:r>
              <w:rPr>
                <w:rFonts w:ascii="宋体" w:hAnsi="宋体" w:eastAsia="宋体"/>
                <w:sz w:val="16"/>
              </w:rPr>
              <w:t>10</w:t>
            </w:r>
          </w:p>
        </w:tc>
      </w:tr>
      <w:tr w14:paraId="7AB0AF3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AF09F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1F3A3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4C0D1F">
            <w:pPr>
              <w:jc w:val="center"/>
            </w:pPr>
            <w:r>
              <w:rPr>
                <w:rFonts w:ascii="宋体" w:hAnsi="宋体" w:eastAsia="宋体"/>
                <w:sz w:val="16"/>
              </w:rPr>
              <w:t>实际完成情况</w:t>
            </w:r>
          </w:p>
        </w:tc>
      </w:tr>
      <w:tr w14:paraId="33ED3B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43EAA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808BDF7">
            <w:pPr>
              <w:jc w:val="both"/>
            </w:pPr>
            <w:r>
              <w:rPr>
                <w:rFonts w:ascii="宋体" w:hAnsi="宋体" w:eastAsia="宋体"/>
                <w:sz w:val="16"/>
              </w:rPr>
              <w:t>1. 提高教育教学质量，保障学校员工人数44人。确保学生学业水平稳步提升，保障学校学生人数327人。</w:t>
            </w:r>
            <w:r>
              <w:rPr>
                <w:rFonts w:ascii="宋体" w:hAnsi="宋体" w:eastAsia="宋体"/>
                <w:sz w:val="16"/>
              </w:rPr>
              <w:br w:type="textWrapping"/>
            </w:r>
            <w:r>
              <w:rPr>
                <w:rFonts w:ascii="宋体" w:hAnsi="宋体" w:eastAsia="宋体"/>
                <w:sz w:val="16"/>
              </w:rPr>
              <w:t>2. 加强师资队伍建设，提升教师教育教学能力和专业素养，开展教师培训工作2次。</w:t>
            </w:r>
            <w:r>
              <w:rPr>
                <w:rFonts w:ascii="宋体" w:hAnsi="宋体" w:eastAsia="宋体"/>
                <w:sz w:val="16"/>
              </w:rPr>
              <w:br w:type="textWrapping"/>
            </w:r>
            <w:r>
              <w:rPr>
                <w:rFonts w:ascii="宋体" w:hAnsi="宋体" w:eastAsia="宋体"/>
                <w:sz w:val="16"/>
              </w:rPr>
              <w:t>3. 改善学校基础设施，优化教育教学环境。</w:t>
            </w:r>
            <w:r>
              <w:rPr>
                <w:rFonts w:ascii="宋体" w:hAnsi="宋体" w:eastAsia="宋体"/>
                <w:sz w:val="16"/>
              </w:rPr>
              <w:br w:type="textWrapping"/>
            </w:r>
            <w:r>
              <w:rPr>
                <w:rFonts w:ascii="宋体" w:hAnsi="宋体" w:eastAsia="宋体"/>
                <w:sz w:val="16"/>
              </w:rPr>
              <w:t>4. 培养学生全面发展，提高学生综合素质，开展学科竞赛和课外活动4次。</w:t>
            </w:r>
            <w:r>
              <w:rPr>
                <w:rFonts w:ascii="宋体" w:hAnsi="宋体" w:eastAsia="宋体"/>
                <w:sz w:val="16"/>
              </w:rPr>
              <w:br w:type="textWrapping"/>
            </w:r>
            <w:r>
              <w:rPr>
                <w:rFonts w:ascii="宋体" w:hAnsi="宋体" w:eastAsia="宋体"/>
                <w:sz w:val="16"/>
              </w:rPr>
              <w:t>5. 加强学校内部管理，提高管理水平和效率。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5A2775">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已完成保障学校学生人数327人，保障学校员工人数44人，开展学科竞赛和课外活动4次，开展教师培训工作2次。部门资金已使用 777.93万元。通过这些业务的实施，有效提高教育教学质量，确保学生学业水平稳步提升。有效加强师资队伍建设，有效提升教师教育教学能力和专业素养。</w:t>
            </w:r>
          </w:p>
        </w:tc>
      </w:tr>
      <w:tr w14:paraId="2B2D0B3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DAEF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94437">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27FC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D277D">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DD54F">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A6EA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A54D6">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A5F60">
            <w:pPr>
              <w:jc w:val="center"/>
            </w:pPr>
            <w:r>
              <w:rPr>
                <w:rFonts w:ascii="宋体" w:hAnsi="宋体" w:eastAsia="宋体"/>
                <w:sz w:val="16"/>
              </w:rPr>
              <w:t>得分</w:t>
            </w:r>
          </w:p>
        </w:tc>
      </w:tr>
      <w:tr w14:paraId="3B0DFAF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8B7D0E">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EE36B8">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346ED">
            <w:pPr>
              <w:jc w:val="center"/>
            </w:pPr>
            <w:r>
              <w:rPr>
                <w:rFonts w:ascii="宋体" w:hAnsi="宋体" w:eastAsia="宋体"/>
                <w:sz w:val="16"/>
              </w:rPr>
              <w:t>保障学校学生人数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FDFE3">
            <w:pPr>
              <w:jc w:val="center"/>
            </w:pPr>
            <w:r>
              <w:rPr>
                <w:rFonts w:ascii="宋体" w:hAnsi="宋体" w:eastAsia="宋体"/>
                <w:sz w:val="16"/>
              </w:rPr>
              <w:t>=327人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8DD9C">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1554E">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AB01E">
            <w:pPr>
              <w:jc w:val="center"/>
            </w:pPr>
            <w:r>
              <w:rPr>
                <w:rFonts w:ascii="宋体" w:hAnsi="宋体" w:eastAsia="宋体"/>
                <w:sz w:val="16"/>
              </w:rPr>
              <w:t>327人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10C76">
            <w:pPr>
              <w:jc w:val="center"/>
            </w:pPr>
            <w:r>
              <w:rPr>
                <w:rFonts w:ascii="宋体" w:hAnsi="宋体" w:eastAsia="宋体"/>
                <w:sz w:val="16"/>
              </w:rPr>
              <w:t>30</w:t>
            </w:r>
          </w:p>
        </w:tc>
      </w:tr>
      <w:tr w14:paraId="2824E2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F3A6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65578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54F11">
            <w:pPr>
              <w:jc w:val="center"/>
            </w:pPr>
            <w:r>
              <w:rPr>
                <w:rFonts w:ascii="宋体" w:hAnsi="宋体" w:eastAsia="宋体"/>
                <w:sz w:val="16"/>
              </w:rPr>
              <w:t>保障学校员工人数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C5FAC">
            <w:pPr>
              <w:jc w:val="center"/>
            </w:pPr>
            <w:r>
              <w:rPr>
                <w:rFonts w:ascii="宋体" w:hAnsi="宋体" w:eastAsia="宋体"/>
                <w:sz w:val="16"/>
              </w:rPr>
              <w:t>&gt;=44人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37341">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21CF0">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BD91A">
            <w:pPr>
              <w:jc w:val="center"/>
            </w:pPr>
            <w:r>
              <w:rPr>
                <w:rFonts w:ascii="宋体" w:hAnsi="宋体" w:eastAsia="宋体"/>
                <w:sz w:val="16"/>
              </w:rPr>
              <w:t>44人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A7108">
            <w:pPr>
              <w:jc w:val="center"/>
            </w:pPr>
            <w:r>
              <w:rPr>
                <w:rFonts w:ascii="宋体" w:hAnsi="宋体" w:eastAsia="宋体"/>
                <w:sz w:val="16"/>
              </w:rPr>
              <w:t>30</w:t>
            </w:r>
          </w:p>
        </w:tc>
      </w:tr>
      <w:tr w14:paraId="378EEC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B691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B447E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3A207">
            <w:pPr>
              <w:jc w:val="center"/>
            </w:pPr>
            <w:r>
              <w:rPr>
                <w:rFonts w:ascii="宋体" w:hAnsi="宋体" w:eastAsia="宋体"/>
                <w:sz w:val="16"/>
              </w:rPr>
              <w:t>开展学科竞赛和课外活动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232EC">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B8453">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736E9">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6C376">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21CDB">
            <w:pPr>
              <w:jc w:val="center"/>
            </w:pPr>
            <w:r>
              <w:rPr>
                <w:rFonts w:ascii="宋体" w:hAnsi="宋体" w:eastAsia="宋体"/>
                <w:sz w:val="16"/>
              </w:rPr>
              <w:t>15</w:t>
            </w:r>
          </w:p>
        </w:tc>
      </w:tr>
      <w:tr w14:paraId="4CCFDB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701B7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EFFA6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D9F51">
            <w:pPr>
              <w:jc w:val="center"/>
            </w:pPr>
            <w:r>
              <w:rPr>
                <w:rFonts w:ascii="宋体" w:hAnsi="宋体" w:eastAsia="宋体"/>
                <w:sz w:val="16"/>
              </w:rPr>
              <w:t>开展教师培训工作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98E4F">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EED9C">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09859">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5DB64">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7C684">
            <w:pPr>
              <w:jc w:val="center"/>
            </w:pPr>
            <w:r>
              <w:rPr>
                <w:rFonts w:ascii="宋体" w:hAnsi="宋体" w:eastAsia="宋体"/>
                <w:sz w:val="16"/>
              </w:rPr>
              <w:t>15</w:t>
            </w:r>
          </w:p>
        </w:tc>
      </w:tr>
    </w:tbl>
    <w:p w14:paraId="1A78133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1A55730">
        <w:tblPrEx>
          <w:tblCellMar>
            <w:top w:w="0" w:type="dxa"/>
            <w:left w:w="108" w:type="dxa"/>
            <w:bottom w:w="0" w:type="dxa"/>
            <w:right w:w="108" w:type="dxa"/>
          </w:tblCellMar>
        </w:tblPrEx>
        <w:tc>
          <w:tcPr>
            <w:tcW w:w="8847" w:type="dxa"/>
            <w:gridSpan w:val="9"/>
            <w:vAlign w:val="center"/>
          </w:tcPr>
          <w:p w14:paraId="2CC6ABFA">
            <w:pPr>
              <w:jc w:val="center"/>
            </w:pPr>
            <w:r>
              <w:rPr>
                <w:rFonts w:ascii="宋体" w:hAnsi="宋体" w:eastAsia="宋体"/>
                <w:sz w:val="24"/>
              </w:rPr>
              <w:t>项目支出绩效自评表</w:t>
            </w:r>
          </w:p>
        </w:tc>
      </w:tr>
      <w:tr w14:paraId="76AA14C4">
        <w:tblPrEx>
          <w:tblCellMar>
            <w:top w:w="0" w:type="dxa"/>
            <w:left w:w="108" w:type="dxa"/>
            <w:bottom w:w="0" w:type="dxa"/>
            <w:right w:w="108" w:type="dxa"/>
          </w:tblCellMar>
        </w:tblPrEx>
        <w:tc>
          <w:tcPr>
            <w:tcW w:w="8847" w:type="dxa"/>
            <w:gridSpan w:val="9"/>
            <w:vAlign w:val="center"/>
          </w:tcPr>
          <w:p w14:paraId="05B88C8F">
            <w:pPr>
              <w:jc w:val="center"/>
            </w:pPr>
            <w:r>
              <w:rPr>
                <w:rFonts w:ascii="宋体" w:hAnsi="宋体" w:eastAsia="宋体"/>
                <w:sz w:val="24"/>
              </w:rPr>
              <w:t>(2024年度)</w:t>
            </w:r>
          </w:p>
        </w:tc>
      </w:tr>
      <w:tr w14:paraId="37118CF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9131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469A3EE">
            <w:pPr>
              <w:jc w:val="center"/>
            </w:pPr>
            <w:r>
              <w:rPr>
                <w:rFonts w:ascii="宋体" w:hAnsi="宋体" w:eastAsia="宋体"/>
                <w:sz w:val="16"/>
              </w:rPr>
              <w:t>专项资金-和地财教</w:t>
            </w:r>
            <w:r>
              <w:rPr>
                <w:rFonts w:hint="eastAsia" w:ascii="宋体" w:hAnsi="宋体"/>
                <w:sz w:val="16"/>
                <w:lang w:eastAsia="zh-CN"/>
              </w:rPr>
              <w:t>〔2023〕73号</w:t>
            </w:r>
            <w:r>
              <w:rPr>
                <w:rFonts w:ascii="宋体" w:hAnsi="宋体" w:eastAsia="宋体"/>
                <w:sz w:val="16"/>
              </w:rPr>
              <w:t>：2024年新疆西藏等地区教育特殊补助资金</w:t>
            </w:r>
          </w:p>
        </w:tc>
      </w:tr>
      <w:tr w14:paraId="555347E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FA60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2A6576">
            <w:pPr>
              <w:jc w:val="center"/>
            </w:pPr>
            <w:r>
              <w:rPr>
                <w:rFonts w:ascii="宋体" w:hAnsi="宋体" w:eastAsia="宋体"/>
                <w:sz w:val="16"/>
              </w:rPr>
              <w:t>洛浦县阿其克乡一贯制学校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E328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213E85B">
            <w:pPr>
              <w:jc w:val="center"/>
            </w:pPr>
            <w:r>
              <w:rPr>
                <w:rFonts w:ascii="宋体" w:hAnsi="宋体" w:eastAsia="宋体"/>
                <w:sz w:val="16"/>
              </w:rPr>
              <w:t>洛浦县阿其克乡一贯制学校</w:t>
            </w:r>
          </w:p>
        </w:tc>
      </w:tr>
      <w:tr w14:paraId="052798C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250B2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962E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C553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9ADE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7634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89FF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0EDC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DA10E">
            <w:pPr>
              <w:jc w:val="center"/>
            </w:pPr>
            <w:r>
              <w:rPr>
                <w:rFonts w:ascii="宋体" w:hAnsi="宋体" w:eastAsia="宋体"/>
                <w:sz w:val="16"/>
              </w:rPr>
              <w:t>得分</w:t>
            </w:r>
          </w:p>
        </w:tc>
      </w:tr>
      <w:tr w14:paraId="685185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10338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9D9A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63081">
            <w:pPr>
              <w:jc w:val="center"/>
            </w:pPr>
            <w:r>
              <w:rPr>
                <w:rFonts w:ascii="宋体" w:hAnsi="宋体" w:eastAsia="宋体"/>
                <w:sz w:val="16"/>
              </w:rPr>
              <w:t>7.36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A2CFD">
            <w:pPr>
              <w:jc w:val="center"/>
            </w:pPr>
            <w:r>
              <w:rPr>
                <w:rFonts w:ascii="宋体" w:hAnsi="宋体" w:eastAsia="宋体"/>
                <w:sz w:val="16"/>
              </w:rPr>
              <w:t>7.13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E1DCF">
            <w:pPr>
              <w:jc w:val="center"/>
            </w:pPr>
            <w:r>
              <w:rPr>
                <w:rFonts w:ascii="宋体" w:hAnsi="宋体" w:eastAsia="宋体"/>
                <w:sz w:val="16"/>
              </w:rPr>
              <w:t>7.13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070E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FE214">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8B91E">
            <w:pPr>
              <w:jc w:val="center"/>
            </w:pPr>
            <w:r>
              <w:rPr>
                <w:rFonts w:ascii="宋体" w:hAnsi="宋体" w:eastAsia="宋体"/>
                <w:sz w:val="16"/>
              </w:rPr>
              <w:t>10.00分</w:t>
            </w:r>
          </w:p>
        </w:tc>
      </w:tr>
      <w:tr w14:paraId="650387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8CD73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3B22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A9316">
            <w:pPr>
              <w:jc w:val="center"/>
            </w:pPr>
            <w:r>
              <w:rPr>
                <w:rFonts w:ascii="宋体" w:hAnsi="宋体" w:eastAsia="宋体"/>
                <w:sz w:val="16"/>
              </w:rPr>
              <w:t>7.36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492D2">
            <w:pPr>
              <w:jc w:val="center"/>
            </w:pPr>
            <w:r>
              <w:rPr>
                <w:rFonts w:ascii="宋体" w:hAnsi="宋体" w:eastAsia="宋体"/>
                <w:sz w:val="16"/>
              </w:rPr>
              <w:t>7.13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E6E7D">
            <w:pPr>
              <w:jc w:val="center"/>
            </w:pPr>
            <w:r>
              <w:rPr>
                <w:rFonts w:ascii="宋体" w:hAnsi="宋体" w:eastAsia="宋体"/>
                <w:sz w:val="16"/>
              </w:rPr>
              <w:t>7.13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A6CF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78DC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9530D">
            <w:pPr>
              <w:jc w:val="center"/>
            </w:pPr>
            <w:r>
              <w:rPr>
                <w:rFonts w:ascii="宋体" w:hAnsi="宋体" w:eastAsia="宋体"/>
                <w:sz w:val="16"/>
              </w:rPr>
              <w:t>—</w:t>
            </w:r>
          </w:p>
        </w:tc>
      </w:tr>
      <w:tr w14:paraId="0328D9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63C9C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A045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3B02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08A7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B32B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D1B4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4CDE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A6C29">
            <w:pPr>
              <w:jc w:val="center"/>
            </w:pPr>
            <w:r>
              <w:rPr>
                <w:rFonts w:ascii="宋体" w:hAnsi="宋体" w:eastAsia="宋体"/>
                <w:sz w:val="16"/>
              </w:rPr>
              <w:t>—</w:t>
            </w:r>
          </w:p>
        </w:tc>
      </w:tr>
      <w:tr w14:paraId="557D68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FFB93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938F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AC56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5B14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38F5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9BC6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A1E8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A9985">
            <w:pPr>
              <w:jc w:val="center"/>
            </w:pPr>
            <w:r>
              <w:rPr>
                <w:rFonts w:ascii="宋体" w:hAnsi="宋体" w:eastAsia="宋体"/>
                <w:sz w:val="16"/>
              </w:rPr>
              <w:t>—</w:t>
            </w:r>
          </w:p>
        </w:tc>
      </w:tr>
      <w:tr w14:paraId="7E0FDE6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46235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92A9D8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D9DF5C">
            <w:pPr>
              <w:jc w:val="center"/>
            </w:pPr>
            <w:r>
              <w:rPr>
                <w:rFonts w:ascii="宋体" w:hAnsi="宋体" w:eastAsia="宋体"/>
                <w:sz w:val="16"/>
              </w:rPr>
              <w:t>实际完成情况</w:t>
            </w:r>
          </w:p>
        </w:tc>
      </w:tr>
      <w:tr w14:paraId="110BFD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BD558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09410FC">
            <w:pPr>
              <w:jc w:val="both"/>
            </w:pPr>
            <w:r>
              <w:rPr>
                <w:rFonts w:hint="eastAsia" w:ascii="宋体" w:hAnsi="宋体"/>
                <w:sz w:val="16"/>
                <w:lang w:eastAsia="zh-CN"/>
              </w:rPr>
              <w:t>1.</w:t>
            </w:r>
            <w:r>
              <w:rPr>
                <w:rFonts w:ascii="宋体" w:hAnsi="宋体" w:eastAsia="宋体"/>
                <w:sz w:val="16"/>
              </w:rPr>
              <w:t>计划保障学生数量327人，保障在职人员数量38人，73号文件支出7.13万元，公用经费支出3.29万元，伙食补助3.84万元。通过保障部门正常运转，有效提升学校的教育教学能力，持续推行素质教育，争取受益学生及受益在职人员满意度达到95%以上。2、保障</w:t>
            </w:r>
            <w:r>
              <w:rPr>
                <w:rFonts w:hint="eastAsia" w:ascii="宋体" w:hAnsi="宋体"/>
                <w:sz w:val="16"/>
                <w:lang w:eastAsia="zh-CN"/>
              </w:rPr>
              <w:t>本单位</w:t>
            </w:r>
            <w:r>
              <w:rPr>
                <w:rFonts w:ascii="宋体" w:hAnsi="宋体" w:eastAsia="宋体"/>
                <w:sz w:val="16"/>
              </w:rPr>
              <w:t>全年在职人员的工资、津贴、奖金、离休费、退休人员生活补助、医疗保险、养老保险、住房公积金等开支。以及用于日常办公、业务活动方面的经常性开支，包括：办公费、水电费、取暖费、差旅费、公务用车交通费等。3、按照九年义务教育课程计划，开齐课程，开足课时，认真实施中小学的教育教学管理，全面推进素质教育，全面提高教育教学质量，组织开展本镇中小学的教育教学科研和教育教学改革，以科学的发展观和以人为本的管理理念注重学生的全面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49ACEF">
            <w:pPr>
              <w:jc w:val="both"/>
            </w:pPr>
            <w:r>
              <w:rPr>
                <w:rFonts w:hint="eastAsia" w:ascii="宋体" w:hAnsi="宋体"/>
                <w:sz w:val="16"/>
                <w:lang w:eastAsia="zh-CN"/>
              </w:rPr>
              <w:t>截至</w:t>
            </w:r>
            <w:r>
              <w:rPr>
                <w:rFonts w:ascii="宋体" w:hAnsi="宋体" w:eastAsia="宋体"/>
                <w:sz w:val="16"/>
              </w:rPr>
              <w:t>12月，</w:t>
            </w:r>
            <w:r>
              <w:rPr>
                <w:rFonts w:hint="eastAsia" w:ascii="宋体" w:hAnsi="宋体"/>
                <w:sz w:val="16"/>
                <w:lang w:eastAsia="zh-CN"/>
              </w:rPr>
              <w:t>本单位</w:t>
            </w:r>
            <w:r>
              <w:rPr>
                <w:rFonts w:ascii="宋体" w:hAnsi="宋体" w:eastAsia="宋体"/>
                <w:sz w:val="16"/>
              </w:rPr>
              <w:t>已完成保障327名学生的伙食补助及公用经费。资金已使用7.13万元。通过项目的实施，有效改善教育教学质量。</w:t>
            </w:r>
          </w:p>
        </w:tc>
      </w:tr>
      <w:tr w14:paraId="7567150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2BBB06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068F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48A5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825A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B11A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149E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5A5D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9738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18B79">
            <w:pPr>
              <w:jc w:val="center"/>
            </w:pPr>
            <w:r>
              <w:rPr>
                <w:rFonts w:ascii="宋体" w:hAnsi="宋体" w:eastAsia="宋体"/>
                <w:sz w:val="16"/>
              </w:rPr>
              <w:t>偏差原因分析及改进措施</w:t>
            </w:r>
          </w:p>
        </w:tc>
      </w:tr>
      <w:tr w14:paraId="2CADBD4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E5661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C6D04C">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44D1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CC27C">
            <w:pPr>
              <w:jc w:val="center"/>
            </w:pPr>
            <w:r>
              <w:rPr>
                <w:rFonts w:ascii="宋体" w:hAnsi="宋体" w:eastAsia="宋体"/>
                <w:sz w:val="16"/>
              </w:rPr>
              <w:t>城乡义务教育补助经费受益学生数量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7DF8A">
            <w:pPr>
              <w:jc w:val="center"/>
            </w:pPr>
            <w:r>
              <w:rPr>
                <w:rFonts w:ascii="宋体" w:hAnsi="宋体" w:eastAsia="宋体"/>
                <w:sz w:val="16"/>
              </w:rPr>
              <w:t>=327人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E39BA">
            <w:pPr>
              <w:jc w:val="center"/>
            </w:pPr>
            <w:r>
              <w:rPr>
                <w:rFonts w:ascii="宋体" w:hAnsi="宋体" w:eastAsia="宋体"/>
                <w:sz w:val="16"/>
              </w:rPr>
              <w:t>=327人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1DC6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A762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50DBD">
            <w:pPr>
              <w:jc w:val="center"/>
            </w:pPr>
          </w:p>
        </w:tc>
      </w:tr>
      <w:tr w14:paraId="3EB242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2450B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9D945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16999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2F2B1">
            <w:pPr>
              <w:jc w:val="center"/>
            </w:pPr>
            <w:r>
              <w:rPr>
                <w:rFonts w:ascii="宋体" w:hAnsi="宋体" w:eastAsia="宋体"/>
                <w:sz w:val="16"/>
              </w:rPr>
              <w:t>补助资金发放到位率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8DD3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AB97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48B8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7BA3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3A135">
            <w:pPr>
              <w:jc w:val="center"/>
            </w:pPr>
          </w:p>
        </w:tc>
      </w:tr>
      <w:tr w14:paraId="587C99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24C91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B0CAD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C2179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3D788">
            <w:pPr>
              <w:jc w:val="center"/>
            </w:pPr>
            <w:r>
              <w:rPr>
                <w:rFonts w:ascii="宋体" w:hAnsi="宋体" w:eastAsia="宋体"/>
                <w:sz w:val="16"/>
              </w:rPr>
              <w:t>补助资金发放准确率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CA15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D4B5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4C94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61A1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2DCE0">
            <w:pPr>
              <w:jc w:val="center"/>
            </w:pPr>
          </w:p>
        </w:tc>
      </w:tr>
      <w:tr w14:paraId="40D91C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9BF80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512A3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AFE47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30192">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41B6D">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B6199">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E48E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8792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7FAD1">
            <w:pPr>
              <w:jc w:val="center"/>
            </w:pPr>
          </w:p>
        </w:tc>
      </w:tr>
      <w:tr w14:paraId="728DDE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DDC3E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A3C95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925B3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9C925">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F37A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2BD9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1F52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A1C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0A88B">
            <w:pPr>
              <w:jc w:val="center"/>
            </w:pPr>
          </w:p>
        </w:tc>
      </w:tr>
      <w:tr w14:paraId="5CB0B7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A6FA0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E10AE6">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70782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F93D7">
            <w:pPr>
              <w:jc w:val="center"/>
            </w:pPr>
            <w:r>
              <w:rPr>
                <w:rFonts w:ascii="宋体" w:hAnsi="宋体" w:eastAsia="宋体"/>
                <w:sz w:val="16"/>
              </w:rPr>
              <w:t>义务教育公用经费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2F5AD">
            <w:pPr>
              <w:jc w:val="center"/>
            </w:pPr>
            <w:r>
              <w:rPr>
                <w:rFonts w:ascii="宋体" w:hAnsi="宋体" w:eastAsia="宋体"/>
                <w:sz w:val="16"/>
              </w:rPr>
              <w:t>&lt;=3.29万元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E96C3">
            <w:pPr>
              <w:jc w:val="center"/>
            </w:pPr>
            <w:r>
              <w:rPr>
                <w:rFonts w:ascii="宋体" w:hAnsi="宋体" w:eastAsia="宋体"/>
                <w:sz w:val="16"/>
              </w:rPr>
              <w:t>=3.29万元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E637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58A9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85521">
            <w:pPr>
              <w:jc w:val="center"/>
            </w:pPr>
          </w:p>
        </w:tc>
      </w:tr>
      <w:tr w14:paraId="0AFC47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35D1E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00A3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537AE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2DE2E">
            <w:pPr>
              <w:jc w:val="center"/>
            </w:pPr>
            <w:r>
              <w:rPr>
                <w:rFonts w:ascii="宋体" w:hAnsi="宋体" w:eastAsia="宋体"/>
                <w:sz w:val="16"/>
              </w:rPr>
              <w:t>伙食补助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AC6B4">
            <w:pPr>
              <w:jc w:val="center"/>
            </w:pPr>
            <w:r>
              <w:rPr>
                <w:rFonts w:ascii="宋体" w:hAnsi="宋体" w:eastAsia="宋体"/>
                <w:sz w:val="16"/>
              </w:rPr>
              <w:t>&lt;=3.84万元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7D424">
            <w:pPr>
              <w:jc w:val="center"/>
            </w:pPr>
            <w:r>
              <w:rPr>
                <w:rFonts w:ascii="宋体" w:hAnsi="宋体" w:eastAsia="宋体"/>
                <w:sz w:val="16"/>
              </w:rPr>
              <w:t>=3.84万元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4AE2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7DFB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AEB7F">
            <w:pPr>
              <w:jc w:val="center"/>
            </w:pPr>
          </w:p>
        </w:tc>
      </w:tr>
      <w:tr w14:paraId="43C5FD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7975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E0C67">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83052">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A6CBC">
            <w:pPr>
              <w:jc w:val="center"/>
            </w:pPr>
            <w:r>
              <w:rPr>
                <w:rFonts w:ascii="宋体" w:hAnsi="宋体" w:eastAsia="宋体"/>
                <w:sz w:val="16"/>
              </w:rPr>
              <w:t>改善教育教学质量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C7C2B">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0B213">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CA1B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84AF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85C03">
            <w:pPr>
              <w:jc w:val="center"/>
            </w:pPr>
          </w:p>
        </w:tc>
      </w:tr>
      <w:tr w14:paraId="35363E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65C4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F128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0595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6B93D">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3E57D">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36E3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438F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D5D2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61B41">
            <w:pPr>
              <w:jc w:val="center"/>
            </w:pPr>
          </w:p>
        </w:tc>
      </w:tr>
      <w:tr w14:paraId="06C9E36A">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69C37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65182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1529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3CDD6">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469E8F4"/>
        </w:tc>
      </w:tr>
    </w:tbl>
    <w:p w14:paraId="3BEF313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DEDBBF4">
        <w:tblPrEx>
          <w:tblCellMar>
            <w:top w:w="0" w:type="dxa"/>
            <w:left w:w="108" w:type="dxa"/>
            <w:bottom w:w="0" w:type="dxa"/>
            <w:right w:w="108" w:type="dxa"/>
          </w:tblCellMar>
        </w:tblPrEx>
        <w:tc>
          <w:tcPr>
            <w:tcW w:w="8847" w:type="dxa"/>
            <w:gridSpan w:val="9"/>
            <w:vAlign w:val="center"/>
          </w:tcPr>
          <w:p w14:paraId="23296109">
            <w:pPr>
              <w:jc w:val="center"/>
            </w:pPr>
            <w:r>
              <w:rPr>
                <w:rFonts w:ascii="宋体" w:hAnsi="宋体" w:eastAsia="宋体"/>
                <w:sz w:val="24"/>
              </w:rPr>
              <w:t>项目支出绩效自评表</w:t>
            </w:r>
          </w:p>
        </w:tc>
      </w:tr>
      <w:tr w14:paraId="48169AB2">
        <w:tblPrEx>
          <w:tblCellMar>
            <w:top w:w="0" w:type="dxa"/>
            <w:left w:w="108" w:type="dxa"/>
            <w:bottom w:w="0" w:type="dxa"/>
            <w:right w:w="108" w:type="dxa"/>
          </w:tblCellMar>
        </w:tblPrEx>
        <w:tc>
          <w:tcPr>
            <w:tcW w:w="8847" w:type="dxa"/>
            <w:gridSpan w:val="9"/>
            <w:vAlign w:val="center"/>
          </w:tcPr>
          <w:p w14:paraId="559F4E6F">
            <w:pPr>
              <w:jc w:val="center"/>
            </w:pPr>
            <w:r>
              <w:rPr>
                <w:rFonts w:ascii="宋体" w:hAnsi="宋体" w:eastAsia="宋体"/>
                <w:sz w:val="24"/>
              </w:rPr>
              <w:t>(2024年度)</w:t>
            </w:r>
          </w:p>
        </w:tc>
      </w:tr>
      <w:tr w14:paraId="0A6188F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28CF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C494241">
            <w:pPr>
              <w:jc w:val="center"/>
            </w:pPr>
            <w:r>
              <w:rPr>
                <w:rFonts w:ascii="宋体" w:hAnsi="宋体" w:eastAsia="宋体"/>
                <w:sz w:val="16"/>
              </w:rPr>
              <w:t>中央直达资金-和地财教</w:t>
            </w:r>
            <w:r>
              <w:rPr>
                <w:rFonts w:hint="eastAsia" w:ascii="宋体" w:hAnsi="宋体"/>
                <w:sz w:val="16"/>
                <w:lang w:eastAsia="zh-CN"/>
              </w:rPr>
              <w:t>〔2023〕60号</w:t>
            </w:r>
            <w:r>
              <w:rPr>
                <w:rFonts w:ascii="宋体" w:hAnsi="宋体" w:eastAsia="宋体"/>
                <w:sz w:val="16"/>
              </w:rPr>
              <w:t>2024年城乡义务教育补助经费</w:t>
            </w:r>
          </w:p>
        </w:tc>
      </w:tr>
      <w:tr w14:paraId="4787274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6E61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1809B53">
            <w:pPr>
              <w:jc w:val="center"/>
            </w:pPr>
            <w:r>
              <w:rPr>
                <w:rFonts w:ascii="宋体" w:hAnsi="宋体" w:eastAsia="宋体"/>
                <w:sz w:val="16"/>
              </w:rPr>
              <w:t>洛浦县阿其克乡一贯制学校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F3D1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8958CE">
            <w:pPr>
              <w:jc w:val="center"/>
            </w:pPr>
            <w:r>
              <w:rPr>
                <w:rFonts w:ascii="宋体" w:hAnsi="宋体" w:eastAsia="宋体"/>
                <w:sz w:val="16"/>
              </w:rPr>
              <w:t>洛浦县阿其克乡一贯制学校</w:t>
            </w:r>
          </w:p>
        </w:tc>
      </w:tr>
      <w:tr w14:paraId="56D5168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42D01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3C3F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CBD4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BACB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EF00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59B4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14F2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47DCE">
            <w:pPr>
              <w:jc w:val="center"/>
            </w:pPr>
            <w:r>
              <w:rPr>
                <w:rFonts w:ascii="宋体" w:hAnsi="宋体" w:eastAsia="宋体"/>
                <w:sz w:val="16"/>
              </w:rPr>
              <w:t>得分</w:t>
            </w:r>
          </w:p>
        </w:tc>
      </w:tr>
      <w:tr w14:paraId="29D951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017FB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8AAD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97807">
            <w:pPr>
              <w:jc w:val="center"/>
            </w:pPr>
            <w:r>
              <w:rPr>
                <w:rFonts w:ascii="宋体" w:hAnsi="宋体" w:eastAsia="宋体"/>
                <w:sz w:val="16"/>
              </w:rPr>
              <w:t>75.12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25BA1">
            <w:pPr>
              <w:jc w:val="center"/>
            </w:pPr>
            <w:r>
              <w:rPr>
                <w:rFonts w:ascii="宋体" w:hAnsi="宋体" w:eastAsia="宋体"/>
                <w:sz w:val="16"/>
              </w:rPr>
              <w:t>67.74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3A6FD">
            <w:pPr>
              <w:jc w:val="center"/>
            </w:pPr>
            <w:r>
              <w:rPr>
                <w:rFonts w:ascii="宋体" w:hAnsi="宋体" w:eastAsia="宋体"/>
                <w:sz w:val="16"/>
              </w:rPr>
              <w:t>67.74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49F7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9DF0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89924">
            <w:pPr>
              <w:jc w:val="center"/>
            </w:pPr>
            <w:r>
              <w:rPr>
                <w:rFonts w:ascii="宋体" w:hAnsi="宋体" w:eastAsia="宋体"/>
                <w:sz w:val="16"/>
              </w:rPr>
              <w:t>10.00分</w:t>
            </w:r>
          </w:p>
        </w:tc>
      </w:tr>
      <w:tr w14:paraId="358332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AE0EB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C9B1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96064">
            <w:pPr>
              <w:jc w:val="center"/>
            </w:pPr>
            <w:r>
              <w:rPr>
                <w:rFonts w:ascii="宋体" w:hAnsi="宋体" w:eastAsia="宋体"/>
                <w:sz w:val="16"/>
              </w:rPr>
              <w:t>75.12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C73F6">
            <w:pPr>
              <w:jc w:val="center"/>
            </w:pPr>
            <w:r>
              <w:rPr>
                <w:rFonts w:ascii="宋体" w:hAnsi="宋体" w:eastAsia="宋体"/>
                <w:sz w:val="16"/>
              </w:rPr>
              <w:t>67.74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881E2">
            <w:pPr>
              <w:jc w:val="center"/>
            </w:pPr>
            <w:r>
              <w:rPr>
                <w:rFonts w:ascii="宋体" w:hAnsi="宋体" w:eastAsia="宋体"/>
                <w:sz w:val="16"/>
              </w:rPr>
              <w:t>67.74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2F16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4782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EA9F4">
            <w:pPr>
              <w:jc w:val="center"/>
            </w:pPr>
            <w:r>
              <w:rPr>
                <w:rFonts w:ascii="宋体" w:hAnsi="宋体" w:eastAsia="宋体"/>
                <w:sz w:val="16"/>
              </w:rPr>
              <w:t>—</w:t>
            </w:r>
          </w:p>
        </w:tc>
      </w:tr>
      <w:tr w14:paraId="114A2A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D96F3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F629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F32A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67BF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BA5E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CAFC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21FD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F7991">
            <w:pPr>
              <w:jc w:val="center"/>
            </w:pPr>
            <w:r>
              <w:rPr>
                <w:rFonts w:ascii="宋体" w:hAnsi="宋体" w:eastAsia="宋体"/>
                <w:sz w:val="16"/>
              </w:rPr>
              <w:t>—</w:t>
            </w:r>
          </w:p>
        </w:tc>
      </w:tr>
      <w:tr w14:paraId="5A6DE5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42044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E1CB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E642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D208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7EE2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70D4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9FC7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C8C8F">
            <w:pPr>
              <w:jc w:val="center"/>
            </w:pPr>
            <w:r>
              <w:rPr>
                <w:rFonts w:ascii="宋体" w:hAnsi="宋体" w:eastAsia="宋体"/>
                <w:sz w:val="16"/>
              </w:rPr>
              <w:t>—</w:t>
            </w:r>
          </w:p>
        </w:tc>
      </w:tr>
      <w:tr w14:paraId="1556036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2D4A4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4FD17D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4E3263">
            <w:pPr>
              <w:jc w:val="center"/>
            </w:pPr>
            <w:r>
              <w:rPr>
                <w:rFonts w:ascii="宋体" w:hAnsi="宋体" w:eastAsia="宋体"/>
                <w:sz w:val="16"/>
              </w:rPr>
              <w:t>实际完成情况</w:t>
            </w:r>
          </w:p>
        </w:tc>
      </w:tr>
      <w:tr w14:paraId="5D5DAE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C7780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C116D46">
            <w:pPr>
              <w:jc w:val="both"/>
            </w:pPr>
            <w:r>
              <w:rPr>
                <w:rFonts w:hint="eastAsia" w:ascii="宋体" w:hAnsi="宋体"/>
                <w:sz w:val="16"/>
                <w:lang w:eastAsia="zh-CN"/>
              </w:rPr>
              <w:t>1.</w:t>
            </w:r>
            <w:r>
              <w:rPr>
                <w:rFonts w:ascii="宋体" w:hAnsi="宋体" w:eastAsia="宋体"/>
                <w:sz w:val="16"/>
              </w:rPr>
              <w:t>计划保障学生数量327人，保障在职人员数量38人，60号文件支出64.74万元，公用经费31.37万元、营养改善25.64万元，寄宿生生活补助7.82万元，非寄宿生生活补助2.91万元。通过保障部门正常运转，有效提升学校的教育教学能力，持续推行素质教育，争取受益学生及受益在职人员满意度达到95%以上。2、保障</w:t>
            </w:r>
            <w:r>
              <w:rPr>
                <w:rFonts w:hint="eastAsia" w:ascii="宋体" w:hAnsi="宋体"/>
                <w:sz w:val="16"/>
                <w:lang w:eastAsia="zh-CN"/>
              </w:rPr>
              <w:t>本单位</w:t>
            </w:r>
            <w:r>
              <w:rPr>
                <w:rFonts w:ascii="宋体" w:hAnsi="宋体" w:eastAsia="宋体"/>
                <w:sz w:val="16"/>
              </w:rPr>
              <w:t>全年在职人员的工资、津贴、奖金、离休费、退休人员生活补助、医疗保险、养老保险、住房公积金等开支。以及用于日常办公、业务活动方面的经常性开支，包括：办公费、水电费、取暖费、差旅费、公务用车交通费等。3、按照九年义务教育课程计划，开齐课程，开足课时，认真实施中小学的教育教学管理，全面推进素质教育，全面提高教育教学质量，组织开展本镇中小学的教育教学科研和教育教学改革，以科学的发展观和以人为本的管理理念注重学生的全面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E8B59D">
            <w:pPr>
              <w:jc w:val="both"/>
            </w:pPr>
            <w:r>
              <w:rPr>
                <w:rFonts w:hint="eastAsia" w:ascii="宋体" w:hAnsi="宋体"/>
                <w:sz w:val="16"/>
                <w:lang w:eastAsia="zh-CN"/>
              </w:rPr>
              <w:t>截至2024</w:t>
            </w:r>
            <w:r>
              <w:rPr>
                <w:rFonts w:ascii="宋体" w:hAnsi="宋体" w:eastAsia="宋体"/>
                <w:sz w:val="16"/>
              </w:rPr>
              <w:t>年12月。</w:t>
            </w:r>
            <w:r>
              <w:rPr>
                <w:rFonts w:hint="eastAsia" w:ascii="宋体" w:hAnsi="宋体"/>
                <w:sz w:val="16"/>
                <w:lang w:eastAsia="zh-CN"/>
              </w:rPr>
              <w:t>本单位</w:t>
            </w:r>
            <w:r>
              <w:rPr>
                <w:rFonts w:ascii="宋体" w:hAnsi="宋体" w:eastAsia="宋体"/>
                <w:sz w:val="16"/>
              </w:rPr>
              <w:t>已完成保障317名学生的营养改善、寄宿生生活补助、非寄宿生生活补助以及学校公用经费的资金使用。通过项目的实施，有效改善。改善教育教学质量。</w:t>
            </w:r>
          </w:p>
        </w:tc>
      </w:tr>
      <w:tr w14:paraId="68B9D5E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519547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0565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F1AC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C5FB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8E17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0A18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FEEA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817D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80DFE">
            <w:pPr>
              <w:jc w:val="center"/>
            </w:pPr>
            <w:r>
              <w:rPr>
                <w:rFonts w:ascii="宋体" w:hAnsi="宋体" w:eastAsia="宋体"/>
                <w:sz w:val="16"/>
              </w:rPr>
              <w:t>偏差原因分析及改进措施</w:t>
            </w:r>
          </w:p>
        </w:tc>
      </w:tr>
      <w:tr w14:paraId="4A7EDBA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AAA87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101E64">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6DBF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B1A20">
            <w:pPr>
              <w:jc w:val="center"/>
            </w:pPr>
            <w:r>
              <w:rPr>
                <w:rFonts w:ascii="宋体" w:hAnsi="宋体" w:eastAsia="宋体"/>
                <w:sz w:val="16"/>
              </w:rPr>
              <w:t>城乡义务教育补助经费受益学生数量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FE992">
            <w:pPr>
              <w:jc w:val="center"/>
            </w:pPr>
            <w:r>
              <w:rPr>
                <w:rFonts w:ascii="宋体" w:hAnsi="宋体" w:eastAsia="宋体"/>
                <w:sz w:val="16"/>
              </w:rPr>
              <w:t>=327人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6AF0F">
            <w:pPr>
              <w:jc w:val="center"/>
            </w:pPr>
            <w:r>
              <w:rPr>
                <w:rFonts w:ascii="宋体" w:hAnsi="宋体" w:eastAsia="宋体"/>
                <w:sz w:val="16"/>
              </w:rPr>
              <w:t>=327人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732C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A9EE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DE284">
            <w:pPr>
              <w:jc w:val="center"/>
            </w:pPr>
          </w:p>
        </w:tc>
      </w:tr>
      <w:tr w14:paraId="2F05EB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3F9A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20CA9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7F97C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9238F">
            <w:pPr>
              <w:jc w:val="center"/>
            </w:pPr>
            <w:r>
              <w:rPr>
                <w:rFonts w:ascii="宋体" w:hAnsi="宋体" w:eastAsia="宋体"/>
                <w:sz w:val="16"/>
              </w:rPr>
              <w:t>补助资金到位率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63A3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CFC4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82ED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B431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54EF0">
            <w:pPr>
              <w:jc w:val="center"/>
            </w:pPr>
          </w:p>
        </w:tc>
      </w:tr>
      <w:tr w14:paraId="13C36C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BA2C9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29D13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AB7D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6453F">
            <w:pPr>
              <w:jc w:val="center"/>
            </w:pPr>
            <w:r>
              <w:rPr>
                <w:rFonts w:ascii="宋体" w:hAnsi="宋体" w:eastAsia="宋体"/>
                <w:sz w:val="16"/>
              </w:rPr>
              <w:t>补助资金准确率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A864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2EB6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5FE6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F914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4B04E">
            <w:pPr>
              <w:jc w:val="center"/>
            </w:pPr>
          </w:p>
        </w:tc>
      </w:tr>
      <w:tr w14:paraId="402872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C3447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BB147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94D4F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EE332">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19CF5">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0F374">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9A1C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B22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5CA4E">
            <w:pPr>
              <w:jc w:val="center"/>
            </w:pPr>
          </w:p>
        </w:tc>
      </w:tr>
      <w:tr w14:paraId="3672CE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4E55F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B608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CE6CB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3A786">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AD80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1D36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243E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66A5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9E9EE">
            <w:pPr>
              <w:jc w:val="center"/>
            </w:pPr>
          </w:p>
        </w:tc>
      </w:tr>
      <w:tr w14:paraId="0DDAD2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6C5B1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8F7E4C">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2EF2A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7F87A">
            <w:pPr>
              <w:jc w:val="center"/>
            </w:pPr>
            <w:r>
              <w:rPr>
                <w:rFonts w:ascii="宋体" w:hAnsi="宋体" w:eastAsia="宋体"/>
                <w:sz w:val="16"/>
              </w:rPr>
              <w:t>义务教育公用经费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0C5A8">
            <w:pPr>
              <w:jc w:val="center"/>
            </w:pPr>
            <w:r>
              <w:rPr>
                <w:rFonts w:ascii="宋体" w:hAnsi="宋体" w:eastAsia="宋体"/>
                <w:sz w:val="16"/>
              </w:rPr>
              <w:t>&lt;=31.37万元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50852">
            <w:pPr>
              <w:jc w:val="center"/>
            </w:pPr>
            <w:r>
              <w:rPr>
                <w:rFonts w:ascii="宋体" w:hAnsi="宋体" w:eastAsia="宋体"/>
                <w:sz w:val="16"/>
              </w:rPr>
              <w:t>=31.37万元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8177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251C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92A8B">
            <w:pPr>
              <w:jc w:val="center"/>
            </w:pPr>
          </w:p>
        </w:tc>
      </w:tr>
      <w:tr w14:paraId="1B6F5F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1EAB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EDFE9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1435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744FD">
            <w:pPr>
              <w:jc w:val="center"/>
            </w:pPr>
            <w:r>
              <w:rPr>
                <w:rFonts w:ascii="宋体" w:hAnsi="宋体" w:eastAsia="宋体"/>
                <w:sz w:val="16"/>
              </w:rPr>
              <w:t>营养改善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948B3">
            <w:pPr>
              <w:jc w:val="center"/>
            </w:pPr>
            <w:r>
              <w:rPr>
                <w:rFonts w:ascii="宋体" w:hAnsi="宋体" w:eastAsia="宋体"/>
                <w:sz w:val="16"/>
              </w:rPr>
              <w:t>&lt;=25.64万元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E225B">
            <w:pPr>
              <w:jc w:val="center"/>
            </w:pPr>
            <w:r>
              <w:rPr>
                <w:rFonts w:ascii="宋体" w:hAnsi="宋体" w:eastAsia="宋体"/>
                <w:sz w:val="16"/>
              </w:rPr>
              <w:t>=25.64万元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78CC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4EC8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20050">
            <w:pPr>
              <w:jc w:val="center"/>
            </w:pPr>
          </w:p>
        </w:tc>
      </w:tr>
      <w:tr w14:paraId="5789C2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C14F3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B29E6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1105C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7AAAB">
            <w:pPr>
              <w:jc w:val="center"/>
            </w:pPr>
            <w:r>
              <w:rPr>
                <w:rFonts w:ascii="宋体" w:hAnsi="宋体" w:eastAsia="宋体"/>
                <w:sz w:val="16"/>
              </w:rPr>
              <w:t>寄宿生补助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C858F">
            <w:pPr>
              <w:jc w:val="center"/>
            </w:pPr>
            <w:r>
              <w:rPr>
                <w:rFonts w:ascii="宋体" w:hAnsi="宋体" w:eastAsia="宋体"/>
                <w:sz w:val="16"/>
              </w:rPr>
              <w:t>&lt;=7.82万元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3D9F0">
            <w:pPr>
              <w:jc w:val="center"/>
            </w:pPr>
            <w:r>
              <w:rPr>
                <w:rFonts w:ascii="宋体" w:hAnsi="宋体" w:eastAsia="宋体"/>
                <w:sz w:val="16"/>
              </w:rPr>
              <w:t>=7.82万元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8B41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D193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27B54">
            <w:pPr>
              <w:jc w:val="center"/>
            </w:pPr>
          </w:p>
        </w:tc>
      </w:tr>
      <w:tr w14:paraId="59F36C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60DED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946C2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BD54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D35F2">
            <w:pPr>
              <w:jc w:val="center"/>
            </w:pPr>
            <w:r>
              <w:rPr>
                <w:rFonts w:ascii="宋体" w:hAnsi="宋体" w:eastAsia="宋体"/>
                <w:sz w:val="16"/>
              </w:rPr>
              <w:t>非寄宿生生活补助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AB750">
            <w:pPr>
              <w:jc w:val="center"/>
            </w:pPr>
            <w:r>
              <w:rPr>
                <w:rFonts w:ascii="宋体" w:hAnsi="宋体" w:eastAsia="宋体"/>
                <w:sz w:val="16"/>
              </w:rPr>
              <w:t>&lt;=2.91万元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774FB">
            <w:pPr>
              <w:jc w:val="center"/>
            </w:pPr>
            <w:r>
              <w:rPr>
                <w:rFonts w:ascii="宋体" w:hAnsi="宋体" w:eastAsia="宋体"/>
                <w:sz w:val="16"/>
              </w:rPr>
              <w:t>=2.91万元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6119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96D9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EBDCB">
            <w:pPr>
              <w:jc w:val="center"/>
            </w:pPr>
          </w:p>
        </w:tc>
      </w:tr>
      <w:tr w14:paraId="078086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53B4D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E89F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B3ED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B4A4E">
            <w:pPr>
              <w:jc w:val="center"/>
            </w:pPr>
            <w:r>
              <w:rPr>
                <w:rFonts w:ascii="宋体" w:hAnsi="宋体" w:eastAsia="宋体"/>
                <w:sz w:val="16"/>
              </w:rPr>
              <w:t>改善教育教学质量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920AD">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86CD5">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AAF7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1D99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DB567">
            <w:pPr>
              <w:jc w:val="center"/>
            </w:pPr>
          </w:p>
        </w:tc>
      </w:tr>
      <w:tr w14:paraId="2CCFB3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EAA65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4C8D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93A5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536BA">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EB296">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E023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23B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8A2F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B10A5">
            <w:pPr>
              <w:jc w:val="center"/>
            </w:pPr>
          </w:p>
        </w:tc>
      </w:tr>
      <w:tr w14:paraId="10CF9AF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2B733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C5C8D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837C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D3EA8">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121E280"/>
        </w:tc>
      </w:tr>
    </w:tbl>
    <w:p w14:paraId="0796472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C31C8BD">
        <w:tc>
          <w:tcPr>
            <w:tcW w:w="8847" w:type="dxa"/>
            <w:gridSpan w:val="9"/>
            <w:vAlign w:val="center"/>
          </w:tcPr>
          <w:p w14:paraId="33D8552A">
            <w:pPr>
              <w:jc w:val="center"/>
            </w:pPr>
            <w:r>
              <w:rPr>
                <w:rFonts w:ascii="宋体" w:hAnsi="宋体" w:eastAsia="宋体"/>
                <w:sz w:val="24"/>
              </w:rPr>
              <w:t>项目支出绩效自评表</w:t>
            </w:r>
          </w:p>
        </w:tc>
      </w:tr>
      <w:tr w14:paraId="2225CB0E">
        <w:tblPrEx>
          <w:tblCellMar>
            <w:top w:w="0" w:type="dxa"/>
            <w:left w:w="108" w:type="dxa"/>
            <w:bottom w:w="0" w:type="dxa"/>
            <w:right w:w="108" w:type="dxa"/>
          </w:tblCellMar>
        </w:tblPrEx>
        <w:tc>
          <w:tcPr>
            <w:tcW w:w="8847" w:type="dxa"/>
            <w:gridSpan w:val="9"/>
            <w:vAlign w:val="center"/>
          </w:tcPr>
          <w:p w14:paraId="29FE0958">
            <w:pPr>
              <w:jc w:val="center"/>
            </w:pPr>
            <w:r>
              <w:rPr>
                <w:rFonts w:ascii="宋体" w:hAnsi="宋体" w:eastAsia="宋体"/>
                <w:sz w:val="24"/>
              </w:rPr>
              <w:t>(2024年度)</w:t>
            </w:r>
          </w:p>
        </w:tc>
      </w:tr>
      <w:tr w14:paraId="26737F1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6D52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DF95EA2">
            <w:pPr>
              <w:jc w:val="center"/>
            </w:pPr>
            <w:r>
              <w:rPr>
                <w:rFonts w:ascii="宋体" w:hAnsi="宋体" w:eastAsia="宋体"/>
                <w:sz w:val="16"/>
              </w:rPr>
              <w:t>中央直达资金-和地财教</w:t>
            </w:r>
            <w:r>
              <w:rPr>
                <w:rFonts w:hint="eastAsia" w:ascii="宋体" w:hAnsi="宋体"/>
                <w:sz w:val="16"/>
                <w:lang w:eastAsia="zh-CN"/>
              </w:rPr>
              <w:t>〔2024〕18号</w:t>
            </w:r>
            <w:r>
              <w:rPr>
                <w:rFonts w:ascii="宋体" w:hAnsi="宋体" w:eastAsia="宋体"/>
                <w:sz w:val="16"/>
              </w:rPr>
              <w:t>：2024年城乡义务教育补助经费</w:t>
            </w:r>
          </w:p>
        </w:tc>
      </w:tr>
      <w:tr w14:paraId="0C5B15C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60ED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C5B8CD7">
            <w:pPr>
              <w:jc w:val="center"/>
            </w:pPr>
            <w:r>
              <w:rPr>
                <w:rFonts w:ascii="宋体" w:hAnsi="宋体" w:eastAsia="宋体"/>
                <w:sz w:val="16"/>
              </w:rPr>
              <w:t>洛浦县阿其克乡一贯制学校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9083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EDBAEA">
            <w:pPr>
              <w:jc w:val="center"/>
            </w:pPr>
            <w:r>
              <w:rPr>
                <w:rFonts w:ascii="宋体" w:hAnsi="宋体" w:eastAsia="宋体"/>
                <w:sz w:val="16"/>
              </w:rPr>
              <w:t>洛浦县阿其克乡一贯制学校</w:t>
            </w:r>
          </w:p>
        </w:tc>
      </w:tr>
      <w:tr w14:paraId="4520A44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67059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8A46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A857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A4DA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E701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0CC3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5F10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BFF2F">
            <w:pPr>
              <w:jc w:val="center"/>
            </w:pPr>
            <w:r>
              <w:rPr>
                <w:rFonts w:ascii="宋体" w:hAnsi="宋体" w:eastAsia="宋体"/>
                <w:sz w:val="16"/>
              </w:rPr>
              <w:t>得分</w:t>
            </w:r>
          </w:p>
        </w:tc>
      </w:tr>
      <w:tr w14:paraId="1E5B8E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0EFFA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7A21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2A33F">
            <w:pPr>
              <w:jc w:val="center"/>
            </w:pPr>
            <w:r>
              <w:rPr>
                <w:rFonts w:ascii="宋体" w:hAnsi="宋体" w:eastAsia="宋体"/>
                <w:sz w:val="16"/>
              </w:rPr>
              <w:t>18.14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D2873">
            <w:pPr>
              <w:jc w:val="center"/>
            </w:pPr>
            <w:r>
              <w:rPr>
                <w:rFonts w:ascii="宋体" w:hAnsi="宋体" w:eastAsia="宋体"/>
                <w:sz w:val="16"/>
              </w:rPr>
              <w:t>18.14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48448">
            <w:pPr>
              <w:jc w:val="center"/>
            </w:pPr>
            <w:r>
              <w:rPr>
                <w:rFonts w:ascii="宋体" w:hAnsi="宋体" w:eastAsia="宋体"/>
                <w:sz w:val="16"/>
              </w:rPr>
              <w:t>14.63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F0BD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122DA">
            <w:pPr>
              <w:jc w:val="center"/>
            </w:pPr>
            <w:r>
              <w:rPr>
                <w:rFonts w:ascii="宋体" w:hAnsi="宋体" w:eastAsia="宋体"/>
                <w:sz w:val="16"/>
              </w:rPr>
              <w:t>68.35%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18049">
            <w:pPr>
              <w:jc w:val="center"/>
            </w:pPr>
            <w:r>
              <w:rPr>
                <w:rFonts w:ascii="宋体" w:hAnsi="宋体" w:eastAsia="宋体"/>
                <w:sz w:val="16"/>
              </w:rPr>
              <w:t>6.84分</w:t>
            </w:r>
          </w:p>
        </w:tc>
      </w:tr>
      <w:tr w14:paraId="4CB17B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B0D1F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3435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38F93">
            <w:pPr>
              <w:jc w:val="center"/>
            </w:pPr>
            <w:r>
              <w:rPr>
                <w:rFonts w:ascii="宋体" w:hAnsi="宋体" w:eastAsia="宋体"/>
                <w:sz w:val="16"/>
              </w:rPr>
              <w:t>18.14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DB43B">
            <w:pPr>
              <w:jc w:val="center"/>
            </w:pPr>
            <w:r>
              <w:rPr>
                <w:rFonts w:ascii="宋体" w:hAnsi="宋体" w:eastAsia="宋体"/>
                <w:sz w:val="16"/>
              </w:rPr>
              <w:t>18.14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FBBFB">
            <w:pPr>
              <w:jc w:val="center"/>
            </w:pPr>
            <w:r>
              <w:rPr>
                <w:rFonts w:ascii="宋体" w:hAnsi="宋体" w:eastAsia="宋体"/>
                <w:sz w:val="16"/>
              </w:rPr>
              <w:t>14.63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144C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6D00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E766A">
            <w:pPr>
              <w:jc w:val="center"/>
            </w:pPr>
            <w:r>
              <w:rPr>
                <w:rFonts w:ascii="宋体" w:hAnsi="宋体" w:eastAsia="宋体"/>
                <w:sz w:val="16"/>
              </w:rPr>
              <w:t>—</w:t>
            </w:r>
          </w:p>
        </w:tc>
      </w:tr>
      <w:tr w14:paraId="3C7A73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24075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B4DA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6A05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2C56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4DF9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5343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1F1C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005CE">
            <w:pPr>
              <w:jc w:val="center"/>
            </w:pPr>
            <w:r>
              <w:rPr>
                <w:rFonts w:ascii="宋体" w:hAnsi="宋体" w:eastAsia="宋体"/>
                <w:sz w:val="16"/>
              </w:rPr>
              <w:t>—</w:t>
            </w:r>
          </w:p>
        </w:tc>
      </w:tr>
      <w:tr w14:paraId="2A1485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35CEB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CC89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02AD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219C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1C8D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DCAB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7A8C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4CDD3">
            <w:pPr>
              <w:jc w:val="center"/>
            </w:pPr>
            <w:r>
              <w:rPr>
                <w:rFonts w:ascii="宋体" w:hAnsi="宋体" w:eastAsia="宋体"/>
                <w:sz w:val="16"/>
              </w:rPr>
              <w:t>—</w:t>
            </w:r>
          </w:p>
        </w:tc>
      </w:tr>
      <w:tr w14:paraId="6685458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B0786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3009F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4A8B2E">
            <w:pPr>
              <w:jc w:val="center"/>
            </w:pPr>
            <w:r>
              <w:rPr>
                <w:rFonts w:ascii="宋体" w:hAnsi="宋体" w:eastAsia="宋体"/>
                <w:sz w:val="16"/>
              </w:rPr>
              <w:t>实际完成情况</w:t>
            </w:r>
          </w:p>
        </w:tc>
      </w:tr>
      <w:tr w14:paraId="48E558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30E4A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91E2E9">
            <w:pPr>
              <w:jc w:val="both"/>
            </w:pPr>
            <w:r>
              <w:rPr>
                <w:rFonts w:ascii="宋体" w:hAnsi="宋体" w:eastAsia="宋体"/>
                <w:sz w:val="16"/>
              </w:rPr>
              <w:t>根据文件实施该项目，项目主要内容：项目资金主要用于保障327名在校学生正常的校园生活。通过项目的实施，有效保障学校正常运转，争取受益学生满意度达到95%以上。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2953D1">
            <w:pPr>
              <w:jc w:val="both"/>
            </w:pPr>
            <w:r>
              <w:rPr>
                <w:rFonts w:ascii="宋体" w:hAnsi="宋体" w:eastAsia="宋体"/>
                <w:sz w:val="16"/>
              </w:rPr>
              <w:t>截至目前2024年12月31日，</w:t>
            </w:r>
            <w:r>
              <w:rPr>
                <w:rFonts w:hint="eastAsia" w:ascii="宋体" w:hAnsi="宋体"/>
                <w:sz w:val="16"/>
                <w:lang w:eastAsia="zh-CN"/>
              </w:rPr>
              <w:t>本单位</w:t>
            </w:r>
            <w:r>
              <w:rPr>
                <w:rFonts w:ascii="宋体" w:hAnsi="宋体" w:eastAsia="宋体"/>
                <w:sz w:val="16"/>
              </w:rPr>
              <w:t>已保障327名在校学生正常的校园生活。资金已使用14.63万元。通过项目的实施，有效保障学校正常运转，争取受益学生满意度达到95%以上。</w:t>
            </w:r>
          </w:p>
        </w:tc>
      </w:tr>
      <w:tr w14:paraId="02999B6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828A9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57BE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438C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9006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D211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6034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FC01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3069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2976D">
            <w:pPr>
              <w:jc w:val="center"/>
            </w:pPr>
            <w:r>
              <w:rPr>
                <w:rFonts w:ascii="宋体" w:hAnsi="宋体" w:eastAsia="宋体"/>
                <w:sz w:val="16"/>
              </w:rPr>
              <w:t>偏差原因分析及改进措施</w:t>
            </w:r>
          </w:p>
        </w:tc>
      </w:tr>
      <w:tr w14:paraId="5B732D1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0971F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169FE7">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1379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91452">
            <w:pPr>
              <w:jc w:val="center"/>
            </w:pPr>
            <w:r>
              <w:rPr>
                <w:rFonts w:ascii="宋体" w:hAnsi="宋体" w:eastAsia="宋体"/>
                <w:sz w:val="16"/>
              </w:rPr>
              <w:t>保障学生人数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93C8D">
            <w:pPr>
              <w:jc w:val="center"/>
            </w:pPr>
            <w:r>
              <w:rPr>
                <w:rFonts w:ascii="宋体" w:hAnsi="宋体" w:eastAsia="宋体"/>
                <w:sz w:val="16"/>
              </w:rPr>
              <w:t>&gt;=327人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C4A50">
            <w:pPr>
              <w:jc w:val="center"/>
            </w:pPr>
            <w:r>
              <w:rPr>
                <w:rFonts w:ascii="宋体" w:hAnsi="宋体" w:eastAsia="宋体"/>
                <w:sz w:val="16"/>
              </w:rPr>
              <w:t>=327人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A29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B84C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4A5F1">
            <w:pPr>
              <w:jc w:val="center"/>
            </w:pPr>
          </w:p>
        </w:tc>
      </w:tr>
      <w:tr w14:paraId="263AE5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B9AD6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8A1AA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227D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A9F02">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56D7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86E5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23F1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70C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EDE65">
            <w:pPr>
              <w:jc w:val="center"/>
            </w:pPr>
          </w:p>
        </w:tc>
      </w:tr>
      <w:tr w14:paraId="70C2E6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833CC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23605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6CC2F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CDCA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27C4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4BCE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940E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3B26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2226E">
            <w:pPr>
              <w:jc w:val="center"/>
            </w:pPr>
          </w:p>
        </w:tc>
      </w:tr>
      <w:tr w14:paraId="66ED7D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9858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F1FF4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7EBC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21B5A">
            <w:pPr>
              <w:jc w:val="center"/>
            </w:pPr>
            <w:r>
              <w:rPr>
                <w:rFonts w:ascii="宋体" w:hAnsi="宋体" w:eastAsia="宋体"/>
                <w:sz w:val="16"/>
              </w:rPr>
              <w:t>资金使用及时率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767C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E92B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A411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961B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029DC">
            <w:pPr>
              <w:jc w:val="center"/>
            </w:pPr>
          </w:p>
        </w:tc>
      </w:tr>
      <w:tr w14:paraId="51984B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0D3B9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22D933">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C3564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2E779">
            <w:pPr>
              <w:jc w:val="center"/>
            </w:pPr>
            <w:r>
              <w:rPr>
                <w:rFonts w:ascii="宋体" w:hAnsi="宋体" w:eastAsia="宋体"/>
                <w:sz w:val="16"/>
              </w:rPr>
              <w:t>营养改善资金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C7AE5">
            <w:pPr>
              <w:jc w:val="center"/>
            </w:pPr>
            <w:r>
              <w:rPr>
                <w:rFonts w:ascii="宋体" w:hAnsi="宋体" w:eastAsia="宋体"/>
                <w:sz w:val="16"/>
              </w:rPr>
              <w:t>&lt;=2.99万元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699CC">
            <w:pPr>
              <w:jc w:val="center"/>
            </w:pPr>
            <w:r>
              <w:rPr>
                <w:rFonts w:ascii="宋体" w:hAnsi="宋体" w:eastAsia="宋体"/>
                <w:sz w:val="16"/>
              </w:rPr>
              <w:t>2.99万元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2350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AFDE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3AAAD">
            <w:pPr>
              <w:jc w:val="center"/>
            </w:pPr>
          </w:p>
        </w:tc>
      </w:tr>
      <w:tr w14:paraId="564A17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45CD0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C780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2B9E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80D00">
            <w:pPr>
              <w:jc w:val="center"/>
            </w:pPr>
            <w:r>
              <w:rPr>
                <w:rFonts w:ascii="宋体" w:hAnsi="宋体" w:eastAsia="宋体"/>
                <w:sz w:val="16"/>
              </w:rPr>
              <w:t>公用经费资金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023D2">
            <w:pPr>
              <w:jc w:val="center"/>
            </w:pPr>
            <w:r>
              <w:rPr>
                <w:rFonts w:ascii="宋体" w:hAnsi="宋体" w:eastAsia="宋体"/>
                <w:sz w:val="16"/>
              </w:rPr>
              <w:t>&lt;=9.31万元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07ED6">
            <w:pPr>
              <w:jc w:val="center"/>
            </w:pPr>
            <w:r>
              <w:rPr>
                <w:rFonts w:ascii="宋体" w:hAnsi="宋体" w:eastAsia="宋体"/>
                <w:sz w:val="16"/>
              </w:rPr>
              <w:t>5.79万元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B084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3795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35361">
            <w:pPr>
              <w:jc w:val="center"/>
            </w:pPr>
          </w:p>
        </w:tc>
      </w:tr>
      <w:tr w14:paraId="5D97CB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239C1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2872A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E3A61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FA82F">
            <w:pPr>
              <w:jc w:val="center"/>
            </w:pPr>
            <w:r>
              <w:rPr>
                <w:rFonts w:ascii="宋体" w:hAnsi="宋体" w:eastAsia="宋体"/>
                <w:sz w:val="16"/>
              </w:rPr>
              <w:t>家庭困难生活补助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C03CC">
            <w:pPr>
              <w:jc w:val="center"/>
            </w:pPr>
            <w:r>
              <w:rPr>
                <w:rFonts w:ascii="宋体" w:hAnsi="宋体" w:eastAsia="宋体"/>
                <w:sz w:val="16"/>
              </w:rPr>
              <w:t>&lt;=5.84万元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90FED">
            <w:pPr>
              <w:jc w:val="center"/>
            </w:pPr>
            <w:r>
              <w:rPr>
                <w:rFonts w:ascii="宋体" w:hAnsi="宋体" w:eastAsia="宋体"/>
                <w:sz w:val="16"/>
              </w:rPr>
              <w:t>5.84万元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BBAA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4A31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0B6D6">
            <w:pPr>
              <w:jc w:val="center"/>
            </w:pPr>
          </w:p>
        </w:tc>
      </w:tr>
      <w:tr w14:paraId="0EECD6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0486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954A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C22F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FC7E1">
            <w:pPr>
              <w:jc w:val="center"/>
            </w:pPr>
            <w:r>
              <w:rPr>
                <w:rFonts w:ascii="宋体" w:hAnsi="宋体" w:eastAsia="宋体"/>
                <w:sz w:val="16"/>
              </w:rPr>
              <w:t>保障学校正常运转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B70BD">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13594">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F2BC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950B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20093">
            <w:pPr>
              <w:jc w:val="center"/>
            </w:pPr>
          </w:p>
        </w:tc>
      </w:tr>
      <w:tr w14:paraId="267B53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87984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61D6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2A90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BBDCD">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292D7">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08AF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6075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232D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B834D">
            <w:pPr>
              <w:jc w:val="center"/>
            </w:pPr>
          </w:p>
        </w:tc>
      </w:tr>
      <w:tr w14:paraId="1AFFD6B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5BA748">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7E51D3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85ED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62926">
            <w:pPr>
              <w:jc w:val="center"/>
            </w:pPr>
            <w:r>
              <w:rPr>
                <w:rFonts w:ascii="宋体" w:hAnsi="宋体" w:eastAsia="宋体"/>
                <w:sz w:val="16"/>
              </w:rPr>
              <w:t>96.84分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C96D3D5"/>
        </w:tc>
      </w:tr>
    </w:tbl>
    <w:p w14:paraId="669ED59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6528D9B">
        <w:tblPrEx>
          <w:tblCellMar>
            <w:top w:w="0" w:type="dxa"/>
            <w:left w:w="108" w:type="dxa"/>
            <w:bottom w:w="0" w:type="dxa"/>
            <w:right w:w="108" w:type="dxa"/>
          </w:tblCellMar>
        </w:tblPrEx>
        <w:tc>
          <w:tcPr>
            <w:tcW w:w="8847" w:type="dxa"/>
            <w:gridSpan w:val="9"/>
            <w:vAlign w:val="center"/>
          </w:tcPr>
          <w:p w14:paraId="5F6FBC52">
            <w:pPr>
              <w:jc w:val="center"/>
            </w:pPr>
            <w:r>
              <w:rPr>
                <w:rFonts w:ascii="宋体" w:hAnsi="宋体" w:eastAsia="宋体"/>
                <w:sz w:val="24"/>
              </w:rPr>
              <w:t>项目支出绩效自评表</w:t>
            </w:r>
          </w:p>
        </w:tc>
      </w:tr>
      <w:tr w14:paraId="3CF2481D">
        <w:tblPrEx>
          <w:tblCellMar>
            <w:top w:w="0" w:type="dxa"/>
            <w:left w:w="108" w:type="dxa"/>
            <w:bottom w:w="0" w:type="dxa"/>
            <w:right w:w="108" w:type="dxa"/>
          </w:tblCellMar>
        </w:tblPrEx>
        <w:tc>
          <w:tcPr>
            <w:tcW w:w="8847" w:type="dxa"/>
            <w:gridSpan w:val="9"/>
            <w:vAlign w:val="center"/>
          </w:tcPr>
          <w:p w14:paraId="77056C39">
            <w:pPr>
              <w:jc w:val="center"/>
            </w:pPr>
            <w:r>
              <w:rPr>
                <w:rFonts w:ascii="宋体" w:hAnsi="宋体" w:eastAsia="宋体"/>
                <w:sz w:val="24"/>
              </w:rPr>
              <w:t>(2024年度)</w:t>
            </w:r>
          </w:p>
        </w:tc>
      </w:tr>
      <w:tr w14:paraId="35233DD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1DB8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AB411D1">
            <w:pPr>
              <w:jc w:val="center"/>
            </w:pPr>
            <w:r>
              <w:rPr>
                <w:rFonts w:ascii="宋体" w:hAnsi="宋体" w:eastAsia="宋体"/>
                <w:sz w:val="16"/>
              </w:rPr>
              <w:t>自治区直达资金-和地财教</w:t>
            </w:r>
            <w:r>
              <w:rPr>
                <w:rFonts w:hint="eastAsia" w:ascii="宋体" w:hAnsi="宋体"/>
                <w:sz w:val="16"/>
                <w:lang w:eastAsia="zh-CN"/>
              </w:rPr>
              <w:t>〔2023〕70号</w:t>
            </w:r>
            <w:r>
              <w:rPr>
                <w:rFonts w:ascii="宋体" w:hAnsi="宋体" w:eastAsia="宋体"/>
                <w:sz w:val="16"/>
              </w:rPr>
              <w:t>：2024年自治区城乡义务教育补助经费</w:t>
            </w:r>
          </w:p>
        </w:tc>
      </w:tr>
      <w:tr w14:paraId="196EA21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7433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732561D">
            <w:pPr>
              <w:jc w:val="center"/>
            </w:pPr>
            <w:r>
              <w:rPr>
                <w:rFonts w:ascii="宋体" w:hAnsi="宋体" w:eastAsia="宋体"/>
                <w:sz w:val="16"/>
              </w:rPr>
              <w:t>洛浦县阿其克乡一贯制学校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1045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17D608">
            <w:pPr>
              <w:jc w:val="center"/>
            </w:pPr>
            <w:r>
              <w:rPr>
                <w:rFonts w:ascii="宋体" w:hAnsi="宋体" w:eastAsia="宋体"/>
                <w:sz w:val="16"/>
              </w:rPr>
              <w:t>洛浦县阿其克乡一贯制学校</w:t>
            </w:r>
          </w:p>
        </w:tc>
      </w:tr>
      <w:tr w14:paraId="4F2FA79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24FEC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A934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D141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F296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A9AF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F07D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B864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1C71D">
            <w:pPr>
              <w:jc w:val="center"/>
            </w:pPr>
            <w:r>
              <w:rPr>
                <w:rFonts w:ascii="宋体" w:hAnsi="宋体" w:eastAsia="宋体"/>
                <w:sz w:val="16"/>
              </w:rPr>
              <w:t>得分</w:t>
            </w:r>
          </w:p>
        </w:tc>
      </w:tr>
      <w:tr w14:paraId="64A2C0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B5F94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C587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924F2">
            <w:pPr>
              <w:jc w:val="center"/>
            </w:pPr>
            <w:r>
              <w:rPr>
                <w:rFonts w:ascii="宋体" w:hAnsi="宋体" w:eastAsia="宋体"/>
                <w:sz w:val="16"/>
              </w:rPr>
              <w:t>14.58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C9A4F">
            <w:pPr>
              <w:jc w:val="center"/>
            </w:pPr>
            <w:r>
              <w:rPr>
                <w:rFonts w:ascii="宋体" w:hAnsi="宋体" w:eastAsia="宋体"/>
                <w:sz w:val="16"/>
              </w:rPr>
              <w:t>14.58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0684B">
            <w:pPr>
              <w:jc w:val="center"/>
            </w:pPr>
            <w:r>
              <w:rPr>
                <w:rFonts w:ascii="宋体" w:hAnsi="宋体" w:eastAsia="宋体"/>
                <w:sz w:val="16"/>
              </w:rPr>
              <w:t>14.58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9E41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6BAC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A40B5">
            <w:pPr>
              <w:jc w:val="center"/>
            </w:pPr>
            <w:r>
              <w:rPr>
                <w:rFonts w:ascii="宋体" w:hAnsi="宋体" w:eastAsia="宋体"/>
                <w:sz w:val="16"/>
              </w:rPr>
              <w:t>10.00分</w:t>
            </w:r>
          </w:p>
        </w:tc>
      </w:tr>
      <w:tr w14:paraId="11388D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532D6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71C7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1B210">
            <w:pPr>
              <w:jc w:val="center"/>
            </w:pPr>
            <w:r>
              <w:rPr>
                <w:rFonts w:ascii="宋体" w:hAnsi="宋体" w:eastAsia="宋体"/>
                <w:sz w:val="16"/>
              </w:rPr>
              <w:t>14.58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0F725">
            <w:pPr>
              <w:jc w:val="center"/>
            </w:pPr>
            <w:r>
              <w:rPr>
                <w:rFonts w:ascii="宋体" w:hAnsi="宋体" w:eastAsia="宋体"/>
                <w:sz w:val="16"/>
              </w:rPr>
              <w:t>14.58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D834A">
            <w:pPr>
              <w:jc w:val="center"/>
            </w:pPr>
            <w:r>
              <w:rPr>
                <w:rFonts w:ascii="宋体" w:hAnsi="宋体" w:eastAsia="宋体"/>
                <w:sz w:val="16"/>
              </w:rPr>
              <w:t>14.58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E85D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60E7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7938B">
            <w:pPr>
              <w:jc w:val="center"/>
            </w:pPr>
            <w:r>
              <w:rPr>
                <w:rFonts w:ascii="宋体" w:hAnsi="宋体" w:eastAsia="宋体"/>
                <w:sz w:val="16"/>
              </w:rPr>
              <w:t>—</w:t>
            </w:r>
          </w:p>
        </w:tc>
      </w:tr>
      <w:tr w14:paraId="7D1355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0A5CF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159C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5463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E8A6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91D9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9587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9305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58419">
            <w:pPr>
              <w:jc w:val="center"/>
            </w:pPr>
            <w:r>
              <w:rPr>
                <w:rFonts w:ascii="宋体" w:hAnsi="宋体" w:eastAsia="宋体"/>
                <w:sz w:val="16"/>
              </w:rPr>
              <w:t>—</w:t>
            </w:r>
          </w:p>
        </w:tc>
      </w:tr>
      <w:tr w14:paraId="4D45C7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BF8A7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4AE8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97D7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FFB5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5A04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6718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C27B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D3FBF">
            <w:pPr>
              <w:jc w:val="center"/>
            </w:pPr>
            <w:r>
              <w:rPr>
                <w:rFonts w:ascii="宋体" w:hAnsi="宋体" w:eastAsia="宋体"/>
                <w:sz w:val="16"/>
              </w:rPr>
              <w:t>—</w:t>
            </w:r>
          </w:p>
        </w:tc>
      </w:tr>
      <w:tr w14:paraId="762AD89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1DEE4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3BEF0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17A616">
            <w:pPr>
              <w:jc w:val="center"/>
            </w:pPr>
            <w:r>
              <w:rPr>
                <w:rFonts w:ascii="宋体" w:hAnsi="宋体" w:eastAsia="宋体"/>
                <w:sz w:val="16"/>
              </w:rPr>
              <w:t>实际完成情况</w:t>
            </w:r>
          </w:p>
        </w:tc>
      </w:tr>
      <w:tr w14:paraId="378D95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8AE2D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C4C938">
            <w:pPr>
              <w:jc w:val="both"/>
            </w:pPr>
            <w:r>
              <w:rPr>
                <w:rFonts w:hint="eastAsia" w:ascii="宋体" w:hAnsi="宋体"/>
                <w:sz w:val="16"/>
                <w:lang w:eastAsia="zh-CN"/>
              </w:rPr>
              <w:t>1.</w:t>
            </w:r>
            <w:r>
              <w:rPr>
                <w:rFonts w:ascii="宋体" w:hAnsi="宋体" w:eastAsia="宋体"/>
                <w:sz w:val="16"/>
              </w:rPr>
              <w:t>计划保障学生数量327人，保障在职人员数量38人，非寄宿生生活补助1.39万元、寄宿生生活补助6.93万元、公用经费6.23万元。通过保障部门正常运转，有效提升学校的教育教学能力，持续推行素质教育，争取受益学生及受益在职人员满意度达到95%以上。2、保障</w:t>
            </w:r>
            <w:r>
              <w:rPr>
                <w:rFonts w:hint="eastAsia" w:ascii="宋体" w:hAnsi="宋体"/>
                <w:sz w:val="16"/>
                <w:lang w:eastAsia="zh-CN"/>
              </w:rPr>
              <w:t>本单位</w:t>
            </w:r>
            <w:r>
              <w:rPr>
                <w:rFonts w:ascii="宋体" w:hAnsi="宋体" w:eastAsia="宋体"/>
                <w:sz w:val="16"/>
              </w:rPr>
              <w:t>全年在职人员的工资、津贴、奖金、离休费、退休人员生活补助、医疗保险、养老保险、住房公积金等开支。以及用于日常办公、业务活动方面的经常性开支，包括：办公费、水电费、取暖费、差旅费、公务用车交通费等。3、按照九年义务教育课程计划，开齐课程，开足课时，认真实施中小学的教育教学管理，全面推进素质教育，全面提高教育教学质量，组织开展本镇中小学的教育教学科研和教育教学改革，以科学的发展观和以人为本的管理理念注重学生的全面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0AD040">
            <w:pPr>
              <w:jc w:val="both"/>
            </w:pPr>
            <w:r>
              <w:rPr>
                <w:rFonts w:hint="eastAsia" w:ascii="宋体" w:hAnsi="宋体"/>
                <w:sz w:val="16"/>
                <w:lang w:eastAsia="zh-CN"/>
              </w:rPr>
              <w:t>截至</w:t>
            </w:r>
            <w:r>
              <w:rPr>
                <w:rFonts w:ascii="宋体" w:hAnsi="宋体" w:eastAsia="宋体"/>
                <w:sz w:val="16"/>
              </w:rPr>
              <w:t>2024年12月31日，该项目实施保障学生数量327人，保障在职人员数量38人，项目支出合计资金14.58万元，其中：非寄宿生生活补助1.39万元、寄宿生生活补助6.93万元、公用经费6.23万元。通过保障部门正常运转，有效提升学校的教育教学能力，持续推行素质教育，经过问卷调查分析受益学生及受益在职人员满意度达到95%以上。2、保障</w:t>
            </w:r>
            <w:r>
              <w:rPr>
                <w:rFonts w:hint="eastAsia" w:ascii="宋体" w:hAnsi="宋体"/>
                <w:sz w:val="16"/>
                <w:lang w:eastAsia="zh-CN"/>
              </w:rPr>
              <w:t>本单位</w:t>
            </w:r>
            <w:r>
              <w:rPr>
                <w:rFonts w:ascii="宋体" w:hAnsi="宋体" w:eastAsia="宋体"/>
                <w:sz w:val="16"/>
              </w:rPr>
              <w:t>全年在职人员的工资、津贴、奖金、离休费、退休人员生活补助、医疗保险、养老保险、住房公积金等开支。以及用于日常办公、业务活动方面的经常性开支，包括：办公费、水电费、取暖费、差旅费、公务用车交通费等。3、按照九年义务教育课程计划，开齐课程，开足课时，认真实施中小学的教育教学管理，全面推进素质教育，全面提高教育教学质量，组织开展本镇中小学的教育教学科研和教育教学改革，以科学的发展观和以人为本的管理理念注重学生的全面发展。</w:t>
            </w:r>
          </w:p>
        </w:tc>
      </w:tr>
      <w:tr w14:paraId="143DF9A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2FF713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3366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9C74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CE31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7305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B3D6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BC79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66AC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80C98">
            <w:pPr>
              <w:jc w:val="center"/>
            </w:pPr>
            <w:r>
              <w:rPr>
                <w:rFonts w:ascii="宋体" w:hAnsi="宋体" w:eastAsia="宋体"/>
                <w:sz w:val="16"/>
              </w:rPr>
              <w:t>偏差原因分析及改进措施</w:t>
            </w:r>
          </w:p>
        </w:tc>
      </w:tr>
      <w:tr w14:paraId="616D2B4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6DCB5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15482D">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7F54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6FFBA">
            <w:pPr>
              <w:jc w:val="center"/>
            </w:pPr>
            <w:r>
              <w:rPr>
                <w:rFonts w:ascii="宋体" w:hAnsi="宋体" w:eastAsia="宋体"/>
                <w:sz w:val="16"/>
              </w:rPr>
              <w:t>城乡义务教育补助经费受益学生数量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D1C89">
            <w:pPr>
              <w:jc w:val="center"/>
            </w:pPr>
            <w:r>
              <w:rPr>
                <w:rFonts w:ascii="宋体" w:hAnsi="宋体" w:eastAsia="宋体"/>
                <w:sz w:val="16"/>
              </w:rPr>
              <w:t>=327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23A1F">
            <w:pPr>
              <w:jc w:val="center"/>
            </w:pPr>
            <w:r>
              <w:rPr>
                <w:rFonts w:ascii="宋体" w:hAnsi="宋体" w:eastAsia="宋体"/>
                <w:sz w:val="16"/>
              </w:rPr>
              <w:t>=327人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37D6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DE94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57DFE">
            <w:pPr>
              <w:jc w:val="center"/>
            </w:pPr>
          </w:p>
        </w:tc>
      </w:tr>
      <w:tr w14:paraId="2E3290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A428B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DFA08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F848A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C0221">
            <w:pPr>
              <w:jc w:val="center"/>
            </w:pPr>
            <w:r>
              <w:rPr>
                <w:rFonts w:ascii="宋体" w:hAnsi="宋体" w:eastAsia="宋体"/>
                <w:sz w:val="16"/>
              </w:rPr>
              <w:t>资金到位率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64AB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43FF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B630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1520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C839E">
            <w:pPr>
              <w:jc w:val="center"/>
            </w:pPr>
          </w:p>
        </w:tc>
      </w:tr>
      <w:tr w14:paraId="1AC220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AB772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891D1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C1677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F2A82">
            <w:pPr>
              <w:jc w:val="center"/>
            </w:pPr>
            <w:r>
              <w:rPr>
                <w:rFonts w:ascii="宋体" w:hAnsi="宋体" w:eastAsia="宋体"/>
                <w:sz w:val="16"/>
              </w:rPr>
              <w:t>资金发放准确率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A9C5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2A4B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65D4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B94F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7D226">
            <w:pPr>
              <w:jc w:val="center"/>
            </w:pPr>
          </w:p>
        </w:tc>
      </w:tr>
      <w:tr w14:paraId="6FB2C2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5EAD2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15678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27A20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07B20">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01E48">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FEC33">
            <w:pPr>
              <w:jc w:val="center"/>
            </w:pPr>
            <w:r>
              <w:rPr>
                <w:rFonts w:ascii="宋体" w:hAnsi="宋体" w:eastAsia="宋体"/>
                <w:sz w:val="16"/>
              </w:rPr>
              <w:t>=100年1月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3245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EBF0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68C10">
            <w:pPr>
              <w:jc w:val="center"/>
            </w:pPr>
          </w:p>
        </w:tc>
      </w:tr>
      <w:tr w14:paraId="685DDE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F157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772A2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A9711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0FF08">
            <w:pPr>
              <w:jc w:val="center"/>
            </w:pPr>
            <w:r>
              <w:rPr>
                <w:rFonts w:ascii="宋体" w:hAnsi="宋体" w:eastAsia="宋体"/>
                <w:sz w:val="16"/>
              </w:rPr>
              <w:t>项目开结</w:t>
            </w:r>
            <w:r>
              <w:rPr>
                <w:rFonts w:hint="eastAsia" w:ascii="宋体" w:hAnsi="宋体"/>
                <w:sz w:val="16"/>
                <w:lang w:eastAsia="zh-CN"/>
              </w:rPr>
              <w:t>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8FC5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EA4F8">
            <w:pPr>
              <w:jc w:val="center"/>
            </w:pPr>
            <w:r>
              <w:rPr>
                <w:rFonts w:ascii="宋体" w:hAnsi="宋体" w:eastAsia="宋体"/>
                <w:sz w:val="16"/>
              </w:rPr>
              <w:t>=100年12月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D843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20F4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71BF6">
            <w:pPr>
              <w:jc w:val="center"/>
            </w:pPr>
          </w:p>
        </w:tc>
      </w:tr>
      <w:tr w14:paraId="594124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217B3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9A0AF7">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0E02C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467D8">
            <w:pPr>
              <w:jc w:val="center"/>
            </w:pPr>
            <w:r>
              <w:rPr>
                <w:rFonts w:ascii="宋体" w:hAnsi="宋体" w:eastAsia="宋体"/>
                <w:sz w:val="16"/>
              </w:rPr>
              <w:t>非寄宿生生活补助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28A03">
            <w:pPr>
              <w:jc w:val="center"/>
            </w:pPr>
            <w:r>
              <w:rPr>
                <w:rFonts w:ascii="宋体" w:hAnsi="宋体" w:eastAsia="宋体"/>
                <w:sz w:val="16"/>
              </w:rPr>
              <w:t>&lt;=1.39万元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25A06">
            <w:pPr>
              <w:jc w:val="center"/>
            </w:pPr>
            <w:r>
              <w:rPr>
                <w:rFonts w:ascii="宋体" w:hAnsi="宋体" w:eastAsia="宋体"/>
                <w:sz w:val="16"/>
              </w:rPr>
              <w:t>=1.39万元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753D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04CF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C7D8D">
            <w:pPr>
              <w:jc w:val="center"/>
            </w:pPr>
          </w:p>
        </w:tc>
      </w:tr>
      <w:tr w14:paraId="3B9FA5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7E68C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AB411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1CDC1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728BA">
            <w:pPr>
              <w:jc w:val="center"/>
            </w:pPr>
            <w:r>
              <w:rPr>
                <w:rFonts w:ascii="宋体" w:hAnsi="宋体" w:eastAsia="宋体"/>
                <w:sz w:val="16"/>
              </w:rPr>
              <w:t>寄宿生补助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BAA03">
            <w:pPr>
              <w:jc w:val="center"/>
            </w:pPr>
            <w:r>
              <w:rPr>
                <w:rFonts w:ascii="宋体" w:hAnsi="宋体" w:eastAsia="宋体"/>
                <w:sz w:val="16"/>
              </w:rPr>
              <w:t>&lt;=6.93万元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8D655">
            <w:pPr>
              <w:jc w:val="center"/>
            </w:pPr>
            <w:r>
              <w:rPr>
                <w:rFonts w:ascii="宋体" w:hAnsi="宋体" w:eastAsia="宋体"/>
                <w:sz w:val="16"/>
              </w:rPr>
              <w:t>=6.93万元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D51FC">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F7536">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934AD">
            <w:pPr>
              <w:jc w:val="center"/>
            </w:pPr>
          </w:p>
        </w:tc>
      </w:tr>
      <w:tr w14:paraId="6F3A8D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BF35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9490D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28AB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5F380">
            <w:pPr>
              <w:jc w:val="center"/>
            </w:pPr>
            <w:r>
              <w:rPr>
                <w:rFonts w:ascii="宋体" w:hAnsi="宋体" w:eastAsia="宋体"/>
                <w:sz w:val="16"/>
              </w:rPr>
              <w:t>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A3F14">
            <w:pPr>
              <w:jc w:val="center"/>
            </w:pPr>
            <w:r>
              <w:rPr>
                <w:rFonts w:ascii="宋体" w:hAnsi="宋体" w:eastAsia="宋体"/>
                <w:sz w:val="16"/>
              </w:rPr>
              <w:t>&lt;=6.26万元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FCCFB">
            <w:pPr>
              <w:jc w:val="center"/>
            </w:pPr>
            <w:r>
              <w:rPr>
                <w:rFonts w:ascii="宋体" w:hAnsi="宋体" w:eastAsia="宋体"/>
                <w:sz w:val="16"/>
              </w:rPr>
              <w:t>=6.26万元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76C6E">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E583F">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2A3E7">
            <w:pPr>
              <w:jc w:val="center"/>
            </w:pPr>
          </w:p>
        </w:tc>
      </w:tr>
      <w:tr w14:paraId="0D4F79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8F2C5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5587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665E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8BA16">
            <w:pPr>
              <w:jc w:val="center"/>
            </w:pPr>
            <w:r>
              <w:rPr>
                <w:rFonts w:ascii="宋体" w:hAnsi="宋体" w:eastAsia="宋体"/>
                <w:sz w:val="16"/>
              </w:rPr>
              <w:t>改善教育教学质量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CD3A4">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2D985">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0E54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2CFD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451F7">
            <w:pPr>
              <w:jc w:val="center"/>
            </w:pPr>
          </w:p>
        </w:tc>
      </w:tr>
      <w:tr w14:paraId="7BC291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E4F4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6A9D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CF74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9E455">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3087B">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6088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F70A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5414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9F3DB">
            <w:pPr>
              <w:jc w:val="center"/>
            </w:pPr>
          </w:p>
        </w:tc>
      </w:tr>
      <w:tr w14:paraId="428790A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1BA86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AD775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777F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B9705">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402D102"/>
        </w:tc>
      </w:tr>
    </w:tbl>
    <w:p w14:paraId="6C20C582">
      <w:r>
        <w:br w:type="page"/>
      </w:r>
    </w:p>
    <w:p w14:paraId="1830A5A2">
      <w:pPr>
        <w:spacing w:line="640" w:lineRule="exact"/>
        <w:ind w:firstLine="640"/>
        <w:jc w:val="both"/>
        <w:outlineLvl w:val="2"/>
      </w:pPr>
      <w:r>
        <w:rPr>
          <w:rFonts w:ascii="黑体" w:hAnsi="黑体" w:eastAsia="黑体"/>
          <w:sz w:val="32"/>
        </w:rPr>
        <w:t>十二、其他需说明的事项</w:t>
      </w:r>
    </w:p>
    <w:p w14:paraId="47C2B48D">
      <w:pPr>
        <w:spacing w:line="580" w:lineRule="exact"/>
        <w:ind w:firstLine="640"/>
        <w:jc w:val="both"/>
      </w:pPr>
      <w:r>
        <w:rPr>
          <w:rFonts w:ascii="仿宋_GB2312" w:hAnsi="仿宋_GB2312" w:eastAsia="仿宋_GB2312"/>
          <w:b w:val="0"/>
          <w:sz w:val="32"/>
        </w:rPr>
        <w:t>本单位无其他需说明的事项。</w:t>
      </w:r>
    </w:p>
    <w:p w14:paraId="1F67A093">
      <w:r>
        <w:br w:type="page"/>
      </w:r>
    </w:p>
    <w:p w14:paraId="221418E5">
      <w:pPr>
        <w:spacing w:line="240" w:lineRule="auto"/>
        <w:jc w:val="center"/>
        <w:outlineLvl w:val="1"/>
      </w:pPr>
      <w:r>
        <w:rPr>
          <w:rFonts w:ascii="黑体" w:hAnsi="黑体" w:eastAsia="黑体"/>
          <w:sz w:val="32"/>
        </w:rPr>
        <w:t>第三部分 专业名词解释</w:t>
      </w:r>
    </w:p>
    <w:p w14:paraId="7486AAD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89E359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11E3CF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2DDDBB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9E6459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41FE6E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921473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334B5A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FBB80B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CC13AC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5F9E01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744DFF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22E393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242726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29CFD0F">
      <w:r>
        <w:br w:type="page"/>
      </w:r>
    </w:p>
    <w:p w14:paraId="23679B40">
      <w:pPr>
        <w:spacing w:line="240" w:lineRule="auto"/>
        <w:jc w:val="center"/>
        <w:outlineLvl w:val="1"/>
      </w:pPr>
      <w:r>
        <w:rPr>
          <w:rFonts w:ascii="黑体" w:hAnsi="黑体" w:eastAsia="黑体"/>
          <w:sz w:val="32"/>
        </w:rPr>
        <w:t>第四部分 部门决算报表（见附表）</w:t>
      </w:r>
    </w:p>
    <w:p w14:paraId="459601BD">
      <w:pPr>
        <w:spacing w:line="240" w:lineRule="auto"/>
        <w:ind w:firstLine="640"/>
        <w:jc w:val="both"/>
      </w:pPr>
      <w:r>
        <w:rPr>
          <w:rFonts w:ascii="仿宋_GB2312" w:hAnsi="仿宋_GB2312" w:eastAsia="仿宋_GB2312"/>
          <w:b w:val="0"/>
          <w:sz w:val="32"/>
        </w:rPr>
        <w:t>一、《收入支出决算总表》</w:t>
      </w:r>
    </w:p>
    <w:p w14:paraId="21EDF24F">
      <w:pPr>
        <w:spacing w:line="240" w:lineRule="auto"/>
        <w:ind w:firstLine="640"/>
        <w:jc w:val="both"/>
      </w:pPr>
      <w:r>
        <w:rPr>
          <w:rFonts w:ascii="仿宋_GB2312" w:hAnsi="仿宋_GB2312" w:eastAsia="仿宋_GB2312"/>
          <w:b w:val="0"/>
          <w:sz w:val="32"/>
        </w:rPr>
        <w:t>二、《收入决算表》</w:t>
      </w:r>
    </w:p>
    <w:p w14:paraId="3A122B0A">
      <w:pPr>
        <w:spacing w:line="240" w:lineRule="auto"/>
        <w:ind w:firstLine="640"/>
        <w:jc w:val="both"/>
      </w:pPr>
      <w:r>
        <w:rPr>
          <w:rFonts w:ascii="仿宋_GB2312" w:hAnsi="仿宋_GB2312" w:eastAsia="仿宋_GB2312"/>
          <w:b w:val="0"/>
          <w:sz w:val="32"/>
        </w:rPr>
        <w:t>三、《支出决算表》</w:t>
      </w:r>
    </w:p>
    <w:p w14:paraId="121099C4">
      <w:pPr>
        <w:spacing w:line="240" w:lineRule="auto"/>
        <w:ind w:firstLine="640"/>
        <w:jc w:val="both"/>
      </w:pPr>
      <w:r>
        <w:rPr>
          <w:rFonts w:ascii="仿宋_GB2312" w:hAnsi="仿宋_GB2312" w:eastAsia="仿宋_GB2312"/>
          <w:b w:val="0"/>
          <w:sz w:val="32"/>
        </w:rPr>
        <w:t>四、《财政拨款收入支出决算总表》</w:t>
      </w:r>
    </w:p>
    <w:p w14:paraId="54167877">
      <w:pPr>
        <w:spacing w:line="240" w:lineRule="auto"/>
        <w:ind w:firstLine="640"/>
        <w:jc w:val="both"/>
      </w:pPr>
      <w:r>
        <w:rPr>
          <w:rFonts w:ascii="仿宋_GB2312" w:hAnsi="仿宋_GB2312" w:eastAsia="仿宋_GB2312"/>
          <w:b w:val="0"/>
          <w:sz w:val="32"/>
        </w:rPr>
        <w:t>五、《一般公共预算财政拨款支出决算表》</w:t>
      </w:r>
    </w:p>
    <w:p w14:paraId="4CC0D325">
      <w:pPr>
        <w:spacing w:line="240" w:lineRule="auto"/>
        <w:ind w:firstLine="640"/>
        <w:jc w:val="both"/>
      </w:pPr>
      <w:r>
        <w:rPr>
          <w:rFonts w:ascii="仿宋_GB2312" w:hAnsi="仿宋_GB2312" w:eastAsia="仿宋_GB2312"/>
          <w:b w:val="0"/>
          <w:sz w:val="32"/>
        </w:rPr>
        <w:t>六、《一般公共预算财政拨款基本支出决算表》</w:t>
      </w:r>
    </w:p>
    <w:p w14:paraId="66F4C272">
      <w:pPr>
        <w:spacing w:line="240" w:lineRule="auto"/>
        <w:ind w:firstLine="640"/>
        <w:jc w:val="both"/>
      </w:pPr>
      <w:r>
        <w:rPr>
          <w:rFonts w:ascii="仿宋_GB2312" w:hAnsi="仿宋_GB2312" w:eastAsia="仿宋_GB2312"/>
          <w:b w:val="0"/>
          <w:sz w:val="32"/>
        </w:rPr>
        <w:t>七、《政府性基金预算财政拨款收入支出决算表》</w:t>
      </w:r>
    </w:p>
    <w:p w14:paraId="79E48558">
      <w:pPr>
        <w:spacing w:line="240" w:lineRule="auto"/>
        <w:ind w:firstLine="640"/>
        <w:jc w:val="both"/>
      </w:pPr>
      <w:r>
        <w:rPr>
          <w:rFonts w:ascii="仿宋_GB2312" w:hAnsi="仿宋_GB2312" w:eastAsia="仿宋_GB2312"/>
          <w:b w:val="0"/>
          <w:sz w:val="32"/>
        </w:rPr>
        <w:t>八、《国有资本经营预算财政拨款收入支出决算表》</w:t>
      </w:r>
    </w:p>
    <w:p w14:paraId="2D2A6A77">
      <w:pPr>
        <w:spacing w:line="240" w:lineRule="auto"/>
        <w:ind w:firstLine="640"/>
        <w:jc w:val="both"/>
      </w:pPr>
      <w:r>
        <w:rPr>
          <w:rFonts w:ascii="仿宋_GB2312" w:hAnsi="仿宋_GB2312" w:eastAsia="仿宋_GB2312"/>
          <w:b w:val="0"/>
          <w:sz w:val="32"/>
        </w:rPr>
        <w:t>九、《财政拨款“三公”经费支出决算表》</w:t>
      </w:r>
    </w:p>
    <w:p w14:paraId="24B1E3E1">
      <w:pPr>
        <w:spacing w:line="240" w:lineRule="auto"/>
        <w:ind w:firstLine="640"/>
        <w:jc w:val="both"/>
      </w:pPr>
    </w:p>
    <w:p w14:paraId="0EE70214">
      <w:pPr>
        <w:spacing w:line="240" w:lineRule="auto"/>
        <w:ind w:firstLine="640"/>
        <w:jc w:val="both"/>
      </w:pPr>
    </w:p>
    <w:p w14:paraId="103E469C">
      <w:pPr>
        <w:spacing w:line="240" w:lineRule="auto"/>
        <w:ind w:firstLine="640"/>
        <w:jc w:val="both"/>
      </w:pPr>
    </w:p>
    <w:p w14:paraId="24695A3B">
      <w:pPr>
        <w:spacing w:line="240" w:lineRule="auto"/>
        <w:ind w:firstLine="640"/>
        <w:jc w:val="both"/>
      </w:pPr>
    </w:p>
    <w:p w14:paraId="5892B01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F5C79BE-77DD-4DAD-88D1-D6293679425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50364271-B22E-4CE9-B32B-A02FBB2947AE}"/>
  </w:font>
  <w:font w:name="仿宋_GB2312">
    <w:altName w:val="仿宋"/>
    <w:panose1 w:val="02010609030101010101"/>
    <w:charset w:val="86"/>
    <w:family w:val="modern"/>
    <w:pitch w:val="default"/>
    <w:sig w:usb0="00000000" w:usb1="00000000" w:usb2="00000000" w:usb3="00000000" w:csb0="00040000" w:csb1="00000000"/>
    <w:embedRegular r:id="rId3" w:fontKey="{F533E300-C304-4BB4-8D5D-B8094F095BB4}"/>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embedRegular r:id="rId4" w:fontKey="{035E88F7-6F2B-4DFE-A095-92EAF4553D6C}"/>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97E06A9"/>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737F3B"/>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4900</Words>
  <Characters>5627</Characters>
  <Lines>0</Lines>
  <Paragraphs>0</Paragraphs>
  <TotalTime>4</TotalTime>
  <ScaleCrop>false</ScaleCrop>
  <LinksUpToDate>false</LinksUpToDate>
  <CharactersWithSpaces>5642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2025-09-16T11:58:42Z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eyJoZGlkIjoiY2ViNTMyZDM2ZThmY2RiZDFlZjg1MjJiOThhYWMyNzAiLCJ1c2VySWQiOiI0MzE2NzY3NzkifQ==</vt:lpwstr>
  </property>
</Properties>
</file>