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洛浦县红十字会2024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71908C4B">
      <w:r>
        <w:br w:type="page"/>
      </w:r>
    </w:p>
    <w:p w14:paraId="55BF2D5F">
      <w:pPr>
        <w:spacing w:line="640" w:lineRule="exact"/>
        <w:jc w:val="center"/>
        <w:outlineLvl w:val="1"/>
      </w:pPr>
      <w:r>
        <w:rPr>
          <w:rFonts w:ascii="黑体" w:hAnsi="黑体" w:eastAsia="黑体"/>
          <w:sz w:val="32"/>
        </w:rPr>
        <w:t>第一部分 单位概况</w:t>
      </w:r>
    </w:p>
    <w:p w14:paraId="57169E89">
      <w:pPr>
        <w:spacing w:line="640" w:lineRule="exact"/>
        <w:ind w:firstLine="640"/>
        <w:jc w:val="both"/>
        <w:outlineLvl w:val="2"/>
      </w:pPr>
      <w:r>
        <w:rPr>
          <w:rFonts w:ascii="黑体" w:hAnsi="黑体" w:eastAsia="黑体"/>
          <w:sz w:val="32"/>
        </w:rPr>
        <w:t>一、主要职能</w:t>
      </w:r>
    </w:p>
    <w:p w14:paraId="57E830CB">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开展救灾的准备工作；在自然灾害和突发事件中，对伤病人员和其他受害者进行救助。</w:t>
      </w:r>
    </w:p>
    <w:p w14:paraId="7A184850">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普及卫生救护和防病知识，进行初级卫生救护培训，组织群众参加现场救护；参与输血献血工作，推动无偿献血；开展其他人道主义服务活动。</w:t>
      </w:r>
    </w:p>
    <w:p w14:paraId="0D43DEFE">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开展红十字青少年活动。</w:t>
      </w:r>
    </w:p>
    <w:p w14:paraId="59942AAD">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参加国际人道主义救援工作。</w:t>
      </w:r>
    </w:p>
    <w:p w14:paraId="2DFBA04C">
      <w:pPr>
        <w:spacing w:line="580" w:lineRule="exact"/>
        <w:ind w:firstLine="640"/>
        <w:jc w:val="both"/>
      </w:pPr>
      <w:r>
        <w:rPr>
          <w:rFonts w:hint="eastAsia" w:ascii="仿宋_GB2312" w:hAnsi="仿宋_GB2312" w:eastAsia="仿宋_GB2312"/>
          <w:sz w:val="32"/>
          <w:lang w:eastAsia="zh-CN"/>
        </w:rPr>
        <w:t>5.</w:t>
      </w:r>
      <w:r>
        <w:rPr>
          <w:rFonts w:ascii="仿宋_GB2312" w:hAnsi="仿宋_GB2312" w:eastAsia="仿宋_GB2312"/>
          <w:sz w:val="32"/>
        </w:rPr>
        <w:t>宣传国际红十字和红新月运动的基本原则和日内瓦公约及其附加议定书。</w:t>
      </w:r>
    </w:p>
    <w:p w14:paraId="61A9F130">
      <w:pPr>
        <w:spacing w:line="580" w:lineRule="exact"/>
        <w:ind w:firstLine="640"/>
        <w:jc w:val="both"/>
      </w:pPr>
      <w:r>
        <w:rPr>
          <w:rFonts w:hint="eastAsia" w:ascii="仿宋_GB2312" w:hAnsi="仿宋_GB2312" w:eastAsia="仿宋_GB2312"/>
          <w:sz w:val="32"/>
          <w:lang w:eastAsia="zh-CN"/>
        </w:rPr>
        <w:t>6.</w:t>
      </w:r>
      <w:r>
        <w:rPr>
          <w:rFonts w:ascii="仿宋_GB2312" w:hAnsi="仿宋_GB2312" w:eastAsia="仿宋_GB2312"/>
          <w:sz w:val="32"/>
        </w:rPr>
        <w:t>依照国际红十字和红新月运动的基本原则，完成人民政府委托事宜。</w:t>
      </w:r>
    </w:p>
    <w:p w14:paraId="41C7DD16">
      <w:pPr>
        <w:spacing w:line="580" w:lineRule="exact"/>
        <w:ind w:firstLine="640"/>
        <w:jc w:val="both"/>
      </w:pPr>
      <w:r>
        <w:rPr>
          <w:rFonts w:hint="eastAsia" w:ascii="仿宋_GB2312" w:hAnsi="仿宋_GB2312" w:eastAsia="仿宋_GB2312"/>
          <w:sz w:val="32"/>
          <w:lang w:eastAsia="zh-CN"/>
        </w:rPr>
        <w:t>7.</w:t>
      </w:r>
      <w:r>
        <w:rPr>
          <w:rFonts w:ascii="仿宋_GB2312" w:hAnsi="仿宋_GB2312" w:eastAsia="仿宋_GB2312"/>
          <w:sz w:val="32"/>
        </w:rPr>
        <w:t>依照日内瓦公约及其附加议定书的有关规定开展工作。</w:t>
      </w:r>
    </w:p>
    <w:p w14:paraId="31FAF7E2">
      <w:pPr>
        <w:spacing w:line="640" w:lineRule="exact"/>
        <w:ind w:firstLine="640"/>
        <w:jc w:val="both"/>
        <w:outlineLvl w:val="2"/>
      </w:pPr>
      <w:r>
        <w:rPr>
          <w:rFonts w:ascii="黑体" w:hAnsi="黑体" w:eastAsia="黑体"/>
          <w:sz w:val="32"/>
        </w:rPr>
        <w:t>二、机构设置及人员情况</w:t>
      </w:r>
    </w:p>
    <w:p w14:paraId="6AA95D32">
      <w:pPr>
        <w:spacing w:line="580" w:lineRule="exact"/>
        <w:ind w:firstLine="640"/>
        <w:jc w:val="both"/>
      </w:pPr>
      <w:r>
        <w:rPr>
          <w:rFonts w:ascii="仿宋_GB2312" w:hAnsi="仿宋_GB2312" w:eastAsia="仿宋_GB2312"/>
          <w:sz w:val="32"/>
        </w:rPr>
        <w:t>洛浦县红十字会2024年度，实有人数8人，其中：在职人员7人，增加0人；离休人员0人，增加0人；退休人员1人,增加0人。</w:t>
      </w:r>
    </w:p>
    <w:p w14:paraId="24D8B2D9">
      <w:pPr>
        <w:spacing w:line="580" w:lineRule="exact"/>
        <w:ind w:firstLine="640"/>
        <w:jc w:val="both"/>
      </w:pPr>
      <w:r>
        <w:rPr>
          <w:rFonts w:ascii="仿宋_GB2312" w:hAnsi="仿宋_GB2312" w:eastAsia="仿宋_GB2312"/>
          <w:sz w:val="32"/>
        </w:rPr>
        <w:t>洛浦县红十字会无下属预算单位，下设1个科室，分别是：综合办公室。</w:t>
      </w:r>
    </w:p>
    <w:p w14:paraId="44240C8D">
      <w:r>
        <w:br w:type="page"/>
      </w:r>
    </w:p>
    <w:p w14:paraId="20921358">
      <w:pPr>
        <w:spacing w:line="240" w:lineRule="auto"/>
        <w:jc w:val="center"/>
        <w:outlineLvl w:val="1"/>
      </w:pPr>
      <w:r>
        <w:rPr>
          <w:rFonts w:ascii="黑体" w:hAnsi="黑体" w:eastAsia="黑体"/>
          <w:sz w:val="32"/>
        </w:rPr>
        <w:t>第二部分 部门决算情况说明</w:t>
      </w:r>
    </w:p>
    <w:p w14:paraId="23BF17F5">
      <w:pPr>
        <w:spacing w:line="640" w:lineRule="exact"/>
        <w:ind w:firstLine="640"/>
        <w:jc w:val="both"/>
        <w:outlineLvl w:val="2"/>
      </w:pPr>
      <w:r>
        <w:rPr>
          <w:rFonts w:ascii="黑体" w:hAnsi="黑体" w:eastAsia="黑体"/>
          <w:sz w:val="32"/>
        </w:rPr>
        <w:t>一、收入支出决算总体情况说明</w:t>
      </w:r>
    </w:p>
    <w:p w14:paraId="0DDDC012">
      <w:pPr>
        <w:spacing w:line="580" w:lineRule="exact"/>
        <w:ind w:firstLine="640"/>
        <w:jc w:val="both"/>
      </w:pPr>
      <w:r>
        <w:rPr>
          <w:rFonts w:ascii="仿宋_GB2312" w:hAnsi="仿宋_GB2312" w:eastAsia="仿宋_GB2312"/>
          <w:b/>
          <w:sz w:val="32"/>
        </w:rPr>
        <w:t>2024年度收入总计159.52万元，</w:t>
      </w:r>
      <w:r>
        <w:rPr>
          <w:rFonts w:ascii="仿宋_GB2312" w:hAnsi="仿宋_GB2312" w:eastAsia="仿宋_GB2312"/>
          <w:b w:val="0"/>
          <w:sz w:val="32"/>
        </w:rPr>
        <w:t>其中：本年收入合计159.52万元，使用非财政拨款结余（含专用结余）0.00万元，年初结转和结余0.00万元。</w:t>
      </w:r>
    </w:p>
    <w:p w14:paraId="419410EA">
      <w:pPr>
        <w:spacing w:line="580" w:lineRule="exact"/>
        <w:ind w:firstLine="640"/>
        <w:jc w:val="both"/>
      </w:pPr>
      <w:r>
        <w:rPr>
          <w:rFonts w:ascii="仿宋_GB2312" w:hAnsi="仿宋_GB2312" w:eastAsia="仿宋_GB2312"/>
          <w:b/>
          <w:sz w:val="32"/>
        </w:rPr>
        <w:t>2024年度支出总计159.52万元，</w:t>
      </w:r>
      <w:r>
        <w:rPr>
          <w:rFonts w:ascii="仿宋_GB2312" w:hAnsi="仿宋_GB2312" w:eastAsia="仿宋_GB2312"/>
          <w:b w:val="0"/>
          <w:sz w:val="32"/>
        </w:rPr>
        <w:t>其中：本年支出合计159.52万元，结余分配0.00万元，年末结转和结余0.00万元。</w:t>
      </w:r>
    </w:p>
    <w:p w14:paraId="32ECB94A">
      <w:pPr>
        <w:spacing w:line="580" w:lineRule="exact"/>
        <w:ind w:firstLine="640"/>
        <w:jc w:val="both"/>
      </w:pPr>
      <w:r>
        <w:rPr>
          <w:rFonts w:ascii="仿宋_GB2312" w:hAnsi="仿宋_GB2312" w:eastAsia="仿宋_GB2312"/>
          <w:b w:val="0"/>
          <w:sz w:val="32"/>
        </w:rPr>
        <w:t>收入支出总体与上年相比，增加11.76万元，增长7.96%，主要原因是：</w:t>
      </w:r>
      <w:r>
        <w:rPr>
          <w:rFonts w:hint="eastAsia" w:ascii="仿宋_GB2312" w:hAnsi="仿宋_GB2312" w:eastAsia="仿宋_GB2312"/>
          <w:b w:val="0"/>
          <w:sz w:val="32"/>
          <w:lang w:val="en-US" w:eastAsia="zh-CN"/>
        </w:rPr>
        <w:t>本年</w:t>
      </w:r>
      <w:r>
        <w:rPr>
          <w:rFonts w:ascii="仿宋_GB2312" w:hAnsi="仿宋_GB2312" w:eastAsia="仿宋_GB2312"/>
          <w:b w:val="0"/>
          <w:sz w:val="32"/>
        </w:rPr>
        <w:t>在职人员工资调增，社保，住房公积金等相关人员经费增加。为民办实事工作经费较上年增加。</w:t>
      </w:r>
    </w:p>
    <w:p w14:paraId="43738720">
      <w:pPr>
        <w:spacing w:line="640" w:lineRule="exact"/>
        <w:ind w:firstLine="640"/>
        <w:jc w:val="both"/>
        <w:outlineLvl w:val="2"/>
      </w:pPr>
      <w:r>
        <w:rPr>
          <w:rFonts w:ascii="黑体" w:hAnsi="黑体" w:eastAsia="黑体"/>
          <w:sz w:val="32"/>
        </w:rPr>
        <w:t>二、收入决算情况说明</w:t>
      </w:r>
    </w:p>
    <w:p w14:paraId="613432D9">
      <w:pPr>
        <w:spacing w:line="580" w:lineRule="exact"/>
        <w:ind w:firstLine="640"/>
        <w:jc w:val="both"/>
      </w:pPr>
      <w:r>
        <w:rPr>
          <w:rFonts w:ascii="仿宋_GB2312" w:hAnsi="仿宋_GB2312" w:eastAsia="仿宋_GB2312"/>
          <w:b/>
          <w:sz w:val="32"/>
        </w:rPr>
        <w:t>本年收入159.52万元，</w:t>
      </w:r>
      <w:r>
        <w:rPr>
          <w:rFonts w:ascii="仿宋_GB2312" w:hAnsi="仿宋_GB2312" w:eastAsia="仿宋_GB2312"/>
          <w:b w:val="0"/>
          <w:sz w:val="32"/>
        </w:rPr>
        <w:t>其中：财政拨款收入159.52万元，占100.00%；上级补助收入0.00万元，占0.00%；事业收入0.00万元，占0.00%；经营收入0.00万元，占0.00%；附属单位上缴收入0.00万元，占0.00%；其他收入0.00万元，占0.00%。</w:t>
      </w:r>
    </w:p>
    <w:p w14:paraId="1E466110">
      <w:pPr>
        <w:spacing w:line="640" w:lineRule="exact"/>
        <w:ind w:firstLine="640"/>
        <w:jc w:val="both"/>
        <w:outlineLvl w:val="2"/>
      </w:pPr>
      <w:r>
        <w:rPr>
          <w:rFonts w:ascii="黑体" w:hAnsi="黑体" w:eastAsia="黑体"/>
          <w:sz w:val="32"/>
        </w:rPr>
        <w:t>三、支出决算情况说明</w:t>
      </w:r>
    </w:p>
    <w:p w14:paraId="0F019816">
      <w:pPr>
        <w:spacing w:line="580" w:lineRule="exact"/>
        <w:ind w:firstLine="640"/>
        <w:jc w:val="both"/>
      </w:pPr>
      <w:r>
        <w:rPr>
          <w:rFonts w:ascii="仿宋_GB2312" w:hAnsi="仿宋_GB2312" w:eastAsia="仿宋_GB2312"/>
          <w:b/>
          <w:sz w:val="32"/>
        </w:rPr>
        <w:t>本年支出159.52万元，</w:t>
      </w:r>
      <w:r>
        <w:rPr>
          <w:rFonts w:ascii="仿宋_GB2312" w:hAnsi="仿宋_GB2312" w:eastAsia="仿宋_GB2312"/>
          <w:b w:val="0"/>
          <w:sz w:val="32"/>
        </w:rPr>
        <w:t>其中：基本支出155.14万元，占97.25%；项目支出4.38万元，占2.75%；上缴上级支出0.00万元，占0.00%；经营支出0.00万元，占0.00%；对附属单位补助支出0.00万元，占0.00%。</w:t>
      </w:r>
    </w:p>
    <w:p w14:paraId="3699DA90">
      <w:pPr>
        <w:spacing w:line="640" w:lineRule="exact"/>
        <w:ind w:firstLine="640"/>
        <w:jc w:val="both"/>
        <w:outlineLvl w:val="2"/>
      </w:pPr>
      <w:r>
        <w:rPr>
          <w:rFonts w:ascii="黑体" w:hAnsi="黑体" w:eastAsia="黑体"/>
          <w:sz w:val="32"/>
        </w:rPr>
        <w:t>四、财政拨款收入支出决算总体情况说明</w:t>
      </w:r>
    </w:p>
    <w:p w14:paraId="44D32543">
      <w:pPr>
        <w:spacing w:line="580" w:lineRule="exact"/>
        <w:ind w:firstLine="640"/>
        <w:jc w:val="both"/>
      </w:pPr>
      <w:r>
        <w:rPr>
          <w:rFonts w:ascii="仿宋_GB2312" w:hAnsi="仿宋_GB2312" w:eastAsia="仿宋_GB2312"/>
          <w:b/>
          <w:sz w:val="32"/>
        </w:rPr>
        <w:t>2024年度财政拨款收入总计159.52万元，</w:t>
      </w:r>
      <w:r>
        <w:rPr>
          <w:rFonts w:ascii="仿宋_GB2312" w:hAnsi="仿宋_GB2312" w:eastAsia="仿宋_GB2312"/>
          <w:b w:val="0"/>
          <w:sz w:val="32"/>
        </w:rPr>
        <w:t>其中：年初财政拨款结转和结余0.00万元，本年财政拨款收入159.52万元。</w:t>
      </w:r>
      <w:r>
        <w:rPr>
          <w:rFonts w:ascii="仿宋_GB2312" w:hAnsi="仿宋_GB2312" w:eastAsia="仿宋_GB2312"/>
          <w:b/>
          <w:sz w:val="32"/>
        </w:rPr>
        <w:t>财政拨款支出总计159.52万元，</w:t>
      </w:r>
      <w:r>
        <w:rPr>
          <w:rFonts w:ascii="仿宋_GB2312" w:hAnsi="仿宋_GB2312" w:eastAsia="仿宋_GB2312"/>
          <w:b w:val="0"/>
          <w:sz w:val="32"/>
        </w:rPr>
        <w:t>其中：年末财政拨款结转和结余0.00万元，本年财政拨款支出159.52万元。</w:t>
      </w:r>
    </w:p>
    <w:p w14:paraId="59636D1B">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增加11.76万元，增长7.96%，主要原因是：</w:t>
      </w:r>
      <w:r>
        <w:rPr>
          <w:rFonts w:hint="eastAsia" w:ascii="仿宋_GB2312" w:hAnsi="仿宋_GB2312" w:eastAsia="仿宋_GB2312"/>
          <w:b w:val="0"/>
          <w:sz w:val="32"/>
          <w:lang w:val="en-US" w:eastAsia="zh-CN"/>
        </w:rPr>
        <w:t>本年</w:t>
      </w:r>
      <w:r>
        <w:rPr>
          <w:rFonts w:ascii="仿宋_GB2312" w:hAnsi="仿宋_GB2312" w:eastAsia="仿宋_GB2312"/>
          <w:b w:val="0"/>
          <w:sz w:val="32"/>
        </w:rPr>
        <w:t>在职人员工资调增，社保，住房公积金等相关人员经费增加。为民办实事工作经费较上年增加。</w:t>
      </w:r>
      <w:r>
        <w:rPr>
          <w:rFonts w:ascii="仿宋_GB2312" w:hAnsi="仿宋_GB2312" w:eastAsia="仿宋_GB2312"/>
          <w:b/>
          <w:sz w:val="32"/>
        </w:rPr>
        <w:t>与年初预算相比，</w:t>
      </w:r>
      <w:r>
        <w:rPr>
          <w:rFonts w:ascii="仿宋_GB2312" w:hAnsi="仿宋_GB2312" w:eastAsia="仿宋_GB2312"/>
          <w:b w:val="0"/>
          <w:sz w:val="32"/>
        </w:rPr>
        <w:t>年初预算数169.57万元，决算数159.52万元，预决算差异率-5.93%，主要原因是：年中调减为民办实事经费，导致预决算存在差异。</w:t>
      </w:r>
    </w:p>
    <w:p w14:paraId="5B14C761">
      <w:pPr>
        <w:spacing w:line="640" w:lineRule="exact"/>
        <w:ind w:firstLine="640"/>
        <w:jc w:val="both"/>
        <w:outlineLvl w:val="2"/>
      </w:pPr>
      <w:r>
        <w:rPr>
          <w:rFonts w:ascii="黑体" w:hAnsi="黑体" w:eastAsia="黑体"/>
          <w:sz w:val="32"/>
        </w:rPr>
        <w:t>五、一般公共预算财政拨款支出决算情况说明</w:t>
      </w:r>
    </w:p>
    <w:p w14:paraId="6EE9B5E5">
      <w:pPr>
        <w:spacing w:line="640" w:lineRule="exact"/>
        <w:ind w:firstLine="640"/>
        <w:jc w:val="both"/>
        <w:outlineLvl w:val="3"/>
      </w:pPr>
      <w:r>
        <w:rPr>
          <w:rFonts w:ascii="楷体_GB2312" w:hAnsi="楷体_GB2312" w:eastAsia="楷体_GB2312"/>
          <w:b/>
          <w:sz w:val="32"/>
        </w:rPr>
        <w:t>（一）一般公共预算财政拨款支出决算总体情况</w:t>
      </w:r>
    </w:p>
    <w:p w14:paraId="6695A55D">
      <w:pPr>
        <w:spacing w:line="580" w:lineRule="exact"/>
        <w:ind w:firstLine="640"/>
        <w:jc w:val="both"/>
      </w:pPr>
      <w:r>
        <w:rPr>
          <w:rFonts w:ascii="仿宋_GB2312" w:hAnsi="仿宋_GB2312" w:eastAsia="仿宋_GB2312"/>
          <w:b/>
          <w:sz w:val="32"/>
        </w:rPr>
        <w:t>2024年度一般公共预算财政拨款支出159.52万元，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增加11.76万元，增长7.96%，主要原因是：</w:t>
      </w:r>
      <w:r>
        <w:rPr>
          <w:rFonts w:hint="eastAsia" w:ascii="仿宋_GB2312" w:hAnsi="仿宋_GB2312" w:eastAsia="仿宋_GB2312"/>
          <w:b w:val="0"/>
          <w:sz w:val="32"/>
          <w:lang w:val="en-US" w:eastAsia="zh-CN"/>
        </w:rPr>
        <w:t>本年</w:t>
      </w:r>
      <w:r>
        <w:rPr>
          <w:rFonts w:ascii="仿宋_GB2312" w:hAnsi="仿宋_GB2312" w:eastAsia="仿宋_GB2312"/>
          <w:b w:val="0"/>
          <w:sz w:val="32"/>
        </w:rPr>
        <w:t>在职人员工资调增，社保，住房公积金等相关人员经费增加。为民办实事工作经费较上年增加。</w:t>
      </w:r>
      <w:r>
        <w:rPr>
          <w:rFonts w:ascii="仿宋_GB2312" w:hAnsi="仿宋_GB2312" w:eastAsia="仿宋_GB2312"/>
          <w:b/>
          <w:sz w:val="32"/>
        </w:rPr>
        <w:t>与年初预算相比,</w:t>
      </w:r>
      <w:r>
        <w:rPr>
          <w:rFonts w:ascii="仿宋_GB2312" w:hAnsi="仿宋_GB2312" w:eastAsia="仿宋_GB2312"/>
          <w:b w:val="0"/>
          <w:sz w:val="32"/>
        </w:rPr>
        <w:t>年初预算数169.57万元，决算数159.52万元，预决算差异率-5.93%，主要原因是：年中调减为民办实事经费，导致预决算存在差异。</w:t>
      </w:r>
    </w:p>
    <w:p w14:paraId="343D68F2">
      <w:pPr>
        <w:spacing w:line="640" w:lineRule="exact"/>
        <w:ind w:firstLine="640"/>
        <w:jc w:val="both"/>
        <w:outlineLvl w:val="3"/>
      </w:pPr>
      <w:r>
        <w:rPr>
          <w:rFonts w:ascii="楷体_GB2312" w:hAnsi="楷体_GB2312" w:eastAsia="楷体_GB2312"/>
          <w:b/>
          <w:sz w:val="32"/>
        </w:rPr>
        <w:t>（二）一般公共预算财政拨款支出决算结构情况</w:t>
      </w:r>
    </w:p>
    <w:p w14:paraId="5FC9042B">
      <w:pPr>
        <w:spacing w:line="580" w:lineRule="exact"/>
        <w:ind w:firstLine="640"/>
        <w:jc w:val="both"/>
      </w:pPr>
      <w:r>
        <w:rPr>
          <w:rFonts w:ascii="仿宋_GB2312" w:hAnsi="仿宋_GB2312" w:eastAsia="仿宋_GB2312"/>
          <w:b w:val="0"/>
          <w:sz w:val="32"/>
        </w:rPr>
        <w:t>1.社会保障和就业支出(类)133.22万元,占83.51%。</w:t>
      </w:r>
    </w:p>
    <w:p w14:paraId="29226A53">
      <w:pPr>
        <w:spacing w:line="580" w:lineRule="exact"/>
        <w:ind w:firstLine="640"/>
        <w:jc w:val="both"/>
      </w:pPr>
      <w:r>
        <w:rPr>
          <w:rFonts w:ascii="仿宋_GB2312" w:hAnsi="仿宋_GB2312" w:eastAsia="仿宋_GB2312"/>
          <w:b w:val="0"/>
          <w:sz w:val="32"/>
        </w:rPr>
        <w:t>2.卫生健康支出(类)10.13万元,占6.35%。</w:t>
      </w:r>
    </w:p>
    <w:p w14:paraId="7C350813">
      <w:pPr>
        <w:spacing w:line="580" w:lineRule="exact"/>
        <w:ind w:firstLine="640"/>
        <w:jc w:val="both"/>
      </w:pPr>
      <w:r>
        <w:rPr>
          <w:rFonts w:ascii="仿宋_GB2312" w:hAnsi="仿宋_GB2312" w:eastAsia="仿宋_GB2312"/>
          <w:b w:val="0"/>
          <w:sz w:val="32"/>
        </w:rPr>
        <w:t>3.住房保障支出(类)11.79万元,占7.39%。</w:t>
      </w:r>
    </w:p>
    <w:p w14:paraId="2205239E">
      <w:pPr>
        <w:spacing w:line="580" w:lineRule="exact"/>
        <w:ind w:firstLine="640"/>
        <w:jc w:val="both"/>
      </w:pPr>
      <w:r>
        <w:rPr>
          <w:rFonts w:ascii="仿宋_GB2312" w:hAnsi="仿宋_GB2312" w:eastAsia="仿宋_GB2312"/>
          <w:b w:val="0"/>
          <w:sz w:val="32"/>
        </w:rPr>
        <w:t>4.其他支出(类)4.38万元,占2.75%。</w:t>
      </w:r>
    </w:p>
    <w:p w14:paraId="7D720FFE">
      <w:pPr>
        <w:spacing w:line="640" w:lineRule="exact"/>
        <w:ind w:firstLine="640"/>
        <w:jc w:val="both"/>
        <w:outlineLvl w:val="3"/>
      </w:pPr>
      <w:r>
        <w:rPr>
          <w:rFonts w:ascii="楷体_GB2312" w:hAnsi="楷体_GB2312" w:eastAsia="楷体_GB2312"/>
          <w:b/>
          <w:sz w:val="32"/>
        </w:rPr>
        <w:t>（三）一般公共预算财政拨款支出决算具体情况</w:t>
      </w:r>
    </w:p>
    <w:p w14:paraId="2FC082B5">
      <w:pPr>
        <w:spacing w:line="580" w:lineRule="exact"/>
        <w:ind w:firstLine="640"/>
        <w:jc w:val="both"/>
      </w:pPr>
      <w:r>
        <w:rPr>
          <w:rFonts w:ascii="仿宋_GB2312" w:hAnsi="仿宋_GB2312" w:eastAsia="仿宋_GB2312"/>
          <w:b w:val="0"/>
          <w:sz w:val="32"/>
        </w:rPr>
        <w:t>1.社会保障和就业支出(类)行政事业单位养老支出(款)行政单位离退休(项):支出决算数为1.61万元，比上年决算增加1.61万元，增长100.00%,主要原因是：本年功能科目调整，行政单位离退休上年度在主科目列支，本年单独列支，导致经费较上年增加。</w:t>
      </w:r>
    </w:p>
    <w:p w14:paraId="41EA3117">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15.43万元，比上年决算增加2.80万元，增长22.17%,主要原因是：本年在职人员工资基数调增，养老缴费基数上涨，相应支出增加。</w:t>
      </w:r>
    </w:p>
    <w:p w14:paraId="77DBF3CE">
      <w:pPr>
        <w:spacing w:line="580" w:lineRule="exact"/>
        <w:ind w:firstLine="640"/>
        <w:jc w:val="both"/>
      </w:pPr>
      <w:r>
        <w:rPr>
          <w:rFonts w:ascii="仿宋_GB2312" w:hAnsi="仿宋_GB2312" w:eastAsia="仿宋_GB2312"/>
          <w:b w:val="0"/>
          <w:sz w:val="32"/>
        </w:rPr>
        <w:t>3.社会保障和就业支出(类)行政事业单位养老支出(款)机关事业单位职业年金缴费支出(项):支出决算数为0.00万元，比上年决算减少6.23万元，下降100.00%,主要原因是：本年无新增退休人员，机关事业单位职业年金缴费较上年减少。</w:t>
      </w:r>
    </w:p>
    <w:p w14:paraId="542CB5F8">
      <w:pPr>
        <w:spacing w:line="580" w:lineRule="exact"/>
        <w:ind w:firstLine="640"/>
        <w:jc w:val="both"/>
      </w:pPr>
      <w:r>
        <w:rPr>
          <w:rFonts w:ascii="仿宋_GB2312" w:hAnsi="仿宋_GB2312" w:eastAsia="仿宋_GB2312"/>
          <w:b w:val="0"/>
          <w:sz w:val="32"/>
        </w:rPr>
        <w:t>4.社会保障和就业支出(类)红十字事业(款)行政运行(项):支出决算数为116.18万元，比上年决算减少12.66万元，下降9.83%,主要原因是：上年度退休人员经费，在职人员医疗缴费、公务员医疗补助、住房公积金上年度在主科目列支，本年单独列支，导致本科目经费减少。</w:t>
      </w:r>
    </w:p>
    <w:p w14:paraId="7D6E48BB">
      <w:pPr>
        <w:spacing w:line="580" w:lineRule="exact"/>
        <w:ind w:firstLine="640"/>
        <w:jc w:val="both"/>
      </w:pPr>
      <w:r>
        <w:rPr>
          <w:rFonts w:ascii="仿宋_GB2312" w:hAnsi="仿宋_GB2312" w:eastAsia="仿宋_GB2312"/>
          <w:b w:val="0"/>
          <w:sz w:val="32"/>
        </w:rPr>
        <w:t>5.卫生健康支出(类)行政事业单位医疗(款)行政单位医疗(项):支出决算数为6.27万元，比上年决算增加6.27万元，增长100.00%,主要原因是：本年功能科目调整，行政单位医疗上年度在主科目列支，本年单独列支，导致经费较上年增加。</w:t>
      </w:r>
    </w:p>
    <w:p w14:paraId="6312DA11">
      <w:pPr>
        <w:spacing w:line="580" w:lineRule="exact"/>
        <w:ind w:firstLine="640"/>
        <w:jc w:val="both"/>
      </w:pPr>
      <w:r>
        <w:rPr>
          <w:rFonts w:ascii="仿宋_GB2312" w:hAnsi="仿宋_GB2312" w:eastAsia="仿宋_GB2312"/>
          <w:b w:val="0"/>
          <w:sz w:val="32"/>
        </w:rPr>
        <w:t>6.卫生健康支出(类)行政事业单位医疗(款)公务员医疗补助(项):支出决算数为3.86万元，比上年决算增加3.86万元，增长100.00%,主要原因是：本年功能科目调整，公务员医疗补助上年度在主科目列支，本年单独列支，导致经费较上年增加。</w:t>
      </w:r>
    </w:p>
    <w:p w14:paraId="2627E37F">
      <w:pPr>
        <w:spacing w:line="580" w:lineRule="exact"/>
        <w:ind w:firstLine="640"/>
        <w:jc w:val="both"/>
      </w:pPr>
      <w:r>
        <w:rPr>
          <w:rFonts w:ascii="仿宋_GB2312" w:hAnsi="仿宋_GB2312" w:eastAsia="仿宋_GB2312"/>
          <w:b w:val="0"/>
          <w:sz w:val="32"/>
        </w:rPr>
        <w:t>7.住房保障支出(类)住房改革支出(款)住房公积金(项):支出决算数为11.79万元，比上年决算增加11.79万元，增长100.00%,主要原因是：本年功能科目调整，住房公积金上年度在主科目列支，本年单独列支，导致经费较上年增加。</w:t>
      </w:r>
    </w:p>
    <w:p w14:paraId="7E941BCB">
      <w:pPr>
        <w:spacing w:line="580" w:lineRule="exact"/>
        <w:ind w:firstLine="640"/>
        <w:jc w:val="both"/>
      </w:pPr>
      <w:r>
        <w:rPr>
          <w:rFonts w:ascii="仿宋_GB2312" w:hAnsi="仿宋_GB2312" w:eastAsia="仿宋_GB2312"/>
          <w:b w:val="0"/>
          <w:sz w:val="32"/>
        </w:rPr>
        <w:t>8.其他支出(类)其他支出(款)其他支出(项):支出决算数为4.38万元，比上年决算增加4.32万元，增长7,200.00%,主要原因是：为民办实事工作经费较上年增加。</w:t>
      </w:r>
    </w:p>
    <w:p w14:paraId="4684937F">
      <w:pPr>
        <w:spacing w:line="640" w:lineRule="exact"/>
        <w:ind w:firstLine="640"/>
        <w:jc w:val="both"/>
        <w:outlineLvl w:val="2"/>
      </w:pPr>
      <w:r>
        <w:rPr>
          <w:rFonts w:ascii="黑体" w:hAnsi="黑体" w:eastAsia="黑体"/>
          <w:sz w:val="32"/>
        </w:rPr>
        <w:t>六、一般公共预算财政拨款基本支出决算情况说明</w:t>
      </w:r>
    </w:p>
    <w:p w14:paraId="0D9BFE29">
      <w:pPr>
        <w:spacing w:line="580" w:lineRule="exact"/>
        <w:ind w:firstLine="640"/>
        <w:jc w:val="both"/>
      </w:pPr>
      <w:r>
        <w:rPr>
          <w:rFonts w:ascii="仿宋_GB2312" w:hAnsi="仿宋_GB2312" w:eastAsia="仿宋_GB2312"/>
          <w:b w:val="0"/>
          <w:sz w:val="32"/>
        </w:rPr>
        <w:t>2024年度一般公共预算财政拨款基本支出155.14万元，其中：</w:t>
      </w:r>
      <w:r>
        <w:rPr>
          <w:rFonts w:ascii="仿宋_GB2312" w:hAnsi="仿宋_GB2312" w:eastAsia="仿宋_GB2312"/>
          <w:b/>
          <w:sz w:val="32"/>
        </w:rPr>
        <w:t>人员经费153.82万元，</w:t>
      </w:r>
      <w:r>
        <w:rPr>
          <w:rFonts w:ascii="仿宋_GB2312" w:hAnsi="仿宋_GB2312" w:eastAsia="仿宋_GB2312"/>
          <w:b w:val="0"/>
          <w:sz w:val="32"/>
        </w:rPr>
        <w:t>包括：基本工资、津贴补贴、绩效工资、机关事业单位基本养老保险缴费、职工基本医疗保险缴费、公务员医疗补助缴费、其他社会保障缴费、住房公积金、退休费、生活补助。</w:t>
      </w:r>
    </w:p>
    <w:p w14:paraId="0D055D6F">
      <w:pPr>
        <w:spacing w:line="580" w:lineRule="exact"/>
        <w:ind w:firstLine="640"/>
        <w:jc w:val="both"/>
      </w:pPr>
      <w:r>
        <w:rPr>
          <w:rFonts w:ascii="仿宋_GB2312" w:hAnsi="仿宋_GB2312" w:eastAsia="仿宋_GB2312"/>
          <w:b/>
          <w:sz w:val="32"/>
        </w:rPr>
        <w:t>公用经费1.32万元，</w:t>
      </w:r>
      <w:r>
        <w:rPr>
          <w:rFonts w:ascii="仿宋_GB2312" w:hAnsi="仿宋_GB2312" w:eastAsia="仿宋_GB2312"/>
          <w:b w:val="0"/>
          <w:sz w:val="32"/>
        </w:rPr>
        <w:t>包括：办公费、工会经费、其他商品和服务支出。</w:t>
      </w:r>
    </w:p>
    <w:p w14:paraId="75AACF0B">
      <w:pPr>
        <w:spacing w:line="640" w:lineRule="exact"/>
        <w:ind w:firstLine="640"/>
        <w:jc w:val="both"/>
        <w:outlineLvl w:val="2"/>
      </w:pPr>
      <w:r>
        <w:rPr>
          <w:rFonts w:ascii="黑体" w:hAnsi="黑体" w:eastAsia="黑体"/>
          <w:sz w:val="32"/>
        </w:rPr>
        <w:t>七、政府性基金预算财政拨款收入支出决算情况说明</w:t>
      </w:r>
    </w:p>
    <w:p w14:paraId="30292047">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4849FE94">
      <w:pPr>
        <w:spacing w:line="640" w:lineRule="exact"/>
        <w:ind w:firstLine="640"/>
        <w:jc w:val="both"/>
        <w:outlineLvl w:val="2"/>
      </w:pPr>
      <w:r>
        <w:rPr>
          <w:rFonts w:ascii="黑体" w:hAnsi="黑体" w:eastAsia="黑体"/>
          <w:sz w:val="32"/>
        </w:rPr>
        <w:t>八、国有资本经营预算财政拨款收入支出决算情况说明</w:t>
      </w:r>
    </w:p>
    <w:p w14:paraId="18A65753">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72FDC40B">
      <w:pPr>
        <w:spacing w:line="640" w:lineRule="exact"/>
        <w:ind w:firstLine="640"/>
        <w:jc w:val="both"/>
        <w:outlineLvl w:val="2"/>
      </w:pPr>
      <w:r>
        <w:rPr>
          <w:rFonts w:ascii="黑体" w:hAnsi="黑体" w:eastAsia="黑体"/>
          <w:sz w:val="32"/>
        </w:rPr>
        <w:t>九、财政拨款“三公”经费支出决算情况说明</w:t>
      </w:r>
    </w:p>
    <w:p w14:paraId="5A0B652C">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5D991A2D">
      <w:pPr>
        <w:spacing w:line="580" w:lineRule="exact"/>
        <w:ind w:firstLine="640"/>
        <w:jc w:val="both"/>
      </w:pPr>
      <w:r>
        <w:rPr>
          <w:rFonts w:ascii="仿宋_GB2312" w:hAnsi="仿宋_GB2312" w:eastAsia="仿宋_GB2312"/>
          <w:b/>
          <w:sz w:val="32"/>
        </w:rPr>
        <w:t>具体情况如下：</w:t>
      </w:r>
    </w:p>
    <w:p w14:paraId="194DC967">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6B36CE47">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1辆，与公务用车保有量差异原因是：差异车辆为一般业务用车，预算未安排公务用车运行维护费。</w:t>
      </w:r>
    </w:p>
    <w:p w14:paraId="479D79DA">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22BDE88C">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7CB701F6">
      <w:pPr>
        <w:spacing w:line="640" w:lineRule="exact"/>
        <w:ind w:firstLine="640"/>
        <w:jc w:val="both"/>
        <w:outlineLvl w:val="2"/>
      </w:pPr>
      <w:r>
        <w:rPr>
          <w:rFonts w:ascii="黑体" w:hAnsi="黑体" w:eastAsia="黑体"/>
          <w:sz w:val="32"/>
        </w:rPr>
        <w:t>十、其他重要事项的情况说明</w:t>
      </w:r>
    </w:p>
    <w:p w14:paraId="241C2106">
      <w:pPr>
        <w:spacing w:line="640" w:lineRule="exact"/>
        <w:ind w:firstLine="640"/>
        <w:jc w:val="both"/>
        <w:outlineLvl w:val="3"/>
      </w:pPr>
      <w:r>
        <w:rPr>
          <w:rFonts w:ascii="楷体_GB2312" w:hAnsi="楷体_GB2312" w:eastAsia="楷体_GB2312"/>
          <w:b/>
          <w:sz w:val="32"/>
        </w:rPr>
        <w:t>（一）机关运行经费及公用经费支出情况</w:t>
      </w:r>
    </w:p>
    <w:p w14:paraId="1150937C">
      <w:pPr>
        <w:spacing w:line="580" w:lineRule="exact"/>
        <w:ind w:firstLine="640"/>
        <w:jc w:val="both"/>
      </w:pPr>
      <w:r>
        <w:rPr>
          <w:rFonts w:ascii="仿宋_GB2312" w:hAnsi="仿宋_GB2312" w:eastAsia="仿宋_GB2312"/>
          <w:b w:val="0"/>
          <w:sz w:val="32"/>
        </w:rPr>
        <w:t>2024年度洛浦县红十字会（行政单位和参照公务员法管理事业单位）机关运行经费支出1.32万元，比上年增加0.12万元，增长10.00%，主要原因是：</w:t>
      </w:r>
      <w:r>
        <w:rPr>
          <w:rFonts w:hint="eastAsia" w:ascii="仿宋_GB2312" w:hAnsi="仿宋_GB2312" w:eastAsia="仿宋_GB2312"/>
          <w:b w:val="0"/>
          <w:sz w:val="32"/>
          <w:lang w:val="en-US" w:eastAsia="zh-CN"/>
        </w:rPr>
        <w:t>本年</w:t>
      </w:r>
      <w:r>
        <w:rPr>
          <w:rFonts w:ascii="仿宋_GB2312" w:hAnsi="仿宋_GB2312" w:eastAsia="仿宋_GB2312"/>
          <w:b w:val="0"/>
          <w:sz w:val="32"/>
        </w:rPr>
        <w:t>业务量增加，办公费用增加。</w:t>
      </w:r>
    </w:p>
    <w:p w14:paraId="57FEB351">
      <w:pPr>
        <w:spacing w:line="640" w:lineRule="exact"/>
        <w:ind w:firstLine="640"/>
        <w:jc w:val="both"/>
        <w:outlineLvl w:val="3"/>
      </w:pPr>
      <w:r>
        <w:rPr>
          <w:rFonts w:ascii="楷体_GB2312" w:hAnsi="楷体_GB2312" w:eastAsia="楷体_GB2312"/>
          <w:b/>
          <w:sz w:val="32"/>
        </w:rPr>
        <w:t>（二）政府采购情况</w:t>
      </w:r>
    </w:p>
    <w:p w14:paraId="6B44EE3D">
      <w:pPr>
        <w:spacing w:line="580" w:lineRule="exact"/>
        <w:ind w:firstLine="640"/>
        <w:jc w:val="both"/>
      </w:pPr>
      <w:r>
        <w:rPr>
          <w:rFonts w:ascii="仿宋_GB2312" w:hAnsi="仿宋_GB2312" w:eastAsia="仿宋_GB2312"/>
          <w:b w:val="0"/>
          <w:sz w:val="32"/>
        </w:rPr>
        <w:t>2024年度政府采购支出总额0.00万元，其中：政府采购货物支出0.00万元、政府采购工程支出0.00万元、政府采购服务支出0.00万元。</w:t>
      </w:r>
    </w:p>
    <w:p w14:paraId="3528BD88">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14:paraId="330E9B0E">
      <w:pPr>
        <w:spacing w:line="640" w:lineRule="exact"/>
        <w:ind w:firstLine="640"/>
        <w:jc w:val="both"/>
        <w:outlineLvl w:val="3"/>
      </w:pPr>
      <w:r>
        <w:rPr>
          <w:rFonts w:ascii="楷体_GB2312" w:hAnsi="楷体_GB2312" w:eastAsia="楷体_GB2312"/>
          <w:b/>
          <w:sz w:val="32"/>
        </w:rPr>
        <w:t>（三）国有资产占用情况说明</w:t>
      </w:r>
    </w:p>
    <w:p w14:paraId="0107FC65">
      <w:pPr>
        <w:spacing w:line="580" w:lineRule="exact"/>
        <w:ind w:firstLine="640"/>
        <w:jc w:val="both"/>
      </w:pPr>
      <w:r>
        <w:rPr>
          <w:rFonts w:ascii="仿宋_GB2312" w:hAnsi="仿宋_GB2312" w:eastAsia="仿宋_GB2312"/>
          <w:b w:val="0"/>
          <w:sz w:val="32"/>
        </w:rPr>
        <w:t>截至2024年12月31日，房屋0.00平方米，价值0.00万元。车辆1辆，价值5.10万元，其中：副部（省）级及以上领导用车0辆、主要负责人用车0辆、机要通信用车0辆、应急保障用车0辆、执法执勤用车0辆、特种专业技术用车0辆、离退休干部服务用车0辆、其他用车1辆，其他用车主要是：</w:t>
      </w:r>
      <w:r>
        <w:rPr>
          <w:rFonts w:hint="eastAsia" w:ascii="仿宋_GB2312" w:hAnsi="仿宋_GB2312" w:eastAsia="仿宋_GB2312"/>
          <w:b w:val="0"/>
          <w:sz w:val="32"/>
          <w:lang w:eastAsia="zh-CN"/>
        </w:rPr>
        <w:t>本单位</w:t>
      </w:r>
      <w:r>
        <w:rPr>
          <w:rFonts w:ascii="仿宋_GB2312" w:hAnsi="仿宋_GB2312" w:eastAsia="仿宋_GB2312"/>
          <w:b w:val="0"/>
          <w:sz w:val="32"/>
        </w:rPr>
        <w:t>业务用车。单价100万元（含）以上设备（不含车辆）0台（套）。</w:t>
      </w:r>
    </w:p>
    <w:p w14:paraId="2194BA1E">
      <w:pPr>
        <w:spacing w:line="640" w:lineRule="exact"/>
        <w:ind w:firstLine="640"/>
        <w:jc w:val="both"/>
        <w:outlineLvl w:val="2"/>
      </w:pPr>
      <w:r>
        <w:rPr>
          <w:rFonts w:ascii="黑体" w:hAnsi="黑体" w:eastAsia="黑体"/>
          <w:sz w:val="32"/>
        </w:rPr>
        <w:t>十一、预算绩效的情况说明</w:t>
      </w:r>
    </w:p>
    <w:p w14:paraId="78A7867C">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根据预算绩效管理要求，本单位2024年度预算绩效管理形成整体支出绩效自评表1个，全年预算总额159.52万元，实际执行总额159.52万元；预算绩效评价项目</w:t>
      </w:r>
      <w:r>
        <w:rPr>
          <w:rFonts w:hint="eastAsia" w:ascii="仿宋_GB2312" w:hAnsi="仿宋_GB2312" w:eastAsia="仿宋_GB2312"/>
          <w:b w:val="0"/>
          <w:sz w:val="32"/>
          <w:lang w:val="en-US" w:eastAsia="zh-CN"/>
        </w:rPr>
        <w:t>1</w:t>
      </w:r>
      <w:r>
        <w:rPr>
          <w:rFonts w:ascii="仿宋_GB2312" w:hAnsi="仿宋_GB2312" w:eastAsia="仿宋_GB2312"/>
          <w:b w:val="0"/>
          <w:sz w:val="32"/>
        </w:rPr>
        <w:t>个，全年预算数4.38万元，全年执行数4.38万元。预算绩效管理取得的成效：一是确保资金的高效使用，切实发挥</w:t>
      </w:r>
      <w:bookmarkStart w:id="0" w:name="_GoBack"/>
      <w:r>
        <w:rPr>
          <w:rFonts w:ascii="仿宋_GB2312" w:hAnsi="仿宋_GB2312" w:eastAsia="仿宋_GB2312"/>
          <w:b w:val="0"/>
          <w:sz w:val="32"/>
        </w:rPr>
        <w:t>财政资金的使用</w:t>
      </w:r>
      <w:bookmarkEnd w:id="0"/>
      <w:r>
        <w:rPr>
          <w:rFonts w:ascii="仿宋_GB2312" w:hAnsi="仿宋_GB2312" w:eastAsia="仿宋_GB2312"/>
          <w:b w:val="0"/>
          <w:sz w:val="32"/>
        </w:rPr>
        <w:t>效果；二是严格按照工作职责和相关文件依据，确保专款专用。发现的问题及原因：目标设定科学性及评价存在难，对于目标设定需要分科室部门分解，汇总后制定整体目标，如何科学整合全单位绩效目标比较困难；目标设定后如何科学设定考核评价标准，特别是对于不能量化的目标如何评价。下一步改进措施：一是加强学习，进一步明确如何参照考核体系，科学合理设定绩效目标，充分发挥预算绩效管理工作效用。二是财务上会计核算要更加详细，为本单位各项工作的开展、总结、评估提供有效数据资料支撑,为各项业务工作更好</w:t>
      </w:r>
      <w:r>
        <w:rPr>
          <w:rFonts w:hint="eastAsia" w:ascii="仿宋_GB2312" w:hAnsi="仿宋_GB2312" w:eastAsia="仿宋_GB2312"/>
          <w:b w:val="0"/>
          <w:sz w:val="32"/>
          <w:lang w:eastAsia="zh-CN"/>
        </w:rPr>
        <w:t>地</w:t>
      </w:r>
      <w:r>
        <w:rPr>
          <w:rFonts w:ascii="仿宋_GB2312" w:hAnsi="仿宋_GB2312" w:eastAsia="仿宋_GB2312"/>
          <w:b w:val="0"/>
          <w:sz w:val="32"/>
        </w:rPr>
        <w:t>开展提供帮助。具体附整体支出绩效自评表。</w:t>
      </w:r>
    </w:p>
    <w:p w14:paraId="1721F8A6">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4F609A1">
        <w:tblPrEx>
          <w:tblCellMar>
            <w:top w:w="0" w:type="dxa"/>
            <w:left w:w="108" w:type="dxa"/>
            <w:bottom w:w="0" w:type="dxa"/>
            <w:right w:w="108" w:type="dxa"/>
          </w:tblCellMar>
        </w:tblPrEx>
        <w:tc>
          <w:tcPr>
            <w:tcW w:w="8847" w:type="dxa"/>
            <w:gridSpan w:val="9"/>
            <w:vAlign w:val="center"/>
          </w:tcPr>
          <w:p w14:paraId="3A741FE4">
            <w:pPr>
              <w:jc w:val="center"/>
            </w:pPr>
            <w:r>
              <w:rPr>
                <w:rFonts w:ascii="宋体" w:hAnsi="宋体" w:eastAsia="宋体"/>
                <w:sz w:val="24"/>
              </w:rPr>
              <w:t>单位整体支出绩效自评表</w:t>
            </w:r>
          </w:p>
        </w:tc>
      </w:tr>
      <w:tr w14:paraId="759902CB">
        <w:tblPrEx>
          <w:tblCellMar>
            <w:top w:w="0" w:type="dxa"/>
            <w:left w:w="108" w:type="dxa"/>
            <w:bottom w:w="0" w:type="dxa"/>
            <w:right w:w="108" w:type="dxa"/>
          </w:tblCellMar>
        </w:tblPrEx>
        <w:tc>
          <w:tcPr>
            <w:tcW w:w="8847" w:type="dxa"/>
            <w:gridSpan w:val="9"/>
            <w:vAlign w:val="center"/>
          </w:tcPr>
          <w:p w14:paraId="5306886F">
            <w:pPr>
              <w:jc w:val="center"/>
            </w:pPr>
            <w:r>
              <w:rPr>
                <w:rFonts w:ascii="宋体" w:hAnsi="宋体" w:eastAsia="宋体"/>
                <w:sz w:val="24"/>
              </w:rPr>
              <w:t>（2024年度）</w:t>
            </w:r>
          </w:p>
        </w:tc>
      </w:tr>
      <w:tr w14:paraId="64FE6E1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CE6F40">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827030B">
            <w:pPr>
              <w:jc w:val="center"/>
            </w:pPr>
            <w:r>
              <w:rPr>
                <w:rFonts w:ascii="宋体" w:hAnsi="宋体" w:eastAsia="宋体"/>
                <w:sz w:val="16"/>
              </w:rPr>
              <w:t>洛浦县红十字会</w:t>
            </w:r>
          </w:p>
        </w:tc>
      </w:tr>
      <w:tr w14:paraId="53DF473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2B436D">
            <w:pPr>
              <w:jc w:val="center"/>
            </w:pPr>
            <w:r>
              <w:rPr>
                <w:rFonts w:ascii="宋体" w:hAnsi="宋体" w:eastAsia="宋体"/>
                <w:sz w:val="16"/>
              </w:rPr>
              <w:t>年度预算（万元）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591EB5">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C1AA58">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B5DE54">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8CD7F0">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F12B7D">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C65BD6">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BC0864">
            <w:pPr>
              <w:jc w:val="center"/>
            </w:pPr>
            <w:r>
              <w:rPr>
                <w:rFonts w:ascii="宋体" w:hAnsi="宋体" w:eastAsia="宋体"/>
                <w:sz w:val="16"/>
              </w:rPr>
              <w:t>得分</w:t>
            </w:r>
          </w:p>
        </w:tc>
      </w:tr>
      <w:tr w14:paraId="7507BFE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64F3C3"/>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82F75A">
            <w:pPr>
              <w:jc w:val="center"/>
            </w:pPr>
            <w:r>
              <w:rPr>
                <w:rFonts w:ascii="宋体" w:hAnsi="宋体" w:eastAsia="宋体"/>
                <w:sz w:val="16"/>
              </w:rPr>
              <w:t>财政资金（万元）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B7362E">
            <w:pPr>
              <w:jc w:val="center"/>
            </w:pPr>
            <w:r>
              <w:rPr>
                <w:rFonts w:ascii="宋体" w:hAnsi="宋体" w:eastAsia="宋体"/>
                <w:sz w:val="16"/>
              </w:rPr>
              <w:t>上级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901320">
            <w:pPr>
              <w:jc w:val="center"/>
            </w:pPr>
            <w:r>
              <w:rPr>
                <w:rFonts w:ascii="宋体" w:hAnsi="宋体" w:eastAsia="宋体"/>
                <w:sz w:val="16"/>
              </w:rPr>
              <w:t>19.07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2CDCF8">
            <w:pPr>
              <w:jc w:val="center"/>
            </w:pPr>
            <w:r>
              <w:rPr>
                <w:rFonts w:ascii="宋体" w:hAnsi="宋体" w:eastAsia="宋体"/>
                <w:sz w:val="16"/>
              </w:rPr>
              <w:t>4.38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813BDD">
            <w:pPr>
              <w:jc w:val="center"/>
            </w:pPr>
            <w:r>
              <w:rPr>
                <w:rFonts w:ascii="宋体" w:hAnsi="宋体" w:eastAsia="宋体"/>
                <w:sz w:val="16"/>
              </w:rPr>
              <w:t>4.38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D1DAC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9DEBF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1F34E6">
            <w:pPr>
              <w:jc w:val="center"/>
            </w:pPr>
            <w:r>
              <w:rPr>
                <w:rFonts w:ascii="宋体" w:hAnsi="宋体" w:eastAsia="宋体"/>
                <w:sz w:val="16"/>
              </w:rPr>
              <w:t>-</w:t>
            </w:r>
          </w:p>
        </w:tc>
      </w:tr>
      <w:tr w14:paraId="29C92CB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D2D9D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98685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660258">
            <w:pPr>
              <w:jc w:val="center"/>
            </w:pPr>
            <w:r>
              <w:rPr>
                <w:rFonts w:ascii="宋体" w:hAnsi="宋体" w:eastAsia="宋体"/>
                <w:sz w:val="16"/>
              </w:rPr>
              <w:t>本级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293A81">
            <w:pPr>
              <w:jc w:val="center"/>
            </w:pPr>
            <w:r>
              <w:rPr>
                <w:rFonts w:ascii="宋体" w:hAnsi="宋体" w:eastAsia="宋体"/>
                <w:sz w:val="16"/>
              </w:rPr>
              <w:t>150.50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920416">
            <w:pPr>
              <w:jc w:val="center"/>
            </w:pPr>
            <w:r>
              <w:rPr>
                <w:rFonts w:ascii="宋体" w:hAnsi="宋体" w:eastAsia="宋体"/>
                <w:sz w:val="16"/>
              </w:rPr>
              <w:t>155.14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788023">
            <w:pPr>
              <w:jc w:val="center"/>
            </w:pPr>
            <w:r>
              <w:rPr>
                <w:rFonts w:ascii="宋体" w:hAnsi="宋体" w:eastAsia="宋体"/>
                <w:sz w:val="16"/>
              </w:rPr>
              <w:t>155.14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C1B47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3D9CF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23D793">
            <w:pPr>
              <w:jc w:val="center"/>
            </w:pPr>
            <w:r>
              <w:rPr>
                <w:rFonts w:ascii="宋体" w:hAnsi="宋体" w:eastAsia="宋体"/>
                <w:sz w:val="16"/>
              </w:rPr>
              <w:t>-</w:t>
            </w:r>
          </w:p>
        </w:tc>
      </w:tr>
      <w:tr w14:paraId="02D13F5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240C8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7E1C9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B219B7">
            <w:pPr>
              <w:jc w:val="center"/>
            </w:pPr>
            <w:r>
              <w:rPr>
                <w:rFonts w:ascii="宋体" w:hAnsi="宋体" w:eastAsia="宋体"/>
                <w:sz w:val="16"/>
              </w:rPr>
              <w:t>其他</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05CA3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AE28D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02742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94D4C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BC226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11ACEC">
            <w:pPr>
              <w:jc w:val="center"/>
            </w:pPr>
            <w:r>
              <w:rPr>
                <w:rFonts w:ascii="宋体" w:hAnsi="宋体" w:eastAsia="宋体"/>
                <w:sz w:val="16"/>
              </w:rPr>
              <w:t>-</w:t>
            </w:r>
          </w:p>
        </w:tc>
      </w:tr>
      <w:tr w14:paraId="5CDC3F4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C950E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06205B">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13D79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FAA508">
            <w:pPr>
              <w:jc w:val="center"/>
            </w:pPr>
            <w:r>
              <w:rPr>
                <w:rFonts w:ascii="宋体" w:hAnsi="宋体" w:eastAsia="宋体"/>
                <w:sz w:val="16"/>
              </w:rPr>
              <w:t>169.57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B0E55B">
            <w:pPr>
              <w:jc w:val="center"/>
            </w:pPr>
            <w:r>
              <w:rPr>
                <w:rFonts w:ascii="宋体" w:hAnsi="宋体" w:eastAsia="宋体"/>
                <w:sz w:val="16"/>
              </w:rPr>
              <w:t>159.52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CF27F9">
            <w:pPr>
              <w:jc w:val="center"/>
            </w:pPr>
            <w:r>
              <w:rPr>
                <w:rFonts w:ascii="宋体" w:hAnsi="宋体" w:eastAsia="宋体"/>
                <w:sz w:val="16"/>
              </w:rPr>
              <w:t>159.52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10517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D20452">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DCE185">
            <w:pPr>
              <w:jc w:val="center"/>
            </w:pPr>
            <w:r>
              <w:rPr>
                <w:rFonts w:ascii="宋体" w:hAnsi="宋体" w:eastAsia="宋体"/>
                <w:sz w:val="16"/>
              </w:rPr>
              <w:t>10</w:t>
            </w:r>
          </w:p>
        </w:tc>
      </w:tr>
      <w:tr w14:paraId="0D02825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7063E1">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8D33172">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D84247D">
            <w:pPr>
              <w:jc w:val="center"/>
            </w:pPr>
            <w:r>
              <w:rPr>
                <w:rFonts w:ascii="宋体" w:hAnsi="宋体" w:eastAsia="宋体"/>
                <w:sz w:val="16"/>
              </w:rPr>
              <w:t>实际完成情况</w:t>
            </w:r>
          </w:p>
        </w:tc>
      </w:tr>
      <w:tr w14:paraId="3177667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DF2410"/>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BBD9C27">
            <w:pPr>
              <w:jc w:val="both"/>
            </w:pPr>
            <w:r>
              <w:rPr>
                <w:rFonts w:ascii="宋体" w:hAnsi="宋体" w:eastAsia="宋体"/>
                <w:sz w:val="16"/>
              </w:rPr>
              <w:t>目标1：保障单位在职:7人，退休1人的工资福利及各项补助正常发放及部门正常运转，计划2024年开展好红十字会法规宣传工作，聚焦洛浦社会和谐稳定，稳步推进“三献”工作，开展</w:t>
            </w:r>
            <w:r>
              <w:rPr>
                <w:rFonts w:hint="eastAsia" w:ascii="宋体" w:hAnsi="宋体"/>
                <w:sz w:val="16"/>
                <w:lang w:eastAsia="zh-CN"/>
              </w:rPr>
              <w:t>AZB</w:t>
            </w:r>
            <w:r>
              <w:rPr>
                <w:rFonts w:ascii="宋体" w:hAnsi="宋体" w:eastAsia="宋体"/>
                <w:sz w:val="16"/>
              </w:rPr>
              <w:t>预防与关怀宣传工作。扎实做好红十字志愿服务工作，围绕保障民生，造血干细胞血样采集数量达到20人，应急救护培训人数达到2000人，不断提升“三救”水平。目标2：持续推进全面从严治党，巩固风清气正的政治生态，持续加强红十字干部队伍建设及红十字会自身建设，争取使受益群众及受益在职人员满意度达到95%以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2D4E835">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已完成开展红十字会法规宣传工作1项，推进“三献”工作1项，开展</w:t>
            </w:r>
            <w:r>
              <w:rPr>
                <w:rFonts w:hint="eastAsia" w:ascii="宋体" w:hAnsi="宋体"/>
                <w:sz w:val="16"/>
                <w:lang w:eastAsia="zh-CN"/>
              </w:rPr>
              <w:t>AZB</w:t>
            </w:r>
            <w:r>
              <w:rPr>
                <w:rFonts w:ascii="宋体" w:hAnsi="宋体" w:eastAsia="宋体"/>
                <w:sz w:val="16"/>
              </w:rPr>
              <w:t>预防与关怀宣传工作1项，造血干细胞血样采集22人，应急救护培训8700人。</w:t>
            </w:r>
          </w:p>
        </w:tc>
      </w:tr>
      <w:tr w14:paraId="7475AB2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8191B1">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F9F0C5">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F86D4D">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E8DE20">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577058">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12361E">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7DA11A">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59D8C4">
            <w:pPr>
              <w:jc w:val="center"/>
            </w:pPr>
            <w:r>
              <w:rPr>
                <w:rFonts w:ascii="宋体" w:hAnsi="宋体" w:eastAsia="宋体"/>
                <w:sz w:val="16"/>
              </w:rPr>
              <w:t>得分</w:t>
            </w:r>
          </w:p>
        </w:tc>
      </w:tr>
      <w:tr w14:paraId="06DD519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A3540D">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F8B348">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BC106C">
            <w:pPr>
              <w:jc w:val="center"/>
            </w:pPr>
            <w:r>
              <w:rPr>
                <w:rFonts w:ascii="宋体" w:hAnsi="宋体" w:eastAsia="宋体"/>
                <w:sz w:val="16"/>
              </w:rPr>
              <w:t>开展红十字会法规宣传工作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CCE69E">
            <w:pPr>
              <w:jc w:val="center"/>
            </w:pPr>
            <w:r>
              <w:rPr>
                <w:rFonts w:ascii="宋体" w:hAnsi="宋体" w:eastAsia="宋体"/>
                <w:sz w:val="16"/>
              </w:rPr>
              <w:t>&gt;=1项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1769D2">
            <w:pPr>
              <w:jc w:val="center"/>
            </w:pPr>
            <w:r>
              <w:rPr>
                <w:rFonts w:ascii="宋体" w:hAnsi="宋体" w:eastAsia="宋体"/>
                <w:sz w:val="16"/>
              </w:rPr>
              <w:t>年初工作计划安排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36CB1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07AC31">
            <w:pPr>
              <w:jc w:val="center"/>
            </w:pPr>
            <w:r>
              <w:rPr>
                <w:rFonts w:ascii="宋体" w:hAnsi="宋体" w:eastAsia="宋体"/>
                <w:sz w:val="16"/>
              </w:rPr>
              <w:t>1项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9DA574">
            <w:pPr>
              <w:jc w:val="center"/>
            </w:pPr>
            <w:r>
              <w:rPr>
                <w:rFonts w:ascii="宋体" w:hAnsi="宋体" w:eastAsia="宋体"/>
                <w:sz w:val="16"/>
              </w:rPr>
              <w:t>20</w:t>
            </w:r>
          </w:p>
        </w:tc>
      </w:tr>
      <w:tr w14:paraId="39ACDF6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F08A1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8EDCF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0E910B">
            <w:pPr>
              <w:jc w:val="center"/>
            </w:pPr>
            <w:r>
              <w:rPr>
                <w:rFonts w:ascii="宋体" w:hAnsi="宋体" w:eastAsia="宋体"/>
                <w:sz w:val="16"/>
              </w:rPr>
              <w:t>推进“三献”工作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169647">
            <w:pPr>
              <w:jc w:val="center"/>
            </w:pPr>
            <w:r>
              <w:rPr>
                <w:rFonts w:ascii="宋体" w:hAnsi="宋体" w:eastAsia="宋体"/>
                <w:sz w:val="16"/>
              </w:rPr>
              <w:t>&gt;=1项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8A6ADA">
            <w:pPr>
              <w:jc w:val="center"/>
            </w:pPr>
            <w:r>
              <w:rPr>
                <w:rFonts w:ascii="宋体" w:hAnsi="宋体" w:eastAsia="宋体"/>
                <w:sz w:val="16"/>
              </w:rPr>
              <w:t>初工作计划安排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915B5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1B25AF">
            <w:pPr>
              <w:jc w:val="center"/>
            </w:pPr>
            <w:r>
              <w:rPr>
                <w:rFonts w:ascii="宋体" w:hAnsi="宋体" w:eastAsia="宋体"/>
                <w:sz w:val="16"/>
              </w:rPr>
              <w:t>1项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187990">
            <w:pPr>
              <w:jc w:val="center"/>
            </w:pPr>
            <w:r>
              <w:rPr>
                <w:rFonts w:ascii="宋体" w:hAnsi="宋体" w:eastAsia="宋体"/>
                <w:sz w:val="16"/>
              </w:rPr>
              <w:t>20</w:t>
            </w:r>
          </w:p>
        </w:tc>
      </w:tr>
      <w:tr w14:paraId="38D869A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C4ADF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A9E10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163E0F">
            <w:pPr>
              <w:jc w:val="center"/>
            </w:pPr>
            <w:r>
              <w:rPr>
                <w:rFonts w:ascii="宋体" w:hAnsi="宋体" w:eastAsia="宋体"/>
                <w:sz w:val="16"/>
              </w:rPr>
              <w:t>开展</w:t>
            </w:r>
            <w:r>
              <w:rPr>
                <w:rFonts w:hint="eastAsia" w:ascii="宋体" w:hAnsi="宋体"/>
                <w:sz w:val="16"/>
                <w:lang w:eastAsia="zh-CN"/>
              </w:rPr>
              <w:t>AZB</w:t>
            </w:r>
            <w:r>
              <w:rPr>
                <w:rFonts w:ascii="宋体" w:hAnsi="宋体" w:eastAsia="宋体"/>
                <w:sz w:val="16"/>
              </w:rPr>
              <w:t>预防与关怀宣传工作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8F8EE6">
            <w:pPr>
              <w:jc w:val="center"/>
            </w:pPr>
            <w:r>
              <w:rPr>
                <w:rFonts w:ascii="宋体" w:hAnsi="宋体" w:eastAsia="宋体"/>
                <w:sz w:val="16"/>
              </w:rPr>
              <w:t>&gt;=1项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564E48">
            <w:pPr>
              <w:jc w:val="center"/>
            </w:pPr>
            <w:r>
              <w:rPr>
                <w:rFonts w:ascii="宋体" w:hAnsi="宋体" w:eastAsia="宋体"/>
                <w:sz w:val="16"/>
              </w:rPr>
              <w:t>年初工作计划安排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5E3F7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15CC95">
            <w:pPr>
              <w:jc w:val="center"/>
            </w:pPr>
            <w:r>
              <w:rPr>
                <w:rFonts w:ascii="宋体" w:hAnsi="宋体" w:eastAsia="宋体"/>
                <w:sz w:val="16"/>
              </w:rPr>
              <w:t>1项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FB6DDD">
            <w:pPr>
              <w:jc w:val="center"/>
            </w:pPr>
            <w:r>
              <w:rPr>
                <w:rFonts w:ascii="宋体" w:hAnsi="宋体" w:eastAsia="宋体"/>
                <w:sz w:val="16"/>
              </w:rPr>
              <w:t>20</w:t>
            </w:r>
          </w:p>
        </w:tc>
      </w:tr>
      <w:tr w14:paraId="2EFC7A6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B2639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AA5FE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65AA0D">
            <w:pPr>
              <w:jc w:val="center"/>
            </w:pPr>
            <w:r>
              <w:rPr>
                <w:rFonts w:ascii="宋体" w:hAnsi="宋体" w:eastAsia="宋体"/>
                <w:sz w:val="16"/>
              </w:rPr>
              <w:t>造血干细胞血样采集数量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3EA194">
            <w:pPr>
              <w:jc w:val="center"/>
            </w:pPr>
            <w:r>
              <w:rPr>
                <w:rFonts w:ascii="宋体" w:hAnsi="宋体" w:eastAsia="宋体"/>
                <w:sz w:val="16"/>
              </w:rPr>
              <w:t>&gt;=20人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B2B274">
            <w:pPr>
              <w:jc w:val="center"/>
            </w:pPr>
            <w:r>
              <w:rPr>
                <w:rFonts w:ascii="宋体" w:hAnsi="宋体" w:eastAsia="宋体"/>
                <w:sz w:val="16"/>
              </w:rPr>
              <w:t>年初工作计划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D0155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A7D949">
            <w:pPr>
              <w:jc w:val="center"/>
            </w:pPr>
            <w:r>
              <w:rPr>
                <w:rFonts w:ascii="宋体" w:hAnsi="宋体" w:eastAsia="宋体"/>
                <w:sz w:val="16"/>
              </w:rPr>
              <w:t>22人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59B37E">
            <w:pPr>
              <w:jc w:val="center"/>
            </w:pPr>
            <w:r>
              <w:rPr>
                <w:rFonts w:ascii="宋体" w:hAnsi="宋体" w:eastAsia="宋体"/>
                <w:sz w:val="16"/>
              </w:rPr>
              <w:t>20</w:t>
            </w:r>
          </w:p>
        </w:tc>
      </w:tr>
      <w:tr w14:paraId="75BF386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9508E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BFD87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FCA7EB">
            <w:pPr>
              <w:jc w:val="center"/>
            </w:pPr>
            <w:r>
              <w:rPr>
                <w:rFonts w:ascii="宋体" w:hAnsi="宋体" w:eastAsia="宋体"/>
                <w:sz w:val="16"/>
              </w:rPr>
              <w:t>应急救护培训人数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70ED82">
            <w:pPr>
              <w:jc w:val="center"/>
            </w:pPr>
            <w:r>
              <w:rPr>
                <w:rFonts w:ascii="宋体" w:hAnsi="宋体" w:eastAsia="宋体"/>
                <w:sz w:val="16"/>
              </w:rPr>
              <w:t>&gt;=2000人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6EA55D">
            <w:pPr>
              <w:jc w:val="center"/>
            </w:pPr>
            <w:r>
              <w:rPr>
                <w:rFonts w:ascii="宋体" w:hAnsi="宋体" w:eastAsia="宋体"/>
                <w:sz w:val="16"/>
              </w:rPr>
              <w:t>年初工作计划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191FB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21922A">
            <w:pPr>
              <w:jc w:val="center"/>
            </w:pPr>
            <w:r>
              <w:rPr>
                <w:rFonts w:ascii="宋体" w:hAnsi="宋体" w:eastAsia="宋体"/>
                <w:sz w:val="16"/>
              </w:rPr>
              <w:t>8700人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4AC68D">
            <w:pPr>
              <w:jc w:val="center"/>
            </w:pPr>
            <w:r>
              <w:rPr>
                <w:rFonts w:ascii="宋体" w:hAnsi="宋体" w:eastAsia="宋体"/>
                <w:sz w:val="16"/>
              </w:rPr>
              <w:t>10</w:t>
            </w:r>
          </w:p>
        </w:tc>
      </w:tr>
    </w:tbl>
    <w:p w14:paraId="78205363">
      <w:r>
        <w:br w:type="page"/>
      </w:r>
    </w:p>
    <w:p w14:paraId="4B0193E6">
      <w:pPr>
        <w:spacing w:line="640" w:lineRule="exact"/>
        <w:ind w:firstLine="640"/>
        <w:jc w:val="both"/>
        <w:outlineLvl w:val="2"/>
      </w:pPr>
      <w:r>
        <w:rPr>
          <w:rFonts w:ascii="黑体" w:hAnsi="黑体" w:eastAsia="黑体"/>
          <w:sz w:val="32"/>
        </w:rPr>
        <w:t>十二、其他需说明的事项</w:t>
      </w:r>
    </w:p>
    <w:p w14:paraId="1CC0F87E">
      <w:pPr>
        <w:spacing w:line="580" w:lineRule="exact"/>
        <w:ind w:firstLine="640"/>
        <w:jc w:val="both"/>
      </w:pPr>
      <w:r>
        <w:rPr>
          <w:rFonts w:ascii="仿宋_GB2312" w:hAnsi="仿宋_GB2312" w:eastAsia="仿宋_GB2312"/>
          <w:b w:val="0"/>
          <w:sz w:val="32"/>
        </w:rPr>
        <w:t>本单位2024年度无政府采购支出，授予中小企业合同金额0.00万元。</w:t>
      </w:r>
    </w:p>
    <w:p w14:paraId="3BAA2A5E">
      <w:pPr>
        <w:spacing w:line="580" w:lineRule="exact"/>
        <w:ind w:firstLine="640"/>
        <w:jc w:val="both"/>
      </w:pPr>
      <w:r>
        <w:rPr>
          <w:rFonts w:ascii="仿宋_GB2312" w:hAnsi="仿宋_GB2312" w:eastAsia="仿宋_GB2312"/>
          <w:b w:val="0"/>
          <w:sz w:val="32"/>
        </w:rPr>
        <w:t>本年本单位SM项目1个，全年预算数4.38万元，全年执行数4.38万元。</w:t>
      </w:r>
    </w:p>
    <w:p w14:paraId="2143DEBB">
      <w:r>
        <w:br w:type="page"/>
      </w:r>
    </w:p>
    <w:p w14:paraId="6C724652">
      <w:pPr>
        <w:spacing w:line="240" w:lineRule="auto"/>
        <w:jc w:val="center"/>
        <w:outlineLvl w:val="1"/>
      </w:pPr>
      <w:r>
        <w:rPr>
          <w:rFonts w:ascii="黑体" w:hAnsi="黑体" w:eastAsia="黑体"/>
          <w:sz w:val="32"/>
        </w:rPr>
        <w:t>第三部分 专业名词解释</w:t>
      </w:r>
    </w:p>
    <w:p w14:paraId="3CA0BA3D">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92C80ED">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2643858F">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20974184">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6CE635FE">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E70A147">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178BE06B">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B533B7C">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6F652AD">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2867F7D1">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7BE16D89">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278ECAD7">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0FB6EE2B">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0315595">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15C253A">
      <w:r>
        <w:br w:type="page"/>
      </w:r>
    </w:p>
    <w:p w14:paraId="35DE6D7E">
      <w:pPr>
        <w:spacing w:line="240" w:lineRule="auto"/>
        <w:jc w:val="center"/>
        <w:outlineLvl w:val="1"/>
      </w:pPr>
      <w:r>
        <w:rPr>
          <w:rFonts w:ascii="黑体" w:hAnsi="黑体" w:eastAsia="黑体"/>
          <w:sz w:val="32"/>
        </w:rPr>
        <w:t>第四部分 部门决算报表（见附表）</w:t>
      </w:r>
    </w:p>
    <w:p w14:paraId="13ED3331">
      <w:pPr>
        <w:spacing w:line="240" w:lineRule="auto"/>
        <w:ind w:firstLine="640"/>
        <w:jc w:val="both"/>
      </w:pPr>
      <w:r>
        <w:rPr>
          <w:rFonts w:ascii="仿宋_GB2312" w:hAnsi="仿宋_GB2312" w:eastAsia="仿宋_GB2312"/>
          <w:b w:val="0"/>
          <w:sz w:val="32"/>
        </w:rPr>
        <w:t>一、《收入支出决算总表》</w:t>
      </w:r>
    </w:p>
    <w:p w14:paraId="11BF1311">
      <w:pPr>
        <w:spacing w:line="240" w:lineRule="auto"/>
        <w:ind w:firstLine="640"/>
        <w:jc w:val="both"/>
      </w:pPr>
      <w:r>
        <w:rPr>
          <w:rFonts w:ascii="仿宋_GB2312" w:hAnsi="仿宋_GB2312" w:eastAsia="仿宋_GB2312"/>
          <w:b w:val="0"/>
          <w:sz w:val="32"/>
        </w:rPr>
        <w:t>二、《收入决算表》</w:t>
      </w:r>
    </w:p>
    <w:p w14:paraId="23475859">
      <w:pPr>
        <w:spacing w:line="240" w:lineRule="auto"/>
        <w:ind w:firstLine="640"/>
        <w:jc w:val="both"/>
      </w:pPr>
      <w:r>
        <w:rPr>
          <w:rFonts w:ascii="仿宋_GB2312" w:hAnsi="仿宋_GB2312" w:eastAsia="仿宋_GB2312"/>
          <w:b w:val="0"/>
          <w:sz w:val="32"/>
        </w:rPr>
        <w:t>三、《支出决算表》</w:t>
      </w:r>
    </w:p>
    <w:p w14:paraId="4327990C">
      <w:pPr>
        <w:spacing w:line="240" w:lineRule="auto"/>
        <w:ind w:firstLine="640"/>
        <w:jc w:val="both"/>
      </w:pPr>
      <w:r>
        <w:rPr>
          <w:rFonts w:ascii="仿宋_GB2312" w:hAnsi="仿宋_GB2312" w:eastAsia="仿宋_GB2312"/>
          <w:b w:val="0"/>
          <w:sz w:val="32"/>
        </w:rPr>
        <w:t>四、《财政拨款收入支出决算总表》</w:t>
      </w:r>
    </w:p>
    <w:p w14:paraId="3DCE8134">
      <w:pPr>
        <w:spacing w:line="240" w:lineRule="auto"/>
        <w:ind w:firstLine="640"/>
        <w:jc w:val="both"/>
      </w:pPr>
      <w:r>
        <w:rPr>
          <w:rFonts w:ascii="仿宋_GB2312" w:hAnsi="仿宋_GB2312" w:eastAsia="仿宋_GB2312"/>
          <w:b w:val="0"/>
          <w:sz w:val="32"/>
        </w:rPr>
        <w:t>五、《一般公共预算财政拨款支出决算表》</w:t>
      </w:r>
    </w:p>
    <w:p w14:paraId="63B4775C">
      <w:pPr>
        <w:spacing w:line="240" w:lineRule="auto"/>
        <w:ind w:firstLine="640"/>
        <w:jc w:val="both"/>
      </w:pPr>
      <w:r>
        <w:rPr>
          <w:rFonts w:ascii="仿宋_GB2312" w:hAnsi="仿宋_GB2312" w:eastAsia="仿宋_GB2312"/>
          <w:b w:val="0"/>
          <w:sz w:val="32"/>
        </w:rPr>
        <w:t>六、《一般公共预算财政拨款基本支出决算表》</w:t>
      </w:r>
    </w:p>
    <w:p w14:paraId="30F287EF">
      <w:pPr>
        <w:spacing w:line="240" w:lineRule="auto"/>
        <w:ind w:firstLine="640"/>
        <w:jc w:val="both"/>
      </w:pPr>
      <w:r>
        <w:rPr>
          <w:rFonts w:ascii="仿宋_GB2312" w:hAnsi="仿宋_GB2312" w:eastAsia="仿宋_GB2312"/>
          <w:b w:val="0"/>
          <w:sz w:val="32"/>
        </w:rPr>
        <w:t>七、《政府性基金预算财政拨款收入支出决算表》</w:t>
      </w:r>
    </w:p>
    <w:p w14:paraId="6E35AE8D">
      <w:pPr>
        <w:spacing w:line="240" w:lineRule="auto"/>
        <w:ind w:firstLine="640"/>
        <w:jc w:val="both"/>
      </w:pPr>
      <w:r>
        <w:rPr>
          <w:rFonts w:ascii="仿宋_GB2312" w:hAnsi="仿宋_GB2312" w:eastAsia="仿宋_GB2312"/>
          <w:b w:val="0"/>
          <w:sz w:val="32"/>
        </w:rPr>
        <w:t>八、《国有资本经营预算财政拨款收入支出决算表》</w:t>
      </w:r>
    </w:p>
    <w:p w14:paraId="15978D71">
      <w:pPr>
        <w:spacing w:line="240" w:lineRule="auto"/>
        <w:ind w:firstLine="640"/>
        <w:jc w:val="both"/>
      </w:pPr>
      <w:r>
        <w:rPr>
          <w:rFonts w:ascii="仿宋_GB2312" w:hAnsi="仿宋_GB2312" w:eastAsia="仿宋_GB2312"/>
          <w:b w:val="0"/>
          <w:sz w:val="32"/>
        </w:rPr>
        <w:t>九、《财政拨款“三公”经费支出决算表》</w:t>
      </w:r>
    </w:p>
    <w:p w14:paraId="3535AEC0">
      <w:pPr>
        <w:spacing w:line="240" w:lineRule="auto"/>
        <w:ind w:firstLine="640"/>
        <w:jc w:val="both"/>
      </w:pPr>
    </w:p>
    <w:p w14:paraId="2BEFE6C3">
      <w:pPr>
        <w:spacing w:line="240" w:lineRule="auto"/>
        <w:ind w:firstLine="640"/>
        <w:jc w:val="both"/>
      </w:pPr>
    </w:p>
    <w:p w14:paraId="31B421AF">
      <w:pPr>
        <w:spacing w:line="240" w:lineRule="auto"/>
        <w:ind w:firstLine="640"/>
        <w:jc w:val="both"/>
      </w:pPr>
    </w:p>
    <w:p w14:paraId="53CDCC21">
      <w:pPr>
        <w:spacing w:line="240" w:lineRule="auto"/>
        <w:ind w:firstLine="640"/>
        <w:jc w:val="both"/>
      </w:pPr>
    </w:p>
    <w:p w14:paraId="49DFA8D5">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0D348E"/>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A145D08"/>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6123</Words>
  <Characters>6894</Characters>
  <Lines>0</Lines>
  <Paragraphs>0</Paragraphs>
  <TotalTime>6</TotalTime>
  <ScaleCrop>false</ScaleCrop>
  <LinksUpToDate>false</LinksUpToDate>
  <CharactersWithSpaces>6904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2025-09-18T03:49:52Z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eyJoZGlkIjoiN2E1ZDY0MDI5MTE3YjM0ZGMyMzg4N2EwMDI4ZjJiM2YiLCJ1c2VySWQiOiIyNTk4NTcxMjUifQ==</vt:lpwstr>
  </property>
</Properties>
</file>