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FF3EE37">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洛浦县第四幼儿园</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95D7B77">
      <w:r>
        <w:br w:type="page"/>
      </w:r>
    </w:p>
    <w:p w14:paraId="0773C09C">
      <w:pPr>
        <w:spacing w:line="640" w:lineRule="exact"/>
        <w:jc w:val="center"/>
        <w:outlineLvl w:val="1"/>
      </w:pPr>
      <w:r>
        <w:rPr>
          <w:rFonts w:ascii="黑体" w:hAnsi="黑体" w:eastAsia="黑体"/>
          <w:sz w:val="32"/>
        </w:rPr>
        <w:t>第一部分 单位概况</w:t>
      </w:r>
    </w:p>
    <w:p w14:paraId="23FFBBA1">
      <w:pPr>
        <w:spacing w:line="640" w:lineRule="exact"/>
        <w:ind w:firstLine="640"/>
        <w:jc w:val="both"/>
        <w:outlineLvl w:val="2"/>
      </w:pPr>
      <w:r>
        <w:rPr>
          <w:rFonts w:ascii="黑体" w:hAnsi="黑体" w:eastAsia="黑体"/>
          <w:sz w:val="32"/>
        </w:rPr>
        <w:t>一、主要职能</w:t>
      </w:r>
    </w:p>
    <w:p w14:paraId="3E32577D">
      <w:pPr>
        <w:spacing w:line="580" w:lineRule="exact"/>
        <w:ind w:firstLine="640"/>
        <w:jc w:val="both"/>
      </w:pPr>
      <w:r>
        <w:rPr>
          <w:rFonts w:ascii="仿宋_GB2312" w:hAnsi="仿宋_GB2312" w:eastAsia="仿宋_GB2312"/>
          <w:sz w:val="32"/>
        </w:rPr>
        <w:t>根据党的教育方针及教学大纲的要求，组织三年制全日幼儿教学，通过实施素质教育，为小学输送合格的毕业生，为社会培养合格接班人；培养德、智、体、美、劳全面发展的人才；招收适龄儿童，安排班级，组织教学；在当地党政部门的指导下，做好当地幼儿教育。</w:t>
      </w:r>
    </w:p>
    <w:p w14:paraId="16C81F8C">
      <w:pPr>
        <w:spacing w:line="640" w:lineRule="exact"/>
        <w:ind w:firstLine="640"/>
        <w:jc w:val="both"/>
        <w:outlineLvl w:val="2"/>
      </w:pPr>
      <w:r>
        <w:rPr>
          <w:rFonts w:ascii="黑体" w:hAnsi="黑体" w:eastAsia="黑体"/>
          <w:sz w:val="32"/>
        </w:rPr>
        <w:t>二、机构设置及人员情况</w:t>
      </w:r>
    </w:p>
    <w:p w14:paraId="1883D9A0">
      <w:pPr>
        <w:spacing w:line="580" w:lineRule="exact"/>
        <w:ind w:firstLine="640"/>
        <w:jc w:val="both"/>
      </w:pPr>
      <w:r>
        <w:rPr>
          <w:rFonts w:ascii="仿宋_GB2312" w:hAnsi="仿宋_GB2312" w:eastAsia="仿宋_GB2312"/>
          <w:sz w:val="32"/>
        </w:rPr>
        <w:t>洛浦县第四幼儿园2024年度，实有人数10人，其中：在职人员10人，增加2人；离休人员0人，增加0人；退休人员0人,增加0人。</w:t>
      </w:r>
    </w:p>
    <w:p w14:paraId="66B604DC">
      <w:pPr>
        <w:spacing w:line="580" w:lineRule="exact"/>
        <w:ind w:firstLine="640"/>
        <w:jc w:val="both"/>
      </w:pPr>
      <w:r>
        <w:rPr>
          <w:rFonts w:ascii="仿宋_GB2312" w:hAnsi="仿宋_GB2312" w:eastAsia="仿宋_GB2312"/>
          <w:sz w:val="32"/>
        </w:rPr>
        <w:t>洛浦县第四幼儿园无下属预算单位，下设5个科室，分别是：园长办公室、教务处、德育办、教研室、财务室。</w:t>
      </w:r>
    </w:p>
    <w:p w14:paraId="240BBA1B">
      <w:r>
        <w:br w:type="page"/>
      </w:r>
    </w:p>
    <w:p w14:paraId="7540D4A3">
      <w:pPr>
        <w:spacing w:line="240" w:lineRule="auto"/>
        <w:jc w:val="center"/>
        <w:outlineLvl w:val="1"/>
      </w:pPr>
      <w:r>
        <w:rPr>
          <w:rFonts w:ascii="黑体" w:hAnsi="黑体" w:eastAsia="黑体"/>
          <w:sz w:val="32"/>
        </w:rPr>
        <w:t>第二部分 部门决算情况说明</w:t>
      </w:r>
    </w:p>
    <w:p w14:paraId="46F2F937">
      <w:pPr>
        <w:spacing w:line="640" w:lineRule="exact"/>
        <w:ind w:firstLine="640"/>
        <w:jc w:val="both"/>
        <w:outlineLvl w:val="2"/>
      </w:pPr>
      <w:r>
        <w:rPr>
          <w:rFonts w:ascii="黑体" w:hAnsi="黑体" w:eastAsia="黑体"/>
          <w:sz w:val="32"/>
        </w:rPr>
        <w:t>一、收入支出决算总体情况说明</w:t>
      </w:r>
    </w:p>
    <w:p w14:paraId="6C479DD4">
      <w:pPr>
        <w:spacing w:line="580" w:lineRule="exact"/>
        <w:ind w:firstLine="640"/>
        <w:jc w:val="both"/>
      </w:pPr>
      <w:r>
        <w:rPr>
          <w:rFonts w:ascii="仿宋_GB2312" w:hAnsi="仿宋_GB2312" w:eastAsia="仿宋_GB2312"/>
          <w:b/>
          <w:sz w:val="32"/>
        </w:rPr>
        <w:t>2024年度收入总计230.09万元，</w:t>
      </w:r>
      <w:r>
        <w:rPr>
          <w:rFonts w:ascii="仿宋_GB2312" w:hAnsi="仿宋_GB2312" w:eastAsia="仿宋_GB2312"/>
          <w:b w:val="0"/>
          <w:sz w:val="32"/>
        </w:rPr>
        <w:t>其中：本年收入合计230.09万元，使用非财政拨款结余（含专用结余）0.00万元，年初结转和结余0.00万元。</w:t>
      </w:r>
    </w:p>
    <w:p w14:paraId="39EA899A">
      <w:pPr>
        <w:spacing w:line="580" w:lineRule="exact"/>
        <w:ind w:firstLine="640"/>
        <w:jc w:val="both"/>
      </w:pPr>
      <w:r>
        <w:rPr>
          <w:rFonts w:ascii="仿宋_GB2312" w:hAnsi="仿宋_GB2312" w:eastAsia="仿宋_GB2312"/>
          <w:b/>
          <w:sz w:val="32"/>
        </w:rPr>
        <w:t>2024年度支出总计230.09万元，</w:t>
      </w:r>
      <w:r>
        <w:rPr>
          <w:rFonts w:ascii="仿宋_GB2312" w:hAnsi="仿宋_GB2312" w:eastAsia="仿宋_GB2312"/>
          <w:b w:val="0"/>
          <w:sz w:val="32"/>
        </w:rPr>
        <w:t>其中：本年支出合计230.09万元，结余分配0.00万元，年末结转和结余0.00万元。</w:t>
      </w:r>
    </w:p>
    <w:p w14:paraId="38914CA2">
      <w:pPr>
        <w:spacing w:line="580" w:lineRule="exact"/>
        <w:ind w:firstLine="640"/>
        <w:jc w:val="both"/>
      </w:pPr>
      <w:r>
        <w:rPr>
          <w:rFonts w:ascii="仿宋_GB2312" w:hAnsi="仿宋_GB2312" w:eastAsia="仿宋_GB2312"/>
          <w:b w:val="0"/>
          <w:sz w:val="32"/>
        </w:rPr>
        <w:t>收入支出总体与上年相比，增加40.61万元，增长21.43%，主要原因是：本年</w:t>
      </w:r>
      <w:r>
        <w:rPr>
          <w:rFonts w:hint="eastAsia" w:ascii="仿宋_GB2312" w:hAnsi="仿宋_GB2312" w:eastAsia="仿宋_GB2312"/>
          <w:b w:val="0"/>
          <w:sz w:val="32"/>
          <w:lang w:val="en-US" w:eastAsia="zh-CN"/>
        </w:rPr>
        <w:t>在职人员增加，</w:t>
      </w:r>
      <w:r>
        <w:rPr>
          <w:rFonts w:ascii="仿宋_GB2312" w:hAnsi="仿宋_GB2312" w:eastAsia="仿宋_GB2312"/>
          <w:b w:val="0"/>
          <w:sz w:val="32"/>
        </w:rPr>
        <w:t>在职人员工资调增，社保、公积金基数调增，人员经费增加，增加办公费、取暖费、物业管理费等经费，导致公用经费</w:t>
      </w:r>
      <w:r>
        <w:rPr>
          <w:rFonts w:hint="eastAsia" w:ascii="仿宋_GB2312" w:hAnsi="仿宋_GB2312" w:eastAsia="仿宋_GB2312"/>
          <w:b w:val="0"/>
          <w:sz w:val="32"/>
          <w:lang w:val="en-US" w:eastAsia="zh-CN"/>
        </w:rPr>
        <w:t>收入</w:t>
      </w:r>
      <w:r>
        <w:rPr>
          <w:rFonts w:ascii="仿宋_GB2312" w:hAnsi="仿宋_GB2312" w:eastAsia="仿宋_GB2312"/>
          <w:b w:val="0"/>
          <w:sz w:val="32"/>
        </w:rPr>
        <w:t>支出增加。</w:t>
      </w:r>
    </w:p>
    <w:p w14:paraId="2A04CF55">
      <w:pPr>
        <w:spacing w:line="640" w:lineRule="exact"/>
        <w:ind w:firstLine="640"/>
        <w:jc w:val="both"/>
        <w:outlineLvl w:val="2"/>
      </w:pPr>
      <w:r>
        <w:rPr>
          <w:rFonts w:ascii="黑体" w:hAnsi="黑体" w:eastAsia="黑体"/>
          <w:sz w:val="32"/>
        </w:rPr>
        <w:t>二、收入决算情况说明</w:t>
      </w:r>
    </w:p>
    <w:p w14:paraId="3230ABA3">
      <w:pPr>
        <w:spacing w:line="580" w:lineRule="exact"/>
        <w:ind w:firstLine="640"/>
        <w:jc w:val="both"/>
      </w:pPr>
      <w:r>
        <w:rPr>
          <w:rFonts w:ascii="仿宋_GB2312" w:hAnsi="仿宋_GB2312" w:eastAsia="仿宋_GB2312"/>
          <w:b/>
          <w:sz w:val="32"/>
        </w:rPr>
        <w:t>本年收入230.09万元，</w:t>
      </w:r>
      <w:r>
        <w:rPr>
          <w:rFonts w:ascii="仿宋_GB2312" w:hAnsi="仿宋_GB2312" w:eastAsia="仿宋_GB2312"/>
          <w:b w:val="0"/>
          <w:sz w:val="32"/>
        </w:rPr>
        <w:t>其中：财政拨款收入230.09万元，占100.00%；上级补助收入0.00万元，占0.00%；事业收入0.00万元，占0.00%；经营收入0.00万元，占0.00%；附属单位上缴收入0.00万元，占0.00%；其他收入0.00万元，占0.00%。</w:t>
      </w:r>
    </w:p>
    <w:p w14:paraId="24BD5EDC">
      <w:pPr>
        <w:spacing w:line="640" w:lineRule="exact"/>
        <w:ind w:firstLine="640"/>
        <w:jc w:val="both"/>
        <w:outlineLvl w:val="2"/>
      </w:pPr>
      <w:r>
        <w:rPr>
          <w:rFonts w:ascii="黑体" w:hAnsi="黑体" w:eastAsia="黑体"/>
          <w:sz w:val="32"/>
        </w:rPr>
        <w:t>三、支出决算情况说明</w:t>
      </w:r>
    </w:p>
    <w:p w14:paraId="3C876884">
      <w:pPr>
        <w:spacing w:line="580" w:lineRule="exact"/>
        <w:ind w:firstLine="640"/>
        <w:jc w:val="both"/>
      </w:pPr>
      <w:r>
        <w:rPr>
          <w:rFonts w:ascii="仿宋_GB2312" w:hAnsi="仿宋_GB2312" w:eastAsia="仿宋_GB2312"/>
          <w:b/>
          <w:sz w:val="32"/>
        </w:rPr>
        <w:t>本年支出230.09万元，</w:t>
      </w:r>
      <w:r>
        <w:rPr>
          <w:rFonts w:ascii="仿宋_GB2312" w:hAnsi="仿宋_GB2312" w:eastAsia="仿宋_GB2312"/>
          <w:b w:val="0"/>
          <w:sz w:val="32"/>
        </w:rPr>
        <w:t>其中：基本支出230.09万元，占100.00%；项目支出0.00万元，占0.00%；上缴上级支出0.00万元，占0.00%；经营支出0.00万元，占0.00%；对附属单位补助支出0.00万元，占0.00%。</w:t>
      </w:r>
    </w:p>
    <w:p w14:paraId="4E7872F9">
      <w:pPr>
        <w:spacing w:line="640" w:lineRule="exact"/>
        <w:ind w:firstLine="640"/>
        <w:jc w:val="both"/>
        <w:outlineLvl w:val="2"/>
      </w:pPr>
      <w:r>
        <w:rPr>
          <w:rFonts w:ascii="黑体" w:hAnsi="黑体" w:eastAsia="黑体"/>
          <w:sz w:val="32"/>
        </w:rPr>
        <w:t>四、财政拨款收入支出决算总体情况说明</w:t>
      </w:r>
    </w:p>
    <w:p w14:paraId="1ED2B009">
      <w:pPr>
        <w:spacing w:line="580" w:lineRule="exact"/>
        <w:ind w:firstLine="640"/>
        <w:jc w:val="both"/>
      </w:pPr>
      <w:r>
        <w:rPr>
          <w:rFonts w:ascii="仿宋_GB2312" w:hAnsi="仿宋_GB2312" w:eastAsia="仿宋_GB2312"/>
          <w:b/>
          <w:sz w:val="32"/>
        </w:rPr>
        <w:t>2024年度财政拨款收入总计230.09万元，</w:t>
      </w:r>
      <w:r>
        <w:rPr>
          <w:rFonts w:ascii="仿宋_GB2312" w:hAnsi="仿宋_GB2312" w:eastAsia="仿宋_GB2312"/>
          <w:b w:val="0"/>
          <w:sz w:val="32"/>
        </w:rPr>
        <w:t>其中：年初财政拨款结转和结余0.00万元，本年财政拨款收入230.09万元。</w:t>
      </w:r>
      <w:r>
        <w:rPr>
          <w:rFonts w:ascii="仿宋_GB2312" w:hAnsi="仿宋_GB2312" w:eastAsia="仿宋_GB2312"/>
          <w:b/>
          <w:sz w:val="32"/>
        </w:rPr>
        <w:t>财政拨款支出总计230.09万元，</w:t>
      </w:r>
      <w:r>
        <w:rPr>
          <w:rFonts w:ascii="仿宋_GB2312" w:hAnsi="仿宋_GB2312" w:eastAsia="仿宋_GB2312"/>
          <w:b w:val="0"/>
          <w:sz w:val="32"/>
        </w:rPr>
        <w:t>其中：年末财政拨款结转和结余0.00万元，本年财政拨款支出230.09万元。</w:t>
      </w:r>
    </w:p>
    <w:p w14:paraId="2594E17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增加40.65万元，增长21.46%，主要原因是：本年</w:t>
      </w:r>
      <w:r>
        <w:rPr>
          <w:rFonts w:hint="eastAsia" w:ascii="仿宋_GB2312" w:hAnsi="仿宋_GB2312" w:eastAsia="仿宋_GB2312"/>
          <w:b w:val="0"/>
          <w:sz w:val="32"/>
          <w:lang w:val="en-US" w:eastAsia="zh-CN"/>
        </w:rPr>
        <w:t>在职人员增加，</w:t>
      </w:r>
      <w:r>
        <w:rPr>
          <w:rFonts w:ascii="仿宋_GB2312" w:hAnsi="仿宋_GB2312" w:eastAsia="仿宋_GB2312"/>
          <w:b w:val="0"/>
          <w:sz w:val="32"/>
        </w:rPr>
        <w:t>在职人员工资调增，社保、公积金基数调增，人员经费增加，增加办公费、取暖费、物业管理费等经费，导致公用经费</w:t>
      </w:r>
      <w:r>
        <w:rPr>
          <w:rFonts w:hint="eastAsia" w:ascii="仿宋_GB2312" w:hAnsi="仿宋_GB2312" w:eastAsia="仿宋_GB2312"/>
          <w:b w:val="0"/>
          <w:sz w:val="32"/>
          <w:lang w:val="en-US" w:eastAsia="zh-CN"/>
        </w:rPr>
        <w:t>收入</w:t>
      </w:r>
      <w:r>
        <w:rPr>
          <w:rFonts w:ascii="仿宋_GB2312" w:hAnsi="仿宋_GB2312" w:eastAsia="仿宋_GB2312"/>
          <w:b w:val="0"/>
          <w:sz w:val="32"/>
        </w:rPr>
        <w:t>支出增加。</w:t>
      </w:r>
      <w:r>
        <w:rPr>
          <w:rFonts w:ascii="仿宋_GB2312" w:hAnsi="仿宋_GB2312" w:eastAsia="仿宋_GB2312"/>
          <w:b/>
          <w:sz w:val="32"/>
        </w:rPr>
        <w:t>与年初预算相比，</w:t>
      </w:r>
      <w:r>
        <w:rPr>
          <w:rFonts w:ascii="仿宋_GB2312" w:hAnsi="仿宋_GB2312" w:eastAsia="仿宋_GB2312"/>
          <w:b w:val="0"/>
          <w:sz w:val="32"/>
        </w:rPr>
        <w:t>年初预算数217.07万元，决算数230.09万元，预决算差异率6.00%，主要原因是：</w:t>
      </w:r>
      <w:r>
        <w:rPr>
          <w:rFonts w:hint="eastAsia" w:ascii="仿宋_GB2312" w:hAnsi="仿宋_GB2312" w:eastAsia="仿宋_GB2312"/>
          <w:b w:val="0"/>
          <w:sz w:val="32"/>
          <w:lang w:val="en-US" w:eastAsia="zh-CN"/>
        </w:rPr>
        <w:t>在职人员增加，</w:t>
      </w:r>
      <w:r>
        <w:rPr>
          <w:rFonts w:ascii="仿宋_GB2312" w:hAnsi="仿宋_GB2312" w:eastAsia="仿宋_GB2312"/>
          <w:b w:val="0"/>
          <w:sz w:val="32"/>
        </w:rPr>
        <w:t>年中追加人员工资、社保、公积金基数调增部分资金，导致预决算存在差异。</w:t>
      </w:r>
    </w:p>
    <w:p w14:paraId="54331106">
      <w:pPr>
        <w:spacing w:line="640" w:lineRule="exact"/>
        <w:ind w:firstLine="640"/>
        <w:jc w:val="both"/>
        <w:outlineLvl w:val="2"/>
      </w:pPr>
      <w:r>
        <w:rPr>
          <w:rFonts w:ascii="黑体" w:hAnsi="黑体" w:eastAsia="黑体"/>
          <w:sz w:val="32"/>
        </w:rPr>
        <w:t>五、一般公共预算财政拨款支出决算情况说明</w:t>
      </w:r>
    </w:p>
    <w:p w14:paraId="1E69B84D">
      <w:pPr>
        <w:spacing w:line="640" w:lineRule="exact"/>
        <w:ind w:firstLine="640"/>
        <w:jc w:val="both"/>
        <w:outlineLvl w:val="3"/>
      </w:pPr>
      <w:r>
        <w:rPr>
          <w:rFonts w:ascii="楷体_GB2312" w:hAnsi="楷体_GB2312" w:eastAsia="楷体_GB2312"/>
          <w:b/>
          <w:sz w:val="32"/>
        </w:rPr>
        <w:t>（一）一般公共预算财政拨款支出决算总体情况</w:t>
      </w:r>
    </w:p>
    <w:p w14:paraId="37861E9D">
      <w:pPr>
        <w:spacing w:line="580" w:lineRule="exact"/>
        <w:ind w:firstLine="640"/>
        <w:jc w:val="both"/>
      </w:pPr>
      <w:r>
        <w:rPr>
          <w:rFonts w:ascii="仿宋_GB2312" w:hAnsi="仿宋_GB2312" w:eastAsia="仿宋_GB2312"/>
          <w:b/>
          <w:sz w:val="32"/>
        </w:rPr>
        <w:t>2024年度一般公共预算财政拨款支出230.09万元，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增加40.65万元，增长21.46%，主要原因是：本年</w:t>
      </w:r>
      <w:r>
        <w:rPr>
          <w:rFonts w:hint="eastAsia" w:ascii="仿宋_GB2312" w:hAnsi="仿宋_GB2312" w:eastAsia="仿宋_GB2312"/>
          <w:b w:val="0"/>
          <w:sz w:val="32"/>
          <w:lang w:val="en-US" w:eastAsia="zh-CN"/>
        </w:rPr>
        <w:t>在职人员增加，</w:t>
      </w:r>
      <w:r>
        <w:rPr>
          <w:rFonts w:ascii="仿宋_GB2312" w:hAnsi="仿宋_GB2312" w:eastAsia="仿宋_GB2312"/>
          <w:b w:val="0"/>
          <w:sz w:val="32"/>
        </w:rPr>
        <w:t>在职人员工资调增，社保、公积金基数调增，人员经费增加，增加办公费、取暖费、物业管理费等经费，导致公用经费支出增加。</w:t>
      </w:r>
      <w:r>
        <w:rPr>
          <w:rFonts w:ascii="仿宋_GB2312" w:hAnsi="仿宋_GB2312" w:eastAsia="仿宋_GB2312"/>
          <w:b/>
          <w:sz w:val="32"/>
        </w:rPr>
        <w:t>与年初预算相比,</w:t>
      </w:r>
      <w:r>
        <w:rPr>
          <w:rFonts w:ascii="仿宋_GB2312" w:hAnsi="仿宋_GB2312" w:eastAsia="仿宋_GB2312"/>
          <w:b w:val="0"/>
          <w:sz w:val="32"/>
        </w:rPr>
        <w:t>年初预算数217.07万元，决算数230.09万元，预决算差异率6.00%，主要原因是：</w:t>
      </w:r>
      <w:r>
        <w:rPr>
          <w:rFonts w:hint="eastAsia" w:ascii="仿宋_GB2312" w:hAnsi="仿宋_GB2312" w:eastAsia="仿宋_GB2312"/>
          <w:b w:val="0"/>
          <w:sz w:val="32"/>
          <w:lang w:val="en-US" w:eastAsia="zh-CN"/>
        </w:rPr>
        <w:t>在职人员增加，</w:t>
      </w:r>
      <w:r>
        <w:rPr>
          <w:rFonts w:ascii="仿宋_GB2312" w:hAnsi="仿宋_GB2312" w:eastAsia="仿宋_GB2312"/>
          <w:b w:val="0"/>
          <w:sz w:val="32"/>
        </w:rPr>
        <w:t>年中追加人员工资、社保、公积金基数调增部分资金，导致预决算存在差异。</w:t>
      </w:r>
    </w:p>
    <w:p w14:paraId="64DD91DC">
      <w:pPr>
        <w:spacing w:line="640" w:lineRule="exact"/>
        <w:ind w:firstLine="640"/>
        <w:jc w:val="both"/>
        <w:outlineLvl w:val="3"/>
      </w:pPr>
      <w:r>
        <w:rPr>
          <w:rFonts w:ascii="楷体_GB2312" w:hAnsi="楷体_GB2312" w:eastAsia="楷体_GB2312"/>
          <w:b/>
          <w:sz w:val="32"/>
        </w:rPr>
        <w:t>（二）一般公共预算财政拨款支出决算结构情况</w:t>
      </w:r>
    </w:p>
    <w:p w14:paraId="304402F5">
      <w:pPr>
        <w:spacing w:line="580" w:lineRule="exact"/>
        <w:ind w:firstLine="640"/>
        <w:jc w:val="both"/>
      </w:pPr>
      <w:r>
        <w:rPr>
          <w:rFonts w:ascii="仿宋_GB2312" w:hAnsi="仿宋_GB2312" w:eastAsia="仿宋_GB2312"/>
          <w:b w:val="0"/>
          <w:sz w:val="32"/>
        </w:rPr>
        <w:t>1.教育支出(类)229.28万元,占99.65%。</w:t>
      </w:r>
    </w:p>
    <w:p w14:paraId="7041CC72">
      <w:pPr>
        <w:spacing w:line="580" w:lineRule="exact"/>
        <w:ind w:firstLine="640"/>
        <w:jc w:val="both"/>
      </w:pPr>
      <w:r>
        <w:rPr>
          <w:rFonts w:ascii="仿宋_GB2312" w:hAnsi="仿宋_GB2312" w:eastAsia="仿宋_GB2312"/>
          <w:b w:val="0"/>
          <w:sz w:val="32"/>
        </w:rPr>
        <w:t>2.住房保障支出(类)0.82万元,占0.36%。</w:t>
      </w:r>
    </w:p>
    <w:p w14:paraId="0A5B7EE5">
      <w:pPr>
        <w:spacing w:line="640" w:lineRule="exact"/>
        <w:ind w:firstLine="640"/>
        <w:jc w:val="both"/>
        <w:outlineLvl w:val="3"/>
      </w:pPr>
      <w:r>
        <w:rPr>
          <w:rFonts w:ascii="楷体_GB2312" w:hAnsi="楷体_GB2312" w:eastAsia="楷体_GB2312"/>
          <w:b/>
          <w:sz w:val="32"/>
        </w:rPr>
        <w:t>（三）一般公共预算财政拨款支出决算具体情况</w:t>
      </w:r>
    </w:p>
    <w:p w14:paraId="5EE848A4">
      <w:pPr>
        <w:spacing w:line="580" w:lineRule="exact"/>
        <w:ind w:firstLine="640"/>
        <w:jc w:val="both"/>
      </w:pPr>
      <w:r>
        <w:rPr>
          <w:rFonts w:ascii="仿宋_GB2312" w:hAnsi="仿宋_GB2312" w:eastAsia="仿宋_GB2312"/>
          <w:b w:val="0"/>
          <w:sz w:val="32"/>
        </w:rPr>
        <w:t>1.教育支出(类)普通教育(款)学前教育(项):支出决算数为229.28万元，比上年决算增加40.81万元，增长21.65%,主要原因是：本年在职人员工资调增，社保、公积金基数调增，人员经费增加，增加办公费、取暖费、物业管理费等经费，导致公用经费支出增加。</w:t>
      </w:r>
    </w:p>
    <w:p w14:paraId="21F7C96D">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0.00万元，比上年决算减少0.97万元，下降100.00%,主要原因是：本年功能科目调整，养老保险缴费上年度单独列支，本年调整至主科目列支，导致经费较上年减少。</w:t>
      </w:r>
    </w:p>
    <w:p w14:paraId="63E00C34">
      <w:pPr>
        <w:spacing w:line="580" w:lineRule="exact"/>
        <w:ind w:firstLine="640"/>
        <w:jc w:val="both"/>
      </w:pPr>
      <w:r>
        <w:rPr>
          <w:rFonts w:ascii="仿宋_GB2312" w:hAnsi="仿宋_GB2312" w:eastAsia="仿宋_GB2312"/>
          <w:b w:val="0"/>
          <w:sz w:val="32"/>
        </w:rPr>
        <w:t>3.住房保障支出(类)住房改革支出(款)住房公积金(项):支出决算数为0.82万元，比上年决算增加0.82万元，增长100.00%,主要原因是：本年功能科目调整，住房公积金上年度在主科目列支，本年单独列支，导致经费较上</w:t>
      </w:r>
      <w:r>
        <w:rPr>
          <w:rFonts w:hint="eastAsia" w:ascii="仿宋_GB2312" w:hAnsi="仿宋_GB2312" w:eastAsia="仿宋_GB2312"/>
          <w:b w:val="0"/>
          <w:sz w:val="32"/>
          <w:lang w:val="en-US" w:eastAsia="zh-CN"/>
        </w:rPr>
        <w:t>年</w:t>
      </w:r>
      <w:r>
        <w:rPr>
          <w:rFonts w:ascii="仿宋_GB2312" w:hAnsi="仿宋_GB2312" w:eastAsia="仿宋_GB2312"/>
          <w:b w:val="0"/>
          <w:sz w:val="32"/>
        </w:rPr>
        <w:t>增加。</w:t>
      </w:r>
      <w:bookmarkStart w:id="0" w:name="_GoBack"/>
      <w:bookmarkEnd w:id="0"/>
    </w:p>
    <w:p w14:paraId="5A0EFDCF">
      <w:pPr>
        <w:spacing w:line="640" w:lineRule="exact"/>
        <w:ind w:firstLine="640"/>
        <w:jc w:val="both"/>
        <w:outlineLvl w:val="2"/>
      </w:pPr>
      <w:r>
        <w:rPr>
          <w:rFonts w:ascii="黑体" w:hAnsi="黑体" w:eastAsia="黑体"/>
          <w:sz w:val="32"/>
        </w:rPr>
        <w:t>六、一般公共预算财政拨款基本支出决算情况说明</w:t>
      </w:r>
    </w:p>
    <w:p w14:paraId="449C09F8">
      <w:pPr>
        <w:spacing w:line="580" w:lineRule="exact"/>
        <w:ind w:firstLine="640"/>
        <w:jc w:val="both"/>
      </w:pPr>
      <w:r>
        <w:rPr>
          <w:rFonts w:ascii="仿宋_GB2312" w:hAnsi="仿宋_GB2312" w:eastAsia="仿宋_GB2312"/>
          <w:b w:val="0"/>
          <w:sz w:val="32"/>
        </w:rPr>
        <w:t>2024年度一般公共预算财政拨款基本支出230.09万元，其中：</w:t>
      </w:r>
      <w:r>
        <w:rPr>
          <w:rFonts w:ascii="仿宋_GB2312" w:hAnsi="仿宋_GB2312" w:eastAsia="仿宋_GB2312"/>
          <w:b/>
          <w:sz w:val="32"/>
        </w:rPr>
        <w:t>人员经费195.35万元，</w:t>
      </w:r>
      <w:r>
        <w:rPr>
          <w:rFonts w:ascii="仿宋_GB2312" w:hAnsi="仿宋_GB2312" w:eastAsia="仿宋_GB2312"/>
          <w:b w:val="0"/>
          <w:sz w:val="32"/>
        </w:rPr>
        <w:t>包括：基本工资、津贴补贴、绩效工资、机关事业单位基本养老保险缴费、职工基本医疗保险缴费、其他社会保障缴费、住房公积金、生活补助。</w:t>
      </w:r>
    </w:p>
    <w:p w14:paraId="37E5A18F">
      <w:pPr>
        <w:spacing w:line="580" w:lineRule="exact"/>
        <w:ind w:firstLine="640"/>
        <w:jc w:val="both"/>
      </w:pPr>
      <w:r>
        <w:rPr>
          <w:rFonts w:ascii="仿宋_GB2312" w:hAnsi="仿宋_GB2312" w:eastAsia="仿宋_GB2312"/>
          <w:b/>
          <w:sz w:val="32"/>
        </w:rPr>
        <w:t>公用经费34.75万元，</w:t>
      </w:r>
      <w:r>
        <w:rPr>
          <w:rFonts w:ascii="仿宋_GB2312" w:hAnsi="仿宋_GB2312" w:eastAsia="仿宋_GB2312"/>
          <w:b w:val="0"/>
          <w:sz w:val="32"/>
        </w:rPr>
        <w:t>包括：办公费、印刷费、水费、电费、邮电费、取暖费、物业管理费、维修（护）费、培训费、劳务费、其他商品和服务支出。</w:t>
      </w:r>
    </w:p>
    <w:p w14:paraId="44754990">
      <w:pPr>
        <w:spacing w:line="640" w:lineRule="exact"/>
        <w:ind w:firstLine="640"/>
        <w:jc w:val="both"/>
        <w:outlineLvl w:val="2"/>
      </w:pPr>
      <w:r>
        <w:rPr>
          <w:rFonts w:ascii="黑体" w:hAnsi="黑体" w:eastAsia="黑体"/>
          <w:sz w:val="32"/>
        </w:rPr>
        <w:t>七、政府性基金预算财政拨款收入支出决算情况说明</w:t>
      </w:r>
    </w:p>
    <w:p w14:paraId="3121E0A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EF35BA4">
      <w:pPr>
        <w:spacing w:line="640" w:lineRule="exact"/>
        <w:ind w:firstLine="640"/>
        <w:jc w:val="both"/>
        <w:outlineLvl w:val="2"/>
      </w:pPr>
      <w:r>
        <w:rPr>
          <w:rFonts w:ascii="黑体" w:hAnsi="黑体" w:eastAsia="黑体"/>
          <w:sz w:val="32"/>
        </w:rPr>
        <w:t>八、国有资本经营预算财政拨款收入支出决算情况说明</w:t>
      </w:r>
    </w:p>
    <w:p w14:paraId="5F5041A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2C332F2">
      <w:pPr>
        <w:spacing w:line="640" w:lineRule="exact"/>
        <w:ind w:firstLine="640"/>
        <w:jc w:val="both"/>
        <w:outlineLvl w:val="2"/>
      </w:pPr>
      <w:r>
        <w:rPr>
          <w:rFonts w:ascii="黑体" w:hAnsi="黑体" w:eastAsia="黑体"/>
          <w:sz w:val="32"/>
        </w:rPr>
        <w:t>九、财政拨款“三公”经费支出决算情况说明</w:t>
      </w:r>
    </w:p>
    <w:p w14:paraId="308B0EBF">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561587A">
      <w:pPr>
        <w:spacing w:line="580" w:lineRule="exact"/>
        <w:ind w:firstLine="640"/>
        <w:jc w:val="both"/>
      </w:pPr>
      <w:r>
        <w:rPr>
          <w:rFonts w:ascii="仿宋_GB2312" w:hAnsi="仿宋_GB2312" w:eastAsia="仿宋_GB2312"/>
          <w:b/>
          <w:sz w:val="32"/>
        </w:rPr>
        <w:t>具体情况如下：</w:t>
      </w:r>
    </w:p>
    <w:p w14:paraId="1316F53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EEF7E31">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6C7BFC0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2BBA34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76CE1704">
      <w:pPr>
        <w:spacing w:line="640" w:lineRule="exact"/>
        <w:ind w:firstLine="640"/>
        <w:jc w:val="both"/>
        <w:outlineLvl w:val="2"/>
      </w:pPr>
      <w:r>
        <w:rPr>
          <w:rFonts w:ascii="黑体" w:hAnsi="黑体" w:eastAsia="黑体"/>
          <w:sz w:val="32"/>
        </w:rPr>
        <w:t>十、其他重要事项的情况说明</w:t>
      </w:r>
    </w:p>
    <w:p w14:paraId="42D7C0EB">
      <w:pPr>
        <w:spacing w:line="640" w:lineRule="exact"/>
        <w:ind w:firstLine="640"/>
        <w:jc w:val="both"/>
        <w:outlineLvl w:val="3"/>
      </w:pPr>
      <w:r>
        <w:rPr>
          <w:rFonts w:ascii="楷体_GB2312" w:hAnsi="楷体_GB2312" w:eastAsia="楷体_GB2312"/>
          <w:b/>
          <w:sz w:val="32"/>
        </w:rPr>
        <w:t>（一）机关运行经费及公用经费支出情况</w:t>
      </w:r>
    </w:p>
    <w:p w14:paraId="13491845">
      <w:pPr>
        <w:spacing w:line="580" w:lineRule="exact"/>
        <w:ind w:firstLine="640"/>
        <w:jc w:val="both"/>
      </w:pPr>
      <w:r>
        <w:rPr>
          <w:rFonts w:ascii="仿宋_GB2312" w:hAnsi="仿宋_GB2312" w:eastAsia="仿宋_GB2312"/>
          <w:b w:val="0"/>
          <w:sz w:val="32"/>
        </w:rPr>
        <w:t>2024年度洛浦县第四幼儿园（事业单位）公用经费支出34.75万元，比上年增加11.59万元，增长50.04%，主要原因是：本年增加办公费、取暖费、物业管理费等经费，导致公用经费支出增加。</w:t>
      </w:r>
    </w:p>
    <w:p w14:paraId="74653FA9">
      <w:pPr>
        <w:spacing w:line="640" w:lineRule="exact"/>
        <w:ind w:firstLine="640"/>
        <w:jc w:val="both"/>
        <w:outlineLvl w:val="3"/>
      </w:pPr>
      <w:r>
        <w:rPr>
          <w:rFonts w:ascii="楷体_GB2312" w:hAnsi="楷体_GB2312" w:eastAsia="楷体_GB2312"/>
          <w:b/>
          <w:sz w:val="32"/>
        </w:rPr>
        <w:t>（二）政府采购情况</w:t>
      </w:r>
    </w:p>
    <w:p w14:paraId="16D4B3D8">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5FE71CAF">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60BEE7AD">
      <w:pPr>
        <w:spacing w:line="640" w:lineRule="exact"/>
        <w:ind w:firstLine="640"/>
        <w:jc w:val="both"/>
        <w:outlineLvl w:val="3"/>
      </w:pPr>
      <w:r>
        <w:rPr>
          <w:rFonts w:ascii="楷体_GB2312" w:hAnsi="楷体_GB2312" w:eastAsia="楷体_GB2312"/>
          <w:b/>
          <w:sz w:val="32"/>
        </w:rPr>
        <w:t>（三）国有资产占用情况说明</w:t>
      </w:r>
    </w:p>
    <w:p w14:paraId="50CF43BC">
      <w:pPr>
        <w:spacing w:line="580" w:lineRule="exact"/>
        <w:ind w:firstLine="640"/>
        <w:jc w:val="both"/>
      </w:pPr>
      <w:r>
        <w:rPr>
          <w:rFonts w:ascii="仿宋_GB2312" w:hAnsi="仿宋_GB2312" w:eastAsia="仿宋_GB2312"/>
          <w:b w:val="0"/>
          <w:sz w:val="32"/>
        </w:rPr>
        <w:t>截至2024年12月31日，房屋2,335.73平方米，价值412.31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C4849A1">
      <w:pPr>
        <w:spacing w:line="640" w:lineRule="exact"/>
        <w:ind w:firstLine="640"/>
        <w:jc w:val="both"/>
        <w:outlineLvl w:val="2"/>
      </w:pPr>
      <w:r>
        <w:rPr>
          <w:rFonts w:ascii="黑体" w:hAnsi="黑体" w:eastAsia="黑体"/>
          <w:sz w:val="32"/>
        </w:rPr>
        <w:t>十一、预算绩效的情况说明</w:t>
      </w:r>
    </w:p>
    <w:p w14:paraId="686B6F5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230.09万元，实际执行总额230.09万元；预算绩效评价项目1个，全年预算数66.76万元，全年执行数65.77万元。预算绩效管理取得的成效：一是通过加强预算绩效管理，预算绩效管理质量得到了显著提高；二是通过深入分析预算绩效管理的数据和信息，有助于更好地了解自身财务状况，从而制定更加科学合理的财政政策和经济决策。发现的问题及原因：一是预算金额与实际支出</w:t>
      </w:r>
      <w:r>
        <w:rPr>
          <w:rFonts w:hint="eastAsia" w:ascii="仿宋_GB2312" w:hAnsi="仿宋_GB2312" w:eastAsia="仿宋_GB2312"/>
          <w:b w:val="0"/>
          <w:sz w:val="32"/>
          <w:lang w:eastAsia="zh-CN"/>
        </w:rPr>
        <w:t>金额</w:t>
      </w:r>
      <w:r>
        <w:rPr>
          <w:rFonts w:ascii="仿宋_GB2312" w:hAnsi="仿宋_GB2312" w:eastAsia="仿宋_GB2312"/>
          <w:b w:val="0"/>
          <w:sz w:val="32"/>
        </w:rPr>
        <w:t>偏差较大，是由于后期增加教职员工数量增加，预算绩效管理水平仍有欠缺。在202</w:t>
      </w:r>
      <w:r>
        <w:rPr>
          <w:rFonts w:hint="eastAsia" w:ascii="仿宋_GB2312" w:hAnsi="仿宋_GB2312" w:eastAsia="仿宋_GB2312"/>
          <w:b w:val="0"/>
          <w:sz w:val="32"/>
          <w:lang w:val="en-US" w:eastAsia="zh-CN"/>
        </w:rPr>
        <w:t>4</w:t>
      </w:r>
      <w:r>
        <w:rPr>
          <w:rFonts w:ascii="仿宋_GB2312" w:hAnsi="仿宋_GB2312" w:eastAsia="仿宋_GB2312"/>
          <w:b w:val="0"/>
          <w:sz w:val="32"/>
        </w:rPr>
        <w:t>年预算绩效管理工作中，对全面实施预算绩效管理的要求认识还不到位，项目申报、实施等环节与预算绩效管理各个环节联系不够紧密。二是部分业务人员绩效管理意识有待增强，未能全面深入认识理解绩效管理工作的意义。绩效管理经验不足，预算绩效管理工作有待进一步落实。下一步改进措施：一</w:t>
      </w:r>
      <w:r>
        <w:rPr>
          <w:rFonts w:hint="eastAsia" w:ascii="仿宋_GB2312" w:hAnsi="仿宋_GB2312" w:eastAsia="仿宋_GB2312"/>
          <w:b w:val="0"/>
          <w:sz w:val="32"/>
          <w:lang w:eastAsia="zh-CN"/>
        </w:rPr>
        <w:t>是加</w:t>
      </w:r>
      <w:r>
        <w:rPr>
          <w:rFonts w:ascii="仿宋_GB2312" w:hAnsi="仿宋_GB2312" w:eastAsia="仿宋_GB2312"/>
          <w:b w:val="0"/>
          <w:sz w:val="32"/>
        </w:rPr>
        <w:t>强新行政单位会计制度和新预算法学习培训、规范账务处理，加强新《中华人民共和国预算法</w:t>
      </w:r>
      <w:r>
        <w:rPr>
          <w:rFonts w:hint="eastAsia" w:ascii="仿宋_GB2312" w:hAnsi="仿宋_GB2312" w:eastAsia="仿宋_GB2312"/>
          <w:b w:val="0"/>
          <w:sz w:val="32"/>
          <w:lang w:eastAsia="zh-CN"/>
        </w:rPr>
        <w:t>》《</w:t>
      </w:r>
      <w:r>
        <w:rPr>
          <w:rFonts w:ascii="仿宋_GB2312" w:hAnsi="仿宋_GB2312" w:eastAsia="仿宋_GB2312"/>
          <w:b w:val="0"/>
          <w:sz w:val="32"/>
        </w:rPr>
        <w:t>行政单位会计制度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行政单位财务规则》等学习培训，规范部门预算收支核算。 一是制定和完善基本支出、项目支出等各项支出标准，严格按项目进度执行预算，增强预算的约束力和严肃性。二是落实预算执行分析，及时了解预算执行差异，合理调整、纠正预算执行偏差，切实提高部门预算收支管理水平。尽可能地做到决算与预算相衔接。二是加大绩效工作宣传力度，强化绩效理念。完善绩效指标，提高整体绩效目标质量。提升预算精细化管理水平。继续完善预算绩效管理相关工作制度，建立全过程预算绩效管理链条，有效贯彻落实全面实施绩效管理的精神。具体附整体支出绩效自评表，项目支出绩效自评表和评价报告。</w:t>
      </w:r>
    </w:p>
    <w:p w14:paraId="7ED4C23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6324693">
        <w:tblPrEx>
          <w:tblCellMar>
            <w:top w:w="0" w:type="dxa"/>
            <w:left w:w="108" w:type="dxa"/>
            <w:bottom w:w="0" w:type="dxa"/>
            <w:right w:w="108" w:type="dxa"/>
          </w:tblCellMar>
        </w:tblPrEx>
        <w:tc>
          <w:tcPr>
            <w:tcW w:w="8847" w:type="dxa"/>
            <w:gridSpan w:val="9"/>
            <w:vAlign w:val="center"/>
          </w:tcPr>
          <w:p w14:paraId="0C9840EA">
            <w:pPr>
              <w:jc w:val="center"/>
            </w:pPr>
            <w:r>
              <w:rPr>
                <w:rFonts w:ascii="宋体" w:hAnsi="宋体" w:eastAsia="宋体"/>
                <w:sz w:val="24"/>
              </w:rPr>
              <w:t>单位整体支出绩效自评表</w:t>
            </w:r>
          </w:p>
        </w:tc>
      </w:tr>
      <w:tr w14:paraId="7E6B5CDC">
        <w:tblPrEx>
          <w:tblCellMar>
            <w:top w:w="0" w:type="dxa"/>
            <w:left w:w="108" w:type="dxa"/>
            <w:bottom w:w="0" w:type="dxa"/>
            <w:right w:w="108" w:type="dxa"/>
          </w:tblCellMar>
        </w:tblPrEx>
        <w:tc>
          <w:tcPr>
            <w:tcW w:w="8847" w:type="dxa"/>
            <w:gridSpan w:val="9"/>
            <w:vAlign w:val="center"/>
          </w:tcPr>
          <w:p w14:paraId="5CD986DC">
            <w:pPr>
              <w:jc w:val="center"/>
            </w:pPr>
            <w:r>
              <w:rPr>
                <w:rFonts w:ascii="宋体" w:hAnsi="宋体" w:eastAsia="宋体"/>
                <w:sz w:val="24"/>
              </w:rPr>
              <w:t>（2024年度）</w:t>
            </w:r>
          </w:p>
        </w:tc>
      </w:tr>
      <w:tr w14:paraId="56268EC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383C3">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F4EFA28">
            <w:pPr>
              <w:jc w:val="center"/>
            </w:pPr>
            <w:r>
              <w:rPr>
                <w:rFonts w:ascii="宋体" w:hAnsi="宋体" w:eastAsia="宋体"/>
                <w:sz w:val="16"/>
              </w:rPr>
              <w:t>洛浦县第四幼儿园</w:t>
            </w:r>
          </w:p>
        </w:tc>
      </w:tr>
      <w:tr w14:paraId="1257B2E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930CED">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C087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E89A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0339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0BAB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376F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F4F3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21F37">
            <w:pPr>
              <w:jc w:val="center"/>
            </w:pPr>
            <w:r>
              <w:rPr>
                <w:rFonts w:ascii="宋体" w:hAnsi="宋体" w:eastAsia="宋体"/>
                <w:sz w:val="16"/>
              </w:rPr>
              <w:t>得分</w:t>
            </w:r>
          </w:p>
        </w:tc>
      </w:tr>
      <w:tr w14:paraId="010255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9BEC2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62CC1B">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CDBB4">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71258">
            <w:pPr>
              <w:jc w:val="center"/>
            </w:pPr>
            <w:r>
              <w:rPr>
                <w:rFonts w:ascii="宋体" w:hAnsi="宋体" w:eastAsia="宋体"/>
                <w:sz w:val="16"/>
              </w:rPr>
              <w:t>83.52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54575">
            <w:pPr>
              <w:jc w:val="center"/>
            </w:pPr>
            <w:r>
              <w:rPr>
                <w:rFonts w:ascii="宋体" w:hAnsi="宋体" w:eastAsia="宋体"/>
                <w:sz w:val="16"/>
              </w:rPr>
              <w:t>34.74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DF498">
            <w:pPr>
              <w:jc w:val="center"/>
            </w:pPr>
            <w:r>
              <w:rPr>
                <w:rFonts w:ascii="宋体" w:hAnsi="宋体" w:eastAsia="宋体"/>
                <w:sz w:val="16"/>
              </w:rPr>
              <w:t>34.74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5C2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1B0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C9573">
            <w:pPr>
              <w:jc w:val="center"/>
            </w:pPr>
            <w:r>
              <w:rPr>
                <w:rFonts w:ascii="宋体" w:hAnsi="宋体" w:eastAsia="宋体"/>
                <w:sz w:val="16"/>
              </w:rPr>
              <w:t>-</w:t>
            </w:r>
          </w:p>
        </w:tc>
      </w:tr>
      <w:tr w14:paraId="466B67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6E0D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2869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6C3C0">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07D51">
            <w:pPr>
              <w:jc w:val="center"/>
            </w:pPr>
            <w:r>
              <w:rPr>
                <w:rFonts w:ascii="宋体" w:hAnsi="宋体" w:eastAsia="宋体"/>
                <w:sz w:val="16"/>
              </w:rPr>
              <w:t>133.55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165D8">
            <w:pPr>
              <w:jc w:val="center"/>
            </w:pPr>
            <w:r>
              <w:rPr>
                <w:rFonts w:ascii="宋体" w:hAnsi="宋体" w:eastAsia="宋体"/>
                <w:sz w:val="16"/>
              </w:rPr>
              <w:t>195.35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FF48B">
            <w:pPr>
              <w:jc w:val="center"/>
            </w:pPr>
            <w:r>
              <w:rPr>
                <w:rFonts w:ascii="宋体" w:hAnsi="宋体" w:eastAsia="宋体"/>
                <w:sz w:val="16"/>
              </w:rPr>
              <w:t>195.35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1B0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9689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77430">
            <w:pPr>
              <w:jc w:val="center"/>
            </w:pPr>
            <w:r>
              <w:rPr>
                <w:rFonts w:ascii="宋体" w:hAnsi="宋体" w:eastAsia="宋体"/>
                <w:sz w:val="16"/>
              </w:rPr>
              <w:t>-</w:t>
            </w:r>
          </w:p>
        </w:tc>
      </w:tr>
      <w:tr w14:paraId="0430DD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05B3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3F6C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ADCBB">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AD88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6E44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E42F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514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7E0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AF7DE">
            <w:pPr>
              <w:jc w:val="center"/>
            </w:pPr>
            <w:r>
              <w:rPr>
                <w:rFonts w:ascii="宋体" w:hAnsi="宋体" w:eastAsia="宋体"/>
                <w:sz w:val="16"/>
              </w:rPr>
              <w:t>-</w:t>
            </w:r>
          </w:p>
        </w:tc>
      </w:tr>
      <w:tr w14:paraId="411454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A9CB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F6731">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A9F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1050A">
            <w:pPr>
              <w:jc w:val="center"/>
            </w:pPr>
            <w:r>
              <w:rPr>
                <w:rFonts w:ascii="宋体" w:hAnsi="宋体" w:eastAsia="宋体"/>
                <w:sz w:val="16"/>
              </w:rPr>
              <w:t>217.07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DA7DC">
            <w:pPr>
              <w:jc w:val="center"/>
            </w:pPr>
            <w:r>
              <w:rPr>
                <w:rFonts w:ascii="宋体" w:hAnsi="宋体" w:eastAsia="宋体"/>
                <w:sz w:val="16"/>
              </w:rPr>
              <w:t>230.09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652D8">
            <w:pPr>
              <w:jc w:val="center"/>
            </w:pPr>
            <w:r>
              <w:rPr>
                <w:rFonts w:ascii="宋体" w:hAnsi="宋体" w:eastAsia="宋体"/>
                <w:sz w:val="16"/>
              </w:rPr>
              <w:t>230.09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E6D3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4B63E">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3A313">
            <w:pPr>
              <w:jc w:val="center"/>
            </w:pPr>
            <w:r>
              <w:rPr>
                <w:rFonts w:ascii="宋体" w:hAnsi="宋体" w:eastAsia="宋体"/>
                <w:sz w:val="16"/>
              </w:rPr>
              <w:t>10</w:t>
            </w:r>
          </w:p>
        </w:tc>
      </w:tr>
      <w:tr w14:paraId="1F894C0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7DCEB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2E22E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C476F2">
            <w:pPr>
              <w:jc w:val="center"/>
            </w:pPr>
            <w:r>
              <w:rPr>
                <w:rFonts w:ascii="宋体" w:hAnsi="宋体" w:eastAsia="宋体"/>
                <w:sz w:val="16"/>
              </w:rPr>
              <w:t>实际完成情况</w:t>
            </w:r>
          </w:p>
        </w:tc>
      </w:tr>
      <w:tr w14:paraId="6B79E1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DFED9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4CA940">
            <w:pPr>
              <w:jc w:val="both"/>
            </w:pPr>
            <w:r>
              <w:rPr>
                <w:rFonts w:ascii="宋体" w:hAnsi="宋体" w:eastAsia="宋体"/>
                <w:sz w:val="16"/>
              </w:rPr>
              <w:t>1.保障学校学生人数187人，保障学员职工工资发放人数10人。                                                                       2.推进党建工作1项，开展教师培训工作2次，提高幼儿安全意识争取达到90%以上。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1B6F15">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年初预算数217.07万元，调整后的预算数为230.1万元，通过实施该项目，保障单位10名职工工资按时发放，保障学校145名学生正常参与教育教学活动，我园开展教职工培训2次，培训的覆盖率达到了100%。</w:t>
            </w:r>
          </w:p>
        </w:tc>
      </w:tr>
      <w:tr w14:paraId="1747C7E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E5AA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A2FF0">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48BE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CA9E7">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B5ABD">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BD7B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1A891">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6891B">
            <w:pPr>
              <w:jc w:val="center"/>
            </w:pPr>
            <w:r>
              <w:rPr>
                <w:rFonts w:ascii="宋体" w:hAnsi="宋体" w:eastAsia="宋体"/>
                <w:sz w:val="16"/>
              </w:rPr>
              <w:t>得分</w:t>
            </w:r>
          </w:p>
        </w:tc>
      </w:tr>
      <w:tr w14:paraId="2DB44CE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17BB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17722D">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E67C9">
            <w:pPr>
              <w:jc w:val="center"/>
            </w:pPr>
            <w:r>
              <w:rPr>
                <w:rFonts w:ascii="宋体" w:hAnsi="宋体" w:eastAsia="宋体"/>
                <w:sz w:val="16"/>
              </w:rPr>
              <w:t>保障学校学生人数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DA74A">
            <w:pPr>
              <w:jc w:val="center"/>
            </w:pPr>
            <w:r>
              <w:rPr>
                <w:rFonts w:ascii="宋体" w:hAnsi="宋体" w:eastAsia="宋体"/>
                <w:sz w:val="16"/>
              </w:rPr>
              <w:t>&gt;=187人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02963">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6244B">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F69C5">
            <w:pPr>
              <w:jc w:val="center"/>
            </w:pPr>
            <w:r>
              <w:rPr>
                <w:rFonts w:ascii="宋体" w:hAnsi="宋体" w:eastAsia="宋体"/>
                <w:sz w:val="16"/>
              </w:rPr>
              <w:t>187人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72B04">
            <w:pPr>
              <w:jc w:val="center"/>
            </w:pPr>
            <w:r>
              <w:rPr>
                <w:rFonts w:ascii="宋体" w:hAnsi="宋体" w:eastAsia="宋体"/>
                <w:sz w:val="16"/>
              </w:rPr>
              <w:t>30</w:t>
            </w:r>
          </w:p>
        </w:tc>
      </w:tr>
      <w:tr w14:paraId="74903E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610D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6E427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FFE57">
            <w:pPr>
              <w:jc w:val="center"/>
            </w:pPr>
            <w:r>
              <w:rPr>
                <w:rFonts w:ascii="宋体" w:hAnsi="宋体" w:eastAsia="宋体"/>
                <w:sz w:val="16"/>
              </w:rPr>
              <w:t>保障学员职工工资发放人数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969CC">
            <w:pPr>
              <w:jc w:val="center"/>
            </w:pPr>
            <w:r>
              <w:rPr>
                <w:rFonts w:ascii="宋体" w:hAnsi="宋体" w:eastAsia="宋体"/>
                <w:sz w:val="16"/>
              </w:rPr>
              <w:t>&gt;=10人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9ECAD">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B73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A2E34">
            <w:pPr>
              <w:jc w:val="center"/>
            </w:pPr>
            <w:r>
              <w:rPr>
                <w:rFonts w:ascii="宋体" w:hAnsi="宋体" w:eastAsia="宋体"/>
                <w:sz w:val="16"/>
              </w:rPr>
              <w: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6FA69">
            <w:pPr>
              <w:jc w:val="center"/>
            </w:pPr>
            <w:r>
              <w:rPr>
                <w:rFonts w:ascii="宋体" w:hAnsi="宋体" w:eastAsia="宋体"/>
                <w:sz w:val="16"/>
              </w:rPr>
              <w:t>10</w:t>
            </w:r>
          </w:p>
        </w:tc>
      </w:tr>
      <w:tr w14:paraId="5C2F49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4390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AD0F9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C3F24">
            <w:pPr>
              <w:jc w:val="center"/>
            </w:pPr>
            <w:r>
              <w:rPr>
                <w:rFonts w:ascii="宋体" w:hAnsi="宋体" w:eastAsia="宋体"/>
                <w:sz w:val="16"/>
              </w:rPr>
              <w:t>推进党建工作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3242A">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D2225">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B867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E794E">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E6629">
            <w:pPr>
              <w:jc w:val="center"/>
            </w:pPr>
            <w:r>
              <w:rPr>
                <w:rFonts w:ascii="宋体" w:hAnsi="宋体" w:eastAsia="宋体"/>
                <w:sz w:val="16"/>
              </w:rPr>
              <w:t>20</w:t>
            </w:r>
          </w:p>
        </w:tc>
      </w:tr>
      <w:tr w14:paraId="68953C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CFCA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83B03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A814E">
            <w:pPr>
              <w:jc w:val="center"/>
            </w:pPr>
            <w:r>
              <w:rPr>
                <w:rFonts w:ascii="宋体" w:hAnsi="宋体" w:eastAsia="宋体"/>
                <w:sz w:val="16"/>
              </w:rPr>
              <w:t>开展教师培训工作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BD68B">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71727">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F1D9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A98FB">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1A19A">
            <w:pPr>
              <w:jc w:val="center"/>
            </w:pPr>
            <w:r>
              <w:rPr>
                <w:rFonts w:ascii="宋体" w:hAnsi="宋体" w:eastAsia="宋体"/>
                <w:sz w:val="16"/>
              </w:rPr>
              <w:t>20</w:t>
            </w:r>
          </w:p>
        </w:tc>
      </w:tr>
      <w:tr w14:paraId="79DFD2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771B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9E53F">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5428D">
            <w:pPr>
              <w:jc w:val="center"/>
            </w:pPr>
            <w:r>
              <w:rPr>
                <w:rFonts w:ascii="宋体" w:hAnsi="宋体" w:eastAsia="宋体"/>
                <w:sz w:val="16"/>
              </w:rPr>
              <w:t>提高幼儿安全意识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6943D">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FA16A">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F5E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71DF3">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587F8">
            <w:pPr>
              <w:jc w:val="center"/>
            </w:pPr>
            <w:r>
              <w:rPr>
                <w:rFonts w:ascii="宋体" w:hAnsi="宋体" w:eastAsia="宋体"/>
                <w:sz w:val="16"/>
              </w:rPr>
              <w:t>10</w:t>
            </w:r>
          </w:p>
        </w:tc>
      </w:tr>
    </w:tbl>
    <w:p w14:paraId="3C6334B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BF36538">
        <w:tblPrEx>
          <w:tblCellMar>
            <w:top w:w="0" w:type="dxa"/>
            <w:left w:w="108" w:type="dxa"/>
            <w:bottom w:w="0" w:type="dxa"/>
            <w:right w:w="108" w:type="dxa"/>
          </w:tblCellMar>
        </w:tblPrEx>
        <w:tc>
          <w:tcPr>
            <w:tcW w:w="8847" w:type="dxa"/>
            <w:gridSpan w:val="9"/>
            <w:vAlign w:val="center"/>
          </w:tcPr>
          <w:p w14:paraId="00901FD8">
            <w:pPr>
              <w:jc w:val="center"/>
            </w:pPr>
            <w:r>
              <w:rPr>
                <w:rFonts w:ascii="宋体" w:hAnsi="宋体" w:eastAsia="宋体"/>
                <w:sz w:val="24"/>
              </w:rPr>
              <w:t>项目支出绩效自评表</w:t>
            </w:r>
          </w:p>
        </w:tc>
      </w:tr>
      <w:tr w14:paraId="30BE7F58">
        <w:tblPrEx>
          <w:tblCellMar>
            <w:top w:w="0" w:type="dxa"/>
            <w:left w:w="108" w:type="dxa"/>
            <w:bottom w:w="0" w:type="dxa"/>
            <w:right w:w="108" w:type="dxa"/>
          </w:tblCellMar>
        </w:tblPrEx>
        <w:tc>
          <w:tcPr>
            <w:tcW w:w="8847" w:type="dxa"/>
            <w:gridSpan w:val="9"/>
            <w:vAlign w:val="center"/>
          </w:tcPr>
          <w:p w14:paraId="06F3199E">
            <w:pPr>
              <w:jc w:val="center"/>
            </w:pPr>
            <w:r>
              <w:rPr>
                <w:rFonts w:ascii="宋体" w:hAnsi="宋体" w:eastAsia="宋体"/>
                <w:sz w:val="24"/>
              </w:rPr>
              <w:t>(2024年度)</w:t>
            </w:r>
          </w:p>
        </w:tc>
      </w:tr>
      <w:tr w14:paraId="3A69D82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B518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35C69D5">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〔2023〕73号</w:t>
            </w:r>
            <w:r>
              <w:rPr>
                <w:rFonts w:ascii="宋体" w:hAnsi="宋体" w:eastAsia="宋体"/>
                <w:sz w:val="16"/>
              </w:rPr>
              <w:t>：2024年新疆西藏等地区教育特殊补助资金</w:t>
            </w:r>
            <w:r>
              <w:rPr>
                <w:rFonts w:hint="eastAsia" w:ascii="宋体" w:hAnsi="宋体"/>
                <w:sz w:val="16"/>
                <w:lang w:eastAsia="zh-CN"/>
              </w:rPr>
              <w:t>－</w:t>
            </w:r>
            <w:r>
              <w:rPr>
                <w:rFonts w:ascii="宋体" w:hAnsi="宋体" w:eastAsia="宋体"/>
                <w:sz w:val="16"/>
              </w:rPr>
              <w:t>学前三年免费保障经费-公用经费-洛财教</w:t>
            </w:r>
            <w:r>
              <w:rPr>
                <w:rFonts w:hint="eastAsia" w:ascii="宋体" w:hAnsi="宋体"/>
                <w:sz w:val="16"/>
                <w:lang w:eastAsia="zh-CN"/>
              </w:rPr>
              <w:t>〔2024〕22号</w:t>
            </w:r>
          </w:p>
        </w:tc>
      </w:tr>
      <w:tr w14:paraId="6EFB4F3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B806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73C90E">
            <w:pPr>
              <w:jc w:val="center"/>
            </w:pPr>
            <w:r>
              <w:rPr>
                <w:rFonts w:ascii="宋体" w:hAnsi="宋体" w:eastAsia="宋体"/>
                <w:sz w:val="16"/>
              </w:rPr>
              <w:t>洛浦县第四幼儿园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95F6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C38B97">
            <w:pPr>
              <w:jc w:val="center"/>
            </w:pPr>
            <w:r>
              <w:rPr>
                <w:rFonts w:ascii="宋体" w:hAnsi="宋体" w:eastAsia="宋体"/>
                <w:sz w:val="16"/>
              </w:rPr>
              <w:t>洛浦县第四幼儿园</w:t>
            </w:r>
          </w:p>
        </w:tc>
      </w:tr>
      <w:tr w14:paraId="16C6D26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0BFB3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418C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B10B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1F36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A541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9DA3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86A4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5F21F">
            <w:pPr>
              <w:jc w:val="center"/>
            </w:pPr>
            <w:r>
              <w:rPr>
                <w:rFonts w:ascii="宋体" w:hAnsi="宋体" w:eastAsia="宋体"/>
                <w:sz w:val="16"/>
              </w:rPr>
              <w:t>得分</w:t>
            </w:r>
          </w:p>
        </w:tc>
      </w:tr>
      <w:tr w14:paraId="4B18A4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A7BF2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2697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B62C0">
            <w:pPr>
              <w:jc w:val="center"/>
            </w:pPr>
            <w:r>
              <w:rPr>
                <w:rFonts w:ascii="宋体" w:hAnsi="宋体" w:eastAsia="宋体"/>
                <w:sz w:val="16"/>
              </w:rPr>
              <w:t>83.52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47657">
            <w:pPr>
              <w:jc w:val="center"/>
            </w:pPr>
            <w:r>
              <w:rPr>
                <w:rFonts w:ascii="宋体" w:hAnsi="宋体" w:eastAsia="宋体"/>
                <w:sz w:val="16"/>
              </w:rPr>
              <w:t>66.76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DD303">
            <w:pPr>
              <w:jc w:val="center"/>
            </w:pPr>
            <w:r>
              <w:rPr>
                <w:rFonts w:ascii="宋体" w:hAnsi="宋体" w:eastAsia="宋体"/>
                <w:sz w:val="16"/>
              </w:rPr>
              <w:t>65.77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9FA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F0888">
            <w:pPr>
              <w:jc w:val="center"/>
            </w:pPr>
            <w:r>
              <w:rPr>
                <w:rFonts w:ascii="宋体" w:hAnsi="宋体" w:eastAsia="宋体"/>
                <w:sz w:val="16"/>
              </w:rPr>
              <w:t>98.52%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6B5B9">
            <w:pPr>
              <w:jc w:val="center"/>
            </w:pPr>
            <w:r>
              <w:rPr>
                <w:rFonts w:ascii="宋体" w:hAnsi="宋体" w:eastAsia="宋体"/>
                <w:sz w:val="16"/>
              </w:rPr>
              <w:t>9.85分</w:t>
            </w:r>
          </w:p>
        </w:tc>
      </w:tr>
      <w:tr w14:paraId="2DFFEF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5F8C9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1334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7BAE7">
            <w:pPr>
              <w:jc w:val="center"/>
            </w:pPr>
            <w:r>
              <w:rPr>
                <w:rFonts w:ascii="宋体" w:hAnsi="宋体" w:eastAsia="宋体"/>
                <w:sz w:val="16"/>
              </w:rPr>
              <w:t>83.52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90D4C">
            <w:pPr>
              <w:jc w:val="center"/>
            </w:pPr>
            <w:r>
              <w:rPr>
                <w:rFonts w:ascii="宋体" w:hAnsi="宋体" w:eastAsia="宋体"/>
                <w:sz w:val="16"/>
              </w:rPr>
              <w:t>66.76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8C1E7">
            <w:pPr>
              <w:jc w:val="center"/>
            </w:pPr>
            <w:r>
              <w:rPr>
                <w:rFonts w:ascii="宋体" w:hAnsi="宋体" w:eastAsia="宋体"/>
                <w:sz w:val="16"/>
              </w:rPr>
              <w:t>65.77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782C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997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946AD">
            <w:pPr>
              <w:jc w:val="center"/>
            </w:pPr>
            <w:r>
              <w:rPr>
                <w:rFonts w:ascii="宋体" w:hAnsi="宋体" w:eastAsia="宋体"/>
                <w:sz w:val="16"/>
              </w:rPr>
              <w:t>—</w:t>
            </w:r>
          </w:p>
        </w:tc>
      </w:tr>
      <w:tr w14:paraId="2AD317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603F1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CC3C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C3A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E8E0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F912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55D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5B2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5B4F4">
            <w:pPr>
              <w:jc w:val="center"/>
            </w:pPr>
            <w:r>
              <w:rPr>
                <w:rFonts w:ascii="宋体" w:hAnsi="宋体" w:eastAsia="宋体"/>
                <w:sz w:val="16"/>
              </w:rPr>
              <w:t>—</w:t>
            </w:r>
          </w:p>
        </w:tc>
      </w:tr>
      <w:tr w14:paraId="18A06D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FCCEE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3163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9A9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8809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1CF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1F30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A3ED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792CA">
            <w:pPr>
              <w:jc w:val="center"/>
            </w:pPr>
            <w:r>
              <w:rPr>
                <w:rFonts w:ascii="宋体" w:hAnsi="宋体" w:eastAsia="宋体"/>
                <w:sz w:val="16"/>
              </w:rPr>
              <w:t>—</w:t>
            </w:r>
          </w:p>
        </w:tc>
      </w:tr>
      <w:tr w14:paraId="7A8BF35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63949B">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D2411E">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BD1849">
            <w:pPr>
              <w:jc w:val="center"/>
            </w:pPr>
            <w:r>
              <w:rPr>
                <w:rFonts w:ascii="宋体" w:hAnsi="宋体" w:eastAsia="宋体"/>
                <w:sz w:val="16"/>
              </w:rPr>
              <w:t>实际完成情况</w:t>
            </w:r>
          </w:p>
        </w:tc>
      </w:tr>
      <w:tr w14:paraId="2C0208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51DBA4"/>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28A4BA">
            <w:pPr>
              <w:jc w:val="both"/>
            </w:pPr>
            <w:r>
              <w:rPr>
                <w:rFonts w:ascii="宋体" w:hAnsi="宋体" w:eastAsia="宋体"/>
                <w:sz w:val="16"/>
              </w:rPr>
              <w:t>本项目主要实施内容为：为保障学校日常工作正常运行，本项目正常性项目，资金总额为66.76万元，将在2024年12月之前完成。通过实施本项目可以有效提高学校工作效率。保障学校日常工作正常运行</w:t>
            </w:r>
            <w:r>
              <w:rPr>
                <w:rFonts w:hint="eastAsia" w:ascii="宋体" w:hAnsi="宋体"/>
                <w:sz w:val="16"/>
                <w:lang w:eastAsia="zh-CN"/>
              </w:rPr>
              <w:t>。</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E14540">
            <w:pPr>
              <w:jc w:val="both"/>
            </w:pPr>
            <w:r>
              <w:rPr>
                <w:rFonts w:ascii="宋体" w:hAnsi="宋体" w:eastAsia="宋体"/>
                <w:sz w:val="16"/>
              </w:rPr>
              <w:t>截至目前2024年12月31日，</w:t>
            </w:r>
            <w:r>
              <w:rPr>
                <w:rFonts w:hint="eastAsia" w:ascii="宋体" w:hAnsi="宋体"/>
                <w:sz w:val="16"/>
                <w:lang w:eastAsia="zh-CN"/>
              </w:rPr>
              <w:t>本单位</w:t>
            </w:r>
            <w:r>
              <w:rPr>
                <w:rFonts w:ascii="宋体" w:hAnsi="宋体" w:eastAsia="宋体"/>
                <w:sz w:val="16"/>
              </w:rPr>
              <w:t>已完成学前教育保障经费</w:t>
            </w:r>
            <w:r>
              <w:rPr>
                <w:rFonts w:hint="eastAsia" w:ascii="宋体" w:hAnsi="宋体"/>
                <w:sz w:val="16"/>
                <w:lang w:eastAsia="zh-CN"/>
              </w:rPr>
              <w:t>受益</w:t>
            </w:r>
            <w:r>
              <w:rPr>
                <w:rFonts w:ascii="宋体" w:hAnsi="宋体" w:eastAsia="宋体"/>
                <w:sz w:val="16"/>
              </w:rPr>
              <w:t>学生数量190人，实际支付资金65.77万元。通过实施本项目可以有效提高学校工作效率。保障学校日常工作正常运行。</w:t>
            </w:r>
          </w:p>
        </w:tc>
      </w:tr>
      <w:tr w14:paraId="446CAA7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6D7A9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067F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6848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B78F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7160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3E94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2A8B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5169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552A7">
            <w:pPr>
              <w:jc w:val="center"/>
            </w:pPr>
            <w:r>
              <w:rPr>
                <w:rFonts w:ascii="宋体" w:hAnsi="宋体" w:eastAsia="宋体"/>
                <w:sz w:val="16"/>
              </w:rPr>
              <w:t>偏差原因分析及改进措施</w:t>
            </w:r>
          </w:p>
        </w:tc>
      </w:tr>
      <w:tr w14:paraId="38DDDC7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5F9CC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610C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1ACB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29DB4">
            <w:pPr>
              <w:jc w:val="center"/>
            </w:pPr>
            <w:r>
              <w:rPr>
                <w:rFonts w:ascii="宋体" w:hAnsi="宋体" w:eastAsia="宋体"/>
                <w:sz w:val="16"/>
              </w:rPr>
              <w:t>学前教育保障经费</w:t>
            </w:r>
            <w:r>
              <w:rPr>
                <w:rFonts w:hint="eastAsia" w:ascii="宋体" w:hAnsi="宋体"/>
                <w:sz w:val="16"/>
                <w:lang w:eastAsia="zh-CN"/>
              </w:rPr>
              <w:t>受益</w:t>
            </w:r>
            <w:r>
              <w:rPr>
                <w:rFonts w:ascii="宋体" w:hAnsi="宋体" w:eastAsia="宋体"/>
                <w:sz w:val="16"/>
              </w:rPr>
              <w:t>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D2D11">
            <w:pPr>
              <w:jc w:val="center"/>
            </w:pPr>
            <w:r>
              <w:rPr>
                <w:rFonts w:ascii="宋体" w:hAnsi="宋体" w:eastAsia="宋体"/>
                <w:sz w:val="16"/>
              </w:rPr>
              <w:t>=190人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35847">
            <w:pPr>
              <w:jc w:val="center"/>
            </w:pPr>
            <w:r>
              <w:rPr>
                <w:rFonts w:ascii="宋体" w:hAnsi="宋体" w:eastAsia="宋体"/>
                <w:sz w:val="16"/>
              </w:rPr>
              <w:t>=190人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2866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2DB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22878">
            <w:pPr>
              <w:jc w:val="center"/>
            </w:pPr>
          </w:p>
        </w:tc>
      </w:tr>
      <w:tr w14:paraId="0CABA0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17EE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3C78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DBF5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52EF2">
            <w:pPr>
              <w:jc w:val="center"/>
            </w:pPr>
            <w:r>
              <w:rPr>
                <w:rFonts w:ascii="宋体" w:hAnsi="宋体" w:eastAsia="宋体"/>
                <w:sz w:val="16"/>
              </w:rPr>
              <w:t>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270A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421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C42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30F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2A840">
            <w:pPr>
              <w:jc w:val="center"/>
            </w:pPr>
          </w:p>
        </w:tc>
      </w:tr>
      <w:tr w14:paraId="620367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06CF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32AE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3DCF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FDBE9">
            <w:pPr>
              <w:jc w:val="center"/>
            </w:pPr>
            <w:r>
              <w:rPr>
                <w:rFonts w:ascii="宋体" w:hAnsi="宋体" w:eastAsia="宋体"/>
                <w:sz w:val="16"/>
              </w:rPr>
              <w:t>资金拨付及时性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6D5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A29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25BF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BE5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28DEE">
            <w:pPr>
              <w:jc w:val="center"/>
            </w:pPr>
          </w:p>
        </w:tc>
      </w:tr>
      <w:tr w14:paraId="493F3D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5C167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E37A25">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75201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3B52B">
            <w:pPr>
              <w:jc w:val="center"/>
            </w:pPr>
            <w:r>
              <w:rPr>
                <w:rFonts w:ascii="宋体" w:hAnsi="宋体" w:eastAsia="宋体"/>
                <w:sz w:val="16"/>
              </w:rPr>
              <w:t>取暖费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6C3C5">
            <w:pPr>
              <w:jc w:val="center"/>
            </w:pPr>
            <w:r>
              <w:rPr>
                <w:rFonts w:ascii="宋体" w:hAnsi="宋体" w:eastAsia="宋体"/>
                <w:sz w:val="16"/>
              </w:rPr>
              <w:t>=2.24万元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B83EB">
            <w:pPr>
              <w:jc w:val="center"/>
            </w:pPr>
            <w:r>
              <w:rPr>
                <w:rFonts w:ascii="宋体" w:hAnsi="宋体" w:eastAsia="宋体"/>
                <w:sz w:val="16"/>
              </w:rPr>
              <w:t>=1.25万元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0D7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286A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08998">
            <w:pPr>
              <w:jc w:val="center"/>
            </w:pPr>
          </w:p>
        </w:tc>
      </w:tr>
      <w:tr w14:paraId="7EE2AA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325F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AE2C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9F68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0FB77">
            <w:pPr>
              <w:jc w:val="center"/>
            </w:pPr>
            <w:r>
              <w:rPr>
                <w:rFonts w:ascii="宋体" w:hAnsi="宋体" w:eastAsia="宋体"/>
                <w:sz w:val="16"/>
              </w:rPr>
              <w:t>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F70A7">
            <w:pPr>
              <w:jc w:val="center"/>
            </w:pPr>
            <w:r>
              <w:rPr>
                <w:rFonts w:ascii="宋体" w:hAnsi="宋体" w:eastAsia="宋体"/>
                <w:sz w:val="16"/>
              </w:rPr>
              <w:t>=32.51万元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46E6D">
            <w:pPr>
              <w:jc w:val="center"/>
            </w:pPr>
            <w:r>
              <w:rPr>
                <w:rFonts w:ascii="宋体" w:hAnsi="宋体" w:eastAsia="宋体"/>
                <w:sz w:val="16"/>
              </w:rPr>
              <w:t>=32.51万元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E38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E58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1F04F">
            <w:pPr>
              <w:jc w:val="center"/>
            </w:pPr>
          </w:p>
        </w:tc>
      </w:tr>
      <w:tr w14:paraId="5473FB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78AF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EEDF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0E79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CDC31">
            <w:pPr>
              <w:jc w:val="center"/>
            </w:pPr>
            <w:r>
              <w:rPr>
                <w:rFonts w:ascii="宋体" w:hAnsi="宋体" w:eastAsia="宋体"/>
                <w:sz w:val="16"/>
              </w:rPr>
              <w:t>伙食费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0E5BB">
            <w:pPr>
              <w:jc w:val="center"/>
            </w:pPr>
            <w:r>
              <w:rPr>
                <w:rFonts w:ascii="宋体" w:hAnsi="宋体" w:eastAsia="宋体"/>
                <w:sz w:val="16"/>
              </w:rPr>
              <w:t>=32.01万元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950E6">
            <w:pPr>
              <w:jc w:val="center"/>
            </w:pPr>
            <w:r>
              <w:rPr>
                <w:rFonts w:ascii="宋体" w:hAnsi="宋体" w:eastAsia="宋体"/>
                <w:sz w:val="16"/>
              </w:rPr>
              <w:t>=32.01万元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2FA8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D48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B12AE">
            <w:pPr>
              <w:jc w:val="center"/>
            </w:pPr>
          </w:p>
        </w:tc>
      </w:tr>
      <w:tr w14:paraId="4D52F3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0381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D9B0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7101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B3D54">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C1CDD">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A8A77">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CBB6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D62B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80BBF">
            <w:pPr>
              <w:jc w:val="center"/>
            </w:pPr>
          </w:p>
        </w:tc>
      </w:tr>
      <w:tr w14:paraId="7576BC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260D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A934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98F7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6971D">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F587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7C8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299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B4C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91329">
            <w:pPr>
              <w:jc w:val="center"/>
            </w:pPr>
          </w:p>
        </w:tc>
      </w:tr>
      <w:tr w14:paraId="297E6EC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186FB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97AC1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91D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677A1">
            <w:pPr>
              <w:jc w:val="center"/>
            </w:pPr>
            <w:r>
              <w:rPr>
                <w:rFonts w:ascii="宋体" w:hAnsi="宋体" w:eastAsia="宋体"/>
                <w:sz w:val="16"/>
              </w:rPr>
              <w:t>98.5分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612C500"/>
        </w:tc>
      </w:tr>
    </w:tbl>
    <w:p w14:paraId="0E56D686">
      <w:r>
        <w:br w:type="page"/>
      </w:r>
    </w:p>
    <w:p w14:paraId="79725973">
      <w:pPr>
        <w:spacing w:line="640" w:lineRule="exact"/>
        <w:ind w:firstLine="640"/>
        <w:jc w:val="both"/>
        <w:outlineLvl w:val="2"/>
      </w:pPr>
      <w:r>
        <w:rPr>
          <w:rFonts w:ascii="黑体" w:hAnsi="黑体" w:eastAsia="黑体"/>
          <w:sz w:val="32"/>
        </w:rPr>
        <w:t>十二、其他需说明的事项</w:t>
      </w:r>
    </w:p>
    <w:p w14:paraId="76CB58A6">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0835380D">
      <w:r>
        <w:br w:type="page"/>
      </w:r>
    </w:p>
    <w:p w14:paraId="4EC18780">
      <w:pPr>
        <w:spacing w:line="240" w:lineRule="auto"/>
        <w:jc w:val="center"/>
        <w:outlineLvl w:val="1"/>
      </w:pPr>
      <w:r>
        <w:rPr>
          <w:rFonts w:ascii="黑体" w:hAnsi="黑体" w:eastAsia="黑体"/>
          <w:sz w:val="32"/>
        </w:rPr>
        <w:t>第三部分 专业名词解释</w:t>
      </w:r>
    </w:p>
    <w:p w14:paraId="75AB726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5F6817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9FA55A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3DD722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793D77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1DA3ED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AFF80D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735B60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1B73B7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4E1B4D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C8055F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B14150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8200E5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A2ECFF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F101770">
      <w:r>
        <w:br w:type="page"/>
      </w:r>
    </w:p>
    <w:p w14:paraId="33CA1A5D">
      <w:pPr>
        <w:spacing w:line="240" w:lineRule="auto"/>
        <w:jc w:val="center"/>
        <w:outlineLvl w:val="1"/>
      </w:pPr>
      <w:r>
        <w:rPr>
          <w:rFonts w:ascii="黑体" w:hAnsi="黑体" w:eastAsia="黑体"/>
          <w:sz w:val="32"/>
        </w:rPr>
        <w:t>第四部分 部门决算报表（见附表）</w:t>
      </w:r>
    </w:p>
    <w:p w14:paraId="1C1B1727">
      <w:pPr>
        <w:spacing w:line="240" w:lineRule="auto"/>
        <w:ind w:firstLine="640"/>
        <w:jc w:val="both"/>
      </w:pPr>
      <w:r>
        <w:rPr>
          <w:rFonts w:ascii="仿宋_GB2312" w:hAnsi="仿宋_GB2312" w:eastAsia="仿宋_GB2312"/>
          <w:b w:val="0"/>
          <w:sz w:val="32"/>
        </w:rPr>
        <w:t>一、《收入支出决算总表》</w:t>
      </w:r>
    </w:p>
    <w:p w14:paraId="7283F589">
      <w:pPr>
        <w:spacing w:line="240" w:lineRule="auto"/>
        <w:ind w:firstLine="640"/>
        <w:jc w:val="both"/>
      </w:pPr>
      <w:r>
        <w:rPr>
          <w:rFonts w:ascii="仿宋_GB2312" w:hAnsi="仿宋_GB2312" w:eastAsia="仿宋_GB2312"/>
          <w:b w:val="0"/>
          <w:sz w:val="32"/>
        </w:rPr>
        <w:t>二、《收入决算表》</w:t>
      </w:r>
    </w:p>
    <w:p w14:paraId="4FA3754E">
      <w:pPr>
        <w:spacing w:line="240" w:lineRule="auto"/>
        <w:ind w:firstLine="640"/>
        <w:jc w:val="both"/>
      </w:pPr>
      <w:r>
        <w:rPr>
          <w:rFonts w:ascii="仿宋_GB2312" w:hAnsi="仿宋_GB2312" w:eastAsia="仿宋_GB2312"/>
          <w:b w:val="0"/>
          <w:sz w:val="32"/>
        </w:rPr>
        <w:t>三、《支出决算表》</w:t>
      </w:r>
    </w:p>
    <w:p w14:paraId="0361BE84">
      <w:pPr>
        <w:spacing w:line="240" w:lineRule="auto"/>
        <w:ind w:firstLine="640"/>
        <w:jc w:val="both"/>
      </w:pPr>
      <w:r>
        <w:rPr>
          <w:rFonts w:ascii="仿宋_GB2312" w:hAnsi="仿宋_GB2312" w:eastAsia="仿宋_GB2312"/>
          <w:b w:val="0"/>
          <w:sz w:val="32"/>
        </w:rPr>
        <w:t>四、《财政拨款收入支出决算总表》</w:t>
      </w:r>
    </w:p>
    <w:p w14:paraId="7AEE3ACA">
      <w:pPr>
        <w:spacing w:line="240" w:lineRule="auto"/>
        <w:ind w:firstLine="640"/>
        <w:jc w:val="both"/>
      </w:pPr>
      <w:r>
        <w:rPr>
          <w:rFonts w:ascii="仿宋_GB2312" w:hAnsi="仿宋_GB2312" w:eastAsia="仿宋_GB2312"/>
          <w:b w:val="0"/>
          <w:sz w:val="32"/>
        </w:rPr>
        <w:t>五、《一般公共预算财政拨款支出决算表》</w:t>
      </w:r>
    </w:p>
    <w:p w14:paraId="449C520A">
      <w:pPr>
        <w:spacing w:line="240" w:lineRule="auto"/>
        <w:ind w:firstLine="640"/>
        <w:jc w:val="both"/>
      </w:pPr>
      <w:r>
        <w:rPr>
          <w:rFonts w:ascii="仿宋_GB2312" w:hAnsi="仿宋_GB2312" w:eastAsia="仿宋_GB2312"/>
          <w:b w:val="0"/>
          <w:sz w:val="32"/>
        </w:rPr>
        <w:t>六、《一般公共预算财政拨款基本支出决算表》</w:t>
      </w:r>
    </w:p>
    <w:p w14:paraId="2B1DDDE2">
      <w:pPr>
        <w:spacing w:line="240" w:lineRule="auto"/>
        <w:ind w:firstLine="640"/>
        <w:jc w:val="both"/>
      </w:pPr>
      <w:r>
        <w:rPr>
          <w:rFonts w:ascii="仿宋_GB2312" w:hAnsi="仿宋_GB2312" w:eastAsia="仿宋_GB2312"/>
          <w:b w:val="0"/>
          <w:sz w:val="32"/>
        </w:rPr>
        <w:t>七、《政府性基金预算财政拨款收入支出决算表》</w:t>
      </w:r>
    </w:p>
    <w:p w14:paraId="52F0BBFE">
      <w:pPr>
        <w:spacing w:line="240" w:lineRule="auto"/>
        <w:ind w:firstLine="640"/>
        <w:jc w:val="both"/>
      </w:pPr>
      <w:r>
        <w:rPr>
          <w:rFonts w:ascii="仿宋_GB2312" w:hAnsi="仿宋_GB2312" w:eastAsia="仿宋_GB2312"/>
          <w:b w:val="0"/>
          <w:sz w:val="32"/>
        </w:rPr>
        <w:t>八、《国有资本经营预算财政拨款收入支出决算表》</w:t>
      </w:r>
    </w:p>
    <w:p w14:paraId="5FC53CD3">
      <w:pPr>
        <w:spacing w:line="240" w:lineRule="auto"/>
        <w:ind w:firstLine="640"/>
        <w:jc w:val="both"/>
      </w:pPr>
      <w:r>
        <w:rPr>
          <w:rFonts w:ascii="仿宋_GB2312" w:hAnsi="仿宋_GB2312" w:eastAsia="仿宋_GB2312"/>
          <w:b w:val="0"/>
          <w:sz w:val="32"/>
        </w:rPr>
        <w:t>九、《财政拨款“三公”经费支出决算表》</w:t>
      </w:r>
    </w:p>
    <w:p w14:paraId="775E2E99">
      <w:pPr>
        <w:spacing w:line="240" w:lineRule="auto"/>
        <w:ind w:firstLine="640"/>
        <w:jc w:val="both"/>
      </w:pPr>
    </w:p>
    <w:p w14:paraId="3E1A8A87">
      <w:pPr>
        <w:spacing w:line="240" w:lineRule="auto"/>
        <w:ind w:firstLine="640"/>
        <w:jc w:val="both"/>
      </w:pPr>
    </w:p>
    <w:p w14:paraId="33828DA9">
      <w:pPr>
        <w:spacing w:line="240" w:lineRule="auto"/>
        <w:ind w:firstLine="640"/>
        <w:jc w:val="both"/>
      </w:pPr>
    </w:p>
    <w:p w14:paraId="542C13F9">
      <w:pPr>
        <w:spacing w:line="240" w:lineRule="auto"/>
        <w:ind w:firstLine="640"/>
        <w:jc w:val="both"/>
      </w:pPr>
    </w:p>
    <w:p w14:paraId="7EF3E33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AE16B49-9B7B-4AD0-8D04-2EF75A49065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9F89274-C948-4E20-84F3-463B5863E8C1}"/>
  </w:font>
  <w:font w:name="仿宋_GB2312">
    <w:panose1 w:val="02010609030101010101"/>
    <w:charset w:val="86"/>
    <w:family w:val="modern"/>
    <w:pitch w:val="default"/>
    <w:sig w:usb0="00000001" w:usb1="080E0000" w:usb2="00000000" w:usb3="00000000" w:csb0="00040000" w:csb1="00000000"/>
    <w:embedRegular r:id="rId3" w:fontKey="{A644012A-22E7-4D1D-888D-A03EE084494B}"/>
  </w:font>
  <w:font w:name="楷体_GB2312">
    <w:panose1 w:val="02010609030101010101"/>
    <w:charset w:val="86"/>
    <w:family w:val="auto"/>
    <w:pitch w:val="default"/>
    <w:sig w:usb0="00000001" w:usb1="080E0000" w:usb2="00000000" w:usb3="00000000" w:csb0="00040000" w:csb1="00000000"/>
    <w:embedRegular r:id="rId4" w:fontKey="{357D3578-0B43-4E14-BCE7-C032789FDE03}"/>
  </w:font>
  <w:font w:name="WPSEMBED3">
    <w:panose1 w:val="02010609030101010101"/>
    <w:charset w:val="86"/>
    <w:family w:val="auto"/>
    <w:pitch w:val="default"/>
    <w:sig w:usb0="00000001" w:usb1="080E0000" w:usb2="00000000" w:usb3="00000000" w:csb0="00040000" w:csb1="00000000"/>
  </w:font>
  <w:font w:name="WPSEMBED4">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386AC5"/>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4360881"/>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8B20EC"/>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E2D0A1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4330</Words>
  <Characters>4889</Characters>
  <Lines>0</Lines>
  <Paragraphs>0</Paragraphs>
  <TotalTime>3</TotalTime>
  <ScaleCrop>false</ScaleCrop>
  <LinksUpToDate>false</LinksUpToDate>
  <CharactersWithSpaces>4898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来财&amp;十个勤天</cp:lastModifiedBy>
  <cp:lastPrinted>2024-07-22T11:58:00Z</cp:lastPrinted>
  <dcterms:modified xsi:type="dcterms:W3CDTF">2025-11-28T02:38:42Z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eyJoZGlkIjoiZjZjY2YzNDY3YWM4YThjNjdkZTk2MDAwYjE2OGQzNDQiLCJ1c2VySWQiOiIzNzI2MDMzNTYifQ==</vt:lpwstr>
  </property>
</Properties>
</file>