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洛浦县第五幼儿园2024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2C997A">
      <w:r>
        <w:br w:type="page"/>
      </w:r>
    </w:p>
    <w:p w14:paraId="069F05BF">
      <w:pPr>
        <w:spacing w:line="640" w:lineRule="exact"/>
        <w:jc w:val="center"/>
        <w:outlineLvl w:val="1"/>
      </w:pPr>
      <w:r>
        <w:rPr>
          <w:rFonts w:ascii="黑体" w:hAnsi="黑体" w:eastAsia="黑体"/>
          <w:sz w:val="32"/>
        </w:rPr>
        <w:t>第一部分 单位概况</w:t>
      </w:r>
    </w:p>
    <w:p w14:paraId="581A0532">
      <w:pPr>
        <w:spacing w:line="640" w:lineRule="exact"/>
        <w:ind w:firstLine="640"/>
        <w:jc w:val="both"/>
        <w:outlineLvl w:val="2"/>
      </w:pPr>
      <w:r>
        <w:rPr>
          <w:rFonts w:ascii="黑体" w:hAnsi="黑体" w:eastAsia="黑体"/>
          <w:sz w:val="32"/>
        </w:rPr>
        <w:t>一、主要职能</w:t>
      </w:r>
    </w:p>
    <w:p w14:paraId="00169DE5">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7A60C475">
      <w:pPr>
        <w:spacing w:line="640" w:lineRule="exact"/>
        <w:ind w:firstLine="640"/>
        <w:jc w:val="both"/>
        <w:outlineLvl w:val="2"/>
      </w:pPr>
      <w:r>
        <w:rPr>
          <w:rFonts w:ascii="黑体" w:hAnsi="黑体" w:eastAsia="黑体"/>
          <w:sz w:val="32"/>
        </w:rPr>
        <w:t>二、机构设置及人员情况</w:t>
      </w:r>
    </w:p>
    <w:p w14:paraId="104FD6A9">
      <w:pPr>
        <w:spacing w:line="580" w:lineRule="exact"/>
        <w:ind w:firstLine="640"/>
        <w:jc w:val="both"/>
      </w:pPr>
      <w:r>
        <w:rPr>
          <w:rFonts w:ascii="仿宋_GB2312" w:hAnsi="仿宋_GB2312" w:eastAsia="仿宋_GB2312"/>
          <w:sz w:val="32"/>
        </w:rPr>
        <w:t>洛浦县第五幼儿园2024年度，实有人数14人，其中：在职人员14人，增加0人；离休人员0人，增加0人；退休人员0人,增加0人。</w:t>
      </w:r>
    </w:p>
    <w:p w14:paraId="6297158E">
      <w:pPr>
        <w:spacing w:line="580" w:lineRule="exact"/>
        <w:ind w:firstLine="640"/>
        <w:jc w:val="both"/>
      </w:pPr>
      <w:r>
        <w:rPr>
          <w:rFonts w:ascii="仿宋_GB2312" w:hAnsi="仿宋_GB2312" w:eastAsia="仿宋_GB2312"/>
          <w:sz w:val="32"/>
        </w:rPr>
        <w:t>洛浦县第五幼儿园无下属预算单位，下设5个科室，分别是：园长办公室、教务处、德育办、教研室、财务室。</w:t>
      </w:r>
    </w:p>
    <w:p w14:paraId="3F2E0433">
      <w:r>
        <w:br w:type="page"/>
      </w:r>
    </w:p>
    <w:p w14:paraId="4E2A1741">
      <w:pPr>
        <w:spacing w:line="240" w:lineRule="auto"/>
        <w:jc w:val="center"/>
        <w:outlineLvl w:val="1"/>
      </w:pPr>
      <w:r>
        <w:rPr>
          <w:rFonts w:ascii="黑体" w:hAnsi="黑体" w:eastAsia="黑体"/>
          <w:sz w:val="32"/>
        </w:rPr>
        <w:t>第二部分 部门决算情况说明</w:t>
      </w:r>
    </w:p>
    <w:p w14:paraId="20B842D4">
      <w:pPr>
        <w:spacing w:line="640" w:lineRule="exact"/>
        <w:ind w:firstLine="640"/>
        <w:jc w:val="both"/>
        <w:outlineLvl w:val="2"/>
      </w:pPr>
      <w:r>
        <w:rPr>
          <w:rFonts w:ascii="黑体" w:hAnsi="黑体" w:eastAsia="黑体"/>
          <w:sz w:val="32"/>
        </w:rPr>
        <w:t>一、收入支出决算总体情况说明</w:t>
      </w:r>
    </w:p>
    <w:p w14:paraId="757CBF7E">
      <w:pPr>
        <w:spacing w:line="580" w:lineRule="exact"/>
        <w:ind w:firstLine="640"/>
        <w:jc w:val="both"/>
      </w:pPr>
      <w:r>
        <w:rPr>
          <w:rFonts w:ascii="仿宋_GB2312" w:hAnsi="仿宋_GB2312" w:eastAsia="仿宋_GB2312"/>
          <w:b/>
          <w:sz w:val="32"/>
        </w:rPr>
        <w:t>2024年度收入总计295.32万元，</w:t>
      </w:r>
      <w:r>
        <w:rPr>
          <w:rFonts w:ascii="仿宋_GB2312" w:hAnsi="仿宋_GB2312" w:eastAsia="仿宋_GB2312"/>
          <w:b w:val="0"/>
          <w:sz w:val="32"/>
        </w:rPr>
        <w:t>其中：本年收入合计295.32万元，使用非财政拨款结余（含专用结余）0.00万元，年初结转和结余0.00万元。</w:t>
      </w:r>
    </w:p>
    <w:p w14:paraId="72519205">
      <w:pPr>
        <w:spacing w:line="580" w:lineRule="exact"/>
        <w:ind w:firstLine="640"/>
        <w:jc w:val="both"/>
      </w:pPr>
      <w:r>
        <w:rPr>
          <w:rFonts w:ascii="仿宋_GB2312" w:hAnsi="仿宋_GB2312" w:eastAsia="仿宋_GB2312"/>
          <w:b/>
          <w:sz w:val="32"/>
        </w:rPr>
        <w:t>2024年度支出总计295.32万元，</w:t>
      </w:r>
      <w:r>
        <w:rPr>
          <w:rFonts w:ascii="仿宋_GB2312" w:hAnsi="仿宋_GB2312" w:eastAsia="仿宋_GB2312"/>
          <w:b w:val="0"/>
          <w:sz w:val="32"/>
        </w:rPr>
        <w:t>其中：本年支出合计295.32万元，结余分配0.00万元，年末结转和结余0.00万元。</w:t>
      </w:r>
    </w:p>
    <w:p w14:paraId="47628819">
      <w:pPr>
        <w:spacing w:line="580" w:lineRule="exact"/>
        <w:ind w:firstLine="640"/>
        <w:jc w:val="both"/>
      </w:pPr>
      <w:r>
        <w:rPr>
          <w:rFonts w:ascii="仿宋_GB2312" w:hAnsi="仿宋_GB2312" w:eastAsia="仿宋_GB2312"/>
          <w:b w:val="0"/>
          <w:sz w:val="32"/>
        </w:rPr>
        <w:t>收入支出总体与上年相比，增加18.78万元，增长6.79%，主要原因是：本年在职人员工资调增，公积金和社保缴费基数上涨，相应支出增加。幼儿人数增加，公用经费增加。</w:t>
      </w:r>
    </w:p>
    <w:p w14:paraId="5EEC80A8">
      <w:pPr>
        <w:spacing w:line="640" w:lineRule="exact"/>
        <w:ind w:firstLine="640"/>
        <w:jc w:val="both"/>
        <w:outlineLvl w:val="2"/>
      </w:pPr>
      <w:r>
        <w:rPr>
          <w:rFonts w:ascii="黑体" w:hAnsi="黑体" w:eastAsia="黑体"/>
          <w:sz w:val="32"/>
        </w:rPr>
        <w:t>二、收入决算情况说明</w:t>
      </w:r>
    </w:p>
    <w:p w14:paraId="1E42E7B1">
      <w:pPr>
        <w:spacing w:line="580" w:lineRule="exact"/>
        <w:ind w:firstLine="640"/>
        <w:jc w:val="both"/>
      </w:pPr>
      <w:r>
        <w:rPr>
          <w:rFonts w:ascii="仿宋_GB2312" w:hAnsi="仿宋_GB2312" w:eastAsia="仿宋_GB2312"/>
          <w:b/>
          <w:sz w:val="32"/>
        </w:rPr>
        <w:t>本年收入295.32万元，</w:t>
      </w:r>
      <w:r>
        <w:rPr>
          <w:rFonts w:ascii="仿宋_GB2312" w:hAnsi="仿宋_GB2312" w:eastAsia="仿宋_GB2312"/>
          <w:b w:val="0"/>
          <w:sz w:val="32"/>
        </w:rPr>
        <w:t>其中：财政拨款收入295.32万元，占100.00%；上级补助收入0.00万元，占0.00%；事业收入0.00万元，占0.00%；经营收入0.00万元，占0.00%；附属单位上缴收入0.00万元，占0.00%；其他收入0.00万元，占0.00%。</w:t>
      </w:r>
    </w:p>
    <w:p w14:paraId="6CCDBDA3">
      <w:pPr>
        <w:spacing w:line="640" w:lineRule="exact"/>
        <w:ind w:firstLine="640"/>
        <w:jc w:val="both"/>
        <w:outlineLvl w:val="2"/>
      </w:pPr>
      <w:r>
        <w:rPr>
          <w:rFonts w:ascii="黑体" w:hAnsi="黑体" w:eastAsia="黑体"/>
          <w:sz w:val="32"/>
        </w:rPr>
        <w:t>三、支出决算情况说明</w:t>
      </w:r>
    </w:p>
    <w:p w14:paraId="64CD8191">
      <w:pPr>
        <w:spacing w:line="580" w:lineRule="exact"/>
        <w:ind w:firstLine="640"/>
        <w:jc w:val="both"/>
      </w:pPr>
      <w:r>
        <w:rPr>
          <w:rFonts w:ascii="仿宋_GB2312" w:hAnsi="仿宋_GB2312" w:eastAsia="仿宋_GB2312"/>
          <w:b/>
          <w:sz w:val="32"/>
        </w:rPr>
        <w:t>本年支出295.32万元，</w:t>
      </w:r>
      <w:r>
        <w:rPr>
          <w:rFonts w:ascii="仿宋_GB2312" w:hAnsi="仿宋_GB2312" w:eastAsia="仿宋_GB2312"/>
          <w:b w:val="0"/>
          <w:sz w:val="32"/>
        </w:rPr>
        <w:t>其中：基本支出295.32万元，占100.00%；项目支出0.00万元，占0.00%；上缴上级支出0.00万元，占0.00%；经营支出0.00万元，占0.00%；对附属单位补助支出0.00万元，占0.00%。</w:t>
      </w:r>
    </w:p>
    <w:p w14:paraId="075152C2">
      <w:pPr>
        <w:spacing w:line="640" w:lineRule="exact"/>
        <w:ind w:firstLine="640"/>
        <w:jc w:val="both"/>
        <w:outlineLvl w:val="2"/>
      </w:pPr>
      <w:r>
        <w:rPr>
          <w:rFonts w:ascii="黑体" w:hAnsi="黑体" w:eastAsia="黑体"/>
          <w:sz w:val="32"/>
        </w:rPr>
        <w:t>四、财政拨款收入支出决算总体情况说明</w:t>
      </w:r>
    </w:p>
    <w:p w14:paraId="500A2069">
      <w:pPr>
        <w:spacing w:line="580" w:lineRule="exact"/>
        <w:ind w:firstLine="640"/>
        <w:jc w:val="both"/>
      </w:pPr>
      <w:r>
        <w:rPr>
          <w:rFonts w:ascii="仿宋_GB2312" w:hAnsi="仿宋_GB2312" w:eastAsia="仿宋_GB2312"/>
          <w:b/>
          <w:sz w:val="32"/>
        </w:rPr>
        <w:t>2024年度财政拨款收入总计295.32万元，</w:t>
      </w:r>
      <w:r>
        <w:rPr>
          <w:rFonts w:ascii="仿宋_GB2312" w:hAnsi="仿宋_GB2312" w:eastAsia="仿宋_GB2312"/>
          <w:b w:val="0"/>
          <w:sz w:val="32"/>
        </w:rPr>
        <w:t>其中：年初财政拨款结转和结余0.00万元，本年财政拨款收入295.32万元。</w:t>
      </w:r>
      <w:r>
        <w:rPr>
          <w:rFonts w:ascii="仿宋_GB2312" w:hAnsi="仿宋_GB2312" w:eastAsia="仿宋_GB2312"/>
          <w:b/>
          <w:sz w:val="32"/>
        </w:rPr>
        <w:t>财政拨款支出总计295.32万元，</w:t>
      </w:r>
      <w:r>
        <w:rPr>
          <w:rFonts w:ascii="仿宋_GB2312" w:hAnsi="仿宋_GB2312" w:eastAsia="仿宋_GB2312"/>
          <w:b w:val="0"/>
          <w:sz w:val="32"/>
        </w:rPr>
        <w:t>其中：年末财政拨款结转和结余0.00万元，本年财政拨款支出295.32万元。</w:t>
      </w:r>
    </w:p>
    <w:p w14:paraId="1B0182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增加18.84万元，增长6.81%，主要原因是：本年在职人员工资调增，公积金和社保缴费基数上涨，相应支出增加。幼儿人数增加，公用经费增加。</w:t>
      </w:r>
      <w:r>
        <w:rPr>
          <w:rFonts w:ascii="仿宋_GB2312" w:hAnsi="仿宋_GB2312" w:eastAsia="仿宋_GB2312"/>
          <w:b/>
          <w:sz w:val="32"/>
        </w:rPr>
        <w:t>与年初预算相比，</w:t>
      </w:r>
      <w:r>
        <w:rPr>
          <w:rFonts w:ascii="仿宋_GB2312" w:hAnsi="仿宋_GB2312" w:eastAsia="仿宋_GB2312"/>
          <w:b w:val="0"/>
          <w:sz w:val="32"/>
        </w:rPr>
        <w:t>年初预算数285.77万元，决算数295.32万元，预决算差异率3.34%，主要原因是：年中追加人员工资、社保、公积金基数调增部分资金，导致预决算存在差异。</w:t>
      </w:r>
    </w:p>
    <w:p w14:paraId="1F5111A5">
      <w:pPr>
        <w:spacing w:line="640" w:lineRule="exact"/>
        <w:ind w:firstLine="640"/>
        <w:jc w:val="both"/>
        <w:outlineLvl w:val="2"/>
      </w:pPr>
      <w:r>
        <w:rPr>
          <w:rFonts w:ascii="黑体" w:hAnsi="黑体" w:eastAsia="黑体"/>
          <w:sz w:val="32"/>
        </w:rPr>
        <w:t>五、一般公共预算财政拨款支出决算情况说明</w:t>
      </w:r>
    </w:p>
    <w:p w14:paraId="3BB6EE7D">
      <w:pPr>
        <w:spacing w:line="640" w:lineRule="exact"/>
        <w:ind w:firstLine="640"/>
        <w:jc w:val="both"/>
        <w:outlineLvl w:val="3"/>
      </w:pPr>
      <w:r>
        <w:rPr>
          <w:rFonts w:ascii="楷体_GB2312" w:hAnsi="楷体_GB2312" w:eastAsia="楷体_GB2312"/>
          <w:b/>
          <w:sz w:val="32"/>
        </w:rPr>
        <w:t>（一）一般公共预算财政拨款支出决算总体情况</w:t>
      </w:r>
    </w:p>
    <w:p w14:paraId="5DB9ADA7">
      <w:pPr>
        <w:spacing w:line="580" w:lineRule="exact"/>
        <w:ind w:firstLine="640"/>
        <w:jc w:val="both"/>
      </w:pPr>
      <w:r>
        <w:rPr>
          <w:rFonts w:ascii="仿宋_GB2312" w:hAnsi="仿宋_GB2312" w:eastAsia="仿宋_GB2312"/>
          <w:b/>
          <w:sz w:val="32"/>
        </w:rPr>
        <w:t>2024年度一般公共预算财政拨款支出295.32万元，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增加18.84万元，增长6.81%，主要原因是：本年在职人员工资调增，公积金和社保缴费基数上涨，相应支出增加。幼儿人数增加，公用经费增加。</w:t>
      </w:r>
      <w:r>
        <w:rPr>
          <w:rFonts w:ascii="仿宋_GB2312" w:hAnsi="仿宋_GB2312" w:eastAsia="仿宋_GB2312"/>
          <w:b/>
          <w:sz w:val="32"/>
        </w:rPr>
        <w:t>与年初预算相比,</w:t>
      </w:r>
      <w:r>
        <w:rPr>
          <w:rFonts w:ascii="仿宋_GB2312" w:hAnsi="仿宋_GB2312" w:eastAsia="仿宋_GB2312"/>
          <w:b w:val="0"/>
          <w:sz w:val="32"/>
        </w:rPr>
        <w:t>年初预算数285.77万元，决算数295.32万元，预决算差异率3.34%，主要原因是：年中追加人员工资、社保、公积金基数调增部分资金，导致预决算存在差异。</w:t>
      </w:r>
    </w:p>
    <w:p w14:paraId="40E014BC">
      <w:pPr>
        <w:spacing w:line="640" w:lineRule="exact"/>
        <w:ind w:firstLine="640"/>
        <w:jc w:val="both"/>
        <w:outlineLvl w:val="3"/>
      </w:pPr>
      <w:r>
        <w:rPr>
          <w:rFonts w:ascii="楷体_GB2312" w:hAnsi="楷体_GB2312" w:eastAsia="楷体_GB2312"/>
          <w:b/>
          <w:sz w:val="32"/>
        </w:rPr>
        <w:t>（二）一般公共预算财政拨款支出决算结构情况</w:t>
      </w:r>
    </w:p>
    <w:p w14:paraId="1EACA502">
      <w:pPr>
        <w:spacing w:line="580" w:lineRule="exact"/>
        <w:ind w:firstLine="640"/>
        <w:jc w:val="both"/>
      </w:pPr>
      <w:r>
        <w:rPr>
          <w:rFonts w:ascii="仿宋_GB2312" w:hAnsi="仿宋_GB2312" w:eastAsia="仿宋_GB2312"/>
          <w:b w:val="0"/>
          <w:sz w:val="32"/>
        </w:rPr>
        <w:t>1.教育支出(类)293.78万元,占99.48%。</w:t>
      </w:r>
    </w:p>
    <w:p w14:paraId="3B710BF5">
      <w:pPr>
        <w:spacing w:line="580" w:lineRule="exact"/>
        <w:ind w:firstLine="640"/>
        <w:jc w:val="both"/>
      </w:pPr>
      <w:r>
        <w:rPr>
          <w:rFonts w:ascii="仿宋_GB2312" w:hAnsi="仿宋_GB2312" w:eastAsia="仿宋_GB2312"/>
          <w:b w:val="0"/>
          <w:sz w:val="32"/>
        </w:rPr>
        <w:t>2.住房保障支出(类)1.54万元,占0.52%。</w:t>
      </w:r>
    </w:p>
    <w:p w14:paraId="5BB406FD">
      <w:pPr>
        <w:spacing w:line="640" w:lineRule="exact"/>
        <w:ind w:firstLine="640"/>
        <w:jc w:val="both"/>
        <w:outlineLvl w:val="3"/>
      </w:pPr>
      <w:r>
        <w:rPr>
          <w:rFonts w:ascii="楷体_GB2312" w:hAnsi="楷体_GB2312" w:eastAsia="楷体_GB2312"/>
          <w:b/>
          <w:sz w:val="32"/>
        </w:rPr>
        <w:t>（三）一般公共预算财政拨款支出决算具体情况</w:t>
      </w:r>
    </w:p>
    <w:p w14:paraId="304DFA90">
      <w:pPr>
        <w:spacing w:line="580" w:lineRule="exact"/>
        <w:ind w:firstLine="640"/>
        <w:jc w:val="both"/>
      </w:pPr>
      <w:r>
        <w:rPr>
          <w:rFonts w:ascii="仿宋_GB2312" w:hAnsi="仿宋_GB2312" w:eastAsia="仿宋_GB2312"/>
          <w:b w:val="0"/>
          <w:sz w:val="32"/>
        </w:rPr>
        <w:t>1.教育支出(类)普通教育(款)学前教育(项):支出决算数为293.78万元，比上年决算增加19.10万元，增长6.95%,主要原因是：本年在职人员工资调增，相应人员支出增加</w:t>
      </w:r>
      <w:r>
        <w:rPr>
          <w:rFonts w:hint="eastAsia" w:ascii="仿宋_GB2312" w:hAnsi="仿宋_GB2312" w:eastAsia="仿宋_GB2312"/>
          <w:b w:val="0"/>
          <w:sz w:val="32"/>
          <w:lang w:eastAsia="zh-CN"/>
        </w:rPr>
        <w:t>；</w:t>
      </w:r>
      <w:r>
        <w:rPr>
          <w:rFonts w:ascii="仿宋_GB2312" w:hAnsi="仿宋_GB2312" w:eastAsia="仿宋_GB2312"/>
          <w:b w:val="0"/>
          <w:sz w:val="32"/>
        </w:rPr>
        <w:t>幼儿人数增加，公用经费增加。</w:t>
      </w:r>
    </w:p>
    <w:p w14:paraId="76439D1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1.80万元，下降100.00%,主要原因是：本年功能科目调整，养老保险缴费上年度单独列支，本年调整至主科目列支，导致经费较上年减少。</w:t>
      </w:r>
    </w:p>
    <w:p w14:paraId="5916F718">
      <w:pPr>
        <w:spacing w:line="580" w:lineRule="exact"/>
        <w:ind w:firstLine="640"/>
        <w:jc w:val="both"/>
      </w:pPr>
      <w:r>
        <w:rPr>
          <w:rFonts w:ascii="仿宋_GB2312" w:hAnsi="仿宋_GB2312" w:eastAsia="仿宋_GB2312"/>
          <w:b w:val="0"/>
          <w:sz w:val="32"/>
        </w:rPr>
        <w:t>3.住房保障支出(类)住房改革支出(款)住房公积金(项):支出决算数为1.54万元，比上年决算增加1.54万元，增长100.00%,主要原因是：本年功能科目调整，住房公积金上年度在主科目列支，本年单独列支，导致经费较上增加。</w:t>
      </w:r>
    </w:p>
    <w:p w14:paraId="46BF02EC">
      <w:pPr>
        <w:spacing w:line="640" w:lineRule="exact"/>
        <w:ind w:firstLine="640"/>
        <w:jc w:val="both"/>
        <w:outlineLvl w:val="2"/>
      </w:pPr>
      <w:r>
        <w:rPr>
          <w:rFonts w:ascii="黑体" w:hAnsi="黑体" w:eastAsia="黑体"/>
          <w:sz w:val="32"/>
        </w:rPr>
        <w:t>六、一般公共预算财政拨款基本支出决算情况说明</w:t>
      </w:r>
    </w:p>
    <w:p w14:paraId="130EB126">
      <w:pPr>
        <w:spacing w:line="580" w:lineRule="exact"/>
        <w:ind w:firstLine="640"/>
        <w:jc w:val="both"/>
      </w:pPr>
      <w:r>
        <w:rPr>
          <w:rFonts w:ascii="仿宋_GB2312" w:hAnsi="仿宋_GB2312" w:eastAsia="仿宋_GB2312"/>
          <w:b w:val="0"/>
          <w:sz w:val="32"/>
        </w:rPr>
        <w:t>2024年度一般公共预算财政拨款基本支出295.32万元，其中：</w:t>
      </w:r>
      <w:r>
        <w:rPr>
          <w:rFonts w:ascii="仿宋_GB2312" w:hAnsi="仿宋_GB2312" w:eastAsia="仿宋_GB2312"/>
          <w:b/>
          <w:sz w:val="32"/>
        </w:rPr>
        <w:t>人员经费270.38万元，</w:t>
      </w:r>
      <w:r>
        <w:rPr>
          <w:rFonts w:ascii="仿宋_GB2312" w:hAnsi="仿宋_GB2312" w:eastAsia="仿宋_GB2312"/>
          <w:b w:val="0"/>
          <w:sz w:val="32"/>
        </w:rPr>
        <w:t>包括：基本工资、津贴补贴、绩效工资、机关事业单位基本养老保险缴费、职工基本医疗保险缴费、其他社会保障缴费、住房公积金、生活补助。</w:t>
      </w:r>
    </w:p>
    <w:p w14:paraId="140591A0">
      <w:pPr>
        <w:spacing w:line="580" w:lineRule="exact"/>
        <w:ind w:firstLine="640"/>
        <w:jc w:val="both"/>
      </w:pPr>
      <w:r>
        <w:rPr>
          <w:rFonts w:ascii="仿宋_GB2312" w:hAnsi="仿宋_GB2312" w:eastAsia="仿宋_GB2312"/>
          <w:b/>
          <w:sz w:val="32"/>
        </w:rPr>
        <w:t>公用经费24.93万元，</w:t>
      </w:r>
      <w:r>
        <w:rPr>
          <w:rFonts w:ascii="仿宋_GB2312" w:hAnsi="仿宋_GB2312" w:eastAsia="仿宋_GB2312"/>
          <w:b w:val="0"/>
          <w:sz w:val="32"/>
        </w:rPr>
        <w:t>包括：办公费、印刷费、水费、电费、邮电费、取暖费、维修（护）费、培训费、劳务费、其他商品和服务支出、办公设备购置。</w:t>
      </w:r>
    </w:p>
    <w:p w14:paraId="3D938F4A">
      <w:pPr>
        <w:spacing w:line="640" w:lineRule="exact"/>
        <w:ind w:firstLine="640"/>
        <w:jc w:val="both"/>
        <w:outlineLvl w:val="2"/>
      </w:pPr>
      <w:r>
        <w:rPr>
          <w:rFonts w:ascii="黑体" w:hAnsi="黑体" w:eastAsia="黑体"/>
          <w:sz w:val="32"/>
        </w:rPr>
        <w:t>七、政府性基金预算财政拨款收入支出决算情况说明</w:t>
      </w:r>
    </w:p>
    <w:p w14:paraId="3AA1C47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91F1B6E">
      <w:pPr>
        <w:spacing w:line="640" w:lineRule="exact"/>
        <w:ind w:firstLine="640"/>
        <w:jc w:val="both"/>
        <w:outlineLvl w:val="2"/>
      </w:pPr>
      <w:r>
        <w:rPr>
          <w:rFonts w:ascii="黑体" w:hAnsi="黑体" w:eastAsia="黑体"/>
          <w:sz w:val="32"/>
        </w:rPr>
        <w:t>八、国有资本经营预算财政拨款收入支出决算情况说明</w:t>
      </w:r>
    </w:p>
    <w:p w14:paraId="3AECD7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3910BF">
      <w:pPr>
        <w:spacing w:line="640" w:lineRule="exact"/>
        <w:ind w:firstLine="640"/>
        <w:jc w:val="both"/>
        <w:outlineLvl w:val="2"/>
      </w:pPr>
      <w:r>
        <w:rPr>
          <w:rFonts w:ascii="黑体" w:hAnsi="黑体" w:eastAsia="黑体"/>
          <w:sz w:val="32"/>
        </w:rPr>
        <w:t>九、财政拨款“三公”经费支出决算情况说明</w:t>
      </w:r>
    </w:p>
    <w:p w14:paraId="27619DB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0F1143">
      <w:pPr>
        <w:spacing w:line="580" w:lineRule="exact"/>
        <w:ind w:firstLine="640"/>
        <w:jc w:val="both"/>
      </w:pPr>
      <w:r>
        <w:rPr>
          <w:rFonts w:ascii="仿宋_GB2312" w:hAnsi="仿宋_GB2312" w:eastAsia="仿宋_GB2312"/>
          <w:b/>
          <w:sz w:val="32"/>
        </w:rPr>
        <w:t>具体情况如下：</w:t>
      </w:r>
    </w:p>
    <w:p w14:paraId="0EC1C0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6DE0D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4657DF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39E8E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FBB3CDC">
      <w:pPr>
        <w:spacing w:line="640" w:lineRule="exact"/>
        <w:ind w:firstLine="640"/>
        <w:jc w:val="both"/>
        <w:outlineLvl w:val="2"/>
      </w:pPr>
      <w:r>
        <w:rPr>
          <w:rFonts w:ascii="黑体" w:hAnsi="黑体" w:eastAsia="黑体"/>
          <w:sz w:val="32"/>
        </w:rPr>
        <w:t>十、其他重要事项的情况说明</w:t>
      </w:r>
    </w:p>
    <w:p w14:paraId="579357FB">
      <w:pPr>
        <w:spacing w:line="640" w:lineRule="exact"/>
        <w:ind w:firstLine="640"/>
        <w:jc w:val="both"/>
        <w:outlineLvl w:val="3"/>
      </w:pPr>
      <w:r>
        <w:rPr>
          <w:rFonts w:ascii="楷体_GB2312" w:hAnsi="楷体_GB2312" w:eastAsia="楷体_GB2312"/>
          <w:b/>
          <w:sz w:val="32"/>
        </w:rPr>
        <w:t>（一）机关运行经费及公用经费支出情况</w:t>
      </w:r>
    </w:p>
    <w:p w14:paraId="54853979">
      <w:pPr>
        <w:spacing w:line="580" w:lineRule="exact"/>
        <w:ind w:firstLine="640"/>
        <w:jc w:val="both"/>
      </w:pPr>
      <w:r>
        <w:rPr>
          <w:rFonts w:ascii="仿宋_GB2312" w:hAnsi="仿宋_GB2312" w:eastAsia="仿宋_GB2312"/>
          <w:b w:val="0"/>
          <w:sz w:val="32"/>
        </w:rPr>
        <w:t>2024年度洛浦县第五幼儿园（事业单位）公用经费支出24.93万元，比上年增加7.22万元，增长40.77%，主要原因是：本年业务量增加，公用经费增加。</w:t>
      </w:r>
    </w:p>
    <w:p w14:paraId="561461E4">
      <w:pPr>
        <w:spacing w:line="640" w:lineRule="exact"/>
        <w:ind w:firstLine="640"/>
        <w:jc w:val="both"/>
        <w:outlineLvl w:val="3"/>
      </w:pPr>
      <w:r>
        <w:rPr>
          <w:rFonts w:ascii="楷体_GB2312" w:hAnsi="楷体_GB2312" w:eastAsia="楷体_GB2312"/>
          <w:b/>
          <w:sz w:val="32"/>
        </w:rPr>
        <w:t>（二）政府采购情况</w:t>
      </w:r>
    </w:p>
    <w:p w14:paraId="41497A5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2C25F6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5DB52CB">
      <w:pPr>
        <w:spacing w:line="640" w:lineRule="exact"/>
        <w:ind w:firstLine="640"/>
        <w:jc w:val="both"/>
        <w:outlineLvl w:val="3"/>
      </w:pPr>
      <w:r>
        <w:rPr>
          <w:rFonts w:ascii="楷体_GB2312" w:hAnsi="楷体_GB2312" w:eastAsia="楷体_GB2312"/>
          <w:b/>
          <w:sz w:val="32"/>
        </w:rPr>
        <w:t>（三）国有资产占用情况说明</w:t>
      </w:r>
    </w:p>
    <w:p w14:paraId="60AE96FA">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1E2CE58">
      <w:pPr>
        <w:spacing w:line="640" w:lineRule="exact"/>
        <w:ind w:firstLine="640"/>
        <w:jc w:val="both"/>
        <w:outlineLvl w:val="2"/>
      </w:pPr>
      <w:r>
        <w:rPr>
          <w:rFonts w:ascii="黑体" w:hAnsi="黑体" w:eastAsia="黑体"/>
          <w:sz w:val="32"/>
        </w:rPr>
        <w:t>十一、预算绩效的情况说明</w:t>
      </w:r>
    </w:p>
    <w:p w14:paraId="20CFE1E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295.31万元，实际执行总额295.31万元；预算绩效评价项目2个，全年预算数49.54万元，全年执行数48.11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w:t>
      </w:r>
      <w:r>
        <w:rPr>
          <w:rFonts w:hint="eastAsia" w:ascii="仿宋_GB2312" w:hAnsi="仿宋_GB2312" w:eastAsia="仿宋_GB2312"/>
          <w:b w:val="0"/>
          <w:sz w:val="32"/>
          <w:lang w:eastAsia="zh-CN"/>
        </w:rPr>
        <w:t>金额</w:t>
      </w:r>
      <w:r>
        <w:rPr>
          <w:rFonts w:ascii="仿宋_GB2312" w:hAnsi="仿宋_GB2312" w:eastAsia="仿宋_GB2312"/>
          <w:b w:val="0"/>
          <w:sz w:val="32"/>
        </w:rPr>
        <w:t>偏差较大，是由于后期增加教职员工数量增加，预算绩效管理水平仍有欠缺。在202</w:t>
      </w:r>
      <w:r>
        <w:rPr>
          <w:rFonts w:hint="eastAsia" w:ascii="仿宋_GB2312" w:hAnsi="仿宋_GB2312" w:eastAsia="仿宋_GB2312"/>
          <w:b w:val="0"/>
          <w:sz w:val="32"/>
          <w:lang w:val="en-US" w:eastAsia="zh-CN"/>
        </w:rPr>
        <w:t>4</w:t>
      </w:r>
      <w:r>
        <w:rPr>
          <w:rFonts w:ascii="仿宋_GB2312" w:hAnsi="仿宋_GB2312" w:eastAsia="仿宋_GB2312"/>
          <w:b w:val="0"/>
          <w:sz w:val="32"/>
        </w:rPr>
        <w:t>年预算绩效管理工作中，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下一步改进措施：</w:t>
      </w:r>
      <w:r>
        <w:rPr>
          <w:rFonts w:hint="eastAsia" w:ascii="仿宋_GB2312" w:hAnsi="仿宋_GB2312" w:eastAsia="仿宋_GB2312"/>
          <w:b w:val="0"/>
          <w:sz w:val="32"/>
          <w:lang w:val="en-US" w:eastAsia="zh-CN"/>
        </w:rPr>
        <w:t>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具体附整体支出绩效自评表，项目支出绩效自评表和评价报告。</w:t>
      </w:r>
    </w:p>
    <w:p w14:paraId="519E3A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50A267">
        <w:tblPrEx>
          <w:tblCellMar>
            <w:top w:w="0" w:type="dxa"/>
            <w:left w:w="108" w:type="dxa"/>
            <w:bottom w:w="0" w:type="dxa"/>
            <w:right w:w="108" w:type="dxa"/>
          </w:tblCellMar>
        </w:tblPrEx>
        <w:tc>
          <w:tcPr>
            <w:tcW w:w="8847" w:type="dxa"/>
            <w:gridSpan w:val="9"/>
            <w:vAlign w:val="center"/>
          </w:tcPr>
          <w:p w14:paraId="38162551">
            <w:pPr>
              <w:jc w:val="center"/>
            </w:pPr>
            <w:r>
              <w:rPr>
                <w:rFonts w:ascii="宋体" w:hAnsi="宋体" w:eastAsia="宋体"/>
                <w:sz w:val="24"/>
              </w:rPr>
              <w:t>单位整体支出绩效自评表</w:t>
            </w:r>
          </w:p>
        </w:tc>
      </w:tr>
      <w:tr w14:paraId="43A57B0A">
        <w:tblPrEx>
          <w:tblCellMar>
            <w:top w:w="0" w:type="dxa"/>
            <w:left w:w="108" w:type="dxa"/>
            <w:bottom w:w="0" w:type="dxa"/>
            <w:right w:w="108" w:type="dxa"/>
          </w:tblCellMar>
        </w:tblPrEx>
        <w:tc>
          <w:tcPr>
            <w:tcW w:w="8847" w:type="dxa"/>
            <w:gridSpan w:val="9"/>
            <w:vAlign w:val="center"/>
          </w:tcPr>
          <w:p w14:paraId="66333B49">
            <w:pPr>
              <w:jc w:val="center"/>
            </w:pPr>
            <w:r>
              <w:rPr>
                <w:rFonts w:ascii="宋体" w:hAnsi="宋体" w:eastAsia="宋体"/>
                <w:sz w:val="24"/>
              </w:rPr>
              <w:t>（2024年度）</w:t>
            </w:r>
          </w:p>
        </w:tc>
      </w:tr>
      <w:tr w14:paraId="36A34A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1AD9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E32F0B">
            <w:pPr>
              <w:jc w:val="center"/>
            </w:pPr>
            <w:r>
              <w:rPr>
                <w:rFonts w:ascii="宋体" w:hAnsi="宋体" w:eastAsia="宋体"/>
                <w:sz w:val="16"/>
              </w:rPr>
              <w:t>洛浦县第五幼儿园</w:t>
            </w:r>
          </w:p>
        </w:tc>
      </w:tr>
      <w:tr w14:paraId="588516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06934">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49F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F7F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DD62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1F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BF7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399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4C22">
            <w:pPr>
              <w:jc w:val="center"/>
            </w:pPr>
            <w:r>
              <w:rPr>
                <w:rFonts w:ascii="宋体" w:hAnsi="宋体" w:eastAsia="宋体"/>
                <w:sz w:val="16"/>
              </w:rPr>
              <w:t>得分</w:t>
            </w:r>
          </w:p>
        </w:tc>
      </w:tr>
      <w:tr w14:paraId="05F2A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54D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5F44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C10E5">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BB33">
            <w:pPr>
              <w:jc w:val="center"/>
            </w:pPr>
            <w:r>
              <w:rPr>
                <w:rFonts w:ascii="宋体" w:hAnsi="宋体" w:eastAsia="宋体"/>
                <w:sz w:val="16"/>
              </w:rPr>
              <w:t>46.20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E8CFC">
            <w:pPr>
              <w:jc w:val="center"/>
            </w:pPr>
            <w:r>
              <w:rPr>
                <w:rFonts w:ascii="宋体" w:hAnsi="宋体" w:eastAsia="宋体"/>
                <w:sz w:val="16"/>
              </w:rPr>
              <w:t>24.93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52124">
            <w:pPr>
              <w:jc w:val="center"/>
            </w:pPr>
            <w:r>
              <w:rPr>
                <w:rFonts w:ascii="宋体" w:hAnsi="宋体" w:eastAsia="宋体"/>
                <w:sz w:val="16"/>
              </w:rPr>
              <w:t>24.93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5D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C1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941C8">
            <w:pPr>
              <w:jc w:val="center"/>
            </w:pPr>
            <w:r>
              <w:rPr>
                <w:rFonts w:ascii="宋体" w:hAnsi="宋体" w:eastAsia="宋体"/>
                <w:sz w:val="16"/>
              </w:rPr>
              <w:t>-</w:t>
            </w:r>
          </w:p>
        </w:tc>
      </w:tr>
      <w:tr w14:paraId="2586BB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87F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355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D82A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4C54A">
            <w:pPr>
              <w:jc w:val="center"/>
            </w:pPr>
            <w:r>
              <w:rPr>
                <w:rFonts w:ascii="宋体" w:hAnsi="宋体" w:eastAsia="宋体"/>
                <w:sz w:val="16"/>
              </w:rPr>
              <w:t>239.57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2850">
            <w:pPr>
              <w:jc w:val="center"/>
            </w:pPr>
            <w:r>
              <w:rPr>
                <w:rFonts w:ascii="宋体" w:hAnsi="宋体" w:eastAsia="宋体"/>
                <w:sz w:val="16"/>
              </w:rPr>
              <w:t>270.38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5262">
            <w:pPr>
              <w:jc w:val="center"/>
            </w:pPr>
            <w:r>
              <w:rPr>
                <w:rFonts w:ascii="宋体" w:hAnsi="宋体" w:eastAsia="宋体"/>
                <w:sz w:val="16"/>
              </w:rPr>
              <w:t>270.38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BCF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A09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557E">
            <w:pPr>
              <w:jc w:val="center"/>
            </w:pPr>
            <w:r>
              <w:rPr>
                <w:rFonts w:ascii="宋体" w:hAnsi="宋体" w:eastAsia="宋体"/>
                <w:sz w:val="16"/>
              </w:rPr>
              <w:t>-</w:t>
            </w:r>
          </w:p>
        </w:tc>
      </w:tr>
      <w:tr w14:paraId="77AAF7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E53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088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5897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4D8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36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F9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84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CAE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1C431">
            <w:pPr>
              <w:jc w:val="center"/>
            </w:pPr>
            <w:r>
              <w:rPr>
                <w:rFonts w:ascii="宋体" w:hAnsi="宋体" w:eastAsia="宋体"/>
                <w:sz w:val="16"/>
              </w:rPr>
              <w:t>-</w:t>
            </w:r>
          </w:p>
        </w:tc>
      </w:tr>
      <w:tr w14:paraId="31DC59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760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358E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0FB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7D47">
            <w:pPr>
              <w:jc w:val="center"/>
            </w:pPr>
            <w:r>
              <w:rPr>
                <w:rFonts w:ascii="宋体" w:hAnsi="宋体" w:eastAsia="宋体"/>
                <w:sz w:val="16"/>
              </w:rPr>
              <w:t>285.77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DC06B">
            <w:pPr>
              <w:jc w:val="center"/>
            </w:pPr>
            <w:r>
              <w:rPr>
                <w:rFonts w:ascii="宋体" w:hAnsi="宋体" w:eastAsia="宋体"/>
                <w:sz w:val="16"/>
              </w:rPr>
              <w:t>295.31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72CD">
            <w:pPr>
              <w:jc w:val="center"/>
            </w:pPr>
            <w:r>
              <w:rPr>
                <w:rFonts w:ascii="宋体" w:hAnsi="宋体" w:eastAsia="宋体"/>
                <w:sz w:val="16"/>
              </w:rPr>
              <w:t>295.31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68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19D5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CD552">
            <w:pPr>
              <w:jc w:val="center"/>
            </w:pPr>
            <w:r>
              <w:rPr>
                <w:rFonts w:ascii="宋体" w:hAnsi="宋体" w:eastAsia="宋体"/>
                <w:sz w:val="16"/>
              </w:rPr>
              <w:t>10</w:t>
            </w:r>
          </w:p>
        </w:tc>
      </w:tr>
      <w:tr w14:paraId="7DED97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C29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F9705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6E4FB">
            <w:pPr>
              <w:jc w:val="center"/>
            </w:pPr>
            <w:r>
              <w:rPr>
                <w:rFonts w:ascii="宋体" w:hAnsi="宋体" w:eastAsia="宋体"/>
                <w:sz w:val="16"/>
              </w:rPr>
              <w:t>实际完成情况</w:t>
            </w:r>
          </w:p>
        </w:tc>
      </w:tr>
      <w:tr w14:paraId="7DB28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EE7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F22F60">
            <w:pPr>
              <w:jc w:val="both"/>
            </w:pPr>
            <w:r>
              <w:rPr>
                <w:rFonts w:ascii="宋体" w:hAnsi="宋体" w:eastAsia="宋体"/>
                <w:sz w:val="16"/>
              </w:rPr>
              <w:t>本项目主要实施内容为：1.保障单位14位职工工资发放。2.保障学校正常运转。3.保障学校学生人数177人。4.开展教职工培训2次。通过实施本项目可以有效提高学校工作效率。保障学校日常工作正常运行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2A97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年初预算数285.77万元，调整后的预算数为295.31万元，通过实施该项目，保障单位14名职工工资按时发放，保障学校177名学生正常参与教育教学活动，我园开展教职工培训2次，培训的覆盖率达到了100%。</w:t>
            </w:r>
          </w:p>
        </w:tc>
      </w:tr>
      <w:tr w14:paraId="3B3A77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08C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5FE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80F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87A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01C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368C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FA8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BA952">
            <w:pPr>
              <w:jc w:val="center"/>
            </w:pPr>
            <w:r>
              <w:rPr>
                <w:rFonts w:ascii="宋体" w:hAnsi="宋体" w:eastAsia="宋体"/>
                <w:sz w:val="16"/>
              </w:rPr>
              <w:t>得分</w:t>
            </w:r>
          </w:p>
        </w:tc>
      </w:tr>
      <w:tr w14:paraId="155FAD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0529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34C3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C62D">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E4A9E">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98B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9D6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8226">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A79A">
            <w:pPr>
              <w:jc w:val="center"/>
            </w:pPr>
            <w:r>
              <w:rPr>
                <w:rFonts w:ascii="宋体" w:hAnsi="宋体" w:eastAsia="宋体"/>
                <w:sz w:val="16"/>
              </w:rPr>
              <w:t>20</w:t>
            </w:r>
          </w:p>
        </w:tc>
      </w:tr>
      <w:tr w14:paraId="3F4F6D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701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E27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8786B">
            <w:pPr>
              <w:jc w:val="center"/>
            </w:pPr>
            <w:r>
              <w:rPr>
                <w:rFonts w:ascii="宋体" w:hAnsi="宋体" w:eastAsia="宋体"/>
                <w:sz w:val="16"/>
              </w:rPr>
              <w:t>保障学校正常运转数量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E345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EEEFB">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F1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D2239">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E3713">
            <w:pPr>
              <w:jc w:val="center"/>
            </w:pPr>
            <w:r>
              <w:rPr>
                <w:rFonts w:ascii="宋体" w:hAnsi="宋体" w:eastAsia="宋体"/>
                <w:sz w:val="16"/>
              </w:rPr>
              <w:t>20</w:t>
            </w:r>
          </w:p>
        </w:tc>
      </w:tr>
      <w:tr w14:paraId="4E47DB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E89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1C4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BF68">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B149">
            <w:pPr>
              <w:jc w:val="center"/>
            </w:pPr>
            <w:r>
              <w:rPr>
                <w:rFonts w:ascii="宋体" w:hAnsi="宋体" w:eastAsia="宋体"/>
                <w:sz w:val="16"/>
              </w:rPr>
              <w:t>&gt;=177人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B329B">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12E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A4678">
            <w:pPr>
              <w:jc w:val="center"/>
            </w:pPr>
            <w:r>
              <w:rPr>
                <w:rFonts w:ascii="宋体" w:hAnsi="宋体" w:eastAsia="宋体"/>
                <w:sz w:val="16"/>
              </w:rPr>
              <w:t>177人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F962">
            <w:pPr>
              <w:jc w:val="center"/>
            </w:pPr>
            <w:r>
              <w:rPr>
                <w:rFonts w:ascii="宋体" w:hAnsi="宋体" w:eastAsia="宋体"/>
                <w:sz w:val="16"/>
              </w:rPr>
              <w:t>20</w:t>
            </w:r>
          </w:p>
        </w:tc>
      </w:tr>
      <w:tr w14:paraId="55413A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097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107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EC19">
            <w:pPr>
              <w:jc w:val="center"/>
            </w:pPr>
            <w:r>
              <w:rPr>
                <w:rFonts w:ascii="宋体" w:hAnsi="宋体" w:eastAsia="宋体"/>
                <w:sz w:val="16"/>
              </w:rPr>
              <w:t>开展教职工培训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C3F40">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46992">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57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DA95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2116">
            <w:pPr>
              <w:jc w:val="center"/>
            </w:pPr>
            <w:r>
              <w:rPr>
                <w:rFonts w:ascii="宋体" w:hAnsi="宋体" w:eastAsia="宋体"/>
                <w:sz w:val="16"/>
              </w:rPr>
              <w:t>20</w:t>
            </w:r>
          </w:p>
        </w:tc>
      </w:tr>
      <w:tr w14:paraId="04336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6F2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A38A5">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8CD7C">
            <w:pPr>
              <w:jc w:val="center"/>
            </w:pPr>
            <w:r>
              <w:rPr>
                <w:rFonts w:ascii="宋体" w:hAnsi="宋体" w:eastAsia="宋体"/>
                <w:sz w:val="16"/>
              </w:rPr>
              <w:t>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FAA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17AA2">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19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A2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5F723">
            <w:pPr>
              <w:jc w:val="center"/>
            </w:pPr>
            <w:r>
              <w:rPr>
                <w:rFonts w:ascii="宋体" w:hAnsi="宋体" w:eastAsia="宋体"/>
                <w:sz w:val="16"/>
              </w:rPr>
              <w:t>10</w:t>
            </w:r>
          </w:p>
        </w:tc>
      </w:tr>
    </w:tbl>
    <w:p w14:paraId="586F5B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01DE57">
        <w:tblPrEx>
          <w:tblCellMar>
            <w:top w:w="0" w:type="dxa"/>
            <w:left w:w="108" w:type="dxa"/>
            <w:bottom w:w="0" w:type="dxa"/>
            <w:right w:w="108" w:type="dxa"/>
          </w:tblCellMar>
        </w:tblPrEx>
        <w:tc>
          <w:tcPr>
            <w:tcW w:w="8847" w:type="dxa"/>
            <w:gridSpan w:val="9"/>
            <w:vAlign w:val="center"/>
          </w:tcPr>
          <w:p w14:paraId="656761AA">
            <w:pPr>
              <w:jc w:val="center"/>
            </w:pPr>
            <w:r>
              <w:rPr>
                <w:rFonts w:ascii="宋体" w:hAnsi="宋体" w:eastAsia="宋体"/>
                <w:sz w:val="24"/>
              </w:rPr>
              <w:t>项目支出绩效自评表</w:t>
            </w:r>
          </w:p>
        </w:tc>
      </w:tr>
      <w:tr w14:paraId="65DCBFA5">
        <w:tblPrEx>
          <w:tblCellMar>
            <w:top w:w="0" w:type="dxa"/>
            <w:left w:w="108" w:type="dxa"/>
            <w:bottom w:w="0" w:type="dxa"/>
            <w:right w:w="108" w:type="dxa"/>
          </w:tblCellMar>
        </w:tblPrEx>
        <w:tc>
          <w:tcPr>
            <w:tcW w:w="8847" w:type="dxa"/>
            <w:gridSpan w:val="9"/>
            <w:vAlign w:val="center"/>
          </w:tcPr>
          <w:p w14:paraId="4CC7FE5E">
            <w:pPr>
              <w:jc w:val="center"/>
            </w:pPr>
            <w:r>
              <w:rPr>
                <w:rFonts w:ascii="宋体" w:hAnsi="宋体" w:eastAsia="宋体"/>
                <w:sz w:val="24"/>
              </w:rPr>
              <w:t>(2024年度)</w:t>
            </w:r>
          </w:p>
        </w:tc>
      </w:tr>
      <w:tr w14:paraId="67ED1B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80D3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418C62">
            <w:pPr>
              <w:jc w:val="center"/>
            </w:pPr>
            <w:r>
              <w:rPr>
                <w:rFonts w:ascii="宋体" w:hAnsi="宋体" w:eastAsia="宋体"/>
                <w:sz w:val="16"/>
              </w:rPr>
              <w:t>专项资金</w:t>
            </w:r>
            <w:bookmarkStart w:id="0" w:name="_GoBack"/>
            <w:r>
              <w:rPr>
                <w:rFonts w:hint="eastAsia" w:ascii="宋体" w:hAnsi="宋体"/>
                <w:sz w:val="16"/>
                <w:lang w:eastAsia="zh-CN"/>
              </w:rPr>
              <w:t>－</w:t>
            </w:r>
            <w:bookmarkEnd w:id="0"/>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学前三年免费保障经费-公用经费-洛财教</w:t>
            </w:r>
            <w:r>
              <w:rPr>
                <w:rFonts w:hint="eastAsia" w:ascii="宋体" w:hAnsi="宋体"/>
                <w:sz w:val="16"/>
                <w:lang w:eastAsia="zh-CN"/>
              </w:rPr>
              <w:t>〔2024〕22号</w:t>
            </w:r>
          </w:p>
        </w:tc>
      </w:tr>
      <w:tr w14:paraId="2FBD37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B6D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AF6E4A">
            <w:pPr>
              <w:jc w:val="center"/>
            </w:pPr>
            <w:r>
              <w:rPr>
                <w:rFonts w:ascii="宋体" w:hAnsi="宋体" w:eastAsia="宋体"/>
                <w:sz w:val="16"/>
              </w:rPr>
              <w:t>洛浦县第五幼儿园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2981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AAC5F8">
            <w:pPr>
              <w:jc w:val="center"/>
            </w:pPr>
            <w:r>
              <w:rPr>
                <w:rFonts w:ascii="宋体" w:hAnsi="宋体" w:eastAsia="宋体"/>
                <w:sz w:val="16"/>
              </w:rPr>
              <w:t>洛浦县第五幼儿园</w:t>
            </w:r>
          </w:p>
        </w:tc>
      </w:tr>
      <w:tr w14:paraId="34C887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2A5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210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01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FC89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CE4F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D0D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1F0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F4B8">
            <w:pPr>
              <w:jc w:val="center"/>
            </w:pPr>
            <w:r>
              <w:rPr>
                <w:rFonts w:ascii="宋体" w:hAnsi="宋体" w:eastAsia="宋体"/>
                <w:sz w:val="16"/>
              </w:rPr>
              <w:t>得分</w:t>
            </w:r>
          </w:p>
        </w:tc>
      </w:tr>
      <w:tr w14:paraId="75606D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35F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EC3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2201">
            <w:pPr>
              <w:jc w:val="center"/>
            </w:pPr>
            <w:r>
              <w:rPr>
                <w:rFonts w:ascii="宋体" w:hAnsi="宋体" w:eastAsia="宋体"/>
                <w:sz w:val="16"/>
              </w:rPr>
              <w:t>46.20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66B8">
            <w:pPr>
              <w:jc w:val="center"/>
            </w:pPr>
            <w:r>
              <w:rPr>
                <w:rFonts w:ascii="宋体" w:hAnsi="宋体" w:eastAsia="宋体"/>
                <w:sz w:val="16"/>
              </w:rPr>
              <w:t>46.20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E4D1">
            <w:pPr>
              <w:jc w:val="center"/>
            </w:pPr>
            <w:r>
              <w:rPr>
                <w:rFonts w:ascii="宋体" w:hAnsi="宋体" w:eastAsia="宋体"/>
                <w:sz w:val="16"/>
              </w:rPr>
              <w:t>44.77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8C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847DC">
            <w:pPr>
              <w:jc w:val="center"/>
            </w:pPr>
            <w:r>
              <w:rPr>
                <w:rFonts w:ascii="宋体" w:hAnsi="宋体" w:eastAsia="宋体"/>
                <w:sz w:val="16"/>
              </w:rPr>
              <w:t xml:space="preserve">96.90%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B673C">
            <w:pPr>
              <w:jc w:val="center"/>
            </w:pPr>
            <w:r>
              <w:rPr>
                <w:rFonts w:ascii="宋体" w:hAnsi="宋体" w:eastAsia="宋体"/>
                <w:sz w:val="16"/>
              </w:rPr>
              <w:t>9.23分</w:t>
            </w:r>
          </w:p>
        </w:tc>
      </w:tr>
      <w:tr w14:paraId="65CCD9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C57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4D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FD01">
            <w:pPr>
              <w:jc w:val="center"/>
            </w:pPr>
            <w:r>
              <w:rPr>
                <w:rFonts w:ascii="宋体" w:hAnsi="宋体" w:eastAsia="宋体"/>
                <w:sz w:val="16"/>
              </w:rPr>
              <w:t>46.20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804F">
            <w:pPr>
              <w:jc w:val="center"/>
            </w:pPr>
            <w:r>
              <w:rPr>
                <w:rFonts w:ascii="宋体" w:hAnsi="宋体" w:eastAsia="宋体"/>
                <w:sz w:val="16"/>
              </w:rPr>
              <w:t>46.20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62BE">
            <w:pPr>
              <w:jc w:val="center"/>
            </w:pPr>
            <w:r>
              <w:rPr>
                <w:rFonts w:ascii="宋体" w:hAnsi="宋体" w:eastAsia="宋体"/>
                <w:sz w:val="16"/>
              </w:rPr>
              <w:t>44.77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5B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91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1B06">
            <w:pPr>
              <w:jc w:val="center"/>
            </w:pPr>
            <w:r>
              <w:rPr>
                <w:rFonts w:ascii="宋体" w:hAnsi="宋体" w:eastAsia="宋体"/>
                <w:sz w:val="16"/>
              </w:rPr>
              <w:t>—</w:t>
            </w:r>
          </w:p>
        </w:tc>
      </w:tr>
      <w:tr w14:paraId="16C34D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9A6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B66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EE0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72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2A2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0F0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259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5DF9">
            <w:pPr>
              <w:jc w:val="center"/>
            </w:pPr>
            <w:r>
              <w:rPr>
                <w:rFonts w:ascii="宋体" w:hAnsi="宋体" w:eastAsia="宋体"/>
                <w:sz w:val="16"/>
              </w:rPr>
              <w:t>—</w:t>
            </w:r>
          </w:p>
        </w:tc>
      </w:tr>
      <w:tr w14:paraId="067E94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C61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403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12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DF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B08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08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73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B14D">
            <w:pPr>
              <w:jc w:val="center"/>
            </w:pPr>
            <w:r>
              <w:rPr>
                <w:rFonts w:ascii="宋体" w:hAnsi="宋体" w:eastAsia="宋体"/>
                <w:sz w:val="16"/>
              </w:rPr>
              <w:t>—</w:t>
            </w:r>
          </w:p>
        </w:tc>
      </w:tr>
      <w:tr w14:paraId="66264B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AC2A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1F80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52B394">
            <w:pPr>
              <w:jc w:val="center"/>
            </w:pPr>
            <w:r>
              <w:rPr>
                <w:rFonts w:ascii="宋体" w:hAnsi="宋体" w:eastAsia="宋体"/>
                <w:sz w:val="16"/>
              </w:rPr>
              <w:t>实际完成情况</w:t>
            </w:r>
          </w:p>
        </w:tc>
      </w:tr>
      <w:tr w14:paraId="4A7FA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84B2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44981C">
            <w:pPr>
              <w:jc w:val="both"/>
            </w:pPr>
            <w:r>
              <w:rPr>
                <w:rFonts w:ascii="宋体" w:hAnsi="宋体" w:eastAsia="宋体"/>
                <w:sz w:val="16"/>
              </w:rPr>
              <w:t>为保障学校日常工作正常运行，本项目正常性项目，资金总额为46.20万元，将在2024年12月之前完成。通过实施本项目可以有效提高学校工作效率。保障学校日常工作正常运行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8B9F3">
            <w:pPr>
              <w:jc w:val="both"/>
            </w:pPr>
            <w:r>
              <w:rPr>
                <w:rFonts w:hint="eastAsia" w:ascii="宋体" w:hAnsi="宋体"/>
                <w:sz w:val="16"/>
                <w:lang w:eastAsia="zh-CN"/>
              </w:rPr>
              <w:t>截至</w:t>
            </w:r>
            <w:r>
              <w:rPr>
                <w:rFonts w:ascii="宋体" w:hAnsi="宋体" w:eastAsia="宋体"/>
                <w:sz w:val="16"/>
              </w:rPr>
              <w:t>自评节点，本项目已保障177名学生的伙食费及学校办公经费。资金已使用44.77万元。通过实施本项目可以有效提高学校工作效率。保障学校日常工作正常运行</w:t>
            </w:r>
            <w:r>
              <w:rPr>
                <w:rFonts w:hint="eastAsia" w:ascii="宋体" w:hAnsi="宋体"/>
                <w:sz w:val="16"/>
                <w:lang w:eastAsia="zh-CN"/>
              </w:rPr>
              <w:t>。</w:t>
            </w:r>
          </w:p>
        </w:tc>
      </w:tr>
      <w:tr w14:paraId="429896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6DA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F63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AB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F0D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EA1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DB1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41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D1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C8D9">
            <w:pPr>
              <w:jc w:val="center"/>
            </w:pPr>
            <w:r>
              <w:rPr>
                <w:rFonts w:ascii="宋体" w:hAnsi="宋体" w:eastAsia="宋体"/>
                <w:sz w:val="16"/>
              </w:rPr>
              <w:t>偏差原因分析及改进措施</w:t>
            </w:r>
          </w:p>
        </w:tc>
      </w:tr>
      <w:tr w14:paraId="24216E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5F1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98D8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EEAC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0958">
            <w:pPr>
              <w:jc w:val="center"/>
            </w:pPr>
            <w:r>
              <w:rPr>
                <w:rFonts w:ascii="宋体" w:hAnsi="宋体" w:eastAsia="宋体"/>
                <w:sz w:val="16"/>
              </w:rPr>
              <w:t>补助发放人数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DBBC">
            <w:pPr>
              <w:jc w:val="center"/>
            </w:pPr>
            <w:r>
              <w:rPr>
                <w:rFonts w:ascii="宋体" w:hAnsi="宋体" w:eastAsia="宋体"/>
                <w:sz w:val="16"/>
              </w:rPr>
              <w:t>=177人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9F98">
            <w:pPr>
              <w:jc w:val="center"/>
            </w:pPr>
            <w:r>
              <w:rPr>
                <w:rFonts w:ascii="宋体" w:hAnsi="宋体" w:eastAsia="宋体"/>
                <w:sz w:val="16"/>
              </w:rPr>
              <w:t>=177人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6F2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8EF7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F76C6">
            <w:pPr>
              <w:jc w:val="center"/>
            </w:pPr>
          </w:p>
        </w:tc>
      </w:tr>
      <w:tr w14:paraId="0E61F9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46F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DC7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781F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F888A">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251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F3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950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C85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5551">
            <w:pPr>
              <w:jc w:val="center"/>
            </w:pPr>
          </w:p>
        </w:tc>
      </w:tr>
      <w:tr w14:paraId="11EA8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FB6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876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8AC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DFED">
            <w:pPr>
              <w:jc w:val="center"/>
            </w:pPr>
            <w:r>
              <w:rPr>
                <w:rFonts w:ascii="宋体" w:hAnsi="宋体" w:eastAsia="宋体"/>
                <w:sz w:val="16"/>
              </w:rPr>
              <w:t>补助金发放率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42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28E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2E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715C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E2DA0">
            <w:pPr>
              <w:jc w:val="center"/>
            </w:pPr>
          </w:p>
        </w:tc>
      </w:tr>
      <w:tr w14:paraId="313C5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DC7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34B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F77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BB5B">
            <w:pPr>
              <w:jc w:val="center"/>
            </w:pPr>
            <w:r>
              <w:rPr>
                <w:rFonts w:ascii="宋体" w:hAnsi="宋体" w:eastAsia="宋体"/>
                <w:sz w:val="16"/>
              </w:rPr>
              <w:t>生活保障资金到位率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01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06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2F8E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90A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DE7E">
            <w:pPr>
              <w:jc w:val="center"/>
            </w:pPr>
          </w:p>
        </w:tc>
      </w:tr>
      <w:tr w14:paraId="1DB000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2C4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E93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8E9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DA81">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1D7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60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3886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84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E76F3">
            <w:pPr>
              <w:jc w:val="center"/>
            </w:pPr>
          </w:p>
        </w:tc>
      </w:tr>
      <w:tr w14:paraId="5AFC2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C5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540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812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B59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D397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D44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16D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EE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12E7B">
            <w:pPr>
              <w:jc w:val="center"/>
            </w:pPr>
          </w:p>
        </w:tc>
      </w:tr>
      <w:tr w14:paraId="7C6571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804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23C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F42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645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813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A06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E0F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2A6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07895">
            <w:pPr>
              <w:jc w:val="center"/>
            </w:pPr>
          </w:p>
        </w:tc>
      </w:tr>
      <w:tr w14:paraId="3A394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B0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9728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1AE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D6BD0">
            <w:pPr>
              <w:jc w:val="center"/>
            </w:pPr>
            <w:r>
              <w:rPr>
                <w:rFonts w:ascii="宋体" w:hAnsi="宋体" w:eastAsia="宋体"/>
                <w:sz w:val="16"/>
              </w:rPr>
              <w:t>生活保障资金总成本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09074">
            <w:pPr>
              <w:jc w:val="center"/>
            </w:pPr>
            <w:r>
              <w:rPr>
                <w:rFonts w:ascii="宋体" w:hAnsi="宋体" w:eastAsia="宋体"/>
                <w:sz w:val="16"/>
              </w:rPr>
              <w:t>&lt;=46.20万元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DEB4">
            <w:pPr>
              <w:jc w:val="center"/>
            </w:pPr>
            <w:r>
              <w:rPr>
                <w:rFonts w:ascii="宋体" w:hAnsi="宋体" w:eastAsia="宋体"/>
                <w:sz w:val="16"/>
              </w:rPr>
              <w:t>=44.77万元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D55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E4D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44F4">
            <w:pPr>
              <w:jc w:val="center"/>
            </w:pPr>
            <w:r>
              <w:rPr>
                <w:rFonts w:ascii="宋体" w:hAnsi="宋体" w:eastAsia="宋体"/>
                <w:sz w:val="16"/>
              </w:rPr>
              <w:t>结转至2025年支付</w:t>
            </w:r>
          </w:p>
        </w:tc>
      </w:tr>
      <w:tr w14:paraId="1F7DDE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110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2F1D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D38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9838">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15C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96C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541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10C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DD3CF">
            <w:pPr>
              <w:jc w:val="center"/>
            </w:pPr>
          </w:p>
        </w:tc>
      </w:tr>
      <w:tr w14:paraId="04837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DAA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0CF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DC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EBCA">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630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ABAC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2BD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784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21DE">
            <w:pPr>
              <w:jc w:val="center"/>
            </w:pPr>
          </w:p>
        </w:tc>
      </w:tr>
      <w:tr w14:paraId="7CB6610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F923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B650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63A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54C9">
            <w:pPr>
              <w:jc w:val="center"/>
            </w:pPr>
            <w:r>
              <w:rPr>
                <w:rFonts w:ascii="宋体" w:hAnsi="宋体" w:eastAsia="宋体"/>
                <w:sz w:val="16"/>
              </w:rPr>
              <w:t>79.23分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7CEA4E"/>
        </w:tc>
      </w:tr>
    </w:tbl>
    <w:p w14:paraId="7F87E9B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211"/>
        <w:gridCol w:w="929"/>
        <w:gridCol w:w="809"/>
        <w:gridCol w:w="983"/>
        <w:gridCol w:w="983"/>
        <w:gridCol w:w="983"/>
      </w:tblGrid>
      <w:tr w14:paraId="1BFB9C12">
        <w:tblPrEx>
          <w:tblCellMar>
            <w:top w:w="0" w:type="dxa"/>
            <w:left w:w="108" w:type="dxa"/>
            <w:bottom w:w="0" w:type="dxa"/>
            <w:right w:w="108" w:type="dxa"/>
          </w:tblCellMar>
        </w:tblPrEx>
        <w:tc>
          <w:tcPr>
            <w:tcW w:w="8847" w:type="dxa"/>
            <w:gridSpan w:val="9"/>
            <w:vAlign w:val="center"/>
          </w:tcPr>
          <w:p w14:paraId="480091F7">
            <w:pPr>
              <w:jc w:val="center"/>
            </w:pPr>
            <w:r>
              <w:rPr>
                <w:rFonts w:ascii="宋体" w:hAnsi="宋体" w:eastAsia="宋体"/>
                <w:sz w:val="24"/>
              </w:rPr>
              <w:t>项目支出绩效自评表</w:t>
            </w:r>
          </w:p>
        </w:tc>
      </w:tr>
      <w:tr w14:paraId="0A762BA7">
        <w:tblPrEx>
          <w:tblCellMar>
            <w:top w:w="0" w:type="dxa"/>
            <w:left w:w="108" w:type="dxa"/>
            <w:bottom w:w="0" w:type="dxa"/>
            <w:right w:w="108" w:type="dxa"/>
          </w:tblCellMar>
        </w:tblPrEx>
        <w:tc>
          <w:tcPr>
            <w:tcW w:w="8847" w:type="dxa"/>
            <w:gridSpan w:val="9"/>
            <w:vAlign w:val="center"/>
          </w:tcPr>
          <w:p w14:paraId="6B1AB212">
            <w:pPr>
              <w:jc w:val="center"/>
            </w:pPr>
            <w:r>
              <w:rPr>
                <w:rFonts w:ascii="宋体" w:hAnsi="宋体" w:eastAsia="宋体"/>
                <w:sz w:val="24"/>
              </w:rPr>
              <w:t>(2024年度)</w:t>
            </w:r>
          </w:p>
        </w:tc>
      </w:tr>
      <w:tr w14:paraId="55D634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AC4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C67483">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〔2021〕12号</w:t>
            </w:r>
            <w:r>
              <w:rPr>
                <w:rFonts w:ascii="宋体" w:hAnsi="宋体" w:eastAsia="宋体"/>
                <w:sz w:val="16"/>
              </w:rPr>
              <w:t>：2021年新疆西藏等地区教育特殊补助资金农村学前三年免费保障经费</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〔2021〕38号</w:t>
            </w: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〔2021〕3号</w:t>
            </w:r>
          </w:p>
        </w:tc>
      </w:tr>
      <w:tr w14:paraId="7EDF51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6AC85">
            <w:pPr>
              <w:jc w:val="center"/>
            </w:pPr>
            <w:r>
              <w:rPr>
                <w:rFonts w:ascii="宋体" w:hAnsi="宋体" w:eastAsia="宋体"/>
                <w:sz w:val="16"/>
              </w:rPr>
              <w:t>主管部门</w:t>
            </w:r>
          </w:p>
        </w:tc>
        <w:tc>
          <w:tcPr>
            <w:tcW w:w="3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6AA5C9">
            <w:pPr>
              <w:jc w:val="center"/>
            </w:pPr>
            <w:r>
              <w:rPr>
                <w:rFonts w:ascii="宋体" w:hAnsi="宋体" w:eastAsia="宋体"/>
                <w:sz w:val="16"/>
              </w:rPr>
              <w:t>洛浦县第五幼儿园</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6B20A43E">
            <w:pPr>
              <w:jc w:val="center"/>
            </w:pPr>
            <w:r>
              <w:rPr>
                <w:rFonts w:ascii="宋体" w:hAnsi="宋体" w:eastAsia="宋体"/>
                <w:sz w:val="16"/>
              </w:rPr>
              <w:t>实施单位</w:t>
            </w:r>
          </w:p>
        </w:tc>
        <w:tc>
          <w:tcPr>
            <w:tcW w:w="375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1BC62B">
            <w:pPr>
              <w:jc w:val="center"/>
            </w:pPr>
            <w:r>
              <w:rPr>
                <w:rFonts w:ascii="宋体" w:hAnsi="宋体" w:eastAsia="宋体"/>
                <w:sz w:val="16"/>
              </w:rPr>
              <w:t>洛浦县第五幼儿园</w:t>
            </w:r>
          </w:p>
        </w:tc>
      </w:tr>
      <w:tr w14:paraId="3E2C1D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8167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91F61">
            <w:pPr>
              <w:jc w:val="center"/>
            </w:pP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1B10508A">
            <w:pPr>
              <w:jc w:val="center"/>
            </w:pPr>
            <w:r>
              <w:rPr>
                <w:rFonts w:ascii="宋体" w:hAnsi="宋体" w:eastAsia="宋体"/>
                <w:sz w:val="16"/>
              </w:rPr>
              <w:t>年初预算数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20C1A9C8">
            <w:pPr>
              <w:jc w:val="center"/>
            </w:pPr>
            <w:r>
              <w:rPr>
                <w:rFonts w:ascii="宋体" w:hAnsi="宋体" w:eastAsia="宋体"/>
                <w:sz w:val="16"/>
              </w:rPr>
              <w:t>全年预算数</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1C50723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63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31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0DC7">
            <w:pPr>
              <w:jc w:val="center"/>
            </w:pPr>
            <w:r>
              <w:rPr>
                <w:rFonts w:ascii="宋体" w:hAnsi="宋体" w:eastAsia="宋体"/>
                <w:sz w:val="16"/>
              </w:rPr>
              <w:t>得分</w:t>
            </w:r>
          </w:p>
        </w:tc>
      </w:tr>
      <w:tr w14:paraId="30DE6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EBC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54EDA">
            <w:pPr>
              <w:jc w:val="center"/>
            </w:pPr>
            <w:r>
              <w:rPr>
                <w:rFonts w:ascii="宋体" w:hAnsi="宋体" w:eastAsia="宋体"/>
                <w:sz w:val="16"/>
              </w:rPr>
              <w:t>年度资金总额</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63D132C0">
            <w:pPr>
              <w:jc w:val="center"/>
            </w:pPr>
            <w:r>
              <w:rPr>
                <w:rFonts w:ascii="宋体" w:hAnsi="宋体" w:eastAsia="宋体"/>
                <w:sz w:val="16"/>
              </w:rPr>
              <w:t>3.34</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5EA03CB7">
            <w:pPr>
              <w:jc w:val="center"/>
            </w:pPr>
            <w:r>
              <w:rPr>
                <w:rFonts w:ascii="宋体" w:hAnsi="宋体" w:eastAsia="宋体"/>
                <w:sz w:val="16"/>
              </w:rPr>
              <w:t>3.34</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42CF9BF0">
            <w:pPr>
              <w:jc w:val="center"/>
            </w:pPr>
            <w:r>
              <w:rPr>
                <w:rFonts w:ascii="宋体" w:hAnsi="宋体" w:eastAsia="宋体"/>
                <w:sz w:val="16"/>
              </w:rPr>
              <w:t>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C2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E301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6A1BE">
            <w:pPr>
              <w:jc w:val="center"/>
            </w:pPr>
            <w:r>
              <w:rPr>
                <w:rFonts w:ascii="宋体" w:hAnsi="宋体" w:eastAsia="宋体"/>
                <w:sz w:val="16"/>
              </w:rPr>
              <w:t>10.00</w:t>
            </w:r>
          </w:p>
        </w:tc>
      </w:tr>
      <w:tr w14:paraId="5A4715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685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E7DF">
            <w:pPr>
              <w:jc w:val="center"/>
            </w:pPr>
            <w:r>
              <w:rPr>
                <w:rFonts w:ascii="宋体" w:hAnsi="宋体" w:eastAsia="宋体"/>
                <w:sz w:val="16"/>
              </w:rPr>
              <w:t>其中：当年财政拨款</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69876176">
            <w:pPr>
              <w:jc w:val="center"/>
            </w:pPr>
            <w:r>
              <w:rPr>
                <w:rFonts w:ascii="宋体" w:hAnsi="宋体" w:eastAsia="宋体"/>
                <w:sz w:val="16"/>
              </w:rPr>
              <w:t>3.34</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80CE2F8">
            <w:pPr>
              <w:jc w:val="center"/>
            </w:pPr>
            <w:r>
              <w:rPr>
                <w:rFonts w:ascii="宋体" w:hAnsi="宋体" w:eastAsia="宋体"/>
                <w:sz w:val="16"/>
              </w:rPr>
              <w:t>3.34</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130E0C10">
            <w:pPr>
              <w:jc w:val="center"/>
            </w:pPr>
            <w:r>
              <w:rPr>
                <w:rFonts w:ascii="宋体" w:hAnsi="宋体" w:eastAsia="宋体"/>
                <w:sz w:val="16"/>
              </w:rPr>
              <w:t>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ACA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AB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F4757">
            <w:pPr>
              <w:jc w:val="center"/>
            </w:pPr>
            <w:r>
              <w:rPr>
                <w:rFonts w:ascii="宋体" w:hAnsi="宋体" w:eastAsia="宋体"/>
                <w:sz w:val="16"/>
              </w:rPr>
              <w:t>—</w:t>
            </w:r>
          </w:p>
        </w:tc>
      </w:tr>
      <w:tr w14:paraId="1022F0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12F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50BE">
            <w:pPr>
              <w:jc w:val="center"/>
            </w:pPr>
            <w:r>
              <w:rPr>
                <w:rFonts w:ascii="宋体" w:hAnsi="宋体" w:eastAsia="宋体"/>
                <w:sz w:val="16"/>
              </w:rPr>
              <w:t xml:space="preserve">      上年结转资金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03E92914">
            <w:pPr>
              <w:jc w:val="center"/>
            </w:pPr>
            <w:r>
              <w:rPr>
                <w:rFonts w:ascii="宋体" w:hAnsi="宋体" w:eastAsia="宋体"/>
                <w:sz w:val="16"/>
              </w:rPr>
              <w:t>0</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DE3EDA7">
            <w:pPr>
              <w:jc w:val="center"/>
            </w:pPr>
            <w:r>
              <w:rPr>
                <w:rFonts w:ascii="宋体" w:hAnsi="宋体" w:eastAsia="宋体"/>
                <w:sz w:val="16"/>
              </w:rPr>
              <w:t>0</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45BF630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09D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61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B1B1">
            <w:pPr>
              <w:jc w:val="center"/>
            </w:pPr>
            <w:r>
              <w:rPr>
                <w:rFonts w:ascii="宋体" w:hAnsi="宋体" w:eastAsia="宋体"/>
                <w:sz w:val="16"/>
              </w:rPr>
              <w:t>—</w:t>
            </w:r>
          </w:p>
        </w:tc>
      </w:tr>
      <w:tr w14:paraId="38D7F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FFF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0A12A">
            <w:pPr>
              <w:jc w:val="center"/>
            </w:pPr>
            <w:r>
              <w:rPr>
                <w:rFonts w:ascii="宋体" w:hAnsi="宋体" w:eastAsia="宋体"/>
                <w:sz w:val="16"/>
              </w:rPr>
              <w:t xml:space="preserve">  其他资金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0C5D6FEA">
            <w:pPr>
              <w:jc w:val="center"/>
            </w:pPr>
            <w:r>
              <w:rPr>
                <w:rFonts w:ascii="宋体" w:hAnsi="宋体" w:eastAsia="宋体"/>
                <w:sz w:val="16"/>
              </w:rPr>
              <w:t>0</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EAB0C0C">
            <w:pPr>
              <w:jc w:val="center"/>
            </w:pPr>
            <w:r>
              <w:rPr>
                <w:rFonts w:ascii="宋体" w:hAnsi="宋体" w:eastAsia="宋体"/>
                <w:sz w:val="16"/>
              </w:rPr>
              <w:t>0</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3A0DC44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4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8B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779A6">
            <w:pPr>
              <w:jc w:val="center"/>
            </w:pPr>
            <w:r>
              <w:rPr>
                <w:rFonts w:ascii="宋体" w:hAnsi="宋体" w:eastAsia="宋体"/>
                <w:sz w:val="16"/>
              </w:rPr>
              <w:t>—</w:t>
            </w:r>
          </w:p>
        </w:tc>
      </w:tr>
      <w:tr w14:paraId="55C574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06588">
            <w:pPr>
              <w:jc w:val="center"/>
            </w:pPr>
            <w:r>
              <w:rPr>
                <w:rFonts w:ascii="宋体" w:hAnsi="宋体" w:eastAsia="宋体"/>
                <w:sz w:val="16"/>
              </w:rPr>
              <w:t>年度总体目标</w:t>
            </w:r>
          </w:p>
        </w:tc>
        <w:tc>
          <w:tcPr>
            <w:tcW w:w="3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DC7F2">
            <w:pPr>
              <w:jc w:val="center"/>
            </w:pPr>
            <w:r>
              <w:rPr>
                <w:rFonts w:ascii="宋体" w:hAnsi="宋体" w:eastAsia="宋体"/>
                <w:sz w:val="16"/>
              </w:rPr>
              <w:t>预期目标</w:t>
            </w:r>
          </w:p>
        </w:tc>
        <w:tc>
          <w:tcPr>
            <w:tcW w:w="468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2DD46D">
            <w:pPr>
              <w:jc w:val="center"/>
            </w:pPr>
            <w:r>
              <w:rPr>
                <w:rFonts w:ascii="宋体" w:hAnsi="宋体" w:eastAsia="宋体"/>
                <w:sz w:val="16"/>
              </w:rPr>
              <w:t>实际完成情况</w:t>
            </w:r>
          </w:p>
        </w:tc>
      </w:tr>
      <w:tr w14:paraId="5C7D9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F15CE"/>
        </w:tc>
        <w:tc>
          <w:tcPr>
            <w:tcW w:w="3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2F196E">
            <w:pPr>
              <w:jc w:val="both"/>
            </w:pPr>
            <w:r>
              <w:rPr>
                <w:rFonts w:ascii="宋体" w:hAnsi="宋体" w:eastAsia="宋体"/>
                <w:sz w:val="16"/>
              </w:rPr>
              <w:t>根据《关于提前下达2021年新疆西藏等地区教育特殊补助资金预算的通知》（﹝2021﹞12号）文件实施该项目。项目主要内容：项目资金主要用于学校取暖费的使用，通过项目的实施，有效保障在校学生的校园生活。</w:t>
            </w:r>
          </w:p>
        </w:tc>
        <w:tc>
          <w:tcPr>
            <w:tcW w:w="468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E5313">
            <w:pPr>
              <w:jc w:val="both"/>
            </w:pPr>
            <w:r>
              <w:rPr>
                <w:rFonts w:hint="eastAsia" w:ascii="宋体" w:hAnsi="宋体"/>
                <w:sz w:val="16"/>
                <w:lang w:eastAsia="zh-CN"/>
              </w:rPr>
              <w:t>截至2024</w:t>
            </w:r>
            <w:r>
              <w:rPr>
                <w:rFonts w:ascii="宋体" w:hAnsi="宋体" w:eastAsia="宋体"/>
                <w:sz w:val="16"/>
              </w:rPr>
              <w:t>年12月31日，该项目实际支付资金3.34万元，无结余资金该项目实施根据《关于提前下达2021年新疆西藏等地区教育特殊补助资金预算的通知》（﹝2021﹞12号）文件实施该项目。项目主要内容：项目资金主要用于学校取暖费的使用，通过项目的实施，有效保障在校学生的校园生活。</w:t>
            </w:r>
          </w:p>
        </w:tc>
      </w:tr>
      <w:tr w14:paraId="0DBB24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8403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B8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D11E">
            <w:pPr>
              <w:jc w:val="center"/>
            </w:pPr>
            <w:r>
              <w:rPr>
                <w:rFonts w:ascii="宋体" w:hAnsi="宋体" w:eastAsia="宋体"/>
                <w:sz w:val="16"/>
              </w:rPr>
              <w:t>二级指标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2E8B5A83">
            <w:pPr>
              <w:jc w:val="center"/>
            </w:pPr>
            <w:r>
              <w:rPr>
                <w:rFonts w:ascii="宋体" w:hAnsi="宋体" w:eastAsia="宋体"/>
                <w:sz w:val="16"/>
              </w:rPr>
              <w:t>三级指标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595D7812">
            <w:pPr>
              <w:jc w:val="center"/>
            </w:pPr>
            <w:r>
              <w:rPr>
                <w:rFonts w:ascii="宋体" w:hAnsi="宋体" w:eastAsia="宋体"/>
                <w:sz w:val="16"/>
              </w:rPr>
              <w:t>年度指标值</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0D69522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BA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12C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1B66">
            <w:pPr>
              <w:jc w:val="center"/>
            </w:pPr>
            <w:r>
              <w:rPr>
                <w:rFonts w:ascii="宋体" w:hAnsi="宋体" w:eastAsia="宋体"/>
                <w:sz w:val="16"/>
              </w:rPr>
              <w:t>偏差原因分析及改进措施</w:t>
            </w:r>
          </w:p>
        </w:tc>
      </w:tr>
      <w:tr w14:paraId="091A45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AF03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8BF3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74A5F">
            <w:pPr>
              <w:jc w:val="center"/>
            </w:pPr>
            <w:r>
              <w:rPr>
                <w:rFonts w:ascii="宋体" w:hAnsi="宋体" w:eastAsia="宋体"/>
                <w:sz w:val="16"/>
              </w:rPr>
              <w:t>数量指标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19804F96">
            <w:pPr>
              <w:jc w:val="center"/>
            </w:pPr>
            <w:r>
              <w:rPr>
                <w:rFonts w:ascii="宋体" w:hAnsi="宋体" w:eastAsia="宋体"/>
                <w:sz w:val="16"/>
              </w:rPr>
              <w:t>项目涉及学校数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2DAA1691">
            <w:pPr>
              <w:jc w:val="center"/>
            </w:pPr>
            <w:r>
              <w:rPr>
                <w:rFonts w:ascii="宋体" w:hAnsi="宋体" w:eastAsia="宋体"/>
                <w:sz w:val="16"/>
              </w:rPr>
              <w:t>&gt;=1个</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418137F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34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3C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C027">
            <w:pPr>
              <w:jc w:val="center"/>
            </w:pPr>
          </w:p>
        </w:tc>
      </w:tr>
      <w:tr w14:paraId="2983ED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16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031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ED946"/>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7CA773BF">
            <w:pPr>
              <w:jc w:val="center"/>
            </w:pPr>
            <w:r>
              <w:rPr>
                <w:rFonts w:ascii="宋体" w:hAnsi="宋体" w:eastAsia="宋体"/>
                <w:sz w:val="16"/>
              </w:rPr>
              <w:t>保障在校学生人数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F979D08">
            <w:pPr>
              <w:jc w:val="center"/>
            </w:pPr>
            <w:r>
              <w:rPr>
                <w:rFonts w:ascii="宋体" w:hAnsi="宋体" w:eastAsia="宋体"/>
                <w:sz w:val="16"/>
              </w:rPr>
              <w:t>&gt;=138人</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446E5FCB">
            <w:pPr>
              <w:jc w:val="center"/>
            </w:pPr>
            <w:r>
              <w:rPr>
                <w:rFonts w:ascii="宋体" w:hAnsi="宋体" w:eastAsia="宋体"/>
                <w:sz w:val="16"/>
              </w:rPr>
              <w:t>138人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F2B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4D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2FC99">
            <w:pPr>
              <w:jc w:val="center"/>
            </w:pPr>
          </w:p>
        </w:tc>
      </w:tr>
      <w:tr w14:paraId="2CA5C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D20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140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AC35">
            <w:pPr>
              <w:jc w:val="center"/>
            </w:pPr>
            <w:r>
              <w:rPr>
                <w:rFonts w:ascii="宋体" w:hAnsi="宋体" w:eastAsia="宋体"/>
                <w:sz w:val="16"/>
              </w:rPr>
              <w:t>质量指标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1243A71D">
            <w:pPr>
              <w:jc w:val="center"/>
            </w:pPr>
            <w:r>
              <w:rPr>
                <w:rFonts w:ascii="宋体" w:hAnsi="宋体" w:eastAsia="宋体"/>
                <w:sz w:val="16"/>
              </w:rPr>
              <w:t>资金使用合格率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D4D4480">
            <w:pPr>
              <w:jc w:val="center"/>
            </w:pPr>
            <w:r>
              <w:rPr>
                <w:rFonts w:ascii="宋体" w:hAnsi="宋体" w:eastAsia="宋体"/>
                <w:sz w:val="16"/>
              </w:rPr>
              <w:t>=100%</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150DF6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B4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72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78033">
            <w:pPr>
              <w:jc w:val="center"/>
            </w:pPr>
          </w:p>
        </w:tc>
      </w:tr>
      <w:tr w14:paraId="17C65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6AA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9174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5529E">
            <w:pPr>
              <w:jc w:val="center"/>
            </w:pPr>
            <w:r>
              <w:rPr>
                <w:rFonts w:ascii="宋体" w:hAnsi="宋体" w:eastAsia="宋体"/>
                <w:sz w:val="16"/>
              </w:rPr>
              <w:t>时效指标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6CC01DD9">
            <w:pPr>
              <w:jc w:val="center"/>
            </w:pPr>
            <w:r>
              <w:rPr>
                <w:rFonts w:ascii="宋体" w:hAnsi="宋体" w:eastAsia="宋体"/>
                <w:sz w:val="16"/>
              </w:rPr>
              <w:t>项目完成时间</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6846A310">
            <w:pPr>
              <w:jc w:val="center"/>
            </w:pPr>
            <w:r>
              <w:rPr>
                <w:rFonts w:ascii="宋体" w:hAnsi="宋体" w:eastAsia="宋体"/>
                <w:sz w:val="16"/>
              </w:rPr>
              <w:t>2024年12月</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10DD468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682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BF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294C">
            <w:pPr>
              <w:jc w:val="center"/>
            </w:pPr>
          </w:p>
        </w:tc>
      </w:tr>
      <w:tr w14:paraId="41514E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64D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44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7DB84"/>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2BD00F6A">
            <w:pPr>
              <w:jc w:val="center"/>
            </w:pPr>
            <w:r>
              <w:rPr>
                <w:rFonts w:ascii="宋体" w:hAnsi="宋体" w:eastAsia="宋体"/>
                <w:sz w:val="16"/>
              </w:rPr>
              <w:t>资金支付及时率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007D90B">
            <w:pPr>
              <w:jc w:val="center"/>
            </w:pPr>
            <w:r>
              <w:rPr>
                <w:rFonts w:ascii="宋体" w:hAnsi="宋体" w:eastAsia="宋体"/>
                <w:sz w:val="16"/>
              </w:rPr>
              <w:t>=100%</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21B493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42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62C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AC75D">
            <w:pPr>
              <w:jc w:val="center"/>
            </w:pPr>
          </w:p>
        </w:tc>
      </w:tr>
      <w:tr w14:paraId="2EFDB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EC1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FA3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91C3">
            <w:pPr>
              <w:jc w:val="center"/>
            </w:pPr>
            <w:r>
              <w:rPr>
                <w:rFonts w:ascii="宋体" w:hAnsi="宋体" w:eastAsia="宋体"/>
                <w:sz w:val="16"/>
              </w:rPr>
              <w:t>经济成本指标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75AF4C47">
            <w:pPr>
              <w:jc w:val="center"/>
            </w:pPr>
            <w:r>
              <w:rPr>
                <w:rFonts w:ascii="宋体" w:hAnsi="宋体" w:eastAsia="宋体"/>
                <w:sz w:val="16"/>
              </w:rPr>
              <w:t>取暖费用</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5258121D">
            <w:pPr>
              <w:jc w:val="center"/>
            </w:pPr>
            <w:r>
              <w:rPr>
                <w:rFonts w:ascii="宋体" w:hAnsi="宋体" w:eastAsia="宋体"/>
                <w:sz w:val="16"/>
              </w:rPr>
              <w:t>&lt;=3.34万元</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70338F6D">
            <w:pPr>
              <w:jc w:val="center"/>
            </w:pPr>
            <w:r>
              <w:rPr>
                <w:rFonts w:ascii="宋体" w:hAnsi="宋体" w:eastAsia="宋体"/>
                <w:sz w:val="16"/>
              </w:rPr>
              <w:t>3.34万元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7C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7B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4F2F">
            <w:pPr>
              <w:jc w:val="center"/>
            </w:pPr>
          </w:p>
        </w:tc>
      </w:tr>
      <w:tr w14:paraId="1EDF0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BD9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3C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63D0">
            <w:pPr>
              <w:jc w:val="center"/>
            </w:pPr>
            <w:r>
              <w:rPr>
                <w:rFonts w:ascii="宋体" w:hAnsi="宋体" w:eastAsia="宋体"/>
                <w:sz w:val="16"/>
              </w:rPr>
              <w:t>社会效益指标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704EE832">
            <w:pPr>
              <w:jc w:val="center"/>
            </w:pPr>
            <w:r>
              <w:rPr>
                <w:rFonts w:ascii="宋体" w:hAnsi="宋体" w:eastAsia="宋体"/>
                <w:sz w:val="16"/>
              </w:rPr>
              <w:t>保障在校学生的校园生活</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C009B5E">
            <w:pPr>
              <w:jc w:val="center"/>
            </w:pPr>
            <w:r>
              <w:rPr>
                <w:rFonts w:ascii="宋体" w:hAnsi="宋体" w:eastAsia="宋体"/>
                <w:sz w:val="16"/>
              </w:rPr>
              <w:t>有效保障</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0C5705C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E8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D1C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614F4">
            <w:pPr>
              <w:jc w:val="center"/>
            </w:pPr>
          </w:p>
        </w:tc>
      </w:tr>
      <w:tr w14:paraId="2E484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E8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46B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B381">
            <w:pPr>
              <w:jc w:val="center"/>
            </w:pPr>
            <w:r>
              <w:rPr>
                <w:rFonts w:ascii="宋体" w:hAnsi="宋体" w:eastAsia="宋体"/>
                <w:sz w:val="16"/>
              </w:rPr>
              <w:t>满意度指标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2D1E518C">
            <w:pPr>
              <w:jc w:val="center"/>
            </w:pPr>
            <w:r>
              <w:rPr>
                <w:rFonts w:ascii="宋体" w:hAnsi="宋体" w:eastAsia="宋体"/>
                <w:sz w:val="16"/>
              </w:rPr>
              <w:t>在校学生满意度</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4BAEB31">
            <w:pPr>
              <w:jc w:val="center"/>
            </w:pPr>
            <w:r>
              <w:rPr>
                <w:rFonts w:ascii="宋体" w:hAnsi="宋体" w:eastAsia="宋体"/>
                <w:sz w:val="16"/>
              </w:rPr>
              <w:t>&gt;=95%</w:t>
            </w:r>
          </w:p>
        </w:tc>
        <w:tc>
          <w:tcPr>
            <w:tcW w:w="809" w:type="dxa"/>
            <w:tcBorders>
              <w:top w:val="single" w:color="auto" w:sz="10" w:space="0"/>
              <w:left w:val="single" w:color="auto" w:sz="10" w:space="0"/>
              <w:bottom w:val="single" w:color="auto" w:sz="10" w:space="0"/>
              <w:right w:val="single" w:color="auto" w:sz="10" w:space="0"/>
              <w:insideV w:val="single" w:sz="10" w:space="0"/>
            </w:tcBorders>
            <w:vAlign w:val="center"/>
          </w:tcPr>
          <w:p w14:paraId="46612A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92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F3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8F70B">
            <w:pPr>
              <w:jc w:val="center"/>
            </w:pPr>
          </w:p>
        </w:tc>
      </w:tr>
      <w:tr w14:paraId="457022A7">
        <w:tblPrEx>
          <w:tblCellMar>
            <w:top w:w="0" w:type="dxa"/>
            <w:left w:w="108" w:type="dxa"/>
            <w:bottom w:w="0" w:type="dxa"/>
            <w:right w:w="108" w:type="dxa"/>
          </w:tblCellMar>
        </w:tblPrEx>
        <w:tc>
          <w:tcPr>
            <w:tcW w:w="50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C4587">
            <w:pPr>
              <w:jc w:val="center"/>
            </w:pPr>
            <w:r>
              <w:rPr>
                <w:rFonts w:ascii="宋体" w:hAnsi="宋体" w:eastAsia="宋体"/>
                <w:sz w:val="16"/>
              </w:rPr>
              <w:t>总分</w:t>
            </w:r>
          </w:p>
        </w:tc>
        <w:tc>
          <w:tcPr>
            <w:tcW w:w="809" w:type="dxa"/>
            <w:tcBorders>
              <w:top w:val="single" w:color="auto" w:sz="10" w:space="0"/>
              <w:left w:val="single" w:color="auto" w:sz="10" w:space="0"/>
              <w:bottom w:val="single" w:color="auto" w:sz="10" w:space="0"/>
              <w:right w:val="single" w:color="auto" w:sz="10" w:space="0"/>
              <w:insideV w:val="single" w:sz="10" w:space="0"/>
            </w:tcBorders>
          </w:tcPr>
          <w:p w14:paraId="6D911E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E5A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067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66B7A0"/>
        </w:tc>
      </w:tr>
    </w:tbl>
    <w:p w14:paraId="50E7C097">
      <w:r>
        <w:br w:type="page"/>
      </w:r>
    </w:p>
    <w:p w14:paraId="02EB2B78">
      <w:pPr>
        <w:spacing w:line="640" w:lineRule="exact"/>
        <w:ind w:firstLine="640"/>
        <w:jc w:val="both"/>
        <w:outlineLvl w:val="2"/>
      </w:pPr>
      <w:r>
        <w:rPr>
          <w:rFonts w:ascii="黑体" w:hAnsi="黑体" w:eastAsia="黑体"/>
          <w:sz w:val="32"/>
        </w:rPr>
        <w:t>十二、其他需说明的事项</w:t>
      </w:r>
    </w:p>
    <w:p w14:paraId="66B20D9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7EBAC73">
      <w:r>
        <w:br w:type="page"/>
      </w:r>
    </w:p>
    <w:p w14:paraId="2B9A82D9">
      <w:pPr>
        <w:spacing w:line="240" w:lineRule="auto"/>
        <w:jc w:val="center"/>
        <w:outlineLvl w:val="1"/>
      </w:pPr>
      <w:r>
        <w:rPr>
          <w:rFonts w:ascii="黑体" w:hAnsi="黑体" w:eastAsia="黑体"/>
          <w:sz w:val="32"/>
        </w:rPr>
        <w:t>第三部分 专业名词解释</w:t>
      </w:r>
    </w:p>
    <w:p w14:paraId="2506B3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9B0C2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BCC8E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D32F2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DA83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3A6C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4F1CD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E7AC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595A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A409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4F75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F5385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48077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109A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A22E5B2">
      <w:r>
        <w:br w:type="page"/>
      </w:r>
    </w:p>
    <w:p w14:paraId="00E52A90">
      <w:pPr>
        <w:spacing w:line="240" w:lineRule="auto"/>
        <w:jc w:val="center"/>
        <w:outlineLvl w:val="1"/>
      </w:pPr>
      <w:r>
        <w:rPr>
          <w:rFonts w:ascii="黑体" w:hAnsi="黑体" w:eastAsia="黑体"/>
          <w:sz w:val="32"/>
        </w:rPr>
        <w:t>第四部分 部门决算报表（见附表）</w:t>
      </w:r>
    </w:p>
    <w:p w14:paraId="0CFEB643">
      <w:pPr>
        <w:spacing w:line="240" w:lineRule="auto"/>
        <w:ind w:firstLine="640"/>
        <w:jc w:val="both"/>
      </w:pPr>
      <w:r>
        <w:rPr>
          <w:rFonts w:ascii="仿宋_GB2312" w:hAnsi="仿宋_GB2312" w:eastAsia="仿宋_GB2312"/>
          <w:b w:val="0"/>
          <w:sz w:val="32"/>
        </w:rPr>
        <w:t>一、《收入支出决算总表》</w:t>
      </w:r>
    </w:p>
    <w:p w14:paraId="0E08CC00">
      <w:pPr>
        <w:spacing w:line="240" w:lineRule="auto"/>
        <w:ind w:firstLine="640"/>
        <w:jc w:val="both"/>
      </w:pPr>
      <w:r>
        <w:rPr>
          <w:rFonts w:ascii="仿宋_GB2312" w:hAnsi="仿宋_GB2312" w:eastAsia="仿宋_GB2312"/>
          <w:b w:val="0"/>
          <w:sz w:val="32"/>
        </w:rPr>
        <w:t>二、《收入决算表》</w:t>
      </w:r>
    </w:p>
    <w:p w14:paraId="125005CA">
      <w:pPr>
        <w:spacing w:line="240" w:lineRule="auto"/>
        <w:ind w:firstLine="640"/>
        <w:jc w:val="both"/>
      </w:pPr>
      <w:r>
        <w:rPr>
          <w:rFonts w:ascii="仿宋_GB2312" w:hAnsi="仿宋_GB2312" w:eastAsia="仿宋_GB2312"/>
          <w:b w:val="0"/>
          <w:sz w:val="32"/>
        </w:rPr>
        <w:t>三、《支出决算表》</w:t>
      </w:r>
    </w:p>
    <w:p w14:paraId="5EC15232">
      <w:pPr>
        <w:spacing w:line="240" w:lineRule="auto"/>
        <w:ind w:firstLine="640"/>
        <w:jc w:val="both"/>
      </w:pPr>
      <w:r>
        <w:rPr>
          <w:rFonts w:ascii="仿宋_GB2312" w:hAnsi="仿宋_GB2312" w:eastAsia="仿宋_GB2312"/>
          <w:b w:val="0"/>
          <w:sz w:val="32"/>
        </w:rPr>
        <w:t>四、《财政拨款收入支出决算总表》</w:t>
      </w:r>
    </w:p>
    <w:p w14:paraId="25B33E36">
      <w:pPr>
        <w:spacing w:line="240" w:lineRule="auto"/>
        <w:ind w:firstLine="640"/>
        <w:jc w:val="both"/>
      </w:pPr>
      <w:r>
        <w:rPr>
          <w:rFonts w:ascii="仿宋_GB2312" w:hAnsi="仿宋_GB2312" w:eastAsia="仿宋_GB2312"/>
          <w:b w:val="0"/>
          <w:sz w:val="32"/>
        </w:rPr>
        <w:t>五、《一般公共预算财政拨款支出决算表》</w:t>
      </w:r>
    </w:p>
    <w:p w14:paraId="49413439">
      <w:pPr>
        <w:spacing w:line="240" w:lineRule="auto"/>
        <w:ind w:firstLine="640"/>
        <w:jc w:val="both"/>
      </w:pPr>
      <w:r>
        <w:rPr>
          <w:rFonts w:ascii="仿宋_GB2312" w:hAnsi="仿宋_GB2312" w:eastAsia="仿宋_GB2312"/>
          <w:b w:val="0"/>
          <w:sz w:val="32"/>
        </w:rPr>
        <w:t>六、《一般公共预算财政拨款基本支出决算表》</w:t>
      </w:r>
    </w:p>
    <w:p w14:paraId="0805B18E">
      <w:pPr>
        <w:spacing w:line="240" w:lineRule="auto"/>
        <w:ind w:firstLine="640"/>
        <w:jc w:val="both"/>
      </w:pPr>
      <w:r>
        <w:rPr>
          <w:rFonts w:ascii="仿宋_GB2312" w:hAnsi="仿宋_GB2312" w:eastAsia="仿宋_GB2312"/>
          <w:b w:val="0"/>
          <w:sz w:val="32"/>
        </w:rPr>
        <w:t>七、《政府性基金预算财政拨款收入支出决算表》</w:t>
      </w:r>
    </w:p>
    <w:p w14:paraId="55C7F427">
      <w:pPr>
        <w:spacing w:line="240" w:lineRule="auto"/>
        <w:ind w:firstLine="640"/>
        <w:jc w:val="both"/>
      </w:pPr>
      <w:r>
        <w:rPr>
          <w:rFonts w:ascii="仿宋_GB2312" w:hAnsi="仿宋_GB2312" w:eastAsia="仿宋_GB2312"/>
          <w:b w:val="0"/>
          <w:sz w:val="32"/>
        </w:rPr>
        <w:t>八、《国有资本经营预算财政拨款收入支出决算表》</w:t>
      </w:r>
    </w:p>
    <w:p w14:paraId="479B5741">
      <w:pPr>
        <w:spacing w:line="240" w:lineRule="auto"/>
        <w:ind w:firstLine="640"/>
        <w:jc w:val="both"/>
      </w:pPr>
      <w:r>
        <w:rPr>
          <w:rFonts w:ascii="仿宋_GB2312" w:hAnsi="仿宋_GB2312" w:eastAsia="仿宋_GB2312"/>
          <w:b w:val="0"/>
          <w:sz w:val="32"/>
        </w:rPr>
        <w:t>九、《财政拨款“三公”经费支出决算表》</w:t>
      </w:r>
    </w:p>
    <w:p w14:paraId="0BD49420">
      <w:pPr>
        <w:spacing w:line="240" w:lineRule="auto"/>
        <w:ind w:firstLine="640"/>
        <w:jc w:val="both"/>
      </w:pPr>
    </w:p>
    <w:p w14:paraId="3D39C330">
      <w:pPr>
        <w:spacing w:line="240" w:lineRule="auto"/>
        <w:ind w:firstLine="640"/>
        <w:jc w:val="both"/>
      </w:pPr>
    </w:p>
    <w:p w14:paraId="41C4C93A">
      <w:pPr>
        <w:spacing w:line="240" w:lineRule="auto"/>
        <w:ind w:firstLine="640"/>
        <w:jc w:val="both"/>
      </w:pPr>
    </w:p>
    <w:p w14:paraId="6B6C9B40">
      <w:pPr>
        <w:spacing w:line="240" w:lineRule="auto"/>
        <w:ind w:firstLine="640"/>
        <w:jc w:val="both"/>
      </w:pPr>
    </w:p>
    <w:p w14:paraId="22D679E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1C037D-8CE9-4ACA-9639-0AE6D03FCE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0649751-5D78-4BC1-B77E-261E4E4303EC}"/>
  </w:font>
  <w:font w:name="仿宋_GB2312">
    <w:panose1 w:val="02010609030101010101"/>
    <w:charset w:val="86"/>
    <w:family w:val="modern"/>
    <w:pitch w:val="default"/>
    <w:sig w:usb0="00000001" w:usb1="080E0000" w:usb2="00000000" w:usb3="00000000" w:csb0="00040000" w:csb1="00000000"/>
    <w:embedRegular r:id="rId3" w:fontKey="{2C7EB079-FEDB-4657-A7AE-E9CC3BD480A5}"/>
  </w:font>
  <w:font w:name="楷体_GB2312">
    <w:panose1 w:val="02010609030101010101"/>
    <w:charset w:val="86"/>
    <w:family w:val="auto"/>
    <w:pitch w:val="default"/>
    <w:sig w:usb0="00000001" w:usb1="080E0000" w:usb2="00000000" w:usb3="00000000" w:csb0="00040000" w:csb1="00000000"/>
    <w:embedRegular r:id="rId4" w:fontKey="{097B61C9-4459-4C2C-8533-899EF67A2CF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B209E0"/>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303633"/>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4580</Words>
  <Characters>5267</Characters>
  <Lines>0</Lines>
  <Paragraphs>0</Paragraphs>
  <TotalTime>13</TotalTime>
  <ScaleCrop>false</ScaleCrop>
  <LinksUpToDate>false</LinksUpToDate>
  <CharactersWithSpaces>5275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2025-09-18T02:28:10Z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