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洛浦县第五中学2024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A9D36D8">
      <w:r>
        <w:br w:type="page"/>
      </w:r>
    </w:p>
    <w:p w14:paraId="547E970E">
      <w:pPr>
        <w:spacing w:line="640" w:lineRule="exact"/>
        <w:jc w:val="center"/>
        <w:outlineLvl w:val="1"/>
      </w:pPr>
      <w:r>
        <w:rPr>
          <w:rFonts w:ascii="黑体" w:hAnsi="黑体" w:eastAsia="黑体"/>
          <w:sz w:val="32"/>
        </w:rPr>
        <w:t>第一部分 单位概况</w:t>
      </w:r>
    </w:p>
    <w:p w14:paraId="498052C8">
      <w:pPr>
        <w:spacing w:line="640" w:lineRule="exact"/>
        <w:ind w:firstLine="640"/>
        <w:jc w:val="both"/>
        <w:outlineLvl w:val="2"/>
      </w:pPr>
      <w:r>
        <w:rPr>
          <w:rFonts w:ascii="黑体" w:hAnsi="黑体" w:eastAsia="黑体"/>
          <w:sz w:val="32"/>
        </w:rPr>
        <w:t>一、主要职能</w:t>
      </w:r>
    </w:p>
    <w:p w14:paraId="357417BE">
      <w:pPr>
        <w:spacing w:line="580" w:lineRule="exact"/>
        <w:ind w:firstLine="640"/>
        <w:jc w:val="both"/>
      </w:pPr>
      <w:r>
        <w:rPr>
          <w:rFonts w:ascii="仿宋_GB2312" w:hAnsi="仿宋_GB2312" w:eastAsia="仿宋_GB2312"/>
          <w:sz w:val="32"/>
        </w:rPr>
        <w:t>洛浦县第五中学的主要职能认真贯彻落实党和国家的教育方针、政策，正确执行上级主管部门的决议和指示，根据教育规律、社会要求和学校实际，组织制定学校发展的远景规划，近期目标，学年和学期各项工作计划以及各项工作指标并组织实施。制定教师队伍建设规划，不断提高他们的政治素质、文化业务水平和科研水平。全面实施素质教育，培养德、智、体、美等方面全面发展的社会主义事业的建设者和接班人。</w:t>
      </w:r>
    </w:p>
    <w:p w14:paraId="2C537757">
      <w:pPr>
        <w:spacing w:line="640" w:lineRule="exact"/>
        <w:ind w:firstLine="640"/>
        <w:jc w:val="both"/>
        <w:outlineLvl w:val="2"/>
      </w:pPr>
      <w:r>
        <w:rPr>
          <w:rFonts w:ascii="黑体" w:hAnsi="黑体" w:eastAsia="黑体"/>
          <w:sz w:val="32"/>
        </w:rPr>
        <w:t>二、机构设置及人员情况</w:t>
      </w:r>
    </w:p>
    <w:p w14:paraId="0CCC10E4">
      <w:pPr>
        <w:spacing w:line="580" w:lineRule="exact"/>
        <w:ind w:firstLine="640"/>
        <w:jc w:val="both"/>
      </w:pPr>
      <w:r>
        <w:rPr>
          <w:rFonts w:ascii="仿宋_GB2312" w:hAnsi="仿宋_GB2312" w:eastAsia="仿宋_GB2312"/>
          <w:sz w:val="32"/>
        </w:rPr>
        <w:t>洛浦县第五中学2024年度，实有人数39人，其中：在职人员39人，增加39人；离休人员0人，增加0人；退休人员0人,增加0人。</w:t>
      </w:r>
    </w:p>
    <w:p w14:paraId="1203E1B5">
      <w:pPr>
        <w:spacing w:line="580" w:lineRule="exact"/>
        <w:ind w:firstLine="640"/>
        <w:jc w:val="both"/>
      </w:pPr>
      <w:r>
        <w:rPr>
          <w:rFonts w:ascii="仿宋_GB2312" w:hAnsi="仿宋_GB2312" w:eastAsia="仿宋_GB2312"/>
          <w:sz w:val="32"/>
        </w:rPr>
        <w:t>洛浦县第五中学无下属预算单位，下设6个科室，分别是：校办、教务室、总务室、财务室、教研室、党建办。</w:t>
      </w:r>
    </w:p>
    <w:p w14:paraId="1091C8E2">
      <w:r>
        <w:br w:type="page"/>
      </w:r>
    </w:p>
    <w:p w14:paraId="44591C5F">
      <w:pPr>
        <w:spacing w:line="240" w:lineRule="auto"/>
        <w:jc w:val="center"/>
        <w:outlineLvl w:val="1"/>
      </w:pPr>
      <w:r>
        <w:rPr>
          <w:rFonts w:ascii="黑体" w:hAnsi="黑体" w:eastAsia="黑体"/>
          <w:sz w:val="32"/>
        </w:rPr>
        <w:t>第二部分 部门决算情况说明</w:t>
      </w:r>
    </w:p>
    <w:p w14:paraId="37555927">
      <w:pPr>
        <w:spacing w:line="640" w:lineRule="exact"/>
        <w:ind w:firstLine="640"/>
        <w:jc w:val="both"/>
        <w:outlineLvl w:val="2"/>
      </w:pPr>
      <w:r>
        <w:rPr>
          <w:rFonts w:ascii="黑体" w:hAnsi="黑体" w:eastAsia="黑体"/>
          <w:sz w:val="32"/>
        </w:rPr>
        <w:t>一、收入支出决算总体情况说明</w:t>
      </w:r>
    </w:p>
    <w:p w14:paraId="3CE9DBBF">
      <w:pPr>
        <w:spacing w:line="580" w:lineRule="exact"/>
        <w:ind w:firstLine="640"/>
        <w:jc w:val="both"/>
      </w:pPr>
      <w:r>
        <w:rPr>
          <w:rFonts w:ascii="仿宋_GB2312" w:hAnsi="仿宋_GB2312" w:eastAsia="仿宋_GB2312"/>
          <w:b/>
          <w:sz w:val="32"/>
        </w:rPr>
        <w:t>2024年度收入总计208.37万元，</w:t>
      </w:r>
      <w:r>
        <w:rPr>
          <w:rFonts w:ascii="仿宋_GB2312" w:hAnsi="仿宋_GB2312" w:eastAsia="仿宋_GB2312"/>
          <w:b w:val="0"/>
          <w:sz w:val="32"/>
        </w:rPr>
        <w:t>其中：本年收入合计208.37万元，使用非财政拨款结余（含专用结余）0.00万元，年初结转和结余0.00万元。</w:t>
      </w:r>
    </w:p>
    <w:p w14:paraId="24199629">
      <w:pPr>
        <w:spacing w:line="580" w:lineRule="exact"/>
        <w:ind w:firstLine="640"/>
        <w:jc w:val="both"/>
      </w:pPr>
      <w:r>
        <w:rPr>
          <w:rFonts w:ascii="仿宋_GB2312" w:hAnsi="仿宋_GB2312" w:eastAsia="仿宋_GB2312"/>
          <w:b/>
          <w:sz w:val="32"/>
        </w:rPr>
        <w:t>2024年度支出总计208.37万元，</w:t>
      </w:r>
      <w:r>
        <w:rPr>
          <w:rFonts w:ascii="仿宋_GB2312" w:hAnsi="仿宋_GB2312" w:eastAsia="仿宋_GB2312"/>
          <w:b w:val="0"/>
          <w:sz w:val="32"/>
        </w:rPr>
        <w:t>其中：本年支出合计208.37万元，结余分配0.00万元，年末结转和结余0.00万元。</w:t>
      </w:r>
    </w:p>
    <w:p w14:paraId="6C6D49EB">
      <w:pPr>
        <w:spacing w:line="580" w:lineRule="exact"/>
        <w:ind w:firstLine="640"/>
        <w:jc w:val="both"/>
      </w:pPr>
      <w:r>
        <w:rPr>
          <w:rFonts w:ascii="仿宋_GB2312" w:hAnsi="仿宋_GB2312" w:eastAsia="仿宋_GB2312"/>
          <w:b w:val="0"/>
          <w:sz w:val="32"/>
        </w:rPr>
        <w:t>收入支出总体与上年相比，增加208.37万元，增长100.00%，主要原因是：洛浦县第五中学为新成立单位，无上年对比数据，因此较上年增长100%。</w:t>
      </w:r>
    </w:p>
    <w:p w14:paraId="274C6195">
      <w:pPr>
        <w:spacing w:line="640" w:lineRule="exact"/>
        <w:ind w:firstLine="640"/>
        <w:jc w:val="both"/>
        <w:outlineLvl w:val="2"/>
      </w:pPr>
      <w:r>
        <w:rPr>
          <w:rFonts w:ascii="黑体" w:hAnsi="黑体" w:eastAsia="黑体"/>
          <w:sz w:val="32"/>
        </w:rPr>
        <w:t>二、收入决算情况说明</w:t>
      </w:r>
    </w:p>
    <w:p w14:paraId="4AD5BDC7">
      <w:pPr>
        <w:spacing w:line="580" w:lineRule="exact"/>
        <w:ind w:firstLine="640"/>
        <w:jc w:val="both"/>
      </w:pPr>
      <w:r>
        <w:rPr>
          <w:rFonts w:ascii="仿宋_GB2312" w:hAnsi="仿宋_GB2312" w:eastAsia="仿宋_GB2312"/>
          <w:b/>
          <w:sz w:val="32"/>
        </w:rPr>
        <w:t>本年收入208.37万元，</w:t>
      </w:r>
      <w:r>
        <w:rPr>
          <w:rFonts w:ascii="仿宋_GB2312" w:hAnsi="仿宋_GB2312" w:eastAsia="仿宋_GB2312"/>
          <w:b w:val="0"/>
          <w:sz w:val="32"/>
        </w:rPr>
        <w:t>其中：财政拨款收入208.37万元，占100.00%；上级补助收入0.00万元，占0.00%；事业收入0.00万元，占0.00%；经营收入0.00万元，占0.00%；附属单位上缴收入0.00万元，占0.00%；其他收入0.00万元，占0.00%。</w:t>
      </w:r>
    </w:p>
    <w:p w14:paraId="2D904C2C">
      <w:pPr>
        <w:spacing w:line="640" w:lineRule="exact"/>
        <w:ind w:firstLine="640"/>
        <w:jc w:val="both"/>
        <w:outlineLvl w:val="2"/>
      </w:pPr>
      <w:r>
        <w:rPr>
          <w:rFonts w:ascii="黑体" w:hAnsi="黑体" w:eastAsia="黑体"/>
          <w:sz w:val="32"/>
        </w:rPr>
        <w:t>三、支出决算情况说明</w:t>
      </w:r>
    </w:p>
    <w:p w14:paraId="6218DB65">
      <w:pPr>
        <w:spacing w:line="580" w:lineRule="exact"/>
        <w:ind w:firstLine="640"/>
        <w:jc w:val="both"/>
      </w:pPr>
      <w:r>
        <w:rPr>
          <w:rFonts w:ascii="仿宋_GB2312" w:hAnsi="仿宋_GB2312" w:eastAsia="仿宋_GB2312"/>
          <w:b/>
          <w:sz w:val="32"/>
        </w:rPr>
        <w:t>本年支出208.37万元，</w:t>
      </w:r>
      <w:r>
        <w:rPr>
          <w:rFonts w:ascii="仿宋_GB2312" w:hAnsi="仿宋_GB2312" w:eastAsia="仿宋_GB2312"/>
          <w:b w:val="0"/>
          <w:sz w:val="32"/>
        </w:rPr>
        <w:t>其中：基本支出208.37万元，占100.00%；项目支出0.00万元，占0.00%；上缴上级支出0.00万元，占0.00%；经营支出0.00万元，占0.00%；对附属单位补助支出0.00万元，占0.00%。</w:t>
      </w:r>
    </w:p>
    <w:p w14:paraId="2600290C">
      <w:pPr>
        <w:spacing w:line="640" w:lineRule="exact"/>
        <w:ind w:firstLine="640"/>
        <w:jc w:val="both"/>
        <w:outlineLvl w:val="2"/>
      </w:pPr>
      <w:r>
        <w:rPr>
          <w:rFonts w:ascii="黑体" w:hAnsi="黑体" w:eastAsia="黑体"/>
          <w:sz w:val="32"/>
        </w:rPr>
        <w:t>四、财政拨款收入支出决算总体情况说明</w:t>
      </w:r>
    </w:p>
    <w:p w14:paraId="75037883">
      <w:pPr>
        <w:spacing w:line="580" w:lineRule="exact"/>
        <w:ind w:firstLine="640"/>
        <w:jc w:val="both"/>
      </w:pPr>
      <w:r>
        <w:rPr>
          <w:rFonts w:ascii="仿宋_GB2312" w:hAnsi="仿宋_GB2312" w:eastAsia="仿宋_GB2312"/>
          <w:b/>
          <w:sz w:val="32"/>
        </w:rPr>
        <w:t>2024年度财政拨款收入总计208.37万元，</w:t>
      </w:r>
      <w:r>
        <w:rPr>
          <w:rFonts w:ascii="仿宋_GB2312" w:hAnsi="仿宋_GB2312" w:eastAsia="仿宋_GB2312"/>
          <w:b w:val="0"/>
          <w:sz w:val="32"/>
        </w:rPr>
        <w:t>其中：年初财政拨款结转和结余0.00万元，本年财政拨款收入208.37万元。</w:t>
      </w:r>
      <w:r>
        <w:rPr>
          <w:rFonts w:ascii="仿宋_GB2312" w:hAnsi="仿宋_GB2312" w:eastAsia="仿宋_GB2312"/>
          <w:b/>
          <w:sz w:val="32"/>
        </w:rPr>
        <w:t>财政拨款支出总计208.37万元，</w:t>
      </w:r>
      <w:r>
        <w:rPr>
          <w:rFonts w:ascii="仿宋_GB2312" w:hAnsi="仿宋_GB2312" w:eastAsia="仿宋_GB2312"/>
          <w:b w:val="0"/>
          <w:sz w:val="32"/>
        </w:rPr>
        <w:t>其中：年末财政拨款结转和结余0.00万元，本年财政拨款支出208.37万元。</w:t>
      </w:r>
    </w:p>
    <w:p w14:paraId="5177C4E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增加208.37万元，增长100.00%，主要原因是：洛浦县第五中学为新成立单位，无上年对比数据，因此较上年增长100%。</w:t>
      </w:r>
      <w:r>
        <w:rPr>
          <w:rFonts w:ascii="仿宋_GB2312" w:hAnsi="仿宋_GB2312" w:eastAsia="仿宋_GB2312"/>
          <w:b/>
          <w:sz w:val="32"/>
        </w:rPr>
        <w:t>与年初预算相比，</w:t>
      </w:r>
      <w:r>
        <w:rPr>
          <w:rFonts w:ascii="仿宋_GB2312" w:hAnsi="仿宋_GB2312" w:eastAsia="仿宋_GB2312"/>
          <w:b w:val="0"/>
          <w:sz w:val="32"/>
        </w:rPr>
        <w:t>年初预算数0.00万元，决算数208.37万元，预决算差异率100.00%，主要原因是：洛浦县第五中学为新成立单位，年初未做预算，导致预决算存在差异。</w:t>
      </w:r>
    </w:p>
    <w:p w14:paraId="7F0A95B4">
      <w:pPr>
        <w:spacing w:line="640" w:lineRule="exact"/>
        <w:ind w:firstLine="640"/>
        <w:jc w:val="both"/>
        <w:outlineLvl w:val="2"/>
      </w:pPr>
      <w:r>
        <w:rPr>
          <w:rFonts w:ascii="黑体" w:hAnsi="黑体" w:eastAsia="黑体"/>
          <w:sz w:val="32"/>
        </w:rPr>
        <w:t>五、一般公共预算财政拨款支出决算情况说明</w:t>
      </w:r>
    </w:p>
    <w:p w14:paraId="4A307EAC">
      <w:pPr>
        <w:spacing w:line="640" w:lineRule="exact"/>
        <w:ind w:firstLine="640"/>
        <w:jc w:val="both"/>
        <w:outlineLvl w:val="3"/>
      </w:pPr>
      <w:r>
        <w:rPr>
          <w:rFonts w:ascii="楷体_GB2312" w:hAnsi="楷体_GB2312" w:eastAsia="楷体_GB2312"/>
          <w:b/>
          <w:sz w:val="32"/>
        </w:rPr>
        <w:t>（一）一般公共预算财政拨款支出决算总体情况</w:t>
      </w:r>
    </w:p>
    <w:p w14:paraId="47F22718">
      <w:pPr>
        <w:spacing w:line="580" w:lineRule="exact"/>
        <w:ind w:firstLine="640"/>
        <w:jc w:val="both"/>
      </w:pPr>
      <w:r>
        <w:rPr>
          <w:rFonts w:ascii="仿宋_GB2312" w:hAnsi="仿宋_GB2312" w:eastAsia="仿宋_GB2312"/>
          <w:b/>
          <w:sz w:val="32"/>
        </w:rPr>
        <w:t>2024年度一般公共预算财政拨款支出208.37万元，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增加208.37万元，增长100.00%，主要原因是：洛浦县第五中学为新成立单位，无上年对比数据，因此较上年增长100%。</w:t>
      </w:r>
      <w:r>
        <w:rPr>
          <w:rFonts w:ascii="仿宋_GB2312" w:hAnsi="仿宋_GB2312" w:eastAsia="仿宋_GB2312"/>
          <w:b/>
          <w:sz w:val="32"/>
        </w:rPr>
        <w:t>与年初预算相比,</w:t>
      </w:r>
      <w:r>
        <w:rPr>
          <w:rFonts w:ascii="仿宋_GB2312" w:hAnsi="仿宋_GB2312" w:eastAsia="仿宋_GB2312"/>
          <w:b w:val="0"/>
          <w:sz w:val="32"/>
        </w:rPr>
        <w:t>年初预算数0.00万元，决算数208.37万元，预决算差异率100.00%，主要原因是：洛浦县第五中学为新成立单位，年初未做预算，导致预决算存在差异。</w:t>
      </w:r>
    </w:p>
    <w:p w14:paraId="3EBE4BEC">
      <w:pPr>
        <w:spacing w:line="640" w:lineRule="exact"/>
        <w:ind w:firstLine="640"/>
        <w:jc w:val="both"/>
        <w:outlineLvl w:val="3"/>
      </w:pPr>
      <w:r>
        <w:rPr>
          <w:rFonts w:ascii="楷体_GB2312" w:hAnsi="楷体_GB2312" w:eastAsia="楷体_GB2312"/>
          <w:b/>
          <w:sz w:val="32"/>
        </w:rPr>
        <w:t>（二）一般公共预算财政拨款支出决算结构情况</w:t>
      </w:r>
    </w:p>
    <w:p w14:paraId="4FF67C0F">
      <w:pPr>
        <w:spacing w:line="580" w:lineRule="exact"/>
        <w:ind w:firstLine="640"/>
        <w:jc w:val="both"/>
      </w:pPr>
      <w:r>
        <w:rPr>
          <w:rFonts w:ascii="仿宋_GB2312" w:hAnsi="仿宋_GB2312" w:eastAsia="仿宋_GB2312"/>
          <w:b w:val="0"/>
          <w:sz w:val="32"/>
        </w:rPr>
        <w:t>1.教育支出(类)208.37万元,占100.00%。</w:t>
      </w:r>
    </w:p>
    <w:p w14:paraId="1CD8A5DC">
      <w:pPr>
        <w:spacing w:line="640" w:lineRule="exact"/>
        <w:ind w:firstLine="640"/>
        <w:jc w:val="both"/>
        <w:outlineLvl w:val="3"/>
      </w:pPr>
      <w:r>
        <w:rPr>
          <w:rFonts w:ascii="楷体_GB2312" w:hAnsi="楷体_GB2312" w:eastAsia="楷体_GB2312"/>
          <w:b/>
          <w:sz w:val="32"/>
        </w:rPr>
        <w:t>（三）一般公共预算财政拨款支出决算具体情况</w:t>
      </w:r>
    </w:p>
    <w:p w14:paraId="3A734E3F">
      <w:pPr>
        <w:spacing w:line="580" w:lineRule="exact"/>
        <w:ind w:firstLine="640"/>
        <w:jc w:val="both"/>
      </w:pPr>
      <w:r>
        <w:rPr>
          <w:rFonts w:ascii="仿宋_GB2312" w:hAnsi="仿宋_GB2312" w:eastAsia="仿宋_GB2312"/>
          <w:b w:val="0"/>
          <w:sz w:val="32"/>
        </w:rPr>
        <w:t>1.教育支出(类)普通教育(款)初中教育(项):支出决算数为208.37万元，比上年决算增加208.37万元，增长100.00%,主要原因是：洛浦县第五中学为新成立单位，无上年对比数据，因此较上年增长100%。</w:t>
      </w:r>
    </w:p>
    <w:p w14:paraId="261A8B39">
      <w:pPr>
        <w:spacing w:line="640" w:lineRule="exact"/>
        <w:ind w:firstLine="640"/>
        <w:jc w:val="both"/>
        <w:outlineLvl w:val="2"/>
      </w:pPr>
      <w:r>
        <w:rPr>
          <w:rFonts w:ascii="黑体" w:hAnsi="黑体" w:eastAsia="黑体"/>
          <w:sz w:val="32"/>
        </w:rPr>
        <w:t>六、一般公共预算财政拨款基本支出决算情况说明</w:t>
      </w:r>
    </w:p>
    <w:p w14:paraId="2646D1B9">
      <w:pPr>
        <w:spacing w:line="580" w:lineRule="exact"/>
        <w:ind w:firstLine="640"/>
        <w:jc w:val="both"/>
      </w:pPr>
      <w:r>
        <w:rPr>
          <w:rFonts w:ascii="仿宋_GB2312" w:hAnsi="仿宋_GB2312" w:eastAsia="仿宋_GB2312"/>
          <w:b w:val="0"/>
          <w:sz w:val="32"/>
        </w:rPr>
        <w:t>2024年度一般公共预算财政拨款基本支出208.37万元，其中：</w:t>
      </w:r>
      <w:r>
        <w:rPr>
          <w:rFonts w:ascii="仿宋_GB2312" w:hAnsi="仿宋_GB2312" w:eastAsia="仿宋_GB2312"/>
          <w:b/>
          <w:sz w:val="32"/>
        </w:rPr>
        <w:t>人员经费208.37万元，</w:t>
      </w:r>
      <w:r>
        <w:rPr>
          <w:rFonts w:ascii="仿宋_GB2312" w:hAnsi="仿宋_GB2312" w:eastAsia="仿宋_GB2312"/>
          <w:b w:val="0"/>
          <w:sz w:val="32"/>
        </w:rPr>
        <w:t>包括：基本工资、津贴补贴、绩效工资、机关事业单位基本养老保险缴费、职工基本医疗保险缴费、其他社会保障缴费、住房公积金。</w:t>
      </w:r>
    </w:p>
    <w:p w14:paraId="37079370">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7FD39B74">
      <w:pPr>
        <w:spacing w:line="640" w:lineRule="exact"/>
        <w:ind w:firstLine="640"/>
        <w:jc w:val="both"/>
        <w:outlineLvl w:val="2"/>
      </w:pPr>
      <w:r>
        <w:rPr>
          <w:rFonts w:ascii="黑体" w:hAnsi="黑体" w:eastAsia="黑体"/>
          <w:sz w:val="32"/>
        </w:rPr>
        <w:t>七、政府性基金预算财政拨款收入支出决算情况说明</w:t>
      </w:r>
    </w:p>
    <w:p w14:paraId="5DCCF86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8DF51C2">
      <w:pPr>
        <w:spacing w:line="640" w:lineRule="exact"/>
        <w:ind w:firstLine="640"/>
        <w:jc w:val="both"/>
        <w:outlineLvl w:val="2"/>
      </w:pPr>
      <w:r>
        <w:rPr>
          <w:rFonts w:ascii="黑体" w:hAnsi="黑体" w:eastAsia="黑体"/>
          <w:sz w:val="32"/>
        </w:rPr>
        <w:t>八、国有资本经营预算财政拨款收入支出决算情况说明</w:t>
      </w:r>
    </w:p>
    <w:p w14:paraId="51F57F1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091E4D8">
      <w:pPr>
        <w:spacing w:line="640" w:lineRule="exact"/>
        <w:ind w:firstLine="640"/>
        <w:jc w:val="both"/>
        <w:outlineLvl w:val="2"/>
      </w:pPr>
      <w:r>
        <w:rPr>
          <w:rFonts w:ascii="黑体" w:hAnsi="黑体" w:eastAsia="黑体"/>
          <w:sz w:val="32"/>
        </w:rPr>
        <w:t>九、财政拨款“三公”经费支出决算情况说明</w:t>
      </w:r>
    </w:p>
    <w:p w14:paraId="4065AD8C">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2024未安排财政拨款“三公”经费支出。其中：因公出国（境）费支出0.00万元，占0.00%，比上年增加0.00万元，增长0.00%，主要原因是：2024年未安排因公出国（境）费支出。公务用车购置及运行维护费支出0.00万元，占0.00%，比上年增加0.00万元，增长0.00%，主要原因是：2024年未安排公务用车购置及运行维护费支出。公务接待费支出0.00万元，占0.00%，比上年增加0.00万元，增长0.00%，主要原因是：2024年未安排公务接待费支出。</w:t>
      </w:r>
    </w:p>
    <w:p w14:paraId="5FAD9F06">
      <w:pPr>
        <w:spacing w:line="580" w:lineRule="exact"/>
        <w:ind w:firstLine="640"/>
        <w:jc w:val="both"/>
      </w:pPr>
      <w:r>
        <w:rPr>
          <w:rFonts w:ascii="仿宋_GB2312" w:hAnsi="仿宋_GB2312" w:eastAsia="仿宋_GB2312"/>
          <w:b/>
          <w:sz w:val="32"/>
        </w:rPr>
        <w:t>具体情况如下：</w:t>
      </w:r>
    </w:p>
    <w:p w14:paraId="42C1AB3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81B7735">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0CE5EB3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BBA564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9049FBF">
      <w:pPr>
        <w:spacing w:line="640" w:lineRule="exact"/>
        <w:ind w:firstLine="640"/>
        <w:jc w:val="both"/>
        <w:outlineLvl w:val="2"/>
      </w:pPr>
      <w:r>
        <w:rPr>
          <w:rFonts w:ascii="黑体" w:hAnsi="黑体" w:eastAsia="黑体"/>
          <w:sz w:val="32"/>
        </w:rPr>
        <w:t>十、其他重要事项的情况说明</w:t>
      </w:r>
    </w:p>
    <w:p w14:paraId="2A17D2DB">
      <w:pPr>
        <w:spacing w:line="640" w:lineRule="exact"/>
        <w:ind w:firstLine="640"/>
        <w:jc w:val="both"/>
        <w:outlineLvl w:val="3"/>
      </w:pPr>
      <w:r>
        <w:rPr>
          <w:rFonts w:ascii="楷体_GB2312" w:hAnsi="楷体_GB2312" w:eastAsia="楷体_GB2312"/>
          <w:b/>
          <w:sz w:val="32"/>
        </w:rPr>
        <w:t>（一）机关运行经费及公用经费支出情况</w:t>
      </w:r>
    </w:p>
    <w:p w14:paraId="69AA3E12">
      <w:pPr>
        <w:spacing w:line="580" w:lineRule="exact"/>
        <w:ind w:firstLine="640"/>
        <w:jc w:val="both"/>
      </w:pPr>
      <w:r>
        <w:rPr>
          <w:rFonts w:ascii="仿宋_GB2312" w:hAnsi="仿宋_GB2312" w:eastAsia="仿宋_GB2312"/>
          <w:b w:val="0"/>
          <w:sz w:val="32"/>
        </w:rPr>
        <w:t>2024年度洛浦县第五中学（事业单位）公用经费支出0.00万元，比上年增加0.00万元，增长0.00%，主要原因是：</w:t>
      </w:r>
      <w:r>
        <w:rPr>
          <w:rFonts w:hint="eastAsia" w:ascii="仿宋_GB2312" w:hAnsi="仿宋_GB2312" w:eastAsia="仿宋_GB2312"/>
          <w:b w:val="0"/>
          <w:sz w:val="32"/>
          <w:lang w:val="en-US" w:eastAsia="zh-CN"/>
        </w:rPr>
        <w:t>本单位本年未安排</w:t>
      </w:r>
      <w:r>
        <w:rPr>
          <w:rFonts w:ascii="仿宋_GB2312" w:hAnsi="仿宋_GB2312" w:eastAsia="仿宋_GB2312"/>
          <w:b w:val="0"/>
          <w:sz w:val="32"/>
        </w:rPr>
        <w:t>公用经费</w:t>
      </w:r>
      <w:bookmarkStart w:id="0" w:name="_GoBack"/>
      <w:bookmarkEnd w:id="0"/>
      <w:r>
        <w:rPr>
          <w:rFonts w:ascii="仿宋_GB2312" w:hAnsi="仿宋_GB2312" w:eastAsia="仿宋_GB2312"/>
          <w:b w:val="0"/>
          <w:sz w:val="32"/>
        </w:rPr>
        <w:t>。</w:t>
      </w:r>
    </w:p>
    <w:p w14:paraId="41F4D8C5">
      <w:pPr>
        <w:spacing w:line="640" w:lineRule="exact"/>
        <w:ind w:firstLine="640"/>
        <w:jc w:val="both"/>
        <w:outlineLvl w:val="3"/>
      </w:pPr>
      <w:r>
        <w:rPr>
          <w:rFonts w:ascii="楷体_GB2312" w:hAnsi="楷体_GB2312" w:eastAsia="楷体_GB2312"/>
          <w:b/>
          <w:sz w:val="32"/>
        </w:rPr>
        <w:t>（二）政府采购情况</w:t>
      </w:r>
    </w:p>
    <w:p w14:paraId="6530E733">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67393E15">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6AE24B2D">
      <w:pPr>
        <w:spacing w:line="640" w:lineRule="exact"/>
        <w:ind w:firstLine="640"/>
        <w:jc w:val="both"/>
        <w:outlineLvl w:val="3"/>
      </w:pPr>
      <w:r>
        <w:rPr>
          <w:rFonts w:ascii="楷体_GB2312" w:hAnsi="楷体_GB2312" w:eastAsia="楷体_GB2312"/>
          <w:b/>
          <w:sz w:val="32"/>
        </w:rPr>
        <w:t>（三）国有资产占用情况说明</w:t>
      </w:r>
    </w:p>
    <w:p w14:paraId="1F9FDDDC">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4721E512">
      <w:pPr>
        <w:spacing w:line="640" w:lineRule="exact"/>
        <w:ind w:firstLine="640"/>
        <w:jc w:val="both"/>
        <w:outlineLvl w:val="2"/>
      </w:pPr>
      <w:r>
        <w:rPr>
          <w:rFonts w:ascii="黑体" w:hAnsi="黑体" w:eastAsia="黑体"/>
          <w:sz w:val="32"/>
        </w:rPr>
        <w:t>十一、预算绩效的情况说明</w:t>
      </w:r>
    </w:p>
    <w:p w14:paraId="43F5D6B3">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绩效自评表。发现的问题及原因：本单位无项目绩效自评表。下一步改进措施：本单位无项目绩效自评表。</w:t>
      </w:r>
    </w:p>
    <w:p w14:paraId="1D96DCEE">
      <w:r>
        <w:br w:type="page"/>
      </w:r>
    </w:p>
    <w:p w14:paraId="7A3D73B4">
      <w:pPr>
        <w:spacing w:line="640" w:lineRule="exact"/>
        <w:ind w:firstLine="640"/>
        <w:jc w:val="both"/>
        <w:outlineLvl w:val="2"/>
      </w:pPr>
      <w:r>
        <w:rPr>
          <w:rFonts w:ascii="黑体" w:hAnsi="黑体" w:eastAsia="黑体"/>
          <w:sz w:val="32"/>
        </w:rPr>
        <w:t>十二、其他需说明的事项</w:t>
      </w:r>
    </w:p>
    <w:p w14:paraId="280865D3">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039E1B77">
      <w:pPr>
        <w:spacing w:line="580" w:lineRule="exact"/>
        <w:ind w:firstLine="640"/>
        <w:jc w:val="both"/>
      </w:pPr>
      <w:r>
        <w:rPr>
          <w:rFonts w:ascii="仿宋_GB2312" w:hAnsi="仿宋_GB2312" w:eastAsia="仿宋_GB2312"/>
          <w:b w:val="0"/>
          <w:sz w:val="32"/>
        </w:rPr>
        <w:t>本年度本单位为新增单位无整体绩效自评表。</w:t>
      </w:r>
    </w:p>
    <w:p w14:paraId="162EB594">
      <w:r>
        <w:br w:type="page"/>
      </w:r>
    </w:p>
    <w:p w14:paraId="11EF6777">
      <w:pPr>
        <w:spacing w:line="240" w:lineRule="auto"/>
        <w:jc w:val="center"/>
        <w:outlineLvl w:val="1"/>
      </w:pPr>
      <w:r>
        <w:rPr>
          <w:rFonts w:ascii="黑体" w:hAnsi="黑体" w:eastAsia="黑体"/>
          <w:sz w:val="32"/>
        </w:rPr>
        <w:t>第三部分 专业名词解释</w:t>
      </w:r>
    </w:p>
    <w:p w14:paraId="5E84FCB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EC2F3A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84428E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E34943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3B7D05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9DD55C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21DCA0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354B2F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AFFF8E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DAF45F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54FB9C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B40F43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3EB8F2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519731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C82F17C">
      <w:r>
        <w:br w:type="page"/>
      </w:r>
    </w:p>
    <w:p w14:paraId="07269F0A">
      <w:pPr>
        <w:spacing w:line="240" w:lineRule="auto"/>
        <w:jc w:val="center"/>
        <w:outlineLvl w:val="1"/>
      </w:pPr>
      <w:r>
        <w:rPr>
          <w:rFonts w:ascii="黑体" w:hAnsi="黑体" w:eastAsia="黑体"/>
          <w:sz w:val="32"/>
        </w:rPr>
        <w:t>第四部分 部门决算报表（见附表）</w:t>
      </w:r>
    </w:p>
    <w:p w14:paraId="4D07C743">
      <w:pPr>
        <w:spacing w:line="240" w:lineRule="auto"/>
        <w:ind w:firstLine="640"/>
        <w:jc w:val="both"/>
      </w:pPr>
      <w:r>
        <w:rPr>
          <w:rFonts w:ascii="仿宋_GB2312" w:hAnsi="仿宋_GB2312" w:eastAsia="仿宋_GB2312"/>
          <w:b w:val="0"/>
          <w:sz w:val="32"/>
        </w:rPr>
        <w:t>一、《收入支出决算总表》</w:t>
      </w:r>
    </w:p>
    <w:p w14:paraId="73578480">
      <w:pPr>
        <w:spacing w:line="240" w:lineRule="auto"/>
        <w:ind w:firstLine="640"/>
        <w:jc w:val="both"/>
      </w:pPr>
      <w:r>
        <w:rPr>
          <w:rFonts w:ascii="仿宋_GB2312" w:hAnsi="仿宋_GB2312" w:eastAsia="仿宋_GB2312"/>
          <w:b w:val="0"/>
          <w:sz w:val="32"/>
        </w:rPr>
        <w:t>二、《收入决算表》</w:t>
      </w:r>
    </w:p>
    <w:p w14:paraId="43A25B19">
      <w:pPr>
        <w:spacing w:line="240" w:lineRule="auto"/>
        <w:ind w:firstLine="640"/>
        <w:jc w:val="both"/>
      </w:pPr>
      <w:r>
        <w:rPr>
          <w:rFonts w:ascii="仿宋_GB2312" w:hAnsi="仿宋_GB2312" w:eastAsia="仿宋_GB2312"/>
          <w:b w:val="0"/>
          <w:sz w:val="32"/>
        </w:rPr>
        <w:t>三、《支出决算表》</w:t>
      </w:r>
    </w:p>
    <w:p w14:paraId="11BDBBEE">
      <w:pPr>
        <w:spacing w:line="240" w:lineRule="auto"/>
        <w:ind w:firstLine="640"/>
        <w:jc w:val="both"/>
      </w:pPr>
      <w:r>
        <w:rPr>
          <w:rFonts w:ascii="仿宋_GB2312" w:hAnsi="仿宋_GB2312" w:eastAsia="仿宋_GB2312"/>
          <w:b w:val="0"/>
          <w:sz w:val="32"/>
        </w:rPr>
        <w:t>四、《财政拨款收入支出决算总表》</w:t>
      </w:r>
    </w:p>
    <w:p w14:paraId="7642446C">
      <w:pPr>
        <w:spacing w:line="240" w:lineRule="auto"/>
        <w:ind w:firstLine="640"/>
        <w:jc w:val="both"/>
      </w:pPr>
      <w:r>
        <w:rPr>
          <w:rFonts w:ascii="仿宋_GB2312" w:hAnsi="仿宋_GB2312" w:eastAsia="仿宋_GB2312"/>
          <w:b w:val="0"/>
          <w:sz w:val="32"/>
        </w:rPr>
        <w:t>五、《一般公共预算财政拨款支出决算表》</w:t>
      </w:r>
    </w:p>
    <w:p w14:paraId="1920EBC0">
      <w:pPr>
        <w:spacing w:line="240" w:lineRule="auto"/>
        <w:ind w:firstLine="640"/>
        <w:jc w:val="both"/>
      </w:pPr>
      <w:r>
        <w:rPr>
          <w:rFonts w:ascii="仿宋_GB2312" w:hAnsi="仿宋_GB2312" w:eastAsia="仿宋_GB2312"/>
          <w:b w:val="0"/>
          <w:sz w:val="32"/>
        </w:rPr>
        <w:t>六、《一般公共预算财政拨款基本支出决算表》</w:t>
      </w:r>
    </w:p>
    <w:p w14:paraId="7E1286F2">
      <w:pPr>
        <w:spacing w:line="240" w:lineRule="auto"/>
        <w:ind w:firstLine="640"/>
        <w:jc w:val="both"/>
      </w:pPr>
      <w:r>
        <w:rPr>
          <w:rFonts w:ascii="仿宋_GB2312" w:hAnsi="仿宋_GB2312" w:eastAsia="仿宋_GB2312"/>
          <w:b w:val="0"/>
          <w:sz w:val="32"/>
        </w:rPr>
        <w:t>七、《政府性基金预算财政拨款收入支出决算表》</w:t>
      </w:r>
    </w:p>
    <w:p w14:paraId="5ED4D46B">
      <w:pPr>
        <w:spacing w:line="240" w:lineRule="auto"/>
        <w:ind w:firstLine="640"/>
        <w:jc w:val="both"/>
      </w:pPr>
      <w:r>
        <w:rPr>
          <w:rFonts w:ascii="仿宋_GB2312" w:hAnsi="仿宋_GB2312" w:eastAsia="仿宋_GB2312"/>
          <w:b w:val="0"/>
          <w:sz w:val="32"/>
        </w:rPr>
        <w:t>八、《国有资本经营预算财政拨款收入支出决算表》</w:t>
      </w:r>
    </w:p>
    <w:p w14:paraId="7EB28995">
      <w:pPr>
        <w:spacing w:line="240" w:lineRule="auto"/>
        <w:ind w:firstLine="640"/>
        <w:jc w:val="both"/>
      </w:pPr>
      <w:r>
        <w:rPr>
          <w:rFonts w:ascii="仿宋_GB2312" w:hAnsi="仿宋_GB2312" w:eastAsia="仿宋_GB2312"/>
          <w:b w:val="0"/>
          <w:sz w:val="32"/>
        </w:rPr>
        <w:t>九、《财政拨款“三公”经费支出决算表》</w:t>
      </w:r>
    </w:p>
    <w:p w14:paraId="7254D414">
      <w:pPr>
        <w:spacing w:line="240" w:lineRule="auto"/>
        <w:ind w:firstLine="640"/>
        <w:jc w:val="both"/>
      </w:pPr>
    </w:p>
    <w:p w14:paraId="5604FF55">
      <w:pPr>
        <w:spacing w:line="240" w:lineRule="auto"/>
        <w:ind w:firstLine="640"/>
        <w:jc w:val="both"/>
      </w:pPr>
    </w:p>
    <w:p w14:paraId="1DAEA02C">
      <w:pPr>
        <w:spacing w:line="240" w:lineRule="auto"/>
        <w:ind w:firstLine="640"/>
        <w:jc w:val="both"/>
      </w:pPr>
    </w:p>
    <w:p w14:paraId="2FA8714A">
      <w:pPr>
        <w:spacing w:line="240" w:lineRule="auto"/>
        <w:ind w:firstLine="640"/>
        <w:jc w:val="both"/>
      </w:pPr>
    </w:p>
    <w:p w14:paraId="652A9B8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AE32C1A-9967-4244-966B-922CDE3DA68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E269DEB-AEE4-451C-8DDE-69D7804134CE}"/>
  </w:font>
  <w:font w:name="仿宋_GB2312">
    <w:altName w:val="仿宋"/>
    <w:panose1 w:val="02010609030101010101"/>
    <w:charset w:val="86"/>
    <w:family w:val="modern"/>
    <w:pitch w:val="default"/>
    <w:sig w:usb0="00000000" w:usb1="00000000" w:usb2="00000000" w:usb3="00000000" w:csb0="00040000" w:csb1="00000000"/>
    <w:embedRegular r:id="rId3" w:fontKey="{E74E9BDF-F04C-4B83-B5CB-F5C09C0105B3}"/>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embedRegular r:id="rId4" w:fontKey="{DAF1B19C-93F1-43C1-BE5F-EE821169CD5C}"/>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A3093"/>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9F245C"/>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C8B0B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4399</Words>
  <Characters>4910</Characters>
  <Lines>0</Lines>
  <Paragraphs>0</Paragraphs>
  <TotalTime>0</TotalTime>
  <ScaleCrop>false</ScaleCrop>
  <LinksUpToDate>false</LinksUpToDate>
  <CharactersWithSpaces>4920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来财&amp;十个勤天</cp:lastModifiedBy>
  <cp:lastPrinted>2024-07-22T11:58:00Z</cp:lastPrinted>
  <dcterms:modified xsi:type="dcterms:W3CDTF">2025-11-28T08:08:25Z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eyJoZGlkIjoiZjZjY2YzNDY3YWM4YThjNjdkZTk2MDAwYjE2OGQzNDQiLCJ1c2VySWQiOiIzNzI2MDMzNTYifQ==</vt:lpwstr>
  </property>
</Properties>
</file>