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185C77">
      <w:r>
        <w:br w:type="page"/>
      </w:r>
    </w:p>
    <w:p w14:paraId="2F4CB533">
      <w:pPr>
        <w:spacing w:line="640" w:lineRule="exact"/>
        <w:jc w:val="center"/>
        <w:outlineLvl w:val="1"/>
      </w:pPr>
      <w:r>
        <w:rPr>
          <w:rFonts w:ascii="黑体" w:hAnsi="黑体" w:eastAsia="黑体"/>
          <w:sz w:val="32"/>
        </w:rPr>
        <w:t>第一部分 单位概况</w:t>
      </w:r>
    </w:p>
    <w:p w14:paraId="39451EA1">
      <w:pPr>
        <w:spacing w:line="640" w:lineRule="exact"/>
        <w:ind w:firstLine="640"/>
        <w:jc w:val="both"/>
        <w:outlineLvl w:val="2"/>
      </w:pPr>
      <w:r>
        <w:rPr>
          <w:rFonts w:ascii="黑体" w:hAnsi="黑体" w:eastAsia="黑体"/>
          <w:sz w:val="32"/>
        </w:rPr>
        <w:t>一、主要职能</w:t>
      </w:r>
    </w:p>
    <w:p w14:paraId="218A2EBD">
      <w:pPr>
        <w:spacing w:line="580" w:lineRule="exact"/>
        <w:ind w:firstLine="640"/>
        <w:jc w:val="both"/>
      </w:pPr>
      <w:r>
        <w:rPr>
          <w:rFonts w:ascii="仿宋_GB2312" w:hAnsi="仿宋_GB2312" w:eastAsia="仿宋_GB2312"/>
          <w:sz w:val="32"/>
        </w:rPr>
        <w:t>洛浦县第二中学的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38CA28D0">
      <w:pPr>
        <w:spacing w:line="640" w:lineRule="exact"/>
        <w:ind w:firstLine="640"/>
        <w:jc w:val="both"/>
        <w:outlineLvl w:val="2"/>
      </w:pPr>
      <w:r>
        <w:rPr>
          <w:rFonts w:ascii="黑体" w:hAnsi="黑体" w:eastAsia="黑体"/>
          <w:sz w:val="32"/>
        </w:rPr>
        <w:t>二、机构设置及人员情况</w:t>
      </w:r>
    </w:p>
    <w:p w14:paraId="2B20D9A5">
      <w:pPr>
        <w:spacing w:line="580" w:lineRule="exact"/>
        <w:ind w:firstLine="640"/>
        <w:jc w:val="both"/>
      </w:pPr>
      <w:r>
        <w:rPr>
          <w:rFonts w:ascii="仿宋_GB2312" w:hAnsi="仿宋_GB2312" w:eastAsia="仿宋_GB2312"/>
          <w:sz w:val="32"/>
        </w:rPr>
        <w:t>洛浦县第二中学2024年度，实有人数100人，其中：在职人员80人，增加31人；离休人员0人，增加0人；退休人员20人</w:t>
      </w:r>
      <w:bookmarkStart w:id="0" w:name="_GoBack"/>
      <w:r>
        <w:rPr>
          <w:rFonts w:ascii="仿宋_GB2312" w:hAnsi="仿宋_GB2312" w:eastAsia="仿宋_GB2312"/>
          <w:sz w:val="32"/>
        </w:rPr>
        <w:t>,</w:t>
      </w:r>
      <w:bookmarkEnd w:id="0"/>
      <w:r>
        <w:rPr>
          <w:rFonts w:ascii="仿宋_GB2312" w:hAnsi="仿宋_GB2312" w:eastAsia="仿宋_GB2312"/>
          <w:sz w:val="32"/>
        </w:rPr>
        <w:t>增加2人。</w:t>
      </w:r>
    </w:p>
    <w:p w14:paraId="6DA3CA3E">
      <w:pPr>
        <w:spacing w:line="580" w:lineRule="exact"/>
        <w:ind w:firstLine="640"/>
        <w:jc w:val="both"/>
      </w:pPr>
      <w:r>
        <w:rPr>
          <w:rFonts w:ascii="仿宋_GB2312" w:hAnsi="仿宋_GB2312" w:eastAsia="仿宋_GB2312"/>
          <w:sz w:val="32"/>
        </w:rPr>
        <w:t>洛浦县第二中学无下属预算单位，下设6个科室，分别是：校办、教务室、总务室、财务室、教研室、党建办。</w:t>
      </w:r>
    </w:p>
    <w:p w14:paraId="28B7B01D">
      <w:r>
        <w:br w:type="page"/>
      </w:r>
    </w:p>
    <w:p w14:paraId="783184AF">
      <w:pPr>
        <w:spacing w:line="240" w:lineRule="auto"/>
        <w:jc w:val="center"/>
        <w:outlineLvl w:val="1"/>
      </w:pPr>
      <w:r>
        <w:rPr>
          <w:rFonts w:ascii="黑体" w:hAnsi="黑体" w:eastAsia="黑体"/>
          <w:sz w:val="32"/>
        </w:rPr>
        <w:t>第二部分 部门决算情况说明</w:t>
      </w:r>
    </w:p>
    <w:p w14:paraId="7AE9AAB4">
      <w:pPr>
        <w:spacing w:line="640" w:lineRule="exact"/>
        <w:ind w:firstLine="640"/>
        <w:jc w:val="both"/>
        <w:outlineLvl w:val="2"/>
      </w:pPr>
      <w:r>
        <w:rPr>
          <w:rFonts w:ascii="黑体" w:hAnsi="黑体" w:eastAsia="黑体"/>
          <w:sz w:val="32"/>
        </w:rPr>
        <w:t>一、收入支出决算总体情况说明</w:t>
      </w:r>
    </w:p>
    <w:p w14:paraId="7B62761C">
      <w:pPr>
        <w:spacing w:line="580" w:lineRule="exact"/>
        <w:ind w:firstLine="640"/>
        <w:jc w:val="both"/>
      </w:pPr>
      <w:r>
        <w:rPr>
          <w:rFonts w:ascii="仿宋_GB2312" w:hAnsi="仿宋_GB2312" w:eastAsia="仿宋_GB2312"/>
          <w:b/>
          <w:sz w:val="32"/>
        </w:rPr>
        <w:t>2024年度收入总计2,094.26万元，</w:t>
      </w:r>
      <w:r>
        <w:rPr>
          <w:rFonts w:ascii="仿宋_GB2312" w:hAnsi="仿宋_GB2312" w:eastAsia="仿宋_GB2312"/>
          <w:b w:val="0"/>
          <w:sz w:val="32"/>
        </w:rPr>
        <w:t>其中：本年收入合计2,094.26万元，使用非财政拨款结余（含专用结余）0.00万元，年初结转和结余0.00万元。</w:t>
      </w:r>
    </w:p>
    <w:p w14:paraId="33F404C4">
      <w:pPr>
        <w:spacing w:line="580" w:lineRule="exact"/>
        <w:ind w:firstLine="640"/>
        <w:jc w:val="both"/>
      </w:pPr>
      <w:r>
        <w:rPr>
          <w:rFonts w:ascii="仿宋_GB2312" w:hAnsi="仿宋_GB2312" w:eastAsia="仿宋_GB2312"/>
          <w:b/>
          <w:sz w:val="32"/>
        </w:rPr>
        <w:t>2024年度支出总计2,094.26万元，</w:t>
      </w:r>
      <w:r>
        <w:rPr>
          <w:rFonts w:ascii="仿宋_GB2312" w:hAnsi="仿宋_GB2312" w:eastAsia="仿宋_GB2312"/>
          <w:b w:val="0"/>
          <w:sz w:val="32"/>
        </w:rPr>
        <w:t>其中：本年支出合计2,094.26万元，结余分配0.00万元，年末结转和结余0.00万元。</w:t>
      </w:r>
    </w:p>
    <w:p w14:paraId="35E38A4C">
      <w:pPr>
        <w:spacing w:line="580" w:lineRule="exact"/>
        <w:ind w:firstLine="640"/>
        <w:jc w:val="both"/>
      </w:pPr>
      <w:r>
        <w:rPr>
          <w:rFonts w:ascii="仿宋_GB2312" w:hAnsi="仿宋_GB2312" w:eastAsia="仿宋_GB2312"/>
          <w:b w:val="0"/>
          <w:sz w:val="32"/>
        </w:rPr>
        <w:t>收入支出总体与上年相比，增加664.23万元，增长46.45%，主要原因是：1.本年在职人员工资调增，社保</w:t>
      </w:r>
      <w:r>
        <w:rPr>
          <w:rFonts w:hint="eastAsia" w:ascii="仿宋_GB2312" w:hAnsi="仿宋_GB2312" w:eastAsia="仿宋_GB2312"/>
          <w:b w:val="0"/>
          <w:sz w:val="32"/>
          <w:lang w:eastAsia="zh-CN"/>
        </w:rPr>
        <w:t>、</w:t>
      </w:r>
      <w:r>
        <w:rPr>
          <w:rFonts w:ascii="仿宋_GB2312" w:hAnsi="仿宋_GB2312" w:eastAsia="仿宋_GB2312"/>
          <w:b w:val="0"/>
          <w:sz w:val="32"/>
        </w:rPr>
        <w:t>住房公积金等相关人员经费增加。2.家庭经济困难非寄宿生生活补助、学生伙食费较上年增加。</w:t>
      </w:r>
    </w:p>
    <w:p w14:paraId="30B258B0">
      <w:pPr>
        <w:spacing w:line="640" w:lineRule="exact"/>
        <w:ind w:firstLine="640"/>
        <w:jc w:val="both"/>
        <w:outlineLvl w:val="2"/>
      </w:pPr>
      <w:r>
        <w:rPr>
          <w:rFonts w:ascii="黑体" w:hAnsi="黑体" w:eastAsia="黑体"/>
          <w:sz w:val="32"/>
        </w:rPr>
        <w:t>二、收入决算情况说明</w:t>
      </w:r>
    </w:p>
    <w:p w14:paraId="3F4B8D18">
      <w:pPr>
        <w:spacing w:line="580" w:lineRule="exact"/>
        <w:ind w:firstLine="640"/>
        <w:jc w:val="both"/>
      </w:pPr>
      <w:r>
        <w:rPr>
          <w:rFonts w:ascii="仿宋_GB2312" w:hAnsi="仿宋_GB2312" w:eastAsia="仿宋_GB2312"/>
          <w:b/>
          <w:sz w:val="32"/>
        </w:rPr>
        <w:t>本年收入2,094.26万元，</w:t>
      </w:r>
      <w:r>
        <w:rPr>
          <w:rFonts w:ascii="仿宋_GB2312" w:hAnsi="仿宋_GB2312" w:eastAsia="仿宋_GB2312"/>
          <w:b w:val="0"/>
          <w:sz w:val="32"/>
        </w:rPr>
        <w:t>其中：财政拨款收入2,072.31万元，占98.95%；上级补助收入0.00万元，占0.00%；事业收入0.00万元，占0.00%；经营收入0.00万元，占0.00%；附属单位上缴收入0.00万元，占0.00%；其他收入21.94万元，占1.05%。</w:t>
      </w:r>
    </w:p>
    <w:p w14:paraId="699D56C6">
      <w:pPr>
        <w:spacing w:line="640" w:lineRule="exact"/>
        <w:ind w:firstLine="640"/>
        <w:jc w:val="both"/>
        <w:outlineLvl w:val="2"/>
      </w:pPr>
      <w:r>
        <w:rPr>
          <w:rFonts w:ascii="黑体" w:hAnsi="黑体" w:eastAsia="黑体"/>
          <w:sz w:val="32"/>
        </w:rPr>
        <w:t>三、支出决算情况说明</w:t>
      </w:r>
    </w:p>
    <w:p w14:paraId="283E86EC">
      <w:pPr>
        <w:spacing w:line="580" w:lineRule="exact"/>
        <w:ind w:firstLine="640"/>
        <w:jc w:val="both"/>
      </w:pPr>
      <w:r>
        <w:rPr>
          <w:rFonts w:ascii="仿宋_GB2312" w:hAnsi="仿宋_GB2312" w:eastAsia="仿宋_GB2312"/>
          <w:b/>
          <w:sz w:val="32"/>
        </w:rPr>
        <w:t>本年支出2,094.26万元，</w:t>
      </w:r>
      <w:r>
        <w:rPr>
          <w:rFonts w:ascii="仿宋_GB2312" w:hAnsi="仿宋_GB2312" w:eastAsia="仿宋_GB2312"/>
          <w:b w:val="0"/>
          <w:sz w:val="32"/>
        </w:rPr>
        <w:t>其中：基本支出1,794.25万元，占85.67%；项目支出300.01万元，占14.33%；上缴上级支出0.00万元，占0.00%；经营支出0.00万元，占0.00%；对附属单位补助支出0.00万元，占0.00%。</w:t>
      </w:r>
    </w:p>
    <w:p w14:paraId="375AA6F8">
      <w:pPr>
        <w:spacing w:line="640" w:lineRule="exact"/>
        <w:ind w:firstLine="640"/>
        <w:jc w:val="both"/>
        <w:outlineLvl w:val="2"/>
      </w:pPr>
      <w:r>
        <w:rPr>
          <w:rFonts w:ascii="黑体" w:hAnsi="黑体" w:eastAsia="黑体"/>
          <w:sz w:val="32"/>
        </w:rPr>
        <w:t>四、财政拨款收入支出决算总体情况说明</w:t>
      </w:r>
    </w:p>
    <w:p w14:paraId="14308F8E">
      <w:pPr>
        <w:spacing w:line="580" w:lineRule="exact"/>
        <w:ind w:firstLine="640"/>
        <w:jc w:val="both"/>
      </w:pPr>
      <w:r>
        <w:rPr>
          <w:rFonts w:ascii="仿宋_GB2312" w:hAnsi="仿宋_GB2312" w:eastAsia="仿宋_GB2312"/>
          <w:b/>
          <w:sz w:val="32"/>
        </w:rPr>
        <w:t>2024年度财政拨款收入总计2,072.31万元，</w:t>
      </w:r>
      <w:r>
        <w:rPr>
          <w:rFonts w:ascii="仿宋_GB2312" w:hAnsi="仿宋_GB2312" w:eastAsia="仿宋_GB2312"/>
          <w:b w:val="0"/>
          <w:sz w:val="32"/>
        </w:rPr>
        <w:t>其中：年初财政拨款结转和结余0.00万元，本年财政拨款收入2,072.31万元。</w:t>
      </w:r>
      <w:r>
        <w:rPr>
          <w:rFonts w:ascii="仿宋_GB2312" w:hAnsi="仿宋_GB2312" w:eastAsia="仿宋_GB2312"/>
          <w:b/>
          <w:sz w:val="32"/>
        </w:rPr>
        <w:t>财政拨款支出总计2,072.31万元，</w:t>
      </w:r>
      <w:r>
        <w:rPr>
          <w:rFonts w:ascii="仿宋_GB2312" w:hAnsi="仿宋_GB2312" w:eastAsia="仿宋_GB2312"/>
          <w:b w:val="0"/>
          <w:sz w:val="32"/>
        </w:rPr>
        <w:t>其中：年末财政拨款结转和结余0.00万元，本年财政拨款支出2,072.31万元。</w:t>
      </w:r>
    </w:p>
    <w:p w14:paraId="25142BB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增加642.33万元，增长44.92%，主要原因是：1.本年在职人员工资调增，社保</w:t>
      </w:r>
      <w:r>
        <w:rPr>
          <w:rFonts w:hint="eastAsia" w:ascii="仿宋_GB2312" w:hAnsi="仿宋_GB2312" w:eastAsia="仿宋_GB2312"/>
          <w:b w:val="0"/>
          <w:sz w:val="32"/>
          <w:lang w:eastAsia="zh-CN"/>
        </w:rPr>
        <w:t>、</w:t>
      </w:r>
      <w:r>
        <w:rPr>
          <w:rFonts w:ascii="仿宋_GB2312" w:hAnsi="仿宋_GB2312" w:eastAsia="仿宋_GB2312"/>
          <w:b w:val="0"/>
          <w:sz w:val="32"/>
        </w:rPr>
        <w:t>住房公积金等相关人员经费增加。2.家庭经济困难非寄宿生生活补助较上年增加。</w:t>
      </w:r>
      <w:r>
        <w:rPr>
          <w:rFonts w:ascii="仿宋_GB2312" w:hAnsi="仿宋_GB2312" w:eastAsia="仿宋_GB2312"/>
          <w:b/>
          <w:sz w:val="32"/>
        </w:rPr>
        <w:t>与年初预算相比，</w:t>
      </w:r>
      <w:r>
        <w:rPr>
          <w:rFonts w:ascii="仿宋_GB2312" w:hAnsi="仿宋_GB2312" w:eastAsia="仿宋_GB2312"/>
          <w:b w:val="0"/>
          <w:sz w:val="32"/>
        </w:rPr>
        <w:t>年初预算数1,970.77万元，决算数2,072.31万元，预决算差异率5.15%，主要原因是：年中追加人员工资、社保、公积金基数调增部分资金及家庭经济困难非寄宿生生活补助经费，导致预决算差异。</w:t>
      </w:r>
    </w:p>
    <w:p w14:paraId="419B0701">
      <w:pPr>
        <w:spacing w:line="640" w:lineRule="exact"/>
        <w:ind w:firstLine="640"/>
        <w:jc w:val="both"/>
        <w:outlineLvl w:val="2"/>
      </w:pPr>
      <w:r>
        <w:rPr>
          <w:rFonts w:ascii="黑体" w:hAnsi="黑体" w:eastAsia="黑体"/>
          <w:sz w:val="32"/>
        </w:rPr>
        <w:t>五、一般公共预算财政拨款支出决算情况说明</w:t>
      </w:r>
    </w:p>
    <w:p w14:paraId="300AF6FC">
      <w:pPr>
        <w:spacing w:line="640" w:lineRule="exact"/>
        <w:ind w:firstLine="640"/>
        <w:jc w:val="both"/>
        <w:outlineLvl w:val="3"/>
      </w:pPr>
      <w:r>
        <w:rPr>
          <w:rFonts w:ascii="楷体_GB2312" w:hAnsi="楷体_GB2312" w:eastAsia="楷体_GB2312"/>
          <w:b/>
          <w:sz w:val="32"/>
        </w:rPr>
        <w:t>（一）一般公共预算财政拨款支出决算总体情况</w:t>
      </w:r>
    </w:p>
    <w:p w14:paraId="4B837DA1">
      <w:pPr>
        <w:spacing w:line="580" w:lineRule="exact"/>
        <w:ind w:firstLine="640"/>
        <w:jc w:val="both"/>
      </w:pPr>
      <w:r>
        <w:rPr>
          <w:rFonts w:ascii="仿宋_GB2312" w:hAnsi="仿宋_GB2312" w:eastAsia="仿宋_GB2312"/>
          <w:b/>
          <w:sz w:val="32"/>
        </w:rPr>
        <w:t>2024年度一般公共预算财政拨款支出2,072.31万元，</w:t>
      </w:r>
      <w:r>
        <w:rPr>
          <w:rFonts w:ascii="仿宋_GB2312" w:hAnsi="仿宋_GB2312" w:eastAsia="仿宋_GB2312"/>
          <w:b w:val="0"/>
          <w:sz w:val="32"/>
        </w:rPr>
        <w:t>占本年支出合计的98.95%。</w:t>
      </w:r>
      <w:r>
        <w:rPr>
          <w:rFonts w:ascii="仿宋_GB2312" w:hAnsi="仿宋_GB2312" w:eastAsia="仿宋_GB2312"/>
          <w:b/>
          <w:sz w:val="32"/>
        </w:rPr>
        <w:t>与上年相比，</w:t>
      </w:r>
      <w:r>
        <w:rPr>
          <w:rFonts w:ascii="仿宋_GB2312" w:hAnsi="仿宋_GB2312" w:eastAsia="仿宋_GB2312"/>
          <w:b w:val="0"/>
          <w:sz w:val="32"/>
        </w:rPr>
        <w:t>增加642.33万元，增长44.92%，主要原因是：1.本年在职人员工资调增，社保</w:t>
      </w:r>
      <w:r>
        <w:rPr>
          <w:rFonts w:hint="eastAsia" w:ascii="仿宋_GB2312" w:hAnsi="仿宋_GB2312" w:eastAsia="仿宋_GB2312"/>
          <w:b w:val="0"/>
          <w:sz w:val="32"/>
          <w:lang w:eastAsia="zh-CN"/>
        </w:rPr>
        <w:t>、</w:t>
      </w:r>
      <w:r>
        <w:rPr>
          <w:rFonts w:ascii="仿宋_GB2312" w:hAnsi="仿宋_GB2312" w:eastAsia="仿宋_GB2312"/>
          <w:b w:val="0"/>
          <w:sz w:val="32"/>
        </w:rPr>
        <w:t>住房公积金等相关人员经费增加。2.家庭经济困难非寄宿生生活补助较上年增加。</w:t>
      </w:r>
      <w:r>
        <w:rPr>
          <w:rFonts w:ascii="仿宋_GB2312" w:hAnsi="仿宋_GB2312" w:eastAsia="仿宋_GB2312"/>
          <w:b/>
          <w:sz w:val="32"/>
        </w:rPr>
        <w:t>与年初预算相比,</w:t>
      </w:r>
      <w:r>
        <w:rPr>
          <w:rFonts w:ascii="仿宋_GB2312" w:hAnsi="仿宋_GB2312" w:eastAsia="仿宋_GB2312"/>
          <w:b w:val="0"/>
          <w:sz w:val="32"/>
        </w:rPr>
        <w:t>年初预算数1,970.77万元，决算数2,072.31万元，预决算差异率5.15%，主要原因是：年中追加人员工资、社保、公积金基数调增部分资金及家庭经济困难非寄宿生生活补助经费，导致预决算差异。</w:t>
      </w:r>
    </w:p>
    <w:p w14:paraId="0E3EE8BE">
      <w:pPr>
        <w:spacing w:line="640" w:lineRule="exact"/>
        <w:ind w:firstLine="640"/>
        <w:jc w:val="both"/>
        <w:outlineLvl w:val="3"/>
      </w:pPr>
      <w:r>
        <w:rPr>
          <w:rFonts w:ascii="楷体_GB2312" w:hAnsi="楷体_GB2312" w:eastAsia="楷体_GB2312"/>
          <w:b/>
          <w:sz w:val="32"/>
        </w:rPr>
        <w:t>（二）一般公共预算财政拨款支出决算结构情况</w:t>
      </w:r>
    </w:p>
    <w:p w14:paraId="272F16DE">
      <w:pPr>
        <w:spacing w:line="580" w:lineRule="exact"/>
        <w:ind w:firstLine="640"/>
        <w:jc w:val="both"/>
      </w:pPr>
      <w:r>
        <w:rPr>
          <w:rFonts w:ascii="仿宋_GB2312" w:hAnsi="仿宋_GB2312" w:eastAsia="仿宋_GB2312"/>
          <w:b w:val="0"/>
          <w:sz w:val="32"/>
        </w:rPr>
        <w:t>1.教育支出(类)2,059.71万元,占99.39%。</w:t>
      </w:r>
    </w:p>
    <w:p w14:paraId="01D8D752">
      <w:pPr>
        <w:spacing w:line="580" w:lineRule="exact"/>
        <w:ind w:firstLine="640"/>
        <w:jc w:val="both"/>
      </w:pPr>
      <w:r>
        <w:rPr>
          <w:rFonts w:ascii="仿宋_GB2312" w:hAnsi="仿宋_GB2312" w:eastAsia="仿宋_GB2312"/>
          <w:b w:val="0"/>
          <w:sz w:val="32"/>
        </w:rPr>
        <w:t>2.其他支出(类)12.60万元,占0.61%。</w:t>
      </w:r>
    </w:p>
    <w:p w14:paraId="672DED5B">
      <w:pPr>
        <w:spacing w:line="640" w:lineRule="exact"/>
        <w:ind w:firstLine="640"/>
        <w:jc w:val="both"/>
        <w:outlineLvl w:val="3"/>
      </w:pPr>
      <w:r>
        <w:rPr>
          <w:rFonts w:ascii="楷体_GB2312" w:hAnsi="楷体_GB2312" w:eastAsia="楷体_GB2312"/>
          <w:b/>
          <w:sz w:val="32"/>
        </w:rPr>
        <w:t>（三）一般公共预算财政拨款支出决算具体情况</w:t>
      </w:r>
    </w:p>
    <w:p w14:paraId="65653251">
      <w:pPr>
        <w:spacing w:line="580" w:lineRule="exact"/>
        <w:ind w:firstLine="640"/>
        <w:jc w:val="both"/>
        <w:rPr>
          <w:rFonts w:hint="default" w:eastAsia="仿宋_GB2312"/>
          <w:lang w:val="en-US" w:eastAsia="zh-CN"/>
        </w:rPr>
      </w:pPr>
      <w:r>
        <w:rPr>
          <w:rFonts w:ascii="仿宋_GB2312" w:hAnsi="仿宋_GB2312" w:eastAsia="仿宋_GB2312"/>
          <w:b w:val="0"/>
          <w:sz w:val="32"/>
        </w:rPr>
        <w:t>1.教育支出(类)普通教育(款)初中教育(项):支出决算数为2,059.71万元，比上年决算增加682.80万元，增长49.59%,主要原因是：1.2024年在职人员工资调增，社保</w:t>
      </w:r>
      <w:r>
        <w:rPr>
          <w:rFonts w:hint="eastAsia" w:ascii="仿宋_GB2312" w:hAnsi="仿宋_GB2312" w:eastAsia="仿宋_GB2312"/>
          <w:b w:val="0"/>
          <w:sz w:val="32"/>
          <w:lang w:eastAsia="zh-CN"/>
        </w:rPr>
        <w:t>、</w:t>
      </w:r>
      <w:r>
        <w:rPr>
          <w:rFonts w:ascii="仿宋_GB2312" w:hAnsi="仿宋_GB2312" w:eastAsia="仿宋_GB2312"/>
          <w:b w:val="0"/>
          <w:sz w:val="32"/>
        </w:rPr>
        <w:t>住房公积金等相关人员经费增加。2.家庭经济困难非寄宿生生活补助较上年增加。</w:t>
      </w:r>
      <w:r>
        <w:rPr>
          <w:rFonts w:hint="eastAsia" w:ascii="仿宋_GB2312" w:hAnsi="仿宋_GB2312" w:eastAsia="仿宋_GB2312"/>
          <w:b w:val="0"/>
          <w:sz w:val="32"/>
          <w:lang w:val="en-US" w:eastAsia="zh-CN"/>
        </w:rPr>
        <w:t>3.本年养老保险和职业年金调整至本科目列支。</w:t>
      </w:r>
    </w:p>
    <w:p w14:paraId="1E7DA491">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2.教育支出(类)普通教育(款)其他普通教育支出(项):支出决算数为0.00万元，比上年决算减少21.76万元，下降100.00%,主要原因是：本年营养改善补助较上年减少。</w:t>
      </w:r>
    </w:p>
    <w:p w14:paraId="3C90238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8.29万元，下降100.00%,主要原因是：本年功能科目调整，养老保险缴费上年度单独列支，本年调整至主科目列支，导致经费较上年减少。</w:t>
      </w:r>
    </w:p>
    <w:p w14:paraId="4E3E172B">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10.19万元，下降100.00%,主要原因是：本年功能科目调整，机关事业单位职业年金缴费上年度单独列支，本年调整至主科目列支，导致经费较上年减少。</w:t>
      </w:r>
    </w:p>
    <w:p w14:paraId="79953628">
      <w:pPr>
        <w:spacing w:line="580" w:lineRule="exact"/>
        <w:ind w:firstLine="640"/>
        <w:jc w:val="both"/>
      </w:pPr>
      <w:r>
        <w:rPr>
          <w:rFonts w:ascii="仿宋_GB2312" w:hAnsi="仿宋_GB2312" w:eastAsia="仿宋_GB2312"/>
          <w:b w:val="0"/>
          <w:sz w:val="32"/>
        </w:rPr>
        <w:t>5.其他支出(类)其他支出(款)其他支出(项):支出决算数为12.60万元，比上年决算减少0.23万元，下降1.79%,主要原因是：本年为民办事工作经费支出较上年减少。</w:t>
      </w:r>
    </w:p>
    <w:p w14:paraId="678D99B2">
      <w:pPr>
        <w:spacing w:line="640" w:lineRule="exact"/>
        <w:ind w:firstLine="640"/>
        <w:jc w:val="both"/>
        <w:outlineLvl w:val="2"/>
      </w:pPr>
      <w:r>
        <w:rPr>
          <w:rFonts w:ascii="黑体" w:hAnsi="黑体" w:eastAsia="黑体"/>
          <w:sz w:val="32"/>
        </w:rPr>
        <w:t>六、一般公共预算财政拨款基本支出决算情况说明</w:t>
      </w:r>
    </w:p>
    <w:p w14:paraId="55CF4993">
      <w:pPr>
        <w:spacing w:line="580" w:lineRule="exact"/>
        <w:ind w:firstLine="640"/>
        <w:jc w:val="both"/>
      </w:pPr>
      <w:r>
        <w:rPr>
          <w:rFonts w:ascii="仿宋_GB2312" w:hAnsi="仿宋_GB2312" w:eastAsia="仿宋_GB2312"/>
          <w:b w:val="0"/>
          <w:sz w:val="32"/>
        </w:rPr>
        <w:t>2024年度一般公共预算财政拨款基本支出1,794.25万元，其中：</w:t>
      </w:r>
      <w:r>
        <w:rPr>
          <w:rFonts w:ascii="仿宋_GB2312" w:hAnsi="仿宋_GB2312" w:eastAsia="仿宋_GB2312"/>
          <w:b/>
          <w:sz w:val="32"/>
        </w:rPr>
        <w:t>人员经费1,449.03万元，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14:paraId="512E3EA9">
      <w:pPr>
        <w:spacing w:line="580" w:lineRule="exact"/>
        <w:ind w:firstLine="640"/>
        <w:jc w:val="both"/>
      </w:pPr>
      <w:r>
        <w:rPr>
          <w:rFonts w:ascii="仿宋_GB2312" w:hAnsi="仿宋_GB2312" w:eastAsia="仿宋_GB2312"/>
          <w:b/>
          <w:sz w:val="32"/>
        </w:rPr>
        <w:t>公用经费345.22万元，</w:t>
      </w:r>
      <w:r>
        <w:rPr>
          <w:rFonts w:ascii="仿宋_GB2312" w:hAnsi="仿宋_GB2312" w:eastAsia="仿宋_GB2312"/>
          <w:b w:val="0"/>
          <w:sz w:val="32"/>
        </w:rPr>
        <w:t>包括：办公费、印刷费、水费、电费、邮电费、取暖费、物业管理费、差旅费、维修（护）费、培训费、专用材料费、其他交通费用、其他商品和服务支出、办公设备购置。</w:t>
      </w:r>
    </w:p>
    <w:p w14:paraId="26CFD236">
      <w:pPr>
        <w:spacing w:line="640" w:lineRule="exact"/>
        <w:ind w:firstLine="640"/>
        <w:jc w:val="both"/>
        <w:outlineLvl w:val="2"/>
      </w:pPr>
      <w:r>
        <w:rPr>
          <w:rFonts w:ascii="黑体" w:hAnsi="黑体" w:eastAsia="黑体"/>
          <w:sz w:val="32"/>
        </w:rPr>
        <w:t>七、政府性基金预算财政拨款收入支出决算情况说明</w:t>
      </w:r>
    </w:p>
    <w:p w14:paraId="76063F6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298C770">
      <w:pPr>
        <w:spacing w:line="640" w:lineRule="exact"/>
        <w:ind w:firstLine="640"/>
        <w:jc w:val="both"/>
        <w:outlineLvl w:val="2"/>
      </w:pPr>
      <w:r>
        <w:rPr>
          <w:rFonts w:ascii="黑体" w:hAnsi="黑体" w:eastAsia="黑体"/>
          <w:sz w:val="32"/>
        </w:rPr>
        <w:t>八、国有资本经营预算财政拨款收入支出决算情况说明</w:t>
      </w:r>
    </w:p>
    <w:p w14:paraId="1AD5EAC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874760">
      <w:pPr>
        <w:spacing w:line="640" w:lineRule="exact"/>
        <w:ind w:firstLine="640"/>
        <w:jc w:val="both"/>
        <w:outlineLvl w:val="2"/>
      </w:pPr>
      <w:r>
        <w:rPr>
          <w:rFonts w:ascii="黑体" w:hAnsi="黑体" w:eastAsia="黑体"/>
          <w:sz w:val="32"/>
        </w:rPr>
        <w:t>九、财政拨款“三公”经费支出决算情况说明</w:t>
      </w:r>
    </w:p>
    <w:p w14:paraId="0E032CB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67BC8B8">
      <w:pPr>
        <w:spacing w:line="580" w:lineRule="exact"/>
        <w:ind w:firstLine="640"/>
        <w:jc w:val="both"/>
      </w:pPr>
      <w:r>
        <w:rPr>
          <w:rFonts w:ascii="仿宋_GB2312" w:hAnsi="仿宋_GB2312" w:eastAsia="仿宋_GB2312"/>
          <w:b/>
          <w:sz w:val="32"/>
        </w:rPr>
        <w:t>具体情况如下：</w:t>
      </w:r>
    </w:p>
    <w:p w14:paraId="07A246F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AA39F9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6CF3A5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6BCD08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188A69B">
      <w:pPr>
        <w:spacing w:line="640" w:lineRule="exact"/>
        <w:ind w:firstLine="640"/>
        <w:jc w:val="both"/>
        <w:outlineLvl w:val="2"/>
      </w:pPr>
      <w:r>
        <w:rPr>
          <w:rFonts w:ascii="黑体" w:hAnsi="黑体" w:eastAsia="黑体"/>
          <w:sz w:val="32"/>
        </w:rPr>
        <w:t>十、其他重要事项的情况说明</w:t>
      </w:r>
    </w:p>
    <w:p w14:paraId="5352548D">
      <w:pPr>
        <w:spacing w:line="640" w:lineRule="exact"/>
        <w:ind w:firstLine="640"/>
        <w:jc w:val="both"/>
        <w:outlineLvl w:val="3"/>
      </w:pPr>
      <w:r>
        <w:rPr>
          <w:rFonts w:ascii="楷体_GB2312" w:hAnsi="楷体_GB2312" w:eastAsia="楷体_GB2312"/>
          <w:b/>
          <w:sz w:val="32"/>
        </w:rPr>
        <w:t>（一）机关运行经费及公用经费支出情况</w:t>
      </w:r>
    </w:p>
    <w:p w14:paraId="5B924C5D">
      <w:pPr>
        <w:spacing w:line="580" w:lineRule="exact"/>
        <w:ind w:firstLine="640"/>
        <w:jc w:val="both"/>
      </w:pPr>
      <w:r>
        <w:rPr>
          <w:rFonts w:ascii="仿宋_GB2312" w:hAnsi="仿宋_GB2312" w:eastAsia="仿宋_GB2312"/>
          <w:b w:val="0"/>
          <w:sz w:val="32"/>
        </w:rPr>
        <w:t>2024年度洛浦县第二中学（事业单位）公用经费支出345.22万元，比上年增加145.25万元，增长72.64%，主要原因是：本年增加维修（护）费、电费，导致公用经费增加。</w:t>
      </w:r>
    </w:p>
    <w:p w14:paraId="2A0D361A">
      <w:pPr>
        <w:spacing w:line="640" w:lineRule="exact"/>
        <w:ind w:firstLine="640"/>
        <w:jc w:val="both"/>
        <w:outlineLvl w:val="3"/>
      </w:pPr>
      <w:r>
        <w:rPr>
          <w:rFonts w:ascii="楷体_GB2312" w:hAnsi="楷体_GB2312" w:eastAsia="楷体_GB2312"/>
          <w:b/>
          <w:sz w:val="32"/>
        </w:rPr>
        <w:t>（二）政府采购情况</w:t>
      </w:r>
    </w:p>
    <w:p w14:paraId="6EC80C7B">
      <w:pPr>
        <w:spacing w:line="580" w:lineRule="exact"/>
        <w:ind w:firstLine="640"/>
        <w:jc w:val="both"/>
      </w:pPr>
      <w:r>
        <w:rPr>
          <w:rFonts w:ascii="仿宋_GB2312" w:hAnsi="仿宋_GB2312" w:eastAsia="仿宋_GB2312"/>
          <w:b w:val="0"/>
          <w:sz w:val="32"/>
        </w:rPr>
        <w:t>2024年度政府采购支出总额17.98万元，其中：政府采购货物支出17.98万元、政府采购工程支出0.00万元、政府采购服务支出0.00万元。</w:t>
      </w:r>
    </w:p>
    <w:p w14:paraId="65776A92">
      <w:pPr>
        <w:spacing w:line="580" w:lineRule="exact"/>
        <w:ind w:firstLine="640"/>
        <w:jc w:val="both"/>
      </w:pPr>
      <w:r>
        <w:rPr>
          <w:rFonts w:ascii="仿宋_GB2312" w:hAnsi="仿宋_GB2312" w:eastAsia="仿宋_GB2312"/>
          <w:b w:val="0"/>
          <w:sz w:val="32"/>
        </w:rPr>
        <w:t>授予中小企业合同金额17.95万元，占政府采购支出总额的99.83%，其中：授予小微企业合同金额13.07万元，占政府采购支出总额的72.69%。</w:t>
      </w:r>
    </w:p>
    <w:p w14:paraId="2CF62528">
      <w:pPr>
        <w:spacing w:line="640" w:lineRule="exact"/>
        <w:ind w:firstLine="640"/>
        <w:jc w:val="both"/>
        <w:outlineLvl w:val="3"/>
      </w:pPr>
      <w:r>
        <w:rPr>
          <w:rFonts w:ascii="楷体_GB2312" w:hAnsi="楷体_GB2312" w:eastAsia="楷体_GB2312"/>
          <w:b/>
          <w:sz w:val="32"/>
        </w:rPr>
        <w:t>（三）国有资产占用情况说明</w:t>
      </w:r>
    </w:p>
    <w:p w14:paraId="0B4AD1AD">
      <w:pPr>
        <w:spacing w:line="580" w:lineRule="exact"/>
        <w:ind w:firstLine="640"/>
        <w:jc w:val="both"/>
      </w:pPr>
      <w:r>
        <w:rPr>
          <w:rFonts w:ascii="仿宋_GB2312" w:hAnsi="仿宋_GB2312" w:eastAsia="仿宋_GB2312"/>
          <w:b w:val="0"/>
          <w:sz w:val="32"/>
        </w:rPr>
        <w:t>截至2024年12月31日，房屋22,657.03平方米，价值3,460.14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C25B25E">
      <w:pPr>
        <w:spacing w:line="640" w:lineRule="exact"/>
        <w:ind w:firstLine="640"/>
        <w:jc w:val="both"/>
        <w:outlineLvl w:val="2"/>
      </w:pPr>
      <w:r>
        <w:rPr>
          <w:rFonts w:ascii="黑体" w:hAnsi="黑体" w:eastAsia="黑体"/>
          <w:sz w:val="32"/>
        </w:rPr>
        <w:t>十一、预算绩效的情况说明</w:t>
      </w:r>
    </w:p>
    <w:p w14:paraId="1696445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根据预算绩效管理要求，本单位2024年度预算绩效管理形成整体支出绩效自评表1个，全年预算总额2,094.26万元，实际执行总额2,094.26万元；预算绩效评价项目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w:t>
      </w:r>
      <w:r>
        <w:rPr>
          <w:rFonts w:hint="eastAsia" w:ascii="仿宋_GB2312" w:hAnsi="仿宋_GB2312" w:eastAsia="仿宋_GB2312"/>
          <w:b w:val="0"/>
          <w:sz w:val="32"/>
        </w:rPr>
        <w:t>672.39</w:t>
      </w:r>
      <w:r>
        <w:rPr>
          <w:rFonts w:ascii="仿宋_GB2312" w:hAnsi="仿宋_GB2312" w:eastAsia="仿宋_GB2312"/>
          <w:b w:val="0"/>
          <w:sz w:val="32"/>
        </w:rPr>
        <w:t>万元，全年执行数</w:t>
      </w:r>
      <w:r>
        <w:rPr>
          <w:rFonts w:hint="eastAsia" w:ascii="仿宋_GB2312" w:hAnsi="仿宋_GB2312" w:eastAsia="仿宋_GB2312"/>
          <w:b w:val="0"/>
          <w:sz w:val="32"/>
        </w:rPr>
        <w:t>645.21</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042EBA8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DB6BFC">
        <w:tblPrEx>
          <w:tblCellMar>
            <w:top w:w="0" w:type="dxa"/>
            <w:left w:w="108" w:type="dxa"/>
            <w:bottom w:w="0" w:type="dxa"/>
            <w:right w:w="108" w:type="dxa"/>
          </w:tblCellMar>
        </w:tblPrEx>
        <w:tc>
          <w:tcPr>
            <w:tcW w:w="8847" w:type="dxa"/>
            <w:gridSpan w:val="9"/>
            <w:vAlign w:val="center"/>
          </w:tcPr>
          <w:p w14:paraId="678E3CF3">
            <w:pPr>
              <w:jc w:val="center"/>
            </w:pPr>
            <w:r>
              <w:rPr>
                <w:rFonts w:ascii="宋体" w:hAnsi="宋体" w:eastAsia="宋体"/>
                <w:sz w:val="24"/>
              </w:rPr>
              <w:t>单位整体支出绩效自评表</w:t>
            </w:r>
          </w:p>
        </w:tc>
      </w:tr>
      <w:tr w14:paraId="4A1CADE9">
        <w:tblPrEx>
          <w:tblCellMar>
            <w:top w:w="0" w:type="dxa"/>
            <w:left w:w="108" w:type="dxa"/>
            <w:bottom w:w="0" w:type="dxa"/>
            <w:right w:w="108" w:type="dxa"/>
          </w:tblCellMar>
        </w:tblPrEx>
        <w:tc>
          <w:tcPr>
            <w:tcW w:w="8847" w:type="dxa"/>
            <w:gridSpan w:val="9"/>
            <w:vAlign w:val="center"/>
          </w:tcPr>
          <w:p w14:paraId="236937AD">
            <w:pPr>
              <w:jc w:val="center"/>
            </w:pPr>
            <w:r>
              <w:rPr>
                <w:rFonts w:ascii="宋体" w:hAnsi="宋体" w:eastAsia="宋体"/>
                <w:sz w:val="24"/>
              </w:rPr>
              <w:t>（2024年度）</w:t>
            </w:r>
          </w:p>
        </w:tc>
      </w:tr>
      <w:tr w14:paraId="2F42D5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25E3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2F47DD">
            <w:pPr>
              <w:jc w:val="center"/>
            </w:pPr>
            <w:r>
              <w:rPr>
                <w:rFonts w:ascii="宋体" w:hAnsi="宋体" w:eastAsia="宋体"/>
                <w:sz w:val="16"/>
              </w:rPr>
              <w:t>洛浦县第二中学</w:t>
            </w:r>
          </w:p>
        </w:tc>
      </w:tr>
      <w:tr w14:paraId="543C76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21D26">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9DBD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3808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1030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8FA6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0921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D3E1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939E0">
            <w:pPr>
              <w:jc w:val="center"/>
            </w:pPr>
            <w:r>
              <w:rPr>
                <w:rFonts w:ascii="宋体" w:hAnsi="宋体" w:eastAsia="宋体"/>
                <w:sz w:val="16"/>
              </w:rPr>
              <w:t>得分</w:t>
            </w:r>
          </w:p>
        </w:tc>
      </w:tr>
      <w:tr w14:paraId="797878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4CB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F630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BEF2A">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C0530">
            <w:pPr>
              <w:jc w:val="center"/>
            </w:pPr>
            <w:r>
              <w:rPr>
                <w:rFonts w:ascii="宋体" w:hAnsi="宋体" w:eastAsia="宋体"/>
                <w:sz w:val="16"/>
              </w:rPr>
              <w:t>857.27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8935A">
            <w:pPr>
              <w:jc w:val="center"/>
            </w:pPr>
            <w:r>
              <w:rPr>
                <w:rFonts w:ascii="宋体" w:hAnsi="宋体" w:eastAsia="宋体"/>
                <w:sz w:val="16"/>
              </w:rPr>
              <w:t>645.23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55579">
            <w:pPr>
              <w:jc w:val="center"/>
            </w:pPr>
            <w:r>
              <w:rPr>
                <w:rFonts w:ascii="宋体" w:hAnsi="宋体" w:eastAsia="宋体"/>
                <w:sz w:val="16"/>
              </w:rPr>
              <w:t>645.23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D75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92C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B206">
            <w:pPr>
              <w:jc w:val="center"/>
            </w:pPr>
            <w:r>
              <w:rPr>
                <w:rFonts w:ascii="宋体" w:hAnsi="宋体" w:eastAsia="宋体"/>
                <w:sz w:val="16"/>
              </w:rPr>
              <w:t>-</w:t>
            </w:r>
          </w:p>
        </w:tc>
      </w:tr>
      <w:tr w14:paraId="6B1349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064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82C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CD99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E272C">
            <w:pPr>
              <w:jc w:val="center"/>
            </w:pPr>
            <w:r>
              <w:rPr>
                <w:rFonts w:ascii="宋体" w:hAnsi="宋体" w:eastAsia="宋体"/>
                <w:sz w:val="16"/>
              </w:rPr>
              <w:t>1,113.50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E91DD">
            <w:pPr>
              <w:jc w:val="center"/>
            </w:pPr>
            <w:r>
              <w:rPr>
                <w:rFonts w:ascii="宋体" w:hAnsi="宋体" w:eastAsia="宋体"/>
                <w:sz w:val="16"/>
              </w:rPr>
              <w:t>1,449.03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6CBE4">
            <w:pPr>
              <w:jc w:val="center"/>
            </w:pPr>
            <w:r>
              <w:rPr>
                <w:rFonts w:ascii="宋体" w:hAnsi="宋体" w:eastAsia="宋体"/>
                <w:sz w:val="16"/>
              </w:rPr>
              <w:t>1,449.03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D59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582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692C1">
            <w:pPr>
              <w:jc w:val="center"/>
            </w:pPr>
            <w:r>
              <w:rPr>
                <w:rFonts w:ascii="宋体" w:hAnsi="宋体" w:eastAsia="宋体"/>
                <w:sz w:val="16"/>
              </w:rPr>
              <w:t>-</w:t>
            </w:r>
          </w:p>
        </w:tc>
      </w:tr>
      <w:tr w14:paraId="3D6F9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6E7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A5C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BABD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20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82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BD3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FD4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7EE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AE023">
            <w:pPr>
              <w:jc w:val="center"/>
            </w:pPr>
            <w:r>
              <w:rPr>
                <w:rFonts w:ascii="宋体" w:hAnsi="宋体" w:eastAsia="宋体"/>
                <w:sz w:val="16"/>
              </w:rPr>
              <w:t>-</w:t>
            </w:r>
          </w:p>
        </w:tc>
      </w:tr>
      <w:tr w14:paraId="6B9B29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B6F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694B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185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A4F02">
            <w:pPr>
              <w:jc w:val="center"/>
            </w:pPr>
            <w:r>
              <w:rPr>
                <w:rFonts w:ascii="宋体" w:hAnsi="宋体" w:eastAsia="宋体"/>
                <w:sz w:val="16"/>
              </w:rPr>
              <w:t>1,970.77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76D0F">
            <w:pPr>
              <w:jc w:val="center"/>
            </w:pPr>
            <w:r>
              <w:rPr>
                <w:rFonts w:ascii="宋体" w:hAnsi="宋体" w:eastAsia="宋体"/>
                <w:sz w:val="16"/>
              </w:rPr>
              <w:t>2,094.26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47F90">
            <w:pPr>
              <w:jc w:val="center"/>
            </w:pPr>
            <w:r>
              <w:rPr>
                <w:rFonts w:ascii="宋体" w:hAnsi="宋体" w:eastAsia="宋体"/>
                <w:sz w:val="16"/>
              </w:rPr>
              <w:t>2,094.26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6F6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E1F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0A7C">
            <w:pPr>
              <w:jc w:val="center"/>
            </w:pPr>
            <w:r>
              <w:rPr>
                <w:rFonts w:ascii="宋体" w:hAnsi="宋体" w:eastAsia="宋体"/>
                <w:sz w:val="16"/>
              </w:rPr>
              <w:t>10</w:t>
            </w:r>
          </w:p>
        </w:tc>
      </w:tr>
      <w:tr w14:paraId="2C09CA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6D1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A3C36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364AFF">
            <w:pPr>
              <w:jc w:val="center"/>
            </w:pPr>
            <w:r>
              <w:rPr>
                <w:rFonts w:ascii="宋体" w:hAnsi="宋体" w:eastAsia="宋体"/>
                <w:sz w:val="16"/>
              </w:rPr>
              <w:t>实际完成情况</w:t>
            </w:r>
          </w:p>
        </w:tc>
      </w:tr>
      <w:tr w14:paraId="27711C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AD38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C15F50">
            <w:pPr>
              <w:jc w:val="both"/>
            </w:pPr>
            <w:r>
              <w:rPr>
                <w:rFonts w:ascii="宋体" w:hAnsi="宋体" w:eastAsia="宋体"/>
                <w:sz w:val="16"/>
              </w:rPr>
              <w:t>1、计划保障学生数量2357人，保障在职人员数量49人，其中人员经费支出1113.4986万元，项目支出857.2721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我单位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A49E2A">
            <w:pPr>
              <w:jc w:val="both"/>
            </w:pPr>
            <w:r>
              <w:rPr>
                <w:rFonts w:hint="eastAsia" w:ascii="宋体" w:hAnsi="宋体"/>
                <w:sz w:val="16"/>
                <w:lang w:eastAsia="zh-CN"/>
              </w:rPr>
              <w:t>截至</w:t>
            </w:r>
            <w:r>
              <w:rPr>
                <w:rFonts w:ascii="宋体" w:hAnsi="宋体" w:eastAsia="宋体"/>
                <w:sz w:val="16"/>
              </w:rPr>
              <w:t>2024年12月31日，我单位年初预算数1970.77万元，调整后的预算数为2094.26万元，通过实施该项目，保障单位49名职工工资按时发放，保障学校2357名学生正常参与教育教学活动，我校开展教职工培训10次。通过保障部门正常运转，有效提升学校的教育教学能力，持续推行素质教育。全面推进素质教育，全面提高教育教学质量，组织开展本镇中小学的教育教学科研和教育教学改革，以科学的发展观和以人为本的管理理念注重学生的全面发展。</w:t>
            </w:r>
          </w:p>
        </w:tc>
      </w:tr>
      <w:tr w14:paraId="29BF6A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1A70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90B0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70A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B2F4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D70E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6D8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78C5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A3311">
            <w:pPr>
              <w:jc w:val="center"/>
            </w:pPr>
            <w:r>
              <w:rPr>
                <w:rFonts w:ascii="宋体" w:hAnsi="宋体" w:eastAsia="宋体"/>
                <w:sz w:val="16"/>
              </w:rPr>
              <w:t>得分</w:t>
            </w:r>
          </w:p>
        </w:tc>
      </w:tr>
      <w:tr w14:paraId="0E3EC9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32DA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0718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86AC9">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40E3">
            <w:pPr>
              <w:jc w:val="center"/>
            </w:pPr>
            <w:r>
              <w:rPr>
                <w:rFonts w:ascii="宋体" w:hAnsi="宋体" w:eastAsia="宋体"/>
                <w:sz w:val="16"/>
              </w:rPr>
              <w: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B74A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0DE1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861B7">
            <w:pPr>
              <w:jc w:val="center"/>
            </w:pPr>
            <w:r>
              <w:rPr>
                <w:rFonts w:ascii="宋体" w:hAnsi="宋体" w:eastAsia="宋体"/>
                <w:sz w:val="16"/>
              </w:rPr>
              <w: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7C9ED">
            <w:pPr>
              <w:jc w:val="center"/>
            </w:pPr>
            <w:r>
              <w:rPr>
                <w:rFonts w:ascii="宋体" w:hAnsi="宋体" w:eastAsia="宋体"/>
                <w:sz w:val="16"/>
              </w:rPr>
              <w:t>18</w:t>
            </w:r>
          </w:p>
        </w:tc>
      </w:tr>
      <w:tr w14:paraId="023495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D8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63C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09F3D">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8497">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E35F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0A2D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34A51">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007B">
            <w:pPr>
              <w:jc w:val="center"/>
            </w:pPr>
            <w:r>
              <w:rPr>
                <w:rFonts w:ascii="宋体" w:hAnsi="宋体" w:eastAsia="宋体"/>
                <w:sz w:val="16"/>
              </w:rPr>
              <w:t>18</w:t>
            </w:r>
          </w:p>
        </w:tc>
      </w:tr>
      <w:tr w14:paraId="2E9086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018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129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C367F">
            <w:pPr>
              <w:jc w:val="center"/>
            </w:pPr>
            <w:r>
              <w:rPr>
                <w:rFonts w:ascii="宋体" w:hAnsi="宋体" w:eastAsia="宋体"/>
                <w:sz w:val="16"/>
              </w:rPr>
              <w:t>购买教育教学物资储备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22443">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E5B4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BD3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83EDD">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4BC4F">
            <w:pPr>
              <w:jc w:val="center"/>
            </w:pPr>
            <w:r>
              <w:rPr>
                <w:rFonts w:ascii="宋体" w:hAnsi="宋体" w:eastAsia="宋体"/>
                <w:sz w:val="16"/>
              </w:rPr>
              <w:t>18</w:t>
            </w:r>
          </w:p>
        </w:tc>
      </w:tr>
      <w:tr w14:paraId="3FC344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514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BE2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35D1E">
            <w:pPr>
              <w:jc w:val="center"/>
            </w:pPr>
            <w:r>
              <w:rPr>
                <w:rFonts w:ascii="宋体" w:hAnsi="宋体" w:eastAsia="宋体"/>
                <w:sz w:val="16"/>
              </w:rPr>
              <w:t>维护校园设备设施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8466D">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2DD5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844C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8BA3D">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D9949">
            <w:pPr>
              <w:jc w:val="center"/>
            </w:pPr>
            <w:r>
              <w:rPr>
                <w:rFonts w:ascii="宋体" w:hAnsi="宋体" w:eastAsia="宋体"/>
                <w:sz w:val="16"/>
              </w:rPr>
              <w:t>18</w:t>
            </w:r>
          </w:p>
        </w:tc>
      </w:tr>
      <w:tr w14:paraId="39B8F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1AD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552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0AB6A">
            <w:pPr>
              <w:jc w:val="center"/>
            </w:pPr>
            <w:r>
              <w:rPr>
                <w:rFonts w:ascii="宋体" w:hAnsi="宋体" w:eastAsia="宋体"/>
                <w:sz w:val="16"/>
              </w:rPr>
              <w:t>开展教育教学培训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B6501">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433D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25E1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8C526">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FF5AB">
            <w:pPr>
              <w:jc w:val="center"/>
            </w:pPr>
            <w:r>
              <w:rPr>
                <w:rFonts w:ascii="宋体" w:hAnsi="宋体" w:eastAsia="宋体"/>
                <w:sz w:val="16"/>
              </w:rPr>
              <w:t>18</w:t>
            </w:r>
          </w:p>
        </w:tc>
      </w:tr>
    </w:tbl>
    <w:p w14:paraId="58A49C0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CAF63E">
        <w:tblPrEx>
          <w:tblCellMar>
            <w:top w:w="0" w:type="dxa"/>
            <w:left w:w="108" w:type="dxa"/>
            <w:bottom w:w="0" w:type="dxa"/>
            <w:right w:w="108" w:type="dxa"/>
          </w:tblCellMar>
        </w:tblPrEx>
        <w:tc>
          <w:tcPr>
            <w:tcW w:w="8847" w:type="dxa"/>
            <w:gridSpan w:val="9"/>
            <w:vAlign w:val="center"/>
          </w:tcPr>
          <w:p w14:paraId="690710D7">
            <w:pPr>
              <w:jc w:val="center"/>
            </w:pPr>
            <w:r>
              <w:rPr>
                <w:rFonts w:ascii="宋体" w:hAnsi="宋体" w:eastAsia="宋体"/>
                <w:sz w:val="24"/>
              </w:rPr>
              <w:t>项目支出绩效自评表</w:t>
            </w:r>
          </w:p>
        </w:tc>
      </w:tr>
      <w:tr w14:paraId="75A96788">
        <w:tblPrEx>
          <w:tblCellMar>
            <w:top w:w="0" w:type="dxa"/>
            <w:left w:w="108" w:type="dxa"/>
            <w:bottom w:w="0" w:type="dxa"/>
            <w:right w:w="108" w:type="dxa"/>
          </w:tblCellMar>
        </w:tblPrEx>
        <w:tc>
          <w:tcPr>
            <w:tcW w:w="8847" w:type="dxa"/>
            <w:gridSpan w:val="9"/>
            <w:vAlign w:val="center"/>
          </w:tcPr>
          <w:p w14:paraId="345831F2">
            <w:pPr>
              <w:jc w:val="center"/>
            </w:pPr>
            <w:r>
              <w:rPr>
                <w:rFonts w:ascii="宋体" w:hAnsi="宋体" w:eastAsia="宋体"/>
                <w:sz w:val="24"/>
              </w:rPr>
              <w:t>(2024年度)</w:t>
            </w:r>
          </w:p>
        </w:tc>
      </w:tr>
      <w:tr w14:paraId="32A55F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A461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701F10">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2CB2A0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5DB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A543C0">
            <w:pPr>
              <w:jc w:val="center"/>
            </w:pPr>
            <w:r>
              <w:rPr>
                <w:rFonts w:ascii="宋体" w:hAnsi="宋体" w:eastAsia="宋体"/>
                <w:sz w:val="16"/>
              </w:rPr>
              <w:t>洛浦县第二中学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31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853B86">
            <w:pPr>
              <w:jc w:val="center"/>
            </w:pPr>
            <w:r>
              <w:rPr>
                <w:rFonts w:ascii="宋体" w:hAnsi="宋体" w:eastAsia="宋体"/>
                <w:sz w:val="16"/>
              </w:rPr>
              <w:t>洛浦县第二中学</w:t>
            </w:r>
          </w:p>
        </w:tc>
      </w:tr>
      <w:tr w14:paraId="3BA1DF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964E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6378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D811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16D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203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505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FE4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21FB0">
            <w:pPr>
              <w:jc w:val="center"/>
            </w:pPr>
            <w:r>
              <w:rPr>
                <w:rFonts w:ascii="宋体" w:hAnsi="宋体" w:eastAsia="宋体"/>
                <w:sz w:val="16"/>
              </w:rPr>
              <w:t>得分</w:t>
            </w:r>
          </w:p>
        </w:tc>
      </w:tr>
      <w:tr w14:paraId="35B0A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84B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A6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0E999">
            <w:pPr>
              <w:jc w:val="center"/>
            </w:pPr>
            <w:r>
              <w:rPr>
                <w:rFonts w:ascii="宋体" w:hAnsi="宋体" w:eastAsia="宋体"/>
                <w:sz w:val="16"/>
              </w:rPr>
              <w:t>601.11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A1B0">
            <w:pPr>
              <w:jc w:val="center"/>
            </w:pPr>
            <w:r>
              <w:rPr>
                <w:rFonts w:ascii="宋体" w:hAnsi="宋体" w:eastAsia="宋体"/>
                <w:sz w:val="16"/>
              </w:rPr>
              <w:t>349.41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0FD89">
            <w:pPr>
              <w:jc w:val="center"/>
            </w:pPr>
            <w:r>
              <w:rPr>
                <w:rFonts w:ascii="宋体" w:hAnsi="宋体" w:eastAsia="宋体"/>
                <w:sz w:val="16"/>
              </w:rPr>
              <w:t>349.41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984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1F24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1605">
            <w:pPr>
              <w:jc w:val="center"/>
            </w:pPr>
            <w:r>
              <w:rPr>
                <w:rFonts w:ascii="宋体" w:hAnsi="宋体" w:eastAsia="宋体"/>
                <w:sz w:val="16"/>
              </w:rPr>
              <w:t>10.00分</w:t>
            </w:r>
          </w:p>
        </w:tc>
      </w:tr>
      <w:tr w14:paraId="6A821F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631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B6B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A343">
            <w:pPr>
              <w:jc w:val="center"/>
            </w:pPr>
            <w:r>
              <w:rPr>
                <w:rFonts w:ascii="宋体" w:hAnsi="宋体" w:eastAsia="宋体"/>
                <w:sz w:val="16"/>
              </w:rPr>
              <w:t>601.11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09A39">
            <w:pPr>
              <w:jc w:val="center"/>
            </w:pPr>
            <w:r>
              <w:rPr>
                <w:rFonts w:ascii="宋体" w:hAnsi="宋体" w:eastAsia="宋体"/>
                <w:sz w:val="16"/>
              </w:rPr>
              <w:t>349.41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AC437">
            <w:pPr>
              <w:jc w:val="center"/>
            </w:pPr>
            <w:r>
              <w:rPr>
                <w:rFonts w:ascii="宋体" w:hAnsi="宋体" w:eastAsia="宋体"/>
                <w:sz w:val="16"/>
              </w:rPr>
              <w:t>349.41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FB8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594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39C4C">
            <w:pPr>
              <w:jc w:val="center"/>
            </w:pPr>
            <w:r>
              <w:rPr>
                <w:rFonts w:ascii="宋体" w:hAnsi="宋体" w:eastAsia="宋体"/>
                <w:sz w:val="16"/>
              </w:rPr>
              <w:t>—</w:t>
            </w:r>
          </w:p>
        </w:tc>
      </w:tr>
      <w:tr w14:paraId="076800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98D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227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F0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C4C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547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AA5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CE9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DB326">
            <w:pPr>
              <w:jc w:val="center"/>
            </w:pPr>
            <w:r>
              <w:rPr>
                <w:rFonts w:ascii="宋体" w:hAnsi="宋体" w:eastAsia="宋体"/>
                <w:sz w:val="16"/>
              </w:rPr>
              <w:t>—</w:t>
            </w:r>
          </w:p>
        </w:tc>
      </w:tr>
      <w:tr w14:paraId="2B360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7E3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F783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ED5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69C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36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A1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23B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CDA1C">
            <w:pPr>
              <w:jc w:val="center"/>
            </w:pPr>
            <w:r>
              <w:rPr>
                <w:rFonts w:ascii="宋体" w:hAnsi="宋体" w:eastAsia="宋体"/>
                <w:sz w:val="16"/>
              </w:rPr>
              <w:t>—</w:t>
            </w:r>
          </w:p>
        </w:tc>
      </w:tr>
      <w:tr w14:paraId="62412B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6D97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25B8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3C15C4">
            <w:pPr>
              <w:jc w:val="center"/>
            </w:pPr>
            <w:r>
              <w:rPr>
                <w:rFonts w:ascii="宋体" w:hAnsi="宋体" w:eastAsia="宋体"/>
                <w:sz w:val="16"/>
              </w:rPr>
              <w:t>实际完成情况</w:t>
            </w:r>
          </w:p>
        </w:tc>
      </w:tr>
      <w:tr w14:paraId="5E7BB1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4297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BE184B">
            <w:pPr>
              <w:jc w:val="both"/>
            </w:pPr>
            <w:r>
              <w:rPr>
                <w:rFonts w:ascii="宋体" w:hAnsi="宋体" w:eastAsia="宋体"/>
                <w:sz w:val="16"/>
              </w:rPr>
              <w:t>本项目主要实施内容为：为保障学校日常工作正常运行，本项目正常性项目，资金总额为601.11万元，2024年计划投资349.41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26A065">
            <w:pPr>
              <w:jc w:val="both"/>
            </w:pPr>
            <w:r>
              <w:rPr>
                <w:rFonts w:hint="eastAsia" w:ascii="宋体" w:hAnsi="宋体"/>
                <w:sz w:val="16"/>
                <w:lang w:eastAsia="zh-CN"/>
              </w:rPr>
              <w:t>截至</w:t>
            </w:r>
            <w:r>
              <w:rPr>
                <w:rFonts w:ascii="宋体" w:hAnsi="宋体" w:eastAsia="宋体"/>
                <w:sz w:val="16"/>
              </w:rPr>
              <w:t>2024年12月31日，本项目已完成2357名学生家庭经济生活困难学生生活补助发放，已形成资金支付349.41万元。通过实施本项目可以有效提高学校工作效率。保障学校日常工作正常运行</w:t>
            </w:r>
            <w:r>
              <w:rPr>
                <w:rFonts w:hint="eastAsia" w:ascii="宋体" w:hAnsi="宋体"/>
                <w:sz w:val="16"/>
                <w:lang w:eastAsia="zh-CN"/>
              </w:rPr>
              <w:t>。</w:t>
            </w:r>
            <w:r>
              <w:rPr>
                <w:rFonts w:ascii="宋体" w:hAnsi="宋体" w:eastAsia="宋体"/>
                <w:sz w:val="16"/>
              </w:rPr>
              <w:br w:type="textWrapping"/>
            </w:r>
          </w:p>
        </w:tc>
      </w:tr>
      <w:tr w14:paraId="732CA2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5BD3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4D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30E2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CD5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D1BF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0D8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53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A531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4BA54">
            <w:pPr>
              <w:jc w:val="center"/>
            </w:pPr>
            <w:r>
              <w:rPr>
                <w:rFonts w:ascii="宋体" w:hAnsi="宋体" w:eastAsia="宋体"/>
                <w:sz w:val="16"/>
              </w:rPr>
              <w:t>偏差原因分析及改进措施</w:t>
            </w:r>
          </w:p>
        </w:tc>
      </w:tr>
      <w:tr w14:paraId="1E0B32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1345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947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FE0B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5852D">
            <w:pPr>
              <w:jc w:val="center"/>
            </w:pPr>
            <w:r>
              <w:rPr>
                <w:rFonts w:ascii="宋体" w:hAnsi="宋体" w:eastAsia="宋体"/>
                <w:sz w:val="16"/>
              </w:rPr>
              <w:t>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18C33">
            <w:pPr>
              <w:jc w:val="center"/>
            </w:pPr>
            <w:r>
              <w:rPr>
                <w:rFonts w:ascii="宋体" w:hAnsi="宋体" w:eastAsia="宋体"/>
                <w:sz w:val="16"/>
              </w:rPr>
              <w:t>&gt;=2357人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B839">
            <w:pPr>
              <w:jc w:val="center"/>
            </w:pPr>
            <w:r>
              <w:rPr>
                <w:rFonts w:ascii="宋体" w:hAnsi="宋体" w:eastAsia="宋体"/>
                <w:sz w:val="16"/>
              </w:rPr>
              <w: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35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B8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C4EFF">
            <w:pPr>
              <w:jc w:val="center"/>
            </w:pPr>
          </w:p>
        </w:tc>
      </w:tr>
      <w:tr w14:paraId="788E2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A35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9AC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3144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87AF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408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30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DE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26D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5A0F">
            <w:pPr>
              <w:jc w:val="center"/>
            </w:pPr>
          </w:p>
        </w:tc>
      </w:tr>
      <w:tr w14:paraId="238F4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BD3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85E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9370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E4ED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4AE4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7DF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EB8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9C6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46B4B">
            <w:pPr>
              <w:jc w:val="center"/>
            </w:pPr>
          </w:p>
        </w:tc>
      </w:tr>
      <w:tr w14:paraId="46FF63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65D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75C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513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A81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9A6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C87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01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57A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F1E6A">
            <w:pPr>
              <w:jc w:val="center"/>
            </w:pPr>
          </w:p>
        </w:tc>
      </w:tr>
      <w:tr w14:paraId="734096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04C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DC1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928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5FB2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0C9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53E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8E1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933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B89A">
            <w:pPr>
              <w:jc w:val="center"/>
            </w:pPr>
          </w:p>
        </w:tc>
      </w:tr>
      <w:tr w14:paraId="6E1A11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DF0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6CA5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4064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0EF67">
            <w:pPr>
              <w:jc w:val="center"/>
            </w:pPr>
            <w:r>
              <w:rPr>
                <w:rFonts w:ascii="宋体" w:hAnsi="宋体" w:eastAsia="宋体"/>
                <w:sz w:val="16"/>
              </w:rPr>
              <w:t>学校公用经费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435A6">
            <w:pPr>
              <w:jc w:val="center"/>
            </w:pPr>
            <w:r>
              <w:rPr>
                <w:rFonts w:ascii="宋体" w:hAnsi="宋体" w:eastAsia="宋体"/>
                <w:sz w:val="16"/>
              </w:rPr>
              <w:t>&lt;=222.4万元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AC891">
            <w:pPr>
              <w:jc w:val="center"/>
            </w:pPr>
            <w:r>
              <w:rPr>
                <w:rFonts w:ascii="宋体" w:hAnsi="宋体" w:eastAsia="宋体"/>
                <w:sz w:val="16"/>
              </w:rPr>
              <w:t>=222.4万元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D3D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D5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8D204">
            <w:pPr>
              <w:jc w:val="center"/>
            </w:pPr>
          </w:p>
        </w:tc>
      </w:tr>
      <w:tr w14:paraId="6721CD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A1F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501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D91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48E9D">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9F71B">
            <w:pPr>
              <w:jc w:val="center"/>
            </w:pPr>
            <w:r>
              <w:rPr>
                <w:rFonts w:ascii="宋体" w:hAnsi="宋体" w:eastAsia="宋体"/>
                <w:sz w:val="16"/>
              </w:rPr>
              <w:t>&lt;=127.01万元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6F23">
            <w:pPr>
              <w:jc w:val="center"/>
            </w:pPr>
            <w:r>
              <w:rPr>
                <w:rFonts w:ascii="宋体" w:hAnsi="宋体" w:eastAsia="宋体"/>
                <w:sz w:val="16"/>
              </w:rPr>
              <w:t>=127.01万元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282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73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E6779">
            <w:pPr>
              <w:jc w:val="center"/>
            </w:pPr>
          </w:p>
        </w:tc>
      </w:tr>
      <w:tr w14:paraId="730CFB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F08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8DA9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74AB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5812">
            <w:pPr>
              <w:jc w:val="center"/>
            </w:pPr>
            <w:r>
              <w:rPr>
                <w:rFonts w:ascii="宋体" w:hAnsi="宋体" w:eastAsia="宋体"/>
                <w:sz w:val="16"/>
              </w:rPr>
              <w:t>改善学校办学条件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E5B1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0F3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8E4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035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C1AA3">
            <w:pPr>
              <w:jc w:val="center"/>
            </w:pPr>
          </w:p>
        </w:tc>
      </w:tr>
      <w:tr w14:paraId="124028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B7F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C91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7DC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FD0D7">
            <w:pPr>
              <w:jc w:val="center"/>
            </w:pPr>
            <w:r>
              <w:rPr>
                <w:rFonts w:ascii="宋体" w:hAnsi="宋体" w:eastAsia="宋体"/>
                <w:sz w:val="16"/>
              </w:rPr>
              <w:t>提高教育教学质量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EE04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7A1B">
            <w:pPr>
              <w:jc w:val="center"/>
            </w:pPr>
            <w:r>
              <w:rPr>
                <w:rFonts w:ascii="宋体" w:hAnsi="宋体" w:eastAsia="宋体"/>
                <w:sz w:val="16"/>
              </w:rPr>
              <w:tab/>
            </w: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49D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B7A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978CC">
            <w:pPr>
              <w:jc w:val="center"/>
            </w:pPr>
          </w:p>
        </w:tc>
      </w:tr>
      <w:tr w14:paraId="2A8ED7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154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E6F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6C5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596E4">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DE02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1390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C47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DED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1389D">
            <w:pPr>
              <w:jc w:val="center"/>
            </w:pPr>
          </w:p>
        </w:tc>
      </w:tr>
      <w:tr w14:paraId="6D350F4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23E89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C723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43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164C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43575F"/>
        </w:tc>
      </w:tr>
    </w:tbl>
    <w:p w14:paraId="67ABF55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75C154">
        <w:tblPrEx>
          <w:tblCellMar>
            <w:top w:w="0" w:type="dxa"/>
            <w:left w:w="108" w:type="dxa"/>
            <w:bottom w:w="0" w:type="dxa"/>
            <w:right w:w="108" w:type="dxa"/>
          </w:tblCellMar>
        </w:tblPrEx>
        <w:tc>
          <w:tcPr>
            <w:tcW w:w="8847" w:type="dxa"/>
            <w:gridSpan w:val="9"/>
            <w:vAlign w:val="center"/>
          </w:tcPr>
          <w:p w14:paraId="6BE14DB8">
            <w:pPr>
              <w:jc w:val="center"/>
            </w:pPr>
            <w:r>
              <w:rPr>
                <w:rFonts w:ascii="宋体" w:hAnsi="宋体" w:eastAsia="宋体"/>
                <w:sz w:val="24"/>
              </w:rPr>
              <w:t>项目支出绩效自评表</w:t>
            </w:r>
          </w:p>
        </w:tc>
      </w:tr>
      <w:tr w14:paraId="457C542B">
        <w:tblPrEx>
          <w:tblCellMar>
            <w:top w:w="0" w:type="dxa"/>
            <w:left w:w="108" w:type="dxa"/>
            <w:bottom w:w="0" w:type="dxa"/>
            <w:right w:w="108" w:type="dxa"/>
          </w:tblCellMar>
        </w:tblPrEx>
        <w:tc>
          <w:tcPr>
            <w:tcW w:w="8847" w:type="dxa"/>
            <w:gridSpan w:val="9"/>
            <w:vAlign w:val="center"/>
          </w:tcPr>
          <w:p w14:paraId="02EBE2FB">
            <w:pPr>
              <w:jc w:val="center"/>
            </w:pPr>
            <w:r>
              <w:rPr>
                <w:rFonts w:ascii="宋体" w:hAnsi="宋体" w:eastAsia="宋体"/>
                <w:sz w:val="24"/>
              </w:rPr>
              <w:t>(2024年度)</w:t>
            </w:r>
          </w:p>
        </w:tc>
      </w:tr>
      <w:tr w14:paraId="1AC926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9E4E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2B1156">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公用经费（初中）-洛财教</w:t>
            </w:r>
            <w:r>
              <w:rPr>
                <w:rFonts w:hint="eastAsia" w:ascii="宋体" w:hAnsi="宋体"/>
                <w:sz w:val="16"/>
                <w:lang w:eastAsia="zh-CN"/>
              </w:rPr>
              <w:t>〔2024〕77号</w:t>
            </w:r>
          </w:p>
        </w:tc>
      </w:tr>
      <w:tr w14:paraId="1616B4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94D0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BC0B42">
            <w:pPr>
              <w:jc w:val="center"/>
            </w:pPr>
            <w:r>
              <w:rPr>
                <w:rFonts w:ascii="宋体" w:hAnsi="宋体" w:eastAsia="宋体"/>
                <w:sz w:val="16"/>
              </w:rPr>
              <w:t>洛浦县第二中学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FB87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EB04B6">
            <w:pPr>
              <w:jc w:val="center"/>
            </w:pPr>
            <w:r>
              <w:rPr>
                <w:rFonts w:ascii="宋体" w:hAnsi="宋体" w:eastAsia="宋体"/>
                <w:sz w:val="16"/>
              </w:rPr>
              <w:t>洛浦县第二中学</w:t>
            </w:r>
          </w:p>
        </w:tc>
      </w:tr>
      <w:tr w14:paraId="658A8F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72CB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58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27D4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A771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6D7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F7B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AED7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75D0C">
            <w:pPr>
              <w:jc w:val="center"/>
            </w:pPr>
            <w:r>
              <w:rPr>
                <w:rFonts w:ascii="宋体" w:hAnsi="宋体" w:eastAsia="宋体"/>
                <w:sz w:val="16"/>
              </w:rPr>
              <w:t>得分</w:t>
            </w:r>
          </w:p>
        </w:tc>
      </w:tr>
      <w:tr w14:paraId="590C19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EBD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952E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E328C">
            <w:pPr>
              <w:jc w:val="center"/>
            </w:pPr>
            <w:r>
              <w:rPr>
                <w:rFonts w:ascii="宋体" w:hAnsi="宋体" w:eastAsia="宋体"/>
                <w:sz w:val="16"/>
              </w:rPr>
              <w:t>19.79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C6C8A">
            <w:pPr>
              <w:jc w:val="center"/>
            </w:pPr>
            <w:r>
              <w:rPr>
                <w:rFonts w:ascii="宋体" w:hAnsi="宋体" w:eastAsia="宋体"/>
                <w:sz w:val="16"/>
              </w:rPr>
              <w:t>19.79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CE413">
            <w:pPr>
              <w:jc w:val="center"/>
            </w:pPr>
            <w:r>
              <w:rPr>
                <w:rFonts w:ascii="宋体" w:hAnsi="宋体" w:eastAsia="宋体"/>
                <w:sz w:val="16"/>
              </w:rPr>
              <w:t>19.79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FD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891F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2BFB7">
            <w:pPr>
              <w:jc w:val="center"/>
            </w:pPr>
            <w:r>
              <w:rPr>
                <w:rFonts w:ascii="宋体" w:hAnsi="宋体" w:eastAsia="宋体"/>
                <w:sz w:val="16"/>
              </w:rPr>
              <w:t>10.00分</w:t>
            </w:r>
          </w:p>
        </w:tc>
      </w:tr>
      <w:tr w14:paraId="0BAFE1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6CC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641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02134">
            <w:pPr>
              <w:jc w:val="center"/>
            </w:pPr>
            <w:r>
              <w:rPr>
                <w:rFonts w:ascii="宋体" w:hAnsi="宋体" w:eastAsia="宋体"/>
                <w:sz w:val="16"/>
              </w:rPr>
              <w:t>19.79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3E49">
            <w:pPr>
              <w:jc w:val="center"/>
            </w:pPr>
            <w:r>
              <w:rPr>
                <w:rFonts w:ascii="宋体" w:hAnsi="宋体" w:eastAsia="宋体"/>
                <w:sz w:val="16"/>
              </w:rPr>
              <w:t>19.79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B1CA6">
            <w:pPr>
              <w:jc w:val="center"/>
            </w:pPr>
            <w:r>
              <w:rPr>
                <w:rFonts w:ascii="宋体" w:hAnsi="宋体" w:eastAsia="宋体"/>
                <w:sz w:val="16"/>
              </w:rPr>
              <w:t>19.79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30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900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54F32">
            <w:pPr>
              <w:jc w:val="center"/>
            </w:pPr>
            <w:r>
              <w:rPr>
                <w:rFonts w:ascii="宋体" w:hAnsi="宋体" w:eastAsia="宋体"/>
                <w:sz w:val="16"/>
              </w:rPr>
              <w:t>—</w:t>
            </w:r>
          </w:p>
        </w:tc>
      </w:tr>
      <w:tr w14:paraId="55E226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D1D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3CCA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A1A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74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0D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94D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B7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11B9D">
            <w:pPr>
              <w:jc w:val="center"/>
            </w:pPr>
            <w:r>
              <w:rPr>
                <w:rFonts w:ascii="宋体" w:hAnsi="宋体" w:eastAsia="宋体"/>
                <w:sz w:val="16"/>
              </w:rPr>
              <w:t>—</w:t>
            </w:r>
          </w:p>
        </w:tc>
      </w:tr>
      <w:tr w14:paraId="69438A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657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1A42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ABC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B11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4B7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9B0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152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C3A53">
            <w:pPr>
              <w:jc w:val="center"/>
            </w:pPr>
            <w:r>
              <w:rPr>
                <w:rFonts w:ascii="宋体" w:hAnsi="宋体" w:eastAsia="宋体"/>
                <w:sz w:val="16"/>
              </w:rPr>
              <w:t>—</w:t>
            </w:r>
          </w:p>
        </w:tc>
      </w:tr>
      <w:tr w14:paraId="4F144F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D96E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1A035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22415">
            <w:pPr>
              <w:jc w:val="center"/>
            </w:pPr>
            <w:r>
              <w:rPr>
                <w:rFonts w:ascii="宋体" w:hAnsi="宋体" w:eastAsia="宋体"/>
                <w:sz w:val="16"/>
              </w:rPr>
              <w:t>实际完成情况</w:t>
            </w:r>
          </w:p>
        </w:tc>
      </w:tr>
      <w:tr w14:paraId="32E8B0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0D5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E42C82">
            <w:pPr>
              <w:jc w:val="both"/>
            </w:pPr>
            <w:r>
              <w:rPr>
                <w:rFonts w:ascii="宋体" w:hAnsi="宋体" w:eastAsia="宋体"/>
                <w:sz w:val="16"/>
              </w:rPr>
              <w:t>根据文件实施该项目，项目主要内容：项目资金主要用于保障2530名学生在学校的正常生活。通过项目的实施，有效保障学校正常运转。项目总投资100.85万元，2024年计划投资19.79万元。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446CBE">
            <w:pPr>
              <w:jc w:val="both"/>
            </w:pPr>
            <w:r>
              <w:rPr>
                <w:rFonts w:hint="eastAsia" w:ascii="宋体" w:hAnsi="宋体"/>
                <w:sz w:val="16"/>
                <w:lang w:eastAsia="zh-CN"/>
              </w:rPr>
              <w:t>截至</w:t>
            </w:r>
            <w:r>
              <w:rPr>
                <w:rFonts w:ascii="宋体" w:hAnsi="宋体" w:eastAsia="宋体"/>
                <w:sz w:val="16"/>
              </w:rPr>
              <w:t>2024年12月31日，本项目已完成2530名学生在校正常生活，已形成资金支付19.79万元。通过实施本项目可以有效提高学校工作效率。保障学校日常工作正常运行</w:t>
            </w:r>
            <w:r>
              <w:rPr>
                <w:rFonts w:hint="eastAsia" w:ascii="宋体" w:hAnsi="宋体"/>
                <w:sz w:val="16"/>
                <w:lang w:eastAsia="zh-CN"/>
              </w:rPr>
              <w:t>。</w:t>
            </w:r>
          </w:p>
        </w:tc>
      </w:tr>
      <w:tr w14:paraId="4E6033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4355C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53E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83C9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EE80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B0B7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2AF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3DA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08F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5FB2B">
            <w:pPr>
              <w:jc w:val="center"/>
            </w:pPr>
            <w:r>
              <w:rPr>
                <w:rFonts w:ascii="宋体" w:hAnsi="宋体" w:eastAsia="宋体"/>
                <w:sz w:val="16"/>
              </w:rPr>
              <w:t>偏差原因分析及改进措施</w:t>
            </w:r>
          </w:p>
        </w:tc>
      </w:tr>
      <w:tr w14:paraId="4B70C1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F56B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F3F8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4EF4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765BF">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22968">
            <w:pPr>
              <w:jc w:val="center"/>
            </w:pPr>
            <w:r>
              <w:rPr>
                <w:rFonts w:ascii="宋体" w:hAnsi="宋体" w:eastAsia="宋体"/>
                <w:sz w:val="16"/>
              </w:rPr>
              <w:t>&gt;=2530人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C4045">
            <w:pPr>
              <w:jc w:val="center"/>
            </w:pPr>
            <w:r>
              <w:rPr>
                <w:rFonts w:ascii="宋体" w:hAnsi="宋体" w:eastAsia="宋体"/>
                <w:sz w:val="16"/>
              </w:rPr>
              <w:t>&gt;=2530人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386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AF7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01979">
            <w:pPr>
              <w:jc w:val="center"/>
            </w:pPr>
          </w:p>
        </w:tc>
      </w:tr>
      <w:tr w14:paraId="53568E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D3B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9A1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D4FB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A44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52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9FC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8B2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6C8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79FAE">
            <w:pPr>
              <w:jc w:val="center"/>
            </w:pPr>
          </w:p>
        </w:tc>
      </w:tr>
      <w:tr w14:paraId="3BF443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7CA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4F5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4435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2C51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E823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382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B89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7A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405FF">
            <w:pPr>
              <w:jc w:val="center"/>
            </w:pPr>
          </w:p>
        </w:tc>
      </w:tr>
      <w:tr w14:paraId="4CEBB5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800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8B3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524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C47F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2A5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C9C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3F0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A4C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F863">
            <w:pPr>
              <w:jc w:val="center"/>
            </w:pPr>
          </w:p>
        </w:tc>
      </w:tr>
      <w:tr w14:paraId="63406B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BDE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ADAD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EAB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1B92C">
            <w:pPr>
              <w:jc w:val="center"/>
            </w:pPr>
            <w:r>
              <w:rPr>
                <w:rFonts w:ascii="宋体" w:hAnsi="宋体" w:eastAsia="宋体"/>
                <w:sz w:val="16"/>
              </w:rPr>
              <w:t>学校公用经费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1749A">
            <w:pPr>
              <w:jc w:val="center"/>
            </w:pPr>
            <w:r>
              <w:rPr>
                <w:rFonts w:ascii="宋体" w:hAnsi="宋体" w:eastAsia="宋体"/>
                <w:sz w:val="16"/>
              </w:rPr>
              <w:t>&lt;=19.79万元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00D5">
            <w:pPr>
              <w:jc w:val="center"/>
            </w:pPr>
            <w:r>
              <w:rPr>
                <w:rFonts w:ascii="宋体" w:hAnsi="宋体" w:eastAsia="宋体"/>
                <w:sz w:val="16"/>
              </w:rPr>
              <w:t>&lt;=19.79万元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A29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ADA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A69BD">
            <w:pPr>
              <w:jc w:val="center"/>
            </w:pPr>
          </w:p>
        </w:tc>
      </w:tr>
      <w:tr w14:paraId="0B496F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BE6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10CD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FEE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4F7A5">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5B0F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1A9F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DA9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981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E5E2F">
            <w:pPr>
              <w:jc w:val="center"/>
            </w:pPr>
          </w:p>
        </w:tc>
      </w:tr>
      <w:tr w14:paraId="411DB3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875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71E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7F4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45C8B">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50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5EC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E64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1AA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1FCA">
            <w:pPr>
              <w:jc w:val="center"/>
            </w:pPr>
          </w:p>
        </w:tc>
      </w:tr>
      <w:tr w14:paraId="03CA851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EF1B6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40A6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842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4471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9EC03E"/>
        </w:tc>
      </w:tr>
    </w:tbl>
    <w:p w14:paraId="54E5218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CD3233">
        <w:tblPrEx>
          <w:tblCellMar>
            <w:top w:w="0" w:type="dxa"/>
            <w:left w:w="108" w:type="dxa"/>
            <w:bottom w:w="0" w:type="dxa"/>
            <w:right w:w="108" w:type="dxa"/>
          </w:tblCellMar>
        </w:tblPrEx>
        <w:tc>
          <w:tcPr>
            <w:tcW w:w="8847" w:type="dxa"/>
            <w:gridSpan w:val="9"/>
            <w:vAlign w:val="center"/>
          </w:tcPr>
          <w:p w14:paraId="594C4ADD">
            <w:pPr>
              <w:jc w:val="center"/>
            </w:pPr>
            <w:r>
              <w:rPr>
                <w:rFonts w:ascii="宋体" w:hAnsi="宋体" w:eastAsia="宋体"/>
                <w:sz w:val="24"/>
              </w:rPr>
              <w:t>项目支出绩效自评表</w:t>
            </w:r>
          </w:p>
        </w:tc>
      </w:tr>
      <w:tr w14:paraId="6A55E510">
        <w:tblPrEx>
          <w:tblCellMar>
            <w:top w:w="0" w:type="dxa"/>
            <w:left w:w="108" w:type="dxa"/>
            <w:bottom w:w="0" w:type="dxa"/>
            <w:right w:w="108" w:type="dxa"/>
          </w:tblCellMar>
        </w:tblPrEx>
        <w:tc>
          <w:tcPr>
            <w:tcW w:w="8847" w:type="dxa"/>
            <w:gridSpan w:val="9"/>
            <w:vAlign w:val="center"/>
          </w:tcPr>
          <w:p w14:paraId="6DB72BF0">
            <w:pPr>
              <w:jc w:val="center"/>
            </w:pPr>
            <w:r>
              <w:rPr>
                <w:rFonts w:ascii="宋体" w:hAnsi="宋体" w:eastAsia="宋体"/>
                <w:sz w:val="24"/>
              </w:rPr>
              <w:t>(2024年度)</w:t>
            </w:r>
          </w:p>
        </w:tc>
      </w:tr>
      <w:tr w14:paraId="0C1CE3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E6B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BF140D">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w:t>
            </w:r>
          </w:p>
        </w:tc>
      </w:tr>
      <w:tr w14:paraId="1A2644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E7A0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D8C8BE">
            <w:pPr>
              <w:jc w:val="center"/>
            </w:pPr>
            <w:r>
              <w:rPr>
                <w:rFonts w:ascii="宋体" w:hAnsi="宋体" w:eastAsia="宋体"/>
                <w:sz w:val="16"/>
              </w:rPr>
              <w:t>洛浦县第二中学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BF9B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691F0F">
            <w:pPr>
              <w:jc w:val="center"/>
            </w:pPr>
            <w:r>
              <w:rPr>
                <w:rFonts w:ascii="宋体" w:hAnsi="宋体" w:eastAsia="宋体"/>
                <w:sz w:val="16"/>
              </w:rPr>
              <w:t>洛浦县第二中学</w:t>
            </w:r>
          </w:p>
        </w:tc>
      </w:tr>
      <w:tr w14:paraId="41EE47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0082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DF5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F96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45D0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E5E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6BD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1432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7B266">
            <w:pPr>
              <w:jc w:val="center"/>
            </w:pPr>
            <w:r>
              <w:rPr>
                <w:rFonts w:ascii="宋体" w:hAnsi="宋体" w:eastAsia="宋体"/>
                <w:sz w:val="16"/>
              </w:rPr>
              <w:t>得分</w:t>
            </w:r>
          </w:p>
        </w:tc>
      </w:tr>
      <w:tr w14:paraId="188FC8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E41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4002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982F">
            <w:pPr>
              <w:jc w:val="center"/>
            </w:pPr>
            <w:r>
              <w:rPr>
                <w:rFonts w:ascii="宋体" w:hAnsi="宋体" w:eastAsia="宋体"/>
                <w:sz w:val="16"/>
              </w:rPr>
              <w:t>21.94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2B03">
            <w:pPr>
              <w:jc w:val="center"/>
            </w:pPr>
            <w:r>
              <w:rPr>
                <w:rFonts w:ascii="宋体" w:hAnsi="宋体" w:eastAsia="宋体"/>
                <w:sz w:val="16"/>
              </w:rPr>
              <w:t>21.94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000E6">
            <w:pPr>
              <w:jc w:val="center"/>
            </w:pPr>
            <w:r>
              <w:rPr>
                <w:rFonts w:ascii="宋体" w:hAnsi="宋体" w:eastAsia="宋体"/>
                <w:sz w:val="16"/>
              </w:rPr>
              <w:t>21.94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EFF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3069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B413">
            <w:pPr>
              <w:jc w:val="center"/>
            </w:pPr>
            <w:r>
              <w:rPr>
                <w:rFonts w:ascii="宋体" w:hAnsi="宋体" w:eastAsia="宋体"/>
                <w:sz w:val="16"/>
              </w:rPr>
              <w:t>10.00分</w:t>
            </w:r>
          </w:p>
        </w:tc>
      </w:tr>
      <w:tr w14:paraId="556C4B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B52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54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B5F39">
            <w:pPr>
              <w:jc w:val="center"/>
            </w:pPr>
            <w:r>
              <w:rPr>
                <w:rFonts w:ascii="宋体" w:hAnsi="宋体" w:eastAsia="宋体"/>
                <w:sz w:val="16"/>
              </w:rPr>
              <w:t>21.94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88A85">
            <w:pPr>
              <w:jc w:val="center"/>
            </w:pPr>
            <w:r>
              <w:rPr>
                <w:rFonts w:ascii="宋体" w:hAnsi="宋体" w:eastAsia="宋体"/>
                <w:sz w:val="16"/>
              </w:rPr>
              <w:t>21.94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62C23">
            <w:pPr>
              <w:jc w:val="center"/>
            </w:pPr>
            <w:r>
              <w:rPr>
                <w:rFonts w:ascii="宋体" w:hAnsi="宋体" w:eastAsia="宋体"/>
                <w:sz w:val="16"/>
              </w:rPr>
              <w:t>21.94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844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D67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27A7A">
            <w:pPr>
              <w:jc w:val="center"/>
            </w:pPr>
            <w:r>
              <w:rPr>
                <w:rFonts w:ascii="宋体" w:hAnsi="宋体" w:eastAsia="宋体"/>
                <w:sz w:val="16"/>
              </w:rPr>
              <w:t>—</w:t>
            </w:r>
          </w:p>
        </w:tc>
      </w:tr>
      <w:tr w14:paraId="05293B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309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DD3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29F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151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B85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DA9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80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7D72">
            <w:pPr>
              <w:jc w:val="center"/>
            </w:pPr>
            <w:r>
              <w:rPr>
                <w:rFonts w:ascii="宋体" w:hAnsi="宋体" w:eastAsia="宋体"/>
                <w:sz w:val="16"/>
              </w:rPr>
              <w:t>—</w:t>
            </w:r>
          </w:p>
        </w:tc>
      </w:tr>
      <w:tr w14:paraId="1CC3E1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314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E54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E9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79D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682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F87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98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38409">
            <w:pPr>
              <w:jc w:val="center"/>
            </w:pPr>
            <w:r>
              <w:rPr>
                <w:rFonts w:ascii="宋体" w:hAnsi="宋体" w:eastAsia="宋体"/>
                <w:sz w:val="16"/>
              </w:rPr>
              <w:t>—</w:t>
            </w:r>
          </w:p>
        </w:tc>
      </w:tr>
      <w:tr w14:paraId="669717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E64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93CB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57DF7">
            <w:pPr>
              <w:jc w:val="center"/>
            </w:pPr>
            <w:r>
              <w:rPr>
                <w:rFonts w:ascii="宋体" w:hAnsi="宋体" w:eastAsia="宋体"/>
                <w:sz w:val="16"/>
              </w:rPr>
              <w:t>实际完成情况</w:t>
            </w:r>
          </w:p>
        </w:tc>
      </w:tr>
      <w:tr w14:paraId="31AB63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3B0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0B6DE5">
            <w:pPr>
              <w:jc w:val="both"/>
            </w:pPr>
            <w:r>
              <w:rPr>
                <w:rFonts w:ascii="宋体" w:hAnsi="宋体" w:eastAsia="宋体"/>
                <w:sz w:val="16"/>
              </w:rPr>
              <w:t>根据文件实施该项目，项目主要内容：项目资金主要用于学生在校</w:t>
            </w:r>
            <w:r>
              <w:rPr>
                <w:rFonts w:hint="eastAsia" w:ascii="宋体" w:hAnsi="宋体"/>
                <w:sz w:val="16"/>
                <w:lang w:eastAsia="zh-CN"/>
              </w:rPr>
              <w:t>的</w:t>
            </w:r>
            <w:r>
              <w:rPr>
                <w:rFonts w:ascii="宋体" w:hAnsi="宋体" w:eastAsia="宋体"/>
                <w:sz w:val="16"/>
              </w:rPr>
              <w:t>伙食改善。通过项目的实施，有效保障学生的校园生活。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4D79B">
            <w:pPr>
              <w:jc w:val="both"/>
            </w:pPr>
            <w:r>
              <w:rPr>
                <w:rFonts w:hint="eastAsia" w:ascii="宋体" w:hAnsi="宋体"/>
                <w:sz w:val="16"/>
                <w:lang w:eastAsia="zh-CN"/>
              </w:rPr>
              <w:t>截至</w:t>
            </w:r>
            <w:r>
              <w:rPr>
                <w:rFonts w:ascii="宋体" w:hAnsi="宋体" w:eastAsia="宋体"/>
                <w:sz w:val="16"/>
              </w:rPr>
              <w:t>2024年12月31日，本项目已完成2530名学生的伙食费，已形成资金支付21.94万元。通过项目的实施，有效保障学生的校园生活。</w:t>
            </w:r>
          </w:p>
        </w:tc>
      </w:tr>
      <w:tr w14:paraId="24704B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1476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851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C9B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7893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2367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AF4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D7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BE3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9AE2F">
            <w:pPr>
              <w:jc w:val="center"/>
            </w:pPr>
            <w:r>
              <w:rPr>
                <w:rFonts w:ascii="宋体" w:hAnsi="宋体" w:eastAsia="宋体"/>
                <w:sz w:val="16"/>
              </w:rPr>
              <w:t>偏差原因分析及改进措施</w:t>
            </w:r>
          </w:p>
        </w:tc>
      </w:tr>
      <w:tr w14:paraId="385C70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39D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8BC0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CDFF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2FDCB">
            <w:pPr>
              <w:jc w:val="center"/>
            </w:pPr>
            <w:r>
              <w:rPr>
                <w:rFonts w:ascii="宋体" w:hAnsi="宋体" w:eastAsia="宋体"/>
                <w:sz w:val="16"/>
              </w:rPr>
              <w:t>保障在校学生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32BD">
            <w:pPr>
              <w:jc w:val="center"/>
            </w:pPr>
            <w:r>
              <w:rPr>
                <w:rFonts w:ascii="宋体" w:hAnsi="宋体" w:eastAsia="宋体"/>
                <w:sz w:val="16"/>
              </w:rPr>
              <w:t>&gt;=2530人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50BE1">
            <w:pPr>
              <w:jc w:val="center"/>
            </w:pPr>
            <w:r>
              <w:rPr>
                <w:rFonts w:ascii="宋体" w:hAnsi="宋体" w:eastAsia="宋体"/>
                <w:sz w:val="16"/>
              </w:rPr>
              <w:t>=2530人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BAC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D6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B6152">
            <w:pPr>
              <w:jc w:val="center"/>
            </w:pPr>
          </w:p>
        </w:tc>
      </w:tr>
      <w:tr w14:paraId="4C6214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836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381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B3AC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F6B0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26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2E8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692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007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37C8">
            <w:pPr>
              <w:jc w:val="center"/>
            </w:pPr>
          </w:p>
        </w:tc>
      </w:tr>
      <w:tr w14:paraId="3BB2B0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DC5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9AB7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CF54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633E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F483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4BDE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0FC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900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5609">
            <w:pPr>
              <w:jc w:val="center"/>
            </w:pPr>
          </w:p>
        </w:tc>
      </w:tr>
      <w:tr w14:paraId="5DCC9B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A8B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D2A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6FB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0C06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D1D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90A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9A1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FD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F113">
            <w:pPr>
              <w:jc w:val="center"/>
            </w:pPr>
          </w:p>
        </w:tc>
      </w:tr>
      <w:tr w14:paraId="4441DE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3DE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8C47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3BC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B8151">
            <w:pPr>
              <w:jc w:val="center"/>
            </w:pPr>
            <w:r>
              <w:rPr>
                <w:rFonts w:ascii="宋体" w:hAnsi="宋体" w:eastAsia="宋体"/>
                <w:sz w:val="16"/>
              </w:rPr>
              <w:t>学生伙食费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49DDC">
            <w:pPr>
              <w:jc w:val="center"/>
            </w:pPr>
            <w:r>
              <w:rPr>
                <w:rFonts w:ascii="宋体" w:hAnsi="宋体" w:eastAsia="宋体"/>
                <w:sz w:val="16"/>
              </w:rPr>
              <w:t>&lt;=21.94万元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C28F3">
            <w:pPr>
              <w:jc w:val="center"/>
            </w:pPr>
            <w:r>
              <w:rPr>
                <w:rFonts w:ascii="宋体" w:hAnsi="宋体" w:eastAsia="宋体"/>
                <w:sz w:val="16"/>
              </w:rPr>
              <w:t>=21.94万元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B4E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C9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347C">
            <w:pPr>
              <w:jc w:val="center"/>
            </w:pPr>
          </w:p>
        </w:tc>
      </w:tr>
      <w:tr w14:paraId="6A635C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D1E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A864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4D8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0EFD6">
            <w:pPr>
              <w:jc w:val="center"/>
            </w:pPr>
            <w:r>
              <w:rPr>
                <w:rFonts w:ascii="宋体" w:hAnsi="宋体" w:eastAsia="宋体"/>
                <w:sz w:val="16"/>
              </w:rPr>
              <w:t>保障学生的校园生活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A313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45E1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CEB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7E1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A4285">
            <w:pPr>
              <w:jc w:val="center"/>
            </w:pPr>
          </w:p>
        </w:tc>
      </w:tr>
      <w:tr w14:paraId="5DFE3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DD4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D3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56D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40D46">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1D65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27E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D1F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F55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0718A">
            <w:pPr>
              <w:jc w:val="center"/>
            </w:pPr>
          </w:p>
        </w:tc>
      </w:tr>
      <w:tr w14:paraId="5EDB572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A73D9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DC86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71A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3B11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52E007"/>
        </w:tc>
      </w:tr>
    </w:tbl>
    <w:p w14:paraId="3CB4E7A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DAFDE4">
        <w:tblPrEx>
          <w:tblCellMar>
            <w:top w:w="0" w:type="dxa"/>
            <w:left w:w="108" w:type="dxa"/>
            <w:bottom w:w="0" w:type="dxa"/>
            <w:right w:w="108" w:type="dxa"/>
          </w:tblCellMar>
        </w:tblPrEx>
        <w:tc>
          <w:tcPr>
            <w:tcW w:w="8847" w:type="dxa"/>
            <w:gridSpan w:val="9"/>
            <w:vAlign w:val="center"/>
          </w:tcPr>
          <w:p w14:paraId="2DF090AE">
            <w:pPr>
              <w:jc w:val="center"/>
            </w:pPr>
            <w:r>
              <w:rPr>
                <w:rFonts w:ascii="宋体" w:hAnsi="宋体" w:eastAsia="宋体"/>
                <w:sz w:val="24"/>
              </w:rPr>
              <w:t>项目支出绩效自评表</w:t>
            </w:r>
          </w:p>
        </w:tc>
      </w:tr>
      <w:tr w14:paraId="14420360">
        <w:tblPrEx>
          <w:tblCellMar>
            <w:top w:w="0" w:type="dxa"/>
            <w:left w:w="108" w:type="dxa"/>
            <w:bottom w:w="0" w:type="dxa"/>
            <w:right w:w="108" w:type="dxa"/>
          </w:tblCellMar>
        </w:tblPrEx>
        <w:tc>
          <w:tcPr>
            <w:tcW w:w="8847" w:type="dxa"/>
            <w:gridSpan w:val="9"/>
            <w:vAlign w:val="center"/>
          </w:tcPr>
          <w:p w14:paraId="609F5D54">
            <w:pPr>
              <w:jc w:val="center"/>
            </w:pPr>
            <w:r>
              <w:rPr>
                <w:rFonts w:ascii="宋体" w:hAnsi="宋体" w:eastAsia="宋体"/>
                <w:sz w:val="24"/>
              </w:rPr>
              <w:t>(2024年度)</w:t>
            </w:r>
          </w:p>
        </w:tc>
      </w:tr>
      <w:tr w14:paraId="2C05F8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54A2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6EB69A">
            <w:pPr>
              <w:jc w:val="center"/>
            </w:pPr>
            <w:r>
              <w:rPr>
                <w:rFonts w:hint="eastAsia" w:ascii="宋体" w:hAnsi="宋体"/>
                <w:sz w:val="16"/>
                <w:lang w:eastAsia="zh-CN"/>
              </w:rPr>
              <w:t>YQ</w:t>
            </w:r>
            <w:r>
              <w:rPr>
                <w:rFonts w:ascii="宋体" w:hAnsi="宋体" w:eastAsia="宋体"/>
                <w:sz w:val="16"/>
              </w:rPr>
              <w:t>期间餐费-洛财纪字</w:t>
            </w:r>
            <w:r>
              <w:rPr>
                <w:rFonts w:hint="eastAsia" w:ascii="宋体" w:hAnsi="宋体"/>
                <w:sz w:val="16"/>
                <w:lang w:eastAsia="zh-CN"/>
              </w:rPr>
              <w:t>〔2024〕5号</w:t>
            </w:r>
          </w:p>
        </w:tc>
      </w:tr>
      <w:tr w14:paraId="5D95F6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37F0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1CDDEB">
            <w:pPr>
              <w:jc w:val="center"/>
            </w:pPr>
            <w:r>
              <w:rPr>
                <w:rFonts w:ascii="宋体" w:hAnsi="宋体" w:eastAsia="宋体"/>
                <w:sz w:val="16"/>
              </w:rPr>
              <w:t>洛浦县第二中学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9248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1A5E67">
            <w:pPr>
              <w:jc w:val="center"/>
            </w:pPr>
            <w:r>
              <w:rPr>
                <w:rFonts w:ascii="宋体" w:hAnsi="宋体" w:eastAsia="宋体"/>
                <w:sz w:val="16"/>
              </w:rPr>
              <w:t>洛浦县第二中学</w:t>
            </w:r>
          </w:p>
        </w:tc>
      </w:tr>
      <w:tr w14:paraId="4DB516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8D0C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3635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51F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0FA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BE02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94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4E0B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EE1E5">
            <w:pPr>
              <w:jc w:val="center"/>
            </w:pPr>
            <w:r>
              <w:rPr>
                <w:rFonts w:ascii="宋体" w:hAnsi="宋体" w:eastAsia="宋体"/>
                <w:sz w:val="16"/>
              </w:rPr>
              <w:t>得分</w:t>
            </w:r>
          </w:p>
        </w:tc>
      </w:tr>
      <w:tr w14:paraId="773AD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409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3025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06096">
            <w:pPr>
              <w:jc w:val="center"/>
            </w:pPr>
            <w:r>
              <w:rPr>
                <w:rFonts w:ascii="宋体" w:hAnsi="宋体" w:eastAsia="宋体"/>
                <w:sz w:val="16"/>
              </w:rPr>
              <w:t>57.43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78F56">
            <w:pPr>
              <w:jc w:val="center"/>
            </w:pPr>
            <w:r>
              <w:rPr>
                <w:rFonts w:ascii="宋体" w:hAnsi="宋体" w:eastAsia="宋体"/>
                <w:sz w:val="16"/>
              </w:rPr>
              <w:t>40.50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D90C">
            <w:pPr>
              <w:jc w:val="center"/>
            </w:pPr>
            <w:r>
              <w:rPr>
                <w:rFonts w:ascii="宋体" w:hAnsi="宋体" w:eastAsia="宋体"/>
                <w:sz w:val="16"/>
              </w:rPr>
              <w:t>40.50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31F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52EE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147B">
            <w:pPr>
              <w:jc w:val="center"/>
            </w:pPr>
            <w:r>
              <w:rPr>
                <w:rFonts w:ascii="宋体" w:hAnsi="宋体" w:eastAsia="宋体"/>
                <w:sz w:val="16"/>
              </w:rPr>
              <w:t>10.00分</w:t>
            </w:r>
          </w:p>
        </w:tc>
      </w:tr>
      <w:tr w14:paraId="3DE7AB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A02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D04B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2DA56">
            <w:pPr>
              <w:jc w:val="center"/>
            </w:pPr>
            <w:r>
              <w:rPr>
                <w:rFonts w:ascii="宋体" w:hAnsi="宋体" w:eastAsia="宋体"/>
                <w:sz w:val="16"/>
              </w:rPr>
              <w:t>57.43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3320E">
            <w:pPr>
              <w:jc w:val="center"/>
            </w:pPr>
            <w:r>
              <w:rPr>
                <w:rFonts w:ascii="宋体" w:hAnsi="宋体" w:eastAsia="宋体"/>
                <w:sz w:val="16"/>
              </w:rPr>
              <w:t>40.50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521D8">
            <w:pPr>
              <w:jc w:val="center"/>
            </w:pPr>
            <w:r>
              <w:rPr>
                <w:rFonts w:ascii="宋体" w:hAnsi="宋体" w:eastAsia="宋体"/>
                <w:sz w:val="16"/>
              </w:rPr>
              <w:t>40.50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98A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D4F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75749">
            <w:pPr>
              <w:jc w:val="center"/>
            </w:pPr>
            <w:r>
              <w:rPr>
                <w:rFonts w:ascii="宋体" w:hAnsi="宋体" w:eastAsia="宋体"/>
                <w:sz w:val="16"/>
              </w:rPr>
              <w:t>—</w:t>
            </w:r>
          </w:p>
        </w:tc>
      </w:tr>
      <w:tr w14:paraId="06BC4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987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00D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E37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B30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B2B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277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67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CF347">
            <w:pPr>
              <w:jc w:val="center"/>
            </w:pPr>
            <w:r>
              <w:rPr>
                <w:rFonts w:ascii="宋体" w:hAnsi="宋体" w:eastAsia="宋体"/>
                <w:sz w:val="16"/>
              </w:rPr>
              <w:t>—</w:t>
            </w:r>
          </w:p>
        </w:tc>
      </w:tr>
      <w:tr w14:paraId="79DA60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5EE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1B84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7BC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6B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35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31C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CC0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6265C">
            <w:pPr>
              <w:jc w:val="center"/>
            </w:pPr>
            <w:r>
              <w:rPr>
                <w:rFonts w:ascii="宋体" w:hAnsi="宋体" w:eastAsia="宋体"/>
                <w:sz w:val="16"/>
              </w:rPr>
              <w:t>—</w:t>
            </w:r>
          </w:p>
        </w:tc>
      </w:tr>
      <w:tr w14:paraId="05972E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51AD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E5361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EF5FE">
            <w:pPr>
              <w:jc w:val="center"/>
            </w:pPr>
            <w:r>
              <w:rPr>
                <w:rFonts w:ascii="宋体" w:hAnsi="宋体" w:eastAsia="宋体"/>
                <w:sz w:val="16"/>
              </w:rPr>
              <w:t>实际完成情况</w:t>
            </w:r>
          </w:p>
        </w:tc>
      </w:tr>
      <w:tr w14:paraId="00B99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A465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56CD33">
            <w:pPr>
              <w:jc w:val="both"/>
            </w:pPr>
            <w:r>
              <w:rPr>
                <w:rFonts w:ascii="宋体" w:hAnsi="宋体" w:eastAsia="宋体"/>
                <w:sz w:val="16"/>
              </w:rPr>
              <w:t>本项目主要实施内容为：为保障</w:t>
            </w:r>
            <w:r>
              <w:rPr>
                <w:rFonts w:hint="eastAsia" w:ascii="宋体" w:hAnsi="宋体"/>
                <w:sz w:val="16"/>
                <w:lang w:eastAsia="zh-CN"/>
              </w:rPr>
              <w:t>YQ</w:t>
            </w:r>
            <w:r>
              <w:rPr>
                <w:rFonts w:ascii="宋体" w:hAnsi="宋体" w:eastAsia="宋体"/>
                <w:sz w:val="16"/>
              </w:rPr>
              <w:t>期间的餐费，本项</w:t>
            </w:r>
            <w:r>
              <w:rPr>
                <w:rFonts w:hint="eastAsia" w:ascii="宋体" w:hAnsi="宋体"/>
                <w:sz w:val="16"/>
                <w:lang w:eastAsia="zh-CN"/>
              </w:rPr>
              <w:t>目是</w:t>
            </w:r>
            <w:r>
              <w:rPr>
                <w:rFonts w:ascii="宋体" w:hAnsi="宋体" w:eastAsia="宋体"/>
                <w:sz w:val="16"/>
              </w:rPr>
              <w:t>正常性项目，资金总额为40.5万元，将在2024年12月之前完成。通过实施本项目可以有效提高学校工作效率。保障</w:t>
            </w:r>
            <w:r>
              <w:rPr>
                <w:rFonts w:hint="eastAsia" w:ascii="宋体" w:hAnsi="宋体"/>
                <w:sz w:val="16"/>
                <w:lang w:eastAsia="zh-CN"/>
              </w:rPr>
              <w:t>YQ</w:t>
            </w:r>
            <w:r>
              <w:rPr>
                <w:rFonts w:ascii="宋体" w:hAnsi="宋体" w:eastAsia="宋体"/>
                <w:sz w:val="16"/>
              </w:rPr>
              <w:t>期间的餐费</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80F26">
            <w:pPr>
              <w:jc w:val="both"/>
            </w:pPr>
            <w:r>
              <w:rPr>
                <w:rFonts w:hint="eastAsia" w:ascii="宋体" w:hAnsi="宋体"/>
                <w:sz w:val="16"/>
                <w:lang w:eastAsia="zh-CN"/>
              </w:rPr>
              <w:t>截至</w:t>
            </w:r>
            <w:r>
              <w:rPr>
                <w:rFonts w:ascii="宋体" w:hAnsi="宋体" w:eastAsia="宋体"/>
                <w:sz w:val="16"/>
              </w:rPr>
              <w:t>2024年12月31日，本项目已完成967名学生在校正常生活，已形成资金支付40.5万元。通过实施本项目可以有效提高学校工作效率。保障</w:t>
            </w:r>
            <w:r>
              <w:rPr>
                <w:rFonts w:hint="eastAsia" w:ascii="宋体" w:hAnsi="宋体"/>
                <w:sz w:val="16"/>
                <w:lang w:eastAsia="zh-CN"/>
              </w:rPr>
              <w:t>YQ</w:t>
            </w:r>
            <w:r>
              <w:rPr>
                <w:rFonts w:ascii="宋体" w:hAnsi="宋体" w:eastAsia="宋体"/>
                <w:sz w:val="16"/>
              </w:rPr>
              <w:t>期间的餐费</w:t>
            </w:r>
            <w:r>
              <w:rPr>
                <w:rFonts w:hint="eastAsia" w:ascii="宋体" w:hAnsi="宋体"/>
                <w:sz w:val="16"/>
                <w:lang w:eastAsia="zh-CN"/>
              </w:rPr>
              <w:t>。</w:t>
            </w:r>
          </w:p>
        </w:tc>
      </w:tr>
      <w:tr w14:paraId="2C65E5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508A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FA8B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91B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06F8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8CC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6B9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950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D2C2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70C2">
            <w:pPr>
              <w:jc w:val="center"/>
            </w:pPr>
            <w:r>
              <w:rPr>
                <w:rFonts w:ascii="宋体" w:hAnsi="宋体" w:eastAsia="宋体"/>
                <w:sz w:val="16"/>
              </w:rPr>
              <w:t>偏差原因分析及改进措施</w:t>
            </w:r>
          </w:p>
        </w:tc>
      </w:tr>
      <w:tr w14:paraId="0C2007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F853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1710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DA21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97CDA">
            <w:pPr>
              <w:jc w:val="center"/>
            </w:pPr>
            <w:r>
              <w:rPr>
                <w:rFonts w:hint="eastAsia" w:ascii="宋体" w:hAnsi="宋体"/>
                <w:sz w:val="16"/>
                <w:lang w:eastAsia="zh-CN"/>
              </w:rPr>
              <w:t>YQ</w:t>
            </w:r>
            <w:r>
              <w:rPr>
                <w:rFonts w:ascii="宋体" w:hAnsi="宋体" w:eastAsia="宋体"/>
                <w:sz w:val="16"/>
              </w:rPr>
              <w:t>期间餐费补助经费受益学生数量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F7C3">
            <w:pPr>
              <w:jc w:val="center"/>
            </w:pPr>
            <w:r>
              <w:rPr>
                <w:rFonts w:ascii="宋体" w:hAnsi="宋体" w:eastAsia="宋体"/>
                <w:sz w:val="16"/>
              </w:rPr>
              <w:t>=967人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A8ACB">
            <w:pPr>
              <w:jc w:val="center"/>
            </w:pPr>
            <w:r>
              <w:rPr>
                <w:rFonts w:ascii="宋体" w:hAnsi="宋体" w:eastAsia="宋体"/>
                <w:sz w:val="16"/>
              </w:rPr>
              <w:t>=967人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7EF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112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2D070">
            <w:pPr>
              <w:jc w:val="center"/>
            </w:pPr>
          </w:p>
        </w:tc>
      </w:tr>
      <w:tr w14:paraId="0AD1E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D01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D6E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DB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B8F78">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B3C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F51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B5B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08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6F059">
            <w:pPr>
              <w:jc w:val="center"/>
            </w:pPr>
          </w:p>
        </w:tc>
      </w:tr>
      <w:tr w14:paraId="4FF2F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FA3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9A1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8C1C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56204">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E89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469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FE9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F8B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7D1F3">
            <w:pPr>
              <w:jc w:val="center"/>
            </w:pPr>
          </w:p>
        </w:tc>
      </w:tr>
      <w:tr w14:paraId="3F0F3F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B44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CF1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CC7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10EB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7FEB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45A2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BF0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A51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EBCAE">
            <w:pPr>
              <w:jc w:val="center"/>
            </w:pPr>
          </w:p>
        </w:tc>
      </w:tr>
      <w:tr w14:paraId="2E8EA5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33C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7ADF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9EA6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0D3AA">
            <w:pPr>
              <w:jc w:val="center"/>
            </w:pPr>
            <w:r>
              <w:rPr>
                <w:rFonts w:hint="eastAsia" w:ascii="宋体" w:hAnsi="宋体"/>
                <w:sz w:val="16"/>
                <w:lang w:eastAsia="zh-CN"/>
              </w:rPr>
              <w:t>YQ</w:t>
            </w:r>
            <w:r>
              <w:rPr>
                <w:rFonts w:ascii="宋体" w:hAnsi="宋体" w:eastAsia="宋体"/>
                <w:sz w:val="16"/>
              </w:rPr>
              <w:t>期间餐费补助经费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5E83">
            <w:pPr>
              <w:jc w:val="center"/>
            </w:pPr>
            <w:r>
              <w:rPr>
                <w:rFonts w:ascii="宋体" w:hAnsi="宋体" w:eastAsia="宋体"/>
                <w:sz w:val="16"/>
              </w:rPr>
              <w:t>=40.5万元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A48BD">
            <w:pPr>
              <w:jc w:val="center"/>
            </w:pPr>
            <w:r>
              <w:rPr>
                <w:rFonts w:ascii="宋体" w:hAnsi="宋体" w:eastAsia="宋体"/>
                <w:sz w:val="16"/>
              </w:rPr>
              <w:t>=40.5万元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40C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563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1900C">
            <w:pPr>
              <w:jc w:val="center"/>
            </w:pPr>
          </w:p>
        </w:tc>
      </w:tr>
      <w:tr w14:paraId="3459E8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8C9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3D21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945E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7190">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2122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0F74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4B26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B7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9BD88">
            <w:pPr>
              <w:jc w:val="center"/>
            </w:pPr>
          </w:p>
        </w:tc>
      </w:tr>
      <w:tr w14:paraId="57226D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1E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A26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792C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AC0F7">
            <w:pPr>
              <w:jc w:val="center"/>
            </w:pPr>
            <w:r>
              <w:rPr>
                <w:rFonts w:ascii="宋体" w:hAnsi="宋体" w:eastAsia="宋体"/>
                <w:sz w:val="16"/>
              </w:rPr>
              <w:t>享受学生满意度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8FD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753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30D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12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04D76">
            <w:pPr>
              <w:jc w:val="center"/>
            </w:pPr>
          </w:p>
        </w:tc>
      </w:tr>
      <w:tr w14:paraId="3F6A6BC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0932D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3E8F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F9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F27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CE4642"/>
        </w:tc>
      </w:tr>
    </w:tbl>
    <w:p w14:paraId="1F658DD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98C424">
        <w:tblPrEx>
          <w:tblCellMar>
            <w:top w:w="0" w:type="dxa"/>
            <w:left w:w="108" w:type="dxa"/>
            <w:bottom w:w="0" w:type="dxa"/>
            <w:right w:w="108" w:type="dxa"/>
          </w:tblCellMar>
        </w:tblPrEx>
        <w:tc>
          <w:tcPr>
            <w:tcW w:w="8847" w:type="dxa"/>
            <w:gridSpan w:val="9"/>
            <w:vAlign w:val="center"/>
          </w:tcPr>
          <w:p w14:paraId="0D8C25B0">
            <w:pPr>
              <w:jc w:val="center"/>
            </w:pPr>
            <w:r>
              <w:rPr>
                <w:rFonts w:ascii="宋体" w:hAnsi="宋体" w:eastAsia="宋体"/>
                <w:sz w:val="24"/>
              </w:rPr>
              <w:t>项目支出绩效自评表</w:t>
            </w:r>
          </w:p>
        </w:tc>
      </w:tr>
      <w:tr w14:paraId="5E833860">
        <w:tblPrEx>
          <w:tblCellMar>
            <w:top w:w="0" w:type="dxa"/>
            <w:left w:w="108" w:type="dxa"/>
            <w:bottom w:w="0" w:type="dxa"/>
            <w:right w:w="108" w:type="dxa"/>
          </w:tblCellMar>
        </w:tblPrEx>
        <w:tc>
          <w:tcPr>
            <w:tcW w:w="8847" w:type="dxa"/>
            <w:gridSpan w:val="9"/>
            <w:vAlign w:val="center"/>
          </w:tcPr>
          <w:p w14:paraId="20DDAAA7">
            <w:pPr>
              <w:jc w:val="center"/>
            </w:pPr>
            <w:r>
              <w:rPr>
                <w:rFonts w:ascii="宋体" w:hAnsi="宋体" w:eastAsia="宋体"/>
                <w:sz w:val="24"/>
              </w:rPr>
              <w:t>(2024年度)</w:t>
            </w:r>
          </w:p>
        </w:tc>
      </w:tr>
      <w:tr w14:paraId="5A6850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08F5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B91FAA">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7CE912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7D18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D23D0D">
            <w:pPr>
              <w:jc w:val="center"/>
            </w:pPr>
            <w:r>
              <w:rPr>
                <w:rFonts w:ascii="宋体" w:hAnsi="宋体" w:eastAsia="宋体"/>
                <w:sz w:val="16"/>
              </w:rPr>
              <w:t>洛浦县第二中学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781D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17E731">
            <w:pPr>
              <w:jc w:val="center"/>
            </w:pPr>
            <w:r>
              <w:rPr>
                <w:rFonts w:ascii="宋体" w:hAnsi="宋体" w:eastAsia="宋体"/>
                <w:sz w:val="16"/>
              </w:rPr>
              <w:t>洛浦县第二中学</w:t>
            </w:r>
          </w:p>
        </w:tc>
      </w:tr>
      <w:tr w14:paraId="3993E5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8390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2FB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E407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5DE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F48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B41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468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144A9">
            <w:pPr>
              <w:jc w:val="center"/>
            </w:pPr>
            <w:r>
              <w:rPr>
                <w:rFonts w:ascii="宋体" w:hAnsi="宋体" w:eastAsia="宋体"/>
                <w:sz w:val="16"/>
              </w:rPr>
              <w:t>得分</w:t>
            </w:r>
          </w:p>
        </w:tc>
      </w:tr>
      <w:tr w14:paraId="2629A5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657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D2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C50D">
            <w:pPr>
              <w:jc w:val="center"/>
            </w:pPr>
            <w:r>
              <w:rPr>
                <w:rFonts w:ascii="宋体" w:hAnsi="宋体" w:eastAsia="宋体"/>
                <w:sz w:val="16"/>
              </w:rPr>
              <w:t>178.15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BC42E">
            <w:pPr>
              <w:jc w:val="center"/>
            </w:pPr>
            <w:r>
              <w:rPr>
                <w:rFonts w:ascii="宋体" w:hAnsi="宋体" w:eastAsia="宋体"/>
                <w:sz w:val="16"/>
              </w:rPr>
              <w:t>178.15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41556">
            <w:pPr>
              <w:jc w:val="center"/>
            </w:pPr>
            <w:r>
              <w:rPr>
                <w:rFonts w:ascii="宋体" w:hAnsi="宋体" w:eastAsia="宋体"/>
                <w:sz w:val="16"/>
              </w:rPr>
              <w:t>150.97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40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7B02">
            <w:pPr>
              <w:jc w:val="center"/>
            </w:pPr>
            <w:r>
              <w:rPr>
                <w:rFonts w:ascii="宋体" w:hAnsi="宋体" w:eastAsia="宋体"/>
                <w:sz w:val="16"/>
              </w:rPr>
              <w:t xml:space="preserve">84.74%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410F9">
            <w:pPr>
              <w:jc w:val="center"/>
            </w:pPr>
            <w:r>
              <w:rPr>
                <w:rFonts w:ascii="宋体" w:hAnsi="宋体" w:eastAsia="宋体"/>
                <w:sz w:val="16"/>
              </w:rPr>
              <w:t>6.18分</w:t>
            </w:r>
          </w:p>
        </w:tc>
      </w:tr>
      <w:tr w14:paraId="4DC56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16E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45A8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10871">
            <w:pPr>
              <w:jc w:val="center"/>
            </w:pPr>
            <w:r>
              <w:rPr>
                <w:rFonts w:ascii="宋体" w:hAnsi="宋体" w:eastAsia="宋体"/>
                <w:sz w:val="16"/>
              </w:rPr>
              <w:t>178.15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B36A">
            <w:pPr>
              <w:jc w:val="center"/>
            </w:pPr>
            <w:r>
              <w:rPr>
                <w:rFonts w:ascii="宋体" w:hAnsi="宋体" w:eastAsia="宋体"/>
                <w:sz w:val="16"/>
              </w:rPr>
              <w:t>178.15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0DB4C">
            <w:pPr>
              <w:jc w:val="center"/>
            </w:pPr>
            <w:r>
              <w:rPr>
                <w:rFonts w:ascii="宋体" w:hAnsi="宋体" w:eastAsia="宋体"/>
                <w:sz w:val="16"/>
              </w:rPr>
              <w:t>150.97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14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28B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DC945">
            <w:pPr>
              <w:jc w:val="center"/>
            </w:pPr>
            <w:r>
              <w:rPr>
                <w:rFonts w:ascii="宋体" w:hAnsi="宋体" w:eastAsia="宋体"/>
                <w:sz w:val="16"/>
              </w:rPr>
              <w:t>—</w:t>
            </w:r>
          </w:p>
        </w:tc>
      </w:tr>
      <w:tr w14:paraId="1C073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EFA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595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C46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EF3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713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0D9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B05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E73E">
            <w:pPr>
              <w:jc w:val="center"/>
            </w:pPr>
            <w:r>
              <w:rPr>
                <w:rFonts w:ascii="宋体" w:hAnsi="宋体" w:eastAsia="宋体"/>
                <w:sz w:val="16"/>
              </w:rPr>
              <w:t>—</w:t>
            </w:r>
          </w:p>
        </w:tc>
      </w:tr>
      <w:tr w14:paraId="66B3A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EED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6F0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1F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16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571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5B7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024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8EB56">
            <w:pPr>
              <w:jc w:val="center"/>
            </w:pPr>
            <w:r>
              <w:rPr>
                <w:rFonts w:ascii="宋体" w:hAnsi="宋体" w:eastAsia="宋体"/>
                <w:sz w:val="16"/>
              </w:rPr>
              <w:t>—</w:t>
            </w:r>
          </w:p>
        </w:tc>
      </w:tr>
      <w:tr w14:paraId="797221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0A98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D5CE4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D8047">
            <w:pPr>
              <w:jc w:val="center"/>
            </w:pPr>
            <w:r>
              <w:rPr>
                <w:rFonts w:ascii="宋体" w:hAnsi="宋体" w:eastAsia="宋体"/>
                <w:sz w:val="16"/>
              </w:rPr>
              <w:t>实际完成情况</w:t>
            </w:r>
          </w:p>
        </w:tc>
      </w:tr>
      <w:tr w14:paraId="3E5511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22A2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228B3E">
            <w:pPr>
              <w:jc w:val="both"/>
            </w:pPr>
            <w:r>
              <w:rPr>
                <w:rFonts w:ascii="宋体" w:hAnsi="宋体" w:eastAsia="宋体"/>
                <w:sz w:val="16"/>
              </w:rPr>
              <w:t>本项目主要实施内容为：为保障学校日常工作正常运行，本项目正常性项目，资金总额为178.15万元，将在2024年12月之前完成。通过实施本项目可以有效提高学校工作效率。保障学校日常工作正常运行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20300">
            <w:pPr>
              <w:jc w:val="both"/>
            </w:pPr>
            <w:r>
              <w:rPr>
                <w:rFonts w:hint="eastAsia" w:ascii="宋体" w:hAnsi="宋体"/>
                <w:sz w:val="16"/>
                <w:lang w:eastAsia="zh-CN"/>
              </w:rPr>
              <w:t>截至</w:t>
            </w:r>
            <w:r>
              <w:rPr>
                <w:rFonts w:ascii="宋体" w:hAnsi="宋体" w:eastAsia="宋体"/>
                <w:sz w:val="16"/>
              </w:rPr>
              <w:t>2024年12月31日，本项目已完成2357名学生家庭经济生活困难学生生活补助发放，已形成资金支付150.97万元。通过实施本项目可以有效提高学校工作效率。保障学校日常工作正常运行</w:t>
            </w:r>
            <w:r>
              <w:rPr>
                <w:rFonts w:hint="eastAsia" w:ascii="宋体" w:hAnsi="宋体"/>
                <w:sz w:val="16"/>
                <w:lang w:eastAsia="zh-CN"/>
              </w:rPr>
              <w:t>。</w:t>
            </w:r>
          </w:p>
        </w:tc>
      </w:tr>
      <w:tr w14:paraId="699D5B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44EB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E91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C09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68F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53F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7454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D81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ED26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FF3F7">
            <w:pPr>
              <w:jc w:val="center"/>
            </w:pPr>
            <w:r>
              <w:rPr>
                <w:rFonts w:ascii="宋体" w:hAnsi="宋体" w:eastAsia="宋体"/>
                <w:sz w:val="16"/>
              </w:rPr>
              <w:t>偏差原因分析及改进措施</w:t>
            </w:r>
          </w:p>
        </w:tc>
      </w:tr>
      <w:tr w14:paraId="699B9C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75C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5D53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0056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0735">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4C00C">
            <w:pPr>
              <w:jc w:val="center"/>
            </w:pPr>
            <w:r>
              <w:rPr>
                <w:rFonts w:ascii="宋体" w:hAnsi="宋体" w:eastAsia="宋体"/>
                <w:sz w:val="16"/>
              </w:rPr>
              <w:t>&gt;=2357人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C17BF">
            <w:pPr>
              <w:jc w:val="center"/>
            </w:pPr>
            <w:r>
              <w:rPr>
                <w:rFonts w:ascii="宋体" w:hAnsi="宋体" w:eastAsia="宋体"/>
                <w:sz w:val="16"/>
              </w:rPr>
              <w: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959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A12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3BF4D">
            <w:pPr>
              <w:jc w:val="center"/>
            </w:pPr>
          </w:p>
        </w:tc>
      </w:tr>
      <w:tr w14:paraId="47F5CE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550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128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FB78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E68B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749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90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481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630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317BF">
            <w:pPr>
              <w:jc w:val="center"/>
            </w:pPr>
          </w:p>
        </w:tc>
      </w:tr>
      <w:tr w14:paraId="477E0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E98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A797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A6DE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DB68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7026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E15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5D6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320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01328">
            <w:pPr>
              <w:jc w:val="center"/>
            </w:pPr>
          </w:p>
        </w:tc>
      </w:tr>
      <w:tr w14:paraId="4B55D9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1B5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1D5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D6F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D63F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E4E6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6801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5AD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F46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F440">
            <w:pPr>
              <w:jc w:val="center"/>
            </w:pPr>
          </w:p>
        </w:tc>
      </w:tr>
      <w:tr w14:paraId="7FAB2A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7E3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C6B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D03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6AFC6">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D8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C01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057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55E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6BD0B">
            <w:pPr>
              <w:jc w:val="center"/>
            </w:pPr>
          </w:p>
        </w:tc>
      </w:tr>
      <w:tr w14:paraId="2AEB2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4CF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ADF0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009D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5F068">
            <w:pPr>
              <w:jc w:val="center"/>
            </w:pPr>
            <w:r>
              <w:rPr>
                <w:rFonts w:ascii="宋体" w:hAnsi="宋体" w:eastAsia="宋体"/>
                <w:sz w:val="16"/>
              </w:rPr>
              <w:t>城乡义务教育补助经费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A5E76">
            <w:pPr>
              <w:jc w:val="center"/>
            </w:pPr>
            <w:r>
              <w:rPr>
                <w:rFonts w:ascii="宋体" w:hAnsi="宋体" w:eastAsia="宋体"/>
                <w:sz w:val="16"/>
              </w:rPr>
              <w:t>&lt;=80.21万元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F6847">
            <w:pPr>
              <w:jc w:val="center"/>
            </w:pPr>
            <w:r>
              <w:rPr>
                <w:rFonts w:ascii="宋体" w:hAnsi="宋体" w:eastAsia="宋体"/>
                <w:sz w:val="16"/>
              </w:rPr>
              <w:t>=53.03万元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AC4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64CB8">
            <w:pPr>
              <w:jc w:val="center"/>
            </w:pPr>
            <w:r>
              <w:rPr>
                <w:rFonts w:ascii="宋体" w:hAnsi="宋体" w:eastAsia="宋体"/>
                <w:sz w:val="16"/>
              </w:rPr>
              <w:t>1.53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243EC">
            <w:pPr>
              <w:jc w:val="center"/>
            </w:pPr>
            <w:r>
              <w:rPr>
                <w:rFonts w:ascii="宋体" w:hAnsi="宋体" w:eastAsia="宋体"/>
                <w:sz w:val="16"/>
              </w:rPr>
              <w:t>偏差原因：剩余资金结转至2025年支付。改进措施：精准预算，做好预算编制工作。</w:t>
            </w:r>
          </w:p>
        </w:tc>
      </w:tr>
      <w:tr w14:paraId="564B07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33D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701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D5D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CF9FD">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CD172">
            <w:pPr>
              <w:jc w:val="center"/>
            </w:pPr>
            <w:r>
              <w:rPr>
                <w:rFonts w:ascii="宋体" w:hAnsi="宋体" w:eastAsia="宋体"/>
                <w:sz w:val="16"/>
              </w:rPr>
              <w:t>&lt;=97.94万元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D5E2C">
            <w:pPr>
              <w:jc w:val="center"/>
            </w:pPr>
            <w:r>
              <w:rPr>
                <w:rFonts w:ascii="宋体" w:hAnsi="宋体" w:eastAsia="宋体"/>
                <w:sz w:val="16"/>
              </w:rPr>
              <w:t>=97.94万元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912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801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F86A">
            <w:pPr>
              <w:jc w:val="center"/>
            </w:pPr>
          </w:p>
        </w:tc>
      </w:tr>
      <w:tr w14:paraId="46C26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0F2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D182A">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DA4F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8F3B6">
            <w:pPr>
              <w:jc w:val="center"/>
            </w:pPr>
            <w:r>
              <w:rPr>
                <w:rFonts w:ascii="宋体" w:hAnsi="宋体" w:eastAsia="宋体"/>
                <w:sz w:val="16"/>
              </w:rPr>
              <w:t>改善学校办学条件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E296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F17E6">
            <w:pPr>
              <w:jc w:val="center"/>
            </w:pPr>
            <w:r>
              <w:rPr>
                <w:rFonts w:ascii="宋体" w:hAnsi="宋体" w:eastAsia="宋体"/>
                <w:sz w:val="16"/>
              </w:rPr>
              <w:tab/>
            </w: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6C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1B7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6E3EB">
            <w:pPr>
              <w:jc w:val="center"/>
            </w:pPr>
          </w:p>
        </w:tc>
      </w:tr>
      <w:tr w14:paraId="16593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9F9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E64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F78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23623">
            <w:pPr>
              <w:jc w:val="center"/>
            </w:pPr>
            <w:r>
              <w:rPr>
                <w:rFonts w:ascii="宋体" w:hAnsi="宋体" w:eastAsia="宋体"/>
                <w:sz w:val="16"/>
              </w:rPr>
              <w:t>提高教育教学质量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1300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C30F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18D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7A7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2C981">
            <w:pPr>
              <w:jc w:val="center"/>
            </w:pPr>
          </w:p>
        </w:tc>
      </w:tr>
      <w:tr w14:paraId="352A8C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DDA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CE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D10F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4F062">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0688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1F41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96B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ADC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D8BE0">
            <w:pPr>
              <w:jc w:val="center"/>
            </w:pPr>
          </w:p>
        </w:tc>
      </w:tr>
      <w:tr w14:paraId="0B35594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D947E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FF37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881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4E5CA">
            <w:pPr>
              <w:jc w:val="center"/>
            </w:pPr>
            <w:r>
              <w:rPr>
                <w:rFonts w:ascii="宋体" w:hAnsi="宋体" w:eastAsia="宋体"/>
                <w:sz w:val="16"/>
              </w:rPr>
              <w:t>87.71分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27B067"/>
        </w:tc>
      </w:tr>
    </w:tbl>
    <w:p w14:paraId="60E0FF3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E19B38">
        <w:tblPrEx>
          <w:tblCellMar>
            <w:top w:w="0" w:type="dxa"/>
            <w:left w:w="108" w:type="dxa"/>
            <w:bottom w:w="0" w:type="dxa"/>
            <w:right w:w="108" w:type="dxa"/>
          </w:tblCellMar>
        </w:tblPrEx>
        <w:tc>
          <w:tcPr>
            <w:tcW w:w="8847" w:type="dxa"/>
            <w:gridSpan w:val="9"/>
            <w:vAlign w:val="center"/>
          </w:tcPr>
          <w:p w14:paraId="7BDFC464">
            <w:pPr>
              <w:jc w:val="center"/>
            </w:pPr>
            <w:r>
              <w:rPr>
                <w:rFonts w:ascii="宋体" w:hAnsi="宋体" w:eastAsia="宋体"/>
                <w:sz w:val="24"/>
              </w:rPr>
              <w:t>项目支出绩效自评表</w:t>
            </w:r>
          </w:p>
        </w:tc>
      </w:tr>
      <w:tr w14:paraId="65F6B238">
        <w:tblPrEx>
          <w:tblCellMar>
            <w:top w:w="0" w:type="dxa"/>
            <w:left w:w="108" w:type="dxa"/>
            <w:bottom w:w="0" w:type="dxa"/>
            <w:right w:w="108" w:type="dxa"/>
          </w:tblCellMar>
        </w:tblPrEx>
        <w:tc>
          <w:tcPr>
            <w:tcW w:w="8847" w:type="dxa"/>
            <w:gridSpan w:val="9"/>
            <w:vAlign w:val="center"/>
          </w:tcPr>
          <w:p w14:paraId="147ECF77">
            <w:pPr>
              <w:jc w:val="center"/>
            </w:pPr>
            <w:r>
              <w:rPr>
                <w:rFonts w:ascii="宋体" w:hAnsi="宋体" w:eastAsia="宋体"/>
                <w:sz w:val="24"/>
              </w:rPr>
              <w:t>(2024年度)</w:t>
            </w:r>
          </w:p>
        </w:tc>
      </w:tr>
      <w:tr w14:paraId="706F85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A48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D6DD62">
            <w:pPr>
              <w:jc w:val="center"/>
            </w:pPr>
            <w:r>
              <w:rPr>
                <w:rFonts w:ascii="宋体" w:hAnsi="宋体" w:eastAsia="宋体"/>
                <w:sz w:val="16"/>
              </w:rPr>
              <w:t>城乡义务教育公用经费</w:t>
            </w:r>
            <w:r>
              <w:rPr>
                <w:rFonts w:hint="eastAsia" w:ascii="宋体" w:hAnsi="宋体"/>
                <w:sz w:val="16"/>
                <w:lang w:eastAsia="zh-CN"/>
              </w:rPr>
              <w:t>－</w:t>
            </w:r>
            <w:r>
              <w:rPr>
                <w:rFonts w:ascii="宋体" w:hAnsi="宋体" w:eastAsia="宋体"/>
                <w:sz w:val="16"/>
              </w:rPr>
              <w:t>县配套（取暖费）-洛财纪字</w:t>
            </w:r>
            <w:r>
              <w:rPr>
                <w:rFonts w:hint="eastAsia" w:ascii="宋体" w:hAnsi="宋体"/>
                <w:sz w:val="16"/>
                <w:lang w:eastAsia="zh-CN"/>
              </w:rPr>
              <w:t>〔2024〕10号</w:t>
            </w:r>
          </w:p>
        </w:tc>
      </w:tr>
      <w:tr w14:paraId="3FE383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533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BB1FE5">
            <w:pPr>
              <w:jc w:val="center"/>
            </w:pPr>
            <w:r>
              <w:rPr>
                <w:rFonts w:ascii="宋体" w:hAnsi="宋体" w:eastAsia="宋体"/>
                <w:sz w:val="16"/>
              </w:rPr>
              <w:t>洛浦县第二中学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E856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254F04">
            <w:pPr>
              <w:jc w:val="center"/>
            </w:pPr>
            <w:r>
              <w:rPr>
                <w:rFonts w:ascii="宋体" w:hAnsi="宋体" w:eastAsia="宋体"/>
                <w:sz w:val="16"/>
              </w:rPr>
              <w:t>洛浦县第二中学</w:t>
            </w:r>
          </w:p>
        </w:tc>
      </w:tr>
      <w:tr w14:paraId="6FC6CC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41CD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2C5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327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B003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90E2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74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6256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2D5A">
            <w:pPr>
              <w:jc w:val="center"/>
            </w:pPr>
            <w:r>
              <w:rPr>
                <w:rFonts w:ascii="宋体" w:hAnsi="宋体" w:eastAsia="宋体"/>
                <w:sz w:val="16"/>
              </w:rPr>
              <w:t>得分</w:t>
            </w:r>
          </w:p>
        </w:tc>
      </w:tr>
      <w:tr w14:paraId="4DF245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FC2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E839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2117E">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7F393">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6EA5D">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223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D32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9B368">
            <w:pPr>
              <w:jc w:val="center"/>
            </w:pPr>
            <w:r>
              <w:rPr>
                <w:rFonts w:ascii="宋体" w:hAnsi="宋体" w:eastAsia="宋体"/>
                <w:sz w:val="16"/>
              </w:rPr>
              <w:t>10.00分</w:t>
            </w:r>
          </w:p>
        </w:tc>
      </w:tr>
      <w:tr w14:paraId="347DEA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E41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422C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A8765">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62995">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32BE">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86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897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6DAD0">
            <w:pPr>
              <w:jc w:val="center"/>
            </w:pPr>
            <w:r>
              <w:rPr>
                <w:rFonts w:ascii="宋体" w:hAnsi="宋体" w:eastAsia="宋体"/>
                <w:sz w:val="16"/>
              </w:rPr>
              <w:t>—</w:t>
            </w:r>
          </w:p>
        </w:tc>
      </w:tr>
      <w:tr w14:paraId="2F388D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D95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48B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29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8F5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182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7C8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24D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2543B">
            <w:pPr>
              <w:jc w:val="center"/>
            </w:pPr>
            <w:r>
              <w:rPr>
                <w:rFonts w:ascii="宋体" w:hAnsi="宋体" w:eastAsia="宋体"/>
                <w:sz w:val="16"/>
              </w:rPr>
              <w:t>—</w:t>
            </w:r>
          </w:p>
        </w:tc>
      </w:tr>
      <w:tr w14:paraId="6C26C3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DE4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F97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07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859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7CF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ABE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A79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5536B">
            <w:pPr>
              <w:jc w:val="center"/>
            </w:pPr>
            <w:r>
              <w:rPr>
                <w:rFonts w:ascii="宋体" w:hAnsi="宋体" w:eastAsia="宋体"/>
                <w:sz w:val="16"/>
              </w:rPr>
              <w:t>—</w:t>
            </w:r>
          </w:p>
        </w:tc>
      </w:tr>
      <w:tr w14:paraId="64495B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479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E868B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FA278">
            <w:pPr>
              <w:jc w:val="center"/>
            </w:pPr>
            <w:r>
              <w:rPr>
                <w:rFonts w:ascii="宋体" w:hAnsi="宋体" w:eastAsia="宋体"/>
                <w:sz w:val="16"/>
              </w:rPr>
              <w:t>实际完成情况</w:t>
            </w:r>
          </w:p>
        </w:tc>
      </w:tr>
      <w:tr w14:paraId="35C6CC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DEE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2F61A1">
            <w:pPr>
              <w:jc w:val="both"/>
            </w:pPr>
            <w:r>
              <w:rPr>
                <w:rFonts w:ascii="宋体" w:hAnsi="宋体" w:eastAsia="宋体"/>
                <w:sz w:val="16"/>
              </w:rPr>
              <w:t>按照洛财纪字</w:t>
            </w:r>
            <w:r>
              <w:rPr>
                <w:rFonts w:hint="eastAsia" w:ascii="宋体" w:hAnsi="宋体"/>
                <w:sz w:val="16"/>
                <w:lang w:eastAsia="zh-CN"/>
              </w:rPr>
              <w:t>〔2024〕10号</w:t>
            </w:r>
            <w:r>
              <w:rPr>
                <w:rFonts w:ascii="宋体" w:hAnsi="宋体" w:eastAsia="宋体"/>
                <w:sz w:val="16"/>
              </w:rPr>
              <w:t>文件要求，支付历年供暖欠款，恢复正常供暖。通过项目的实施，提高工作人员工作效率和满意度。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E70B30">
            <w:pPr>
              <w:jc w:val="both"/>
            </w:pPr>
            <w:r>
              <w:rPr>
                <w:rFonts w:ascii="宋体" w:hAnsi="宋体" w:eastAsia="宋体"/>
                <w:sz w:val="16"/>
              </w:rPr>
              <w:t>支付历年供暖欠款，恢复正常供暖。通过项目的实施，提高工作人员工作效率和满意度。</w:t>
            </w:r>
          </w:p>
        </w:tc>
      </w:tr>
      <w:tr w14:paraId="28D70C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99776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6C9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569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2AC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42C3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04D3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D2F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EB0F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E1D2E">
            <w:pPr>
              <w:jc w:val="center"/>
            </w:pPr>
            <w:r>
              <w:rPr>
                <w:rFonts w:ascii="宋体" w:hAnsi="宋体" w:eastAsia="宋体"/>
                <w:sz w:val="16"/>
              </w:rPr>
              <w:t>偏差原因分析及改进措施</w:t>
            </w:r>
          </w:p>
        </w:tc>
      </w:tr>
      <w:tr w14:paraId="075961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B25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148C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A897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D8BB">
            <w:pPr>
              <w:jc w:val="center"/>
            </w:pPr>
            <w:r>
              <w:rPr>
                <w:rFonts w:ascii="宋体" w:hAnsi="宋体" w:eastAsia="宋体"/>
                <w:sz w:val="16"/>
              </w:rPr>
              <w:t>供暖欠费年数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932EC">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3575B">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DC5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B5F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9CD03">
            <w:pPr>
              <w:jc w:val="center"/>
            </w:pPr>
          </w:p>
        </w:tc>
      </w:tr>
      <w:tr w14:paraId="1168AC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99D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029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73DC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96FB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3BA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7B4E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777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E22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0E766">
            <w:pPr>
              <w:jc w:val="center"/>
            </w:pPr>
          </w:p>
        </w:tc>
      </w:tr>
      <w:tr w14:paraId="0D6B85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EDF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2FF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84B2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94C1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42CD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44A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8A6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5C7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1DDE1">
            <w:pPr>
              <w:jc w:val="center"/>
            </w:pPr>
          </w:p>
        </w:tc>
      </w:tr>
      <w:tr w14:paraId="46ECA8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C79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A55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6C5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704F5">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9B4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1C8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43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3F7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78439">
            <w:pPr>
              <w:jc w:val="center"/>
            </w:pPr>
          </w:p>
        </w:tc>
      </w:tr>
      <w:tr w14:paraId="7F9F05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0F9F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ACC3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5FF3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4A9A2">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268F">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8259">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81D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5FF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76B1C">
            <w:pPr>
              <w:jc w:val="center"/>
            </w:pPr>
          </w:p>
        </w:tc>
      </w:tr>
      <w:tr w14:paraId="0E4CDE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091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6C36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C90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E2F0">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8B0A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E29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35D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936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D1986">
            <w:pPr>
              <w:jc w:val="center"/>
            </w:pPr>
          </w:p>
        </w:tc>
      </w:tr>
      <w:tr w14:paraId="5AFA58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0DF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8F6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913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555B1">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B4D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7C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B2E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9C3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4084E">
            <w:pPr>
              <w:jc w:val="center"/>
            </w:pPr>
          </w:p>
        </w:tc>
      </w:tr>
      <w:tr w14:paraId="12DE847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9E846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D6F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A4D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7567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4278E4"/>
        </w:tc>
      </w:tr>
    </w:tbl>
    <w:p w14:paraId="4BF88937">
      <w:r>
        <w:br w:type="page"/>
      </w:r>
    </w:p>
    <w:p w14:paraId="44DACF8C">
      <w:pPr>
        <w:spacing w:line="640" w:lineRule="exact"/>
        <w:ind w:firstLine="640"/>
        <w:jc w:val="both"/>
        <w:outlineLvl w:val="2"/>
      </w:pPr>
      <w:r>
        <w:rPr>
          <w:rFonts w:ascii="黑体" w:hAnsi="黑体" w:eastAsia="黑体"/>
          <w:sz w:val="32"/>
        </w:rPr>
        <w:t>十二、其他需说明的事项</w:t>
      </w:r>
    </w:p>
    <w:p w14:paraId="5DD8797C">
      <w:pPr>
        <w:spacing w:line="580" w:lineRule="exact"/>
        <w:ind w:firstLine="640"/>
        <w:jc w:val="both"/>
      </w:pPr>
      <w:r>
        <w:rPr>
          <w:rFonts w:ascii="仿宋_GB2312" w:hAnsi="仿宋_GB2312" w:eastAsia="仿宋_GB2312"/>
          <w:b w:val="0"/>
          <w:sz w:val="32"/>
        </w:rPr>
        <w:t>本年本单位SM项目1个，全年预算数12.60万元，全年执行数12.60万元。</w:t>
      </w:r>
    </w:p>
    <w:p w14:paraId="2F6428DD">
      <w:r>
        <w:br w:type="page"/>
      </w:r>
    </w:p>
    <w:p w14:paraId="538AFBBC">
      <w:pPr>
        <w:spacing w:line="240" w:lineRule="auto"/>
        <w:jc w:val="center"/>
        <w:outlineLvl w:val="1"/>
      </w:pPr>
      <w:r>
        <w:rPr>
          <w:rFonts w:ascii="黑体" w:hAnsi="黑体" w:eastAsia="黑体"/>
          <w:sz w:val="32"/>
        </w:rPr>
        <w:t>第三部分 专业名词解释</w:t>
      </w:r>
    </w:p>
    <w:p w14:paraId="581FF8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7EDA1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40FC4F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9B76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364E3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4A32A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8D7773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5C68CB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10115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6E6A1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633AF6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A604B7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48D70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64B6F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8179AD">
      <w:r>
        <w:br w:type="page"/>
      </w:r>
    </w:p>
    <w:p w14:paraId="1E91E609">
      <w:pPr>
        <w:spacing w:line="240" w:lineRule="auto"/>
        <w:jc w:val="center"/>
        <w:outlineLvl w:val="1"/>
      </w:pPr>
      <w:r>
        <w:rPr>
          <w:rFonts w:ascii="黑体" w:hAnsi="黑体" w:eastAsia="黑体"/>
          <w:sz w:val="32"/>
        </w:rPr>
        <w:t>第四部分 部门决算报表（见附表）</w:t>
      </w:r>
    </w:p>
    <w:p w14:paraId="24DE7FA4">
      <w:pPr>
        <w:spacing w:line="240" w:lineRule="auto"/>
        <w:ind w:firstLine="640"/>
        <w:jc w:val="both"/>
      </w:pPr>
      <w:r>
        <w:rPr>
          <w:rFonts w:ascii="仿宋_GB2312" w:hAnsi="仿宋_GB2312" w:eastAsia="仿宋_GB2312"/>
          <w:b w:val="0"/>
          <w:sz w:val="32"/>
        </w:rPr>
        <w:t>一、《收入支出决算总表》</w:t>
      </w:r>
    </w:p>
    <w:p w14:paraId="2914BA07">
      <w:pPr>
        <w:spacing w:line="240" w:lineRule="auto"/>
        <w:ind w:firstLine="640"/>
        <w:jc w:val="both"/>
      </w:pPr>
      <w:r>
        <w:rPr>
          <w:rFonts w:ascii="仿宋_GB2312" w:hAnsi="仿宋_GB2312" w:eastAsia="仿宋_GB2312"/>
          <w:b w:val="0"/>
          <w:sz w:val="32"/>
        </w:rPr>
        <w:t>二、《收入决算表》</w:t>
      </w:r>
    </w:p>
    <w:p w14:paraId="45D0A053">
      <w:pPr>
        <w:spacing w:line="240" w:lineRule="auto"/>
        <w:ind w:firstLine="640"/>
        <w:jc w:val="both"/>
      </w:pPr>
      <w:r>
        <w:rPr>
          <w:rFonts w:ascii="仿宋_GB2312" w:hAnsi="仿宋_GB2312" w:eastAsia="仿宋_GB2312"/>
          <w:b w:val="0"/>
          <w:sz w:val="32"/>
        </w:rPr>
        <w:t>三、《支出决算表》</w:t>
      </w:r>
    </w:p>
    <w:p w14:paraId="07E7CCEF">
      <w:pPr>
        <w:spacing w:line="240" w:lineRule="auto"/>
        <w:ind w:firstLine="640"/>
        <w:jc w:val="both"/>
      </w:pPr>
      <w:r>
        <w:rPr>
          <w:rFonts w:ascii="仿宋_GB2312" w:hAnsi="仿宋_GB2312" w:eastAsia="仿宋_GB2312"/>
          <w:b w:val="0"/>
          <w:sz w:val="32"/>
        </w:rPr>
        <w:t>四、《财政拨款收入支出决算总表》</w:t>
      </w:r>
    </w:p>
    <w:p w14:paraId="2EDAF8A4">
      <w:pPr>
        <w:spacing w:line="240" w:lineRule="auto"/>
        <w:ind w:firstLine="640"/>
        <w:jc w:val="both"/>
      </w:pPr>
      <w:r>
        <w:rPr>
          <w:rFonts w:ascii="仿宋_GB2312" w:hAnsi="仿宋_GB2312" w:eastAsia="仿宋_GB2312"/>
          <w:b w:val="0"/>
          <w:sz w:val="32"/>
        </w:rPr>
        <w:t>五、《一般公共预算财政拨款支出决算表》</w:t>
      </w:r>
    </w:p>
    <w:p w14:paraId="2C0E3858">
      <w:pPr>
        <w:spacing w:line="240" w:lineRule="auto"/>
        <w:ind w:firstLine="640"/>
        <w:jc w:val="both"/>
      </w:pPr>
      <w:r>
        <w:rPr>
          <w:rFonts w:ascii="仿宋_GB2312" w:hAnsi="仿宋_GB2312" w:eastAsia="仿宋_GB2312"/>
          <w:b w:val="0"/>
          <w:sz w:val="32"/>
        </w:rPr>
        <w:t>六、《一般公共预算财政拨款基本支出决算表》</w:t>
      </w:r>
    </w:p>
    <w:p w14:paraId="348FC694">
      <w:pPr>
        <w:spacing w:line="240" w:lineRule="auto"/>
        <w:ind w:firstLine="640"/>
        <w:jc w:val="both"/>
      </w:pPr>
      <w:r>
        <w:rPr>
          <w:rFonts w:ascii="仿宋_GB2312" w:hAnsi="仿宋_GB2312" w:eastAsia="仿宋_GB2312"/>
          <w:b w:val="0"/>
          <w:sz w:val="32"/>
        </w:rPr>
        <w:t>七、《政府性基金预算财政拨款收入支出决算表》</w:t>
      </w:r>
    </w:p>
    <w:p w14:paraId="3B43FDF9">
      <w:pPr>
        <w:spacing w:line="240" w:lineRule="auto"/>
        <w:ind w:firstLine="640"/>
        <w:jc w:val="both"/>
      </w:pPr>
      <w:r>
        <w:rPr>
          <w:rFonts w:ascii="仿宋_GB2312" w:hAnsi="仿宋_GB2312" w:eastAsia="仿宋_GB2312"/>
          <w:b w:val="0"/>
          <w:sz w:val="32"/>
        </w:rPr>
        <w:t>八、《国有资本经营预算财政拨款收入支出决算表》</w:t>
      </w:r>
    </w:p>
    <w:p w14:paraId="57C9A9AB">
      <w:pPr>
        <w:spacing w:line="240" w:lineRule="auto"/>
        <w:ind w:firstLine="640"/>
        <w:jc w:val="both"/>
      </w:pPr>
      <w:r>
        <w:rPr>
          <w:rFonts w:ascii="仿宋_GB2312" w:hAnsi="仿宋_GB2312" w:eastAsia="仿宋_GB2312"/>
          <w:b w:val="0"/>
          <w:sz w:val="32"/>
        </w:rPr>
        <w:t>九、《财政拨款“三公”经费支出决算表》</w:t>
      </w:r>
    </w:p>
    <w:p w14:paraId="7BA794CA">
      <w:pPr>
        <w:spacing w:line="240" w:lineRule="auto"/>
        <w:ind w:firstLine="640"/>
        <w:jc w:val="both"/>
      </w:pPr>
    </w:p>
    <w:p w14:paraId="74698077">
      <w:pPr>
        <w:spacing w:line="240" w:lineRule="auto"/>
        <w:ind w:firstLine="640"/>
        <w:jc w:val="both"/>
      </w:pPr>
    </w:p>
    <w:p w14:paraId="073870F7">
      <w:pPr>
        <w:spacing w:line="240" w:lineRule="auto"/>
        <w:ind w:firstLine="640"/>
        <w:jc w:val="both"/>
      </w:pPr>
    </w:p>
    <w:p w14:paraId="058260E5">
      <w:pPr>
        <w:spacing w:line="240" w:lineRule="auto"/>
        <w:ind w:firstLine="640"/>
        <w:jc w:val="both"/>
      </w:pPr>
    </w:p>
    <w:p w14:paraId="3AE345B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6825D4"/>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95236D"/>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5082</Words>
  <Characters>5901</Characters>
  <Lines>0</Lines>
  <Paragraphs>0</Paragraphs>
  <TotalTime>8</TotalTime>
  <ScaleCrop>false</ScaleCrop>
  <LinksUpToDate>false</LinksUpToDate>
  <CharactersWithSpaces>5909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2025-09-17T11:25:11Z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