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90D46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洛浦县第三初级中学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8DC5E1C">
      <w:r>
        <w:br w:type="page"/>
      </w:r>
    </w:p>
    <w:p w14:paraId="5DBC2566">
      <w:pPr>
        <w:spacing w:line="640" w:lineRule="exact"/>
        <w:jc w:val="center"/>
        <w:outlineLvl w:val="1"/>
      </w:pPr>
      <w:r>
        <w:rPr>
          <w:rFonts w:ascii="黑体" w:hAnsi="黑体" w:eastAsia="黑体"/>
          <w:sz w:val="32"/>
        </w:rPr>
        <w:t>第一部分 单位概况</w:t>
      </w:r>
    </w:p>
    <w:p w14:paraId="7E302463">
      <w:pPr>
        <w:spacing w:line="640" w:lineRule="exact"/>
        <w:ind w:firstLine="640"/>
        <w:jc w:val="both"/>
        <w:outlineLvl w:val="2"/>
      </w:pPr>
      <w:r>
        <w:rPr>
          <w:rFonts w:ascii="黑体" w:hAnsi="黑体" w:eastAsia="黑体"/>
          <w:sz w:val="32"/>
        </w:rPr>
        <w:t>一、主要职能</w:t>
      </w:r>
    </w:p>
    <w:p w14:paraId="2D2FEE55">
      <w:pPr>
        <w:spacing w:line="580" w:lineRule="exact"/>
        <w:ind w:firstLine="640"/>
        <w:jc w:val="both"/>
      </w:pPr>
      <w:r>
        <w:rPr>
          <w:rFonts w:ascii="仿宋_GB2312" w:hAnsi="仿宋_GB2312" w:eastAsia="仿宋_GB2312"/>
          <w:sz w:val="32"/>
        </w:rPr>
        <w:t>洛浦县第三初级中学的主要职能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6F1AADBE">
      <w:pPr>
        <w:spacing w:line="640" w:lineRule="exact"/>
        <w:ind w:firstLine="640"/>
        <w:jc w:val="both"/>
        <w:outlineLvl w:val="2"/>
      </w:pPr>
      <w:r>
        <w:rPr>
          <w:rFonts w:ascii="黑体" w:hAnsi="黑体" w:eastAsia="黑体"/>
          <w:sz w:val="32"/>
        </w:rPr>
        <w:t>二、机构设置及人员情况</w:t>
      </w:r>
    </w:p>
    <w:p w14:paraId="21C5FB9A">
      <w:pPr>
        <w:spacing w:line="580" w:lineRule="exact"/>
        <w:ind w:firstLine="640"/>
        <w:jc w:val="both"/>
      </w:pPr>
      <w:r>
        <w:rPr>
          <w:rFonts w:ascii="仿宋_GB2312" w:hAnsi="仿宋_GB2312" w:eastAsia="仿宋_GB2312"/>
          <w:sz w:val="32"/>
        </w:rPr>
        <w:t>洛浦县第三初级中学2024年度，实有人数92人，其中：在职人员49人，增加2人；离休人员0人，增加0人；退休人员43人,减少1人。</w:t>
      </w:r>
    </w:p>
    <w:p w14:paraId="6E9AF897">
      <w:pPr>
        <w:spacing w:line="580" w:lineRule="exact"/>
        <w:ind w:firstLine="640"/>
        <w:jc w:val="both"/>
      </w:pPr>
      <w:r>
        <w:rPr>
          <w:rFonts w:ascii="仿宋_GB2312" w:hAnsi="仿宋_GB2312" w:eastAsia="仿宋_GB2312"/>
          <w:sz w:val="32"/>
        </w:rPr>
        <w:t>洛浦县第三初级中学无下属预算单位，下设5个科室，分别是：校办、教务室、总务室、教研室、党建办。</w:t>
      </w:r>
    </w:p>
    <w:p w14:paraId="00AC8729">
      <w:r>
        <w:br w:type="page"/>
      </w:r>
    </w:p>
    <w:p w14:paraId="12BBCBF6">
      <w:pPr>
        <w:spacing w:line="240" w:lineRule="auto"/>
        <w:jc w:val="center"/>
        <w:outlineLvl w:val="1"/>
      </w:pPr>
      <w:r>
        <w:rPr>
          <w:rFonts w:ascii="黑体" w:hAnsi="黑体" w:eastAsia="黑体"/>
          <w:sz w:val="32"/>
        </w:rPr>
        <w:t>第二部分 部门决算情况说明</w:t>
      </w:r>
    </w:p>
    <w:p w14:paraId="4C3342AE">
      <w:pPr>
        <w:spacing w:line="640" w:lineRule="exact"/>
        <w:ind w:firstLine="640"/>
        <w:jc w:val="both"/>
        <w:outlineLvl w:val="2"/>
      </w:pPr>
      <w:r>
        <w:rPr>
          <w:rFonts w:ascii="黑体" w:hAnsi="黑体" w:eastAsia="黑体"/>
          <w:sz w:val="32"/>
        </w:rPr>
        <w:t>一、收入支出决算总体情况说明</w:t>
      </w:r>
    </w:p>
    <w:p w14:paraId="362AE4AE">
      <w:pPr>
        <w:spacing w:line="580" w:lineRule="exact"/>
        <w:ind w:firstLine="640"/>
        <w:jc w:val="both"/>
      </w:pPr>
      <w:r>
        <w:rPr>
          <w:rFonts w:ascii="仿宋_GB2312" w:hAnsi="仿宋_GB2312" w:eastAsia="仿宋_GB2312"/>
          <w:b/>
          <w:sz w:val="32"/>
        </w:rPr>
        <w:t>2024年度收入总计1,026.09万元，</w:t>
      </w:r>
      <w:r>
        <w:rPr>
          <w:rFonts w:ascii="仿宋_GB2312" w:hAnsi="仿宋_GB2312" w:eastAsia="仿宋_GB2312"/>
          <w:b w:val="0"/>
          <w:sz w:val="32"/>
        </w:rPr>
        <w:t>其中：本年收入合计1,026.09万元，使用非财政拨款结余（含专用结余）0.00万元，年初结转和结余0.00万元。</w:t>
      </w:r>
    </w:p>
    <w:p w14:paraId="1EA9E471">
      <w:pPr>
        <w:spacing w:line="580" w:lineRule="exact"/>
        <w:ind w:firstLine="640"/>
        <w:jc w:val="both"/>
      </w:pPr>
      <w:r>
        <w:rPr>
          <w:rFonts w:ascii="仿宋_GB2312" w:hAnsi="仿宋_GB2312" w:eastAsia="仿宋_GB2312"/>
          <w:b/>
          <w:sz w:val="32"/>
        </w:rPr>
        <w:t>2024年度支出总计1,026.09万元，</w:t>
      </w:r>
      <w:r>
        <w:rPr>
          <w:rFonts w:ascii="仿宋_GB2312" w:hAnsi="仿宋_GB2312" w:eastAsia="仿宋_GB2312"/>
          <w:b w:val="0"/>
          <w:sz w:val="32"/>
        </w:rPr>
        <w:t>其中：本年支出合计1,026.09万元，结余分配0.00万元，年末结转和结余0.00万元。</w:t>
      </w:r>
    </w:p>
    <w:p w14:paraId="33CFE2FA">
      <w:pPr>
        <w:spacing w:line="580" w:lineRule="exact"/>
        <w:ind w:firstLine="640"/>
        <w:jc w:val="both"/>
      </w:pPr>
      <w:r>
        <w:rPr>
          <w:rFonts w:ascii="仿宋_GB2312" w:hAnsi="仿宋_GB2312" w:eastAsia="仿宋_GB2312"/>
          <w:b w:val="0"/>
          <w:sz w:val="32"/>
        </w:rPr>
        <w:t>收入支出总体与上年相比，减少222.19万元，下降17.80%，主要原因是：本年在职人员调入调出，人员职级不同，缴费基数不同，导致相关人员经费较上年减少，新增死亡人员较上年减少，死亡抚恤支出较上年减少。</w:t>
      </w:r>
    </w:p>
    <w:p w14:paraId="3CB4883B">
      <w:pPr>
        <w:spacing w:line="640" w:lineRule="exact"/>
        <w:ind w:firstLine="640"/>
        <w:jc w:val="both"/>
        <w:outlineLvl w:val="2"/>
      </w:pPr>
      <w:r>
        <w:rPr>
          <w:rFonts w:ascii="黑体" w:hAnsi="黑体" w:eastAsia="黑体"/>
          <w:sz w:val="32"/>
        </w:rPr>
        <w:t>二、收入决算情况说明</w:t>
      </w:r>
    </w:p>
    <w:p w14:paraId="788A07D1">
      <w:pPr>
        <w:spacing w:line="580" w:lineRule="exact"/>
        <w:ind w:firstLine="640"/>
        <w:jc w:val="both"/>
      </w:pPr>
      <w:r>
        <w:rPr>
          <w:rFonts w:ascii="仿宋_GB2312" w:hAnsi="仿宋_GB2312" w:eastAsia="仿宋_GB2312"/>
          <w:b/>
          <w:sz w:val="32"/>
        </w:rPr>
        <w:t>本年收入1,026.09万元，</w:t>
      </w:r>
      <w:r>
        <w:rPr>
          <w:rFonts w:ascii="仿宋_GB2312" w:hAnsi="仿宋_GB2312" w:eastAsia="仿宋_GB2312"/>
          <w:b w:val="0"/>
          <w:sz w:val="32"/>
        </w:rPr>
        <w:t>其中：财政拨款收入1,026.09万元，占100.00%；上级补助收入0.00万元，占0.00%；事业收入0.00万元，占0.00%；经营收入0.00万元，占0.00%；附属单位上缴收入0.00万元，占0.00%；其他收入0.00万元，占0.00%。</w:t>
      </w:r>
    </w:p>
    <w:p w14:paraId="408219BC">
      <w:pPr>
        <w:spacing w:line="640" w:lineRule="exact"/>
        <w:ind w:firstLine="640"/>
        <w:jc w:val="both"/>
        <w:outlineLvl w:val="2"/>
      </w:pPr>
      <w:r>
        <w:rPr>
          <w:rFonts w:ascii="黑体" w:hAnsi="黑体" w:eastAsia="黑体"/>
          <w:sz w:val="32"/>
        </w:rPr>
        <w:t>三、支出决算情况说明</w:t>
      </w:r>
    </w:p>
    <w:p w14:paraId="76762E7C">
      <w:pPr>
        <w:spacing w:line="580" w:lineRule="exact"/>
        <w:ind w:firstLine="640"/>
        <w:jc w:val="both"/>
      </w:pPr>
      <w:r>
        <w:rPr>
          <w:rFonts w:ascii="仿宋_GB2312" w:hAnsi="仿宋_GB2312" w:eastAsia="仿宋_GB2312"/>
          <w:b/>
          <w:sz w:val="32"/>
        </w:rPr>
        <w:t>本年支出1,026.09万元，</w:t>
      </w:r>
      <w:r>
        <w:rPr>
          <w:rFonts w:ascii="仿宋_GB2312" w:hAnsi="仿宋_GB2312" w:eastAsia="仿宋_GB2312"/>
          <w:b w:val="0"/>
          <w:sz w:val="32"/>
        </w:rPr>
        <w:t>其中：基本支出1,026.09万元，占100.00%；项目支出0.00万元，占0.00%；上缴上级支出0.00万元，占0.00%；经营支出0.00万元，占0.00%；对附属单位补助支出0.00万元，占0.00%。</w:t>
      </w:r>
    </w:p>
    <w:p w14:paraId="5FED4CC2">
      <w:pPr>
        <w:spacing w:line="640" w:lineRule="exact"/>
        <w:ind w:firstLine="640"/>
        <w:jc w:val="both"/>
        <w:outlineLvl w:val="2"/>
      </w:pPr>
      <w:r>
        <w:rPr>
          <w:rFonts w:ascii="黑体" w:hAnsi="黑体" w:eastAsia="黑体"/>
          <w:sz w:val="32"/>
        </w:rPr>
        <w:t>四、财政拨款收入支出决算总体情况说明</w:t>
      </w:r>
    </w:p>
    <w:p w14:paraId="52D45B7E">
      <w:pPr>
        <w:spacing w:line="580" w:lineRule="exact"/>
        <w:ind w:firstLine="640"/>
        <w:jc w:val="both"/>
      </w:pPr>
      <w:r>
        <w:rPr>
          <w:rFonts w:ascii="仿宋_GB2312" w:hAnsi="仿宋_GB2312" w:eastAsia="仿宋_GB2312"/>
          <w:b/>
          <w:sz w:val="32"/>
        </w:rPr>
        <w:t>2024年度财政拨款收入总计1,026.09万元，</w:t>
      </w:r>
      <w:r>
        <w:rPr>
          <w:rFonts w:ascii="仿宋_GB2312" w:hAnsi="仿宋_GB2312" w:eastAsia="仿宋_GB2312"/>
          <w:b w:val="0"/>
          <w:sz w:val="32"/>
        </w:rPr>
        <w:t>其中：年初财政拨款结转和结余0.00万元，本年财政拨款收入1,026.09万元。</w:t>
      </w:r>
      <w:r>
        <w:rPr>
          <w:rFonts w:ascii="仿宋_GB2312" w:hAnsi="仿宋_GB2312" w:eastAsia="仿宋_GB2312"/>
          <w:b/>
          <w:sz w:val="32"/>
        </w:rPr>
        <w:t>财政拨款支出总计1,026.09万元，</w:t>
      </w:r>
      <w:r>
        <w:rPr>
          <w:rFonts w:ascii="仿宋_GB2312" w:hAnsi="仿宋_GB2312" w:eastAsia="仿宋_GB2312"/>
          <w:b w:val="0"/>
          <w:sz w:val="32"/>
        </w:rPr>
        <w:t>其中：年末财政拨款结转和结余0.00万元，本年财政拨款支出1,026.09万元。</w:t>
      </w:r>
    </w:p>
    <w:p w14:paraId="107E330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减少222.19万元，下降17.80%，主要原因是：本年在职人员调入调出，人员职级不同，缴费基数不同，导致相关人员经费较上年减少，新增死亡人员较上年减少，死亡抚恤支出较上年减少。</w:t>
      </w:r>
      <w:r>
        <w:rPr>
          <w:rFonts w:ascii="仿宋_GB2312" w:hAnsi="仿宋_GB2312" w:eastAsia="仿宋_GB2312"/>
          <w:b/>
          <w:sz w:val="32"/>
        </w:rPr>
        <w:t>与年初预算相比，</w:t>
      </w:r>
      <w:r>
        <w:rPr>
          <w:rFonts w:ascii="仿宋_GB2312" w:hAnsi="仿宋_GB2312" w:eastAsia="仿宋_GB2312"/>
          <w:b w:val="0"/>
          <w:sz w:val="32"/>
        </w:rPr>
        <w:t>年初预算数1,159.30万元，决算数1,026.09万元，预决算差异率-11.49%，主要原因是：本年在职人员调入调出，人员职级不同，缴费基数不同，年中调减人员经费，导致预决算存在差异。</w:t>
      </w:r>
    </w:p>
    <w:p w14:paraId="134FEC40">
      <w:pPr>
        <w:spacing w:line="640" w:lineRule="exact"/>
        <w:ind w:firstLine="640"/>
        <w:jc w:val="both"/>
        <w:outlineLvl w:val="2"/>
      </w:pPr>
      <w:r>
        <w:rPr>
          <w:rFonts w:ascii="黑体" w:hAnsi="黑体" w:eastAsia="黑体"/>
          <w:sz w:val="32"/>
        </w:rPr>
        <w:t>五、一般公共预算财政拨款支出决算情况说明</w:t>
      </w:r>
    </w:p>
    <w:p w14:paraId="7014B60A">
      <w:pPr>
        <w:spacing w:line="640" w:lineRule="exact"/>
        <w:ind w:firstLine="640"/>
        <w:jc w:val="both"/>
        <w:outlineLvl w:val="3"/>
      </w:pPr>
      <w:r>
        <w:rPr>
          <w:rFonts w:ascii="楷体_GB2312" w:hAnsi="楷体_GB2312" w:eastAsia="楷体_GB2312"/>
          <w:b/>
          <w:sz w:val="32"/>
        </w:rPr>
        <w:t>（一）一般公共预算财政拨款支出决算总体情况</w:t>
      </w:r>
    </w:p>
    <w:p w14:paraId="65F7438A">
      <w:pPr>
        <w:spacing w:line="580" w:lineRule="exact"/>
        <w:ind w:firstLine="640"/>
        <w:jc w:val="both"/>
      </w:pPr>
      <w:r>
        <w:rPr>
          <w:rFonts w:ascii="仿宋_GB2312" w:hAnsi="仿宋_GB2312" w:eastAsia="仿宋_GB2312"/>
          <w:b/>
          <w:sz w:val="32"/>
        </w:rPr>
        <w:t>2024年度一般公共预算财政拨款支出1,026.09万元，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减少222.19万元，下降17.80%，主要原因是：本年在职人员调入调出，人员职级不同，缴费基数不同，导致相关人员经费较上年减少，新增死亡人员较上年减少，死亡抚恤支出较上年减少。</w:t>
      </w:r>
      <w:r>
        <w:rPr>
          <w:rFonts w:ascii="仿宋_GB2312" w:hAnsi="仿宋_GB2312" w:eastAsia="仿宋_GB2312"/>
          <w:b/>
          <w:sz w:val="32"/>
        </w:rPr>
        <w:t>与年初预算相比,</w:t>
      </w:r>
      <w:r>
        <w:rPr>
          <w:rFonts w:ascii="仿宋_GB2312" w:hAnsi="仿宋_GB2312" w:eastAsia="仿宋_GB2312"/>
          <w:b w:val="0"/>
          <w:sz w:val="32"/>
        </w:rPr>
        <w:t>年初预算数1,159.30万元，决算数1,026.09万元，预决算差异率-11.49%，主要原因是：本年在职人员调入调出，人员职级不同，缴费基数不同，年中调减人员经费，导致预决算存在差异。</w:t>
      </w:r>
    </w:p>
    <w:p w14:paraId="02DE9FBE">
      <w:pPr>
        <w:spacing w:line="640" w:lineRule="exact"/>
        <w:ind w:firstLine="640"/>
        <w:jc w:val="both"/>
        <w:outlineLvl w:val="3"/>
      </w:pPr>
      <w:r>
        <w:rPr>
          <w:rFonts w:ascii="楷体_GB2312" w:hAnsi="楷体_GB2312" w:eastAsia="楷体_GB2312"/>
          <w:b/>
          <w:sz w:val="32"/>
        </w:rPr>
        <w:t>（二）一般公共预算财政拨款支出决算结构情况</w:t>
      </w:r>
    </w:p>
    <w:p w14:paraId="1011873E">
      <w:pPr>
        <w:spacing w:line="580" w:lineRule="exact"/>
        <w:ind w:firstLine="640"/>
        <w:jc w:val="both"/>
      </w:pPr>
      <w:r>
        <w:rPr>
          <w:rFonts w:ascii="仿宋_GB2312" w:hAnsi="仿宋_GB2312" w:eastAsia="仿宋_GB2312"/>
          <w:b w:val="0"/>
          <w:sz w:val="32"/>
        </w:rPr>
        <w:t>1.教育支出(类)1,026.09万元,占100.00%。</w:t>
      </w:r>
    </w:p>
    <w:p w14:paraId="72B0C448">
      <w:pPr>
        <w:spacing w:line="640" w:lineRule="exact"/>
        <w:ind w:firstLine="640"/>
        <w:jc w:val="both"/>
        <w:outlineLvl w:val="3"/>
      </w:pPr>
      <w:r>
        <w:rPr>
          <w:rFonts w:ascii="楷体_GB2312" w:hAnsi="楷体_GB2312" w:eastAsia="楷体_GB2312"/>
          <w:b/>
          <w:sz w:val="32"/>
        </w:rPr>
        <w:t>（三）一般公共预算财政拨款支出决算具体情况</w:t>
      </w:r>
    </w:p>
    <w:p w14:paraId="6EEE8838">
      <w:pPr>
        <w:spacing w:line="580" w:lineRule="exact"/>
        <w:ind w:firstLine="640"/>
        <w:jc w:val="both"/>
      </w:pPr>
      <w:r>
        <w:rPr>
          <w:rFonts w:ascii="仿宋_GB2312" w:hAnsi="仿宋_GB2312" w:eastAsia="仿宋_GB2312"/>
          <w:b w:val="0"/>
          <w:sz w:val="32"/>
        </w:rPr>
        <w:t>1.教育支出(类)普通教育(款)初中教育(项):支出决算数为1,026.09万元，比上年决算减少150.79万元，下降12.81%,主要原因是：本年在职人员调入调出，人员职级不同，缴费基数不同，导致相关人员经费较上年减少。</w:t>
      </w:r>
    </w:p>
    <w:p w14:paraId="77761F2F">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0.00万元，比上年决算减少8.16万元，下降100.00%,主要原因是：本年功能科目调整，养老保险缴费上年度单独列支，本年调整至主科目列支，导致经费较上年减少。</w:t>
      </w:r>
    </w:p>
    <w:p w14:paraId="614B1EE3">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29.66万元，下降100.00%,主要原因是：本年功能科目调整，机关事业单位职业年金缴费上年度单独列支，本年调整至主科目列支，导致经费较上年减少。</w:t>
      </w:r>
    </w:p>
    <w:p w14:paraId="1AB66CDF">
      <w:pPr>
        <w:spacing w:line="580" w:lineRule="exact"/>
        <w:ind w:firstLine="640"/>
        <w:jc w:val="both"/>
      </w:pPr>
      <w:r>
        <w:rPr>
          <w:rFonts w:ascii="仿宋_GB2312" w:hAnsi="仿宋_GB2312" w:eastAsia="仿宋_GB2312"/>
          <w:b w:val="0"/>
          <w:sz w:val="32"/>
        </w:rPr>
        <w:t>4.社会保障和就业支出(类)抚恤(款)死亡抚恤(项):支出决算数为0.00万元，比上年决算减少33.58万元，下降100.00%,主要原因是：本年新增死亡人员较上年减少，死亡抚恤支出较上年减少。</w:t>
      </w:r>
    </w:p>
    <w:p w14:paraId="48BA6271">
      <w:pPr>
        <w:spacing w:line="640" w:lineRule="exact"/>
        <w:ind w:firstLine="640"/>
        <w:jc w:val="both"/>
        <w:outlineLvl w:val="2"/>
      </w:pPr>
      <w:r>
        <w:rPr>
          <w:rFonts w:ascii="黑体" w:hAnsi="黑体" w:eastAsia="黑体"/>
          <w:sz w:val="32"/>
        </w:rPr>
        <w:t>六、一般公共预算财政拨款基本支出决算情况说明</w:t>
      </w:r>
    </w:p>
    <w:p w14:paraId="5D057A67">
      <w:pPr>
        <w:spacing w:line="580" w:lineRule="exact"/>
        <w:ind w:firstLine="640"/>
        <w:jc w:val="both"/>
      </w:pPr>
      <w:r>
        <w:rPr>
          <w:rFonts w:ascii="仿宋_GB2312" w:hAnsi="仿宋_GB2312" w:eastAsia="仿宋_GB2312"/>
          <w:b w:val="0"/>
          <w:sz w:val="32"/>
        </w:rPr>
        <w:t>2024年度一般公共预算财政拨款基本支出1,026.09万元，其中：</w:t>
      </w:r>
      <w:r>
        <w:rPr>
          <w:rFonts w:ascii="仿宋_GB2312" w:hAnsi="仿宋_GB2312" w:eastAsia="仿宋_GB2312"/>
          <w:b/>
          <w:sz w:val="32"/>
        </w:rPr>
        <w:t>人员经费1,026.09万元，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包括：基本工资、津贴补贴、绩效工资、机关事业单位基本养老保险缴费、职业年金缴费、职工基本医疗保险缴费、其他社会保障缴费、住房公积金、退休费、生活补助。</w:t>
      </w:r>
    </w:p>
    <w:p w14:paraId="37F66AD5">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484747EF">
      <w:pPr>
        <w:spacing w:line="640" w:lineRule="exact"/>
        <w:ind w:firstLine="640"/>
        <w:jc w:val="both"/>
        <w:outlineLvl w:val="2"/>
      </w:pPr>
      <w:r>
        <w:rPr>
          <w:rFonts w:ascii="黑体" w:hAnsi="黑体" w:eastAsia="黑体"/>
          <w:sz w:val="32"/>
        </w:rPr>
        <w:t>七、政府性基金预算财政拨款收入支出决算情况说明</w:t>
      </w:r>
    </w:p>
    <w:p w14:paraId="238D450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2F9F481">
      <w:pPr>
        <w:spacing w:line="640" w:lineRule="exact"/>
        <w:ind w:firstLine="640"/>
        <w:jc w:val="both"/>
        <w:outlineLvl w:val="2"/>
      </w:pPr>
      <w:r>
        <w:rPr>
          <w:rFonts w:ascii="黑体" w:hAnsi="黑体" w:eastAsia="黑体"/>
          <w:sz w:val="32"/>
        </w:rPr>
        <w:t>八、国有资本经营预算财政拨款收入支出决算情况说明</w:t>
      </w:r>
    </w:p>
    <w:p w14:paraId="67EB27E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5916ACE">
      <w:pPr>
        <w:spacing w:line="640" w:lineRule="exact"/>
        <w:ind w:firstLine="640"/>
        <w:jc w:val="both"/>
        <w:outlineLvl w:val="2"/>
      </w:pPr>
      <w:r>
        <w:rPr>
          <w:rFonts w:ascii="黑体" w:hAnsi="黑体" w:eastAsia="黑体"/>
          <w:sz w:val="32"/>
        </w:rPr>
        <w:t>九、财政拨款“三公”经费支出决算情况说明</w:t>
      </w:r>
    </w:p>
    <w:p w14:paraId="49971DF7">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DD32205">
      <w:pPr>
        <w:spacing w:line="580" w:lineRule="exact"/>
        <w:ind w:firstLine="640"/>
        <w:jc w:val="both"/>
      </w:pPr>
      <w:r>
        <w:rPr>
          <w:rFonts w:ascii="仿宋_GB2312" w:hAnsi="仿宋_GB2312" w:eastAsia="仿宋_GB2312"/>
          <w:b/>
          <w:sz w:val="32"/>
        </w:rPr>
        <w:t>具体情况如下：</w:t>
      </w:r>
    </w:p>
    <w:p w14:paraId="70F6096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58359D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3C7C1BF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582404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1637CE2">
      <w:pPr>
        <w:spacing w:line="640" w:lineRule="exact"/>
        <w:ind w:firstLine="640"/>
        <w:jc w:val="both"/>
        <w:outlineLvl w:val="2"/>
      </w:pPr>
      <w:r>
        <w:rPr>
          <w:rFonts w:ascii="黑体" w:hAnsi="黑体" w:eastAsia="黑体"/>
          <w:sz w:val="32"/>
        </w:rPr>
        <w:t>十、其他重要事项的情况说明</w:t>
      </w:r>
    </w:p>
    <w:p w14:paraId="62B6435E">
      <w:pPr>
        <w:spacing w:line="640" w:lineRule="exact"/>
        <w:ind w:firstLine="640"/>
        <w:jc w:val="both"/>
        <w:outlineLvl w:val="3"/>
      </w:pPr>
      <w:r>
        <w:rPr>
          <w:rFonts w:ascii="楷体_GB2312" w:hAnsi="楷体_GB2312" w:eastAsia="楷体_GB2312"/>
          <w:b/>
          <w:sz w:val="32"/>
        </w:rPr>
        <w:t>（一）机关运行经费及公用经费支出情况</w:t>
      </w:r>
    </w:p>
    <w:p w14:paraId="5514F4D2">
      <w:pPr>
        <w:spacing w:line="580" w:lineRule="exact"/>
        <w:ind w:firstLine="640"/>
        <w:jc w:val="both"/>
      </w:pPr>
      <w:r>
        <w:rPr>
          <w:rFonts w:ascii="仿宋_GB2312" w:hAnsi="仿宋_GB2312" w:eastAsia="仿宋_GB2312"/>
          <w:b w:val="0"/>
          <w:sz w:val="32"/>
        </w:rPr>
        <w:t>2024年度洛浦县第三初级中学（事业单位）公用经费支出0.00万元，比上年增加0.00万元，增长0.00%，主要原因是：2023年与2024年均未安排公用经费支出。</w:t>
      </w:r>
    </w:p>
    <w:p w14:paraId="6027ED72">
      <w:pPr>
        <w:spacing w:line="640" w:lineRule="exact"/>
        <w:ind w:firstLine="640"/>
        <w:jc w:val="both"/>
        <w:outlineLvl w:val="3"/>
      </w:pPr>
      <w:r>
        <w:rPr>
          <w:rFonts w:ascii="楷体_GB2312" w:hAnsi="楷体_GB2312" w:eastAsia="楷体_GB2312"/>
          <w:b/>
          <w:sz w:val="32"/>
        </w:rPr>
        <w:t>（二）政府采购情况</w:t>
      </w:r>
    </w:p>
    <w:p w14:paraId="7BEA3372">
      <w:pPr>
        <w:spacing w:line="580" w:lineRule="exact"/>
        <w:ind w:firstLine="640"/>
        <w:jc w:val="both"/>
      </w:pPr>
      <w:r>
        <w:rPr>
          <w:rFonts w:ascii="仿宋_GB2312" w:hAnsi="仿宋_GB2312" w:eastAsia="仿宋_GB2312"/>
          <w:b w:val="0"/>
          <w:sz w:val="32"/>
        </w:rPr>
        <w:t>2024年度政府采购支出总额0.75万元，其中：政府采购货物支出0.75万元、政府采购工程支出0.00万元、政府采购服务支出0.00万元。</w:t>
      </w:r>
    </w:p>
    <w:p w14:paraId="65F40A66">
      <w:pPr>
        <w:spacing w:line="580" w:lineRule="exact"/>
        <w:ind w:firstLine="640"/>
        <w:jc w:val="both"/>
      </w:pPr>
      <w:r>
        <w:rPr>
          <w:rFonts w:ascii="仿宋_GB2312" w:hAnsi="仿宋_GB2312" w:eastAsia="仿宋_GB2312"/>
          <w:b w:val="0"/>
          <w:sz w:val="32"/>
        </w:rPr>
        <w:t>授予中小企业合同金额0.75万元，占政府采购支出总额的100.00%，其中：授予小微企业合同金额0.75万元，占政府采购支出总额的100.00%。</w:t>
      </w:r>
    </w:p>
    <w:p w14:paraId="1CE5537E">
      <w:pPr>
        <w:spacing w:line="640" w:lineRule="exact"/>
        <w:ind w:firstLine="640"/>
        <w:jc w:val="both"/>
        <w:outlineLvl w:val="3"/>
      </w:pPr>
      <w:r>
        <w:rPr>
          <w:rFonts w:ascii="楷体_GB2312" w:hAnsi="楷体_GB2312" w:eastAsia="楷体_GB2312"/>
          <w:b/>
          <w:sz w:val="32"/>
        </w:rPr>
        <w:t>（三）国有资产占用情况说明</w:t>
      </w:r>
    </w:p>
    <w:p w14:paraId="768DF962">
      <w:pPr>
        <w:spacing w:line="580" w:lineRule="exact"/>
        <w:ind w:firstLine="640"/>
        <w:jc w:val="both"/>
      </w:pPr>
      <w:r>
        <w:rPr>
          <w:rFonts w:ascii="仿宋_GB2312" w:hAnsi="仿宋_GB2312" w:eastAsia="仿宋_GB2312"/>
          <w:b w:val="0"/>
          <w:sz w:val="32"/>
        </w:rPr>
        <w:t>截至2024年12月31日，房屋66,075.16平方米，价值12,694.02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1台（套）。</w:t>
      </w:r>
    </w:p>
    <w:p w14:paraId="19DE8549">
      <w:pPr>
        <w:spacing w:line="640" w:lineRule="exact"/>
        <w:ind w:firstLine="640"/>
        <w:jc w:val="both"/>
        <w:outlineLvl w:val="2"/>
      </w:pPr>
      <w:r>
        <w:rPr>
          <w:rFonts w:ascii="黑体" w:hAnsi="黑体" w:eastAsia="黑体"/>
          <w:sz w:val="32"/>
        </w:rPr>
        <w:t>十一、预算绩效的情况说明</w:t>
      </w:r>
    </w:p>
    <w:p w14:paraId="4C7A362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1,026.09万元，实际执行总额1,026.09万元；预算绩效评价项目0个，全年预算数0.00万元，全年执行数0.00万元。预算绩效管理取得的成效：本单位本年无绩效自评项目。发现的问题及原因：本单位本年无绩效自评项目。下一步改进措施：本单位本年无绩效自评项目。具体附整体支出绩效自评表。</w:t>
      </w:r>
    </w:p>
    <w:p w14:paraId="6EEBDE0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DCA807A">
        <w:tblPrEx>
          <w:tblCellMar>
            <w:top w:w="0" w:type="dxa"/>
            <w:left w:w="108" w:type="dxa"/>
            <w:bottom w:w="0" w:type="dxa"/>
            <w:right w:w="108" w:type="dxa"/>
          </w:tblCellMar>
        </w:tblPrEx>
        <w:tc>
          <w:tcPr>
            <w:tcW w:w="8847" w:type="dxa"/>
            <w:gridSpan w:val="9"/>
            <w:vAlign w:val="center"/>
          </w:tcPr>
          <w:p w14:paraId="351A8FCC">
            <w:pPr>
              <w:jc w:val="center"/>
            </w:pPr>
            <w:r>
              <w:rPr>
                <w:rFonts w:ascii="宋体" w:hAnsi="宋体" w:eastAsia="宋体"/>
                <w:sz w:val="24"/>
              </w:rPr>
              <w:t>单位整体支出绩效自评表</w:t>
            </w:r>
          </w:p>
        </w:tc>
      </w:tr>
      <w:tr w14:paraId="4DA3BDAB">
        <w:tblPrEx>
          <w:tblCellMar>
            <w:top w:w="0" w:type="dxa"/>
            <w:left w:w="108" w:type="dxa"/>
            <w:bottom w:w="0" w:type="dxa"/>
            <w:right w:w="108" w:type="dxa"/>
          </w:tblCellMar>
        </w:tblPrEx>
        <w:tc>
          <w:tcPr>
            <w:tcW w:w="8847" w:type="dxa"/>
            <w:gridSpan w:val="9"/>
            <w:vAlign w:val="center"/>
          </w:tcPr>
          <w:p w14:paraId="514CA6B2">
            <w:pPr>
              <w:jc w:val="center"/>
            </w:pPr>
            <w:r>
              <w:rPr>
                <w:rFonts w:ascii="宋体" w:hAnsi="宋体" w:eastAsia="宋体"/>
                <w:sz w:val="24"/>
              </w:rPr>
              <w:t>（2024年度）</w:t>
            </w:r>
          </w:p>
        </w:tc>
      </w:tr>
      <w:tr w14:paraId="1AD2B99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3237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D447E50">
            <w:pPr>
              <w:jc w:val="center"/>
            </w:pPr>
            <w:r>
              <w:rPr>
                <w:rFonts w:ascii="宋体" w:hAnsi="宋体" w:eastAsia="宋体"/>
                <w:sz w:val="16"/>
              </w:rPr>
              <w:t>洛浦县第三初级中学</w:t>
            </w:r>
          </w:p>
        </w:tc>
      </w:tr>
      <w:tr w14:paraId="6B8DD7F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49B2A">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CF30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FD5F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8BFB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C44F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6BE5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E046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447E0">
            <w:pPr>
              <w:jc w:val="center"/>
            </w:pPr>
            <w:r>
              <w:rPr>
                <w:rFonts w:ascii="宋体" w:hAnsi="宋体" w:eastAsia="宋体"/>
                <w:sz w:val="16"/>
              </w:rPr>
              <w:t>得分</w:t>
            </w:r>
          </w:p>
        </w:tc>
      </w:tr>
      <w:tr w14:paraId="31B4D5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CCAC7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7C6910">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17A60">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0CB56">
            <w:pPr>
              <w:jc w:val="center"/>
            </w:pPr>
            <w:r>
              <w:rPr>
                <w:rFonts w:ascii="宋体" w:hAnsi="宋体" w:eastAsia="宋体"/>
                <w:sz w:val="16"/>
              </w:rPr>
              <w:t>1,159.30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560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C27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8D3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70E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F1F00">
            <w:pPr>
              <w:jc w:val="center"/>
            </w:pPr>
            <w:r>
              <w:rPr>
                <w:rFonts w:ascii="宋体" w:hAnsi="宋体" w:eastAsia="宋体"/>
                <w:sz w:val="16"/>
              </w:rPr>
              <w:t>-</w:t>
            </w:r>
          </w:p>
        </w:tc>
      </w:tr>
      <w:tr w14:paraId="7B7E77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E1BF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8699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639FB">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5A8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499F2">
            <w:pPr>
              <w:jc w:val="center"/>
            </w:pPr>
            <w:r>
              <w:rPr>
                <w:rFonts w:ascii="宋体" w:hAnsi="宋体" w:eastAsia="宋体"/>
                <w:sz w:val="16"/>
              </w:rPr>
              <w:t>1,026.09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9F39C">
            <w:pPr>
              <w:jc w:val="center"/>
            </w:pPr>
            <w:r>
              <w:rPr>
                <w:rFonts w:ascii="宋体" w:hAnsi="宋体" w:eastAsia="宋体"/>
                <w:sz w:val="16"/>
              </w:rPr>
              <w:t>1,026.09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3B7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C14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F41C3">
            <w:pPr>
              <w:jc w:val="center"/>
            </w:pPr>
            <w:r>
              <w:rPr>
                <w:rFonts w:ascii="宋体" w:hAnsi="宋体" w:eastAsia="宋体"/>
                <w:sz w:val="16"/>
              </w:rPr>
              <w:t>-</w:t>
            </w:r>
          </w:p>
        </w:tc>
      </w:tr>
      <w:tr w14:paraId="749CD0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D691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4B72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89B42">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000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C5E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6A6E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23A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700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4C937">
            <w:pPr>
              <w:jc w:val="center"/>
            </w:pPr>
            <w:r>
              <w:rPr>
                <w:rFonts w:ascii="宋体" w:hAnsi="宋体" w:eastAsia="宋体"/>
                <w:sz w:val="16"/>
              </w:rPr>
              <w:t>-</w:t>
            </w:r>
          </w:p>
        </w:tc>
      </w:tr>
      <w:tr w14:paraId="388830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7858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56831">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D3C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5F31B">
            <w:pPr>
              <w:jc w:val="center"/>
            </w:pPr>
            <w:r>
              <w:rPr>
                <w:rFonts w:ascii="宋体" w:hAnsi="宋体" w:eastAsia="宋体"/>
                <w:sz w:val="16"/>
              </w:rPr>
              <w:t>1,159.30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E2758">
            <w:pPr>
              <w:jc w:val="center"/>
            </w:pPr>
            <w:r>
              <w:rPr>
                <w:rFonts w:ascii="宋体" w:hAnsi="宋体" w:eastAsia="宋体"/>
                <w:sz w:val="16"/>
              </w:rPr>
              <w:t>1,026.09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49929">
            <w:pPr>
              <w:jc w:val="center"/>
            </w:pPr>
            <w:r>
              <w:rPr>
                <w:rFonts w:ascii="宋体" w:hAnsi="宋体" w:eastAsia="宋体"/>
                <w:sz w:val="16"/>
              </w:rPr>
              <w:t>1,026.09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F1FB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C6E2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F3A7A">
            <w:pPr>
              <w:jc w:val="center"/>
            </w:pPr>
            <w:r>
              <w:rPr>
                <w:rFonts w:ascii="宋体" w:hAnsi="宋体" w:eastAsia="宋体"/>
                <w:sz w:val="16"/>
              </w:rPr>
              <w:t>10</w:t>
            </w:r>
          </w:p>
        </w:tc>
      </w:tr>
      <w:tr w14:paraId="6DAA62E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BA39B">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C281DA">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2A8AC2">
            <w:pPr>
              <w:jc w:val="center"/>
            </w:pPr>
            <w:r>
              <w:rPr>
                <w:rFonts w:ascii="宋体" w:hAnsi="宋体" w:eastAsia="宋体"/>
                <w:sz w:val="16"/>
              </w:rPr>
              <w:t>实际完成情况</w:t>
            </w:r>
          </w:p>
        </w:tc>
      </w:tr>
      <w:tr w14:paraId="1F2497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6D7BF5"/>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FEC116">
            <w:pPr>
              <w:jc w:val="both"/>
            </w:pPr>
            <w:bookmarkStart w:id="0" w:name="_GoBack"/>
            <w:r>
              <w:rPr>
                <w:rFonts w:hint="eastAsia" w:ascii="宋体" w:hAnsi="宋体"/>
                <w:sz w:val="16"/>
                <w:lang w:eastAsia="zh-CN"/>
              </w:rPr>
              <w:t>1.</w:t>
            </w:r>
            <w:bookmarkEnd w:id="0"/>
            <w:r>
              <w:rPr>
                <w:rFonts w:ascii="宋体" w:hAnsi="宋体" w:eastAsia="宋体"/>
                <w:sz w:val="16"/>
              </w:rPr>
              <w:t>计划保障学生数量2357人，保障在职人员数量49人，其中人员经费支出1164.16万元，公用经费支出0万元。通过保障部门正常运转，有效提升学校的教育教学能力，持续推行素质教育，争取受益学生及受益在职人员满意度达到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2、保障</w:t>
            </w:r>
            <w:r>
              <w:rPr>
                <w:rFonts w:hint="eastAsia" w:ascii="宋体" w:hAnsi="宋体"/>
                <w:sz w:val="16"/>
                <w:lang w:eastAsia="zh-CN"/>
              </w:rPr>
              <w:t>本单位</w:t>
            </w:r>
            <w:r>
              <w:rPr>
                <w:rFonts w:ascii="宋体" w:hAnsi="宋体" w:eastAsia="宋体"/>
                <w:sz w:val="16"/>
              </w:rPr>
              <w:t>全年在职人员的工资、津贴、奖金、离休费、退休人员生活补助、医疗保险、养老保险、住房公积金等开支。以及用于日常办公、业务活动方面的经常性开支，包括：办公费、水电费、取暖费、差旅费、公务用车交通费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按照九年义务教育课程计划，开齐课程，开足课时，认真实施中小学的教育教学管理，全面推进素质教育，全面提高教育教学质量，组织开展本镇中小学的教育教学科研和教育教学改革，以科学的发展观和以人为本的管理理念注重学生的全面发展。</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162BDF">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保障学生数量2537人，保障教职工数量49人，购买教育教学物资1套，维护校园设备实施1项，开展教育教学培训5次。部门整体资金已使用1026.09万元。通过这些工作的实施，有效提高教育教学质量，确保学生学业水平稳步提升，有效加强师资队伍建设，有效提升教师教育教学能力和专业素养，有效改善学校基础设施，优化教育教学环境， 培养学生全面发展，提高学生综合素质。有效加强学校内部管理，提高管理水平和效率。</w:t>
            </w:r>
          </w:p>
        </w:tc>
      </w:tr>
      <w:tr w14:paraId="2307674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D99E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1C20B">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44FE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456B0">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CEF70">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FC0D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6058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BC215">
            <w:pPr>
              <w:jc w:val="center"/>
            </w:pPr>
            <w:r>
              <w:rPr>
                <w:rFonts w:ascii="宋体" w:hAnsi="宋体" w:eastAsia="宋体"/>
                <w:sz w:val="16"/>
              </w:rPr>
              <w:t>得分</w:t>
            </w:r>
          </w:p>
        </w:tc>
      </w:tr>
      <w:tr w14:paraId="572367F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117271">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AF05F2">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64F44">
            <w:pPr>
              <w:jc w:val="center"/>
            </w:pPr>
            <w:r>
              <w:rPr>
                <w:rFonts w:ascii="宋体" w:hAnsi="宋体" w:eastAsia="宋体"/>
                <w:sz w:val="16"/>
              </w:rPr>
              <w:t>保障学生数量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23740">
            <w:pPr>
              <w:jc w:val="center"/>
            </w:pPr>
            <w:r>
              <w:rPr>
                <w:rFonts w:ascii="宋体" w:hAnsi="宋体" w:eastAsia="宋体"/>
                <w:sz w:val="16"/>
              </w:rPr>
              <w:t>=2357人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80798">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61184">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5AFA4">
            <w:pPr>
              <w:jc w:val="center"/>
            </w:pPr>
            <w:r>
              <w:rPr>
                <w:rFonts w:ascii="宋体" w:hAnsi="宋体" w:eastAsia="宋体"/>
                <w:sz w:val="16"/>
              </w:rPr>
              <w:t>2357人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18F6B">
            <w:pPr>
              <w:jc w:val="center"/>
            </w:pPr>
            <w:r>
              <w:rPr>
                <w:rFonts w:ascii="宋体" w:hAnsi="宋体" w:eastAsia="宋体"/>
                <w:sz w:val="16"/>
              </w:rPr>
              <w:t>18</w:t>
            </w:r>
          </w:p>
        </w:tc>
      </w:tr>
      <w:tr w14:paraId="3157C9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2DF3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9913C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10B04">
            <w:pPr>
              <w:jc w:val="center"/>
            </w:pPr>
            <w:r>
              <w:rPr>
                <w:rFonts w:ascii="宋体" w:hAnsi="宋体" w:eastAsia="宋体"/>
                <w:sz w:val="16"/>
              </w:rPr>
              <w:t>保障在职人员数量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AB49C">
            <w:pPr>
              <w:jc w:val="center"/>
            </w:pPr>
            <w:r>
              <w:rPr>
                <w:rFonts w:ascii="宋体" w:hAnsi="宋体" w:eastAsia="宋体"/>
                <w:sz w:val="16"/>
              </w:rPr>
              <w:t>=49人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9F402">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7D13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6EABD">
            <w:pPr>
              <w:jc w:val="center"/>
            </w:pPr>
            <w:r>
              <w:rPr>
                <w:rFonts w:ascii="宋体" w:hAnsi="宋体" w:eastAsia="宋体"/>
                <w:sz w:val="16"/>
              </w:rPr>
              <w:t>49人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124FD">
            <w:pPr>
              <w:jc w:val="center"/>
            </w:pPr>
            <w:r>
              <w:rPr>
                <w:rFonts w:ascii="宋体" w:hAnsi="宋体" w:eastAsia="宋体"/>
                <w:sz w:val="16"/>
              </w:rPr>
              <w:t>18</w:t>
            </w:r>
          </w:p>
        </w:tc>
      </w:tr>
      <w:tr w14:paraId="210997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6B64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FD59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AA2A5">
            <w:pPr>
              <w:jc w:val="center"/>
            </w:pPr>
            <w:r>
              <w:rPr>
                <w:rFonts w:ascii="宋体" w:hAnsi="宋体" w:eastAsia="宋体"/>
                <w:sz w:val="16"/>
              </w:rPr>
              <w:t>购买教育教学物资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390A3">
            <w:pPr>
              <w:jc w:val="center"/>
            </w:pPr>
            <w:r>
              <w:rPr>
                <w:rFonts w:ascii="宋体" w:hAnsi="宋体" w:eastAsia="宋体"/>
                <w:sz w:val="16"/>
              </w:rPr>
              <w:t>&gt;=1套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21D32">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A6D5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B1778">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4C113">
            <w:pPr>
              <w:jc w:val="center"/>
            </w:pPr>
            <w:r>
              <w:rPr>
                <w:rFonts w:ascii="宋体" w:hAnsi="宋体" w:eastAsia="宋体"/>
                <w:sz w:val="16"/>
              </w:rPr>
              <w:t>18</w:t>
            </w:r>
          </w:p>
        </w:tc>
      </w:tr>
      <w:tr w14:paraId="41AC45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DC7E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032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62D47">
            <w:pPr>
              <w:jc w:val="center"/>
            </w:pPr>
            <w:r>
              <w:rPr>
                <w:rFonts w:ascii="宋体" w:hAnsi="宋体" w:eastAsia="宋体"/>
                <w:sz w:val="16"/>
              </w:rPr>
              <w:t>维护校园设备实施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DA1EE">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1A127">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7F464">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304A5">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18C59">
            <w:pPr>
              <w:jc w:val="center"/>
            </w:pPr>
            <w:r>
              <w:rPr>
                <w:rFonts w:ascii="宋体" w:hAnsi="宋体" w:eastAsia="宋体"/>
                <w:sz w:val="16"/>
              </w:rPr>
              <w:t>18</w:t>
            </w:r>
          </w:p>
        </w:tc>
      </w:tr>
      <w:tr w14:paraId="5DFC05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AEE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A8850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5D10B">
            <w:pPr>
              <w:jc w:val="center"/>
            </w:pPr>
            <w:r>
              <w:rPr>
                <w:rFonts w:ascii="宋体" w:hAnsi="宋体" w:eastAsia="宋体"/>
                <w:sz w:val="16"/>
              </w:rPr>
              <w:t>开展教育教学培训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8AD67">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C17C9">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5696E">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61AC2">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E613E">
            <w:pPr>
              <w:jc w:val="center"/>
            </w:pPr>
            <w:r>
              <w:rPr>
                <w:rFonts w:ascii="宋体" w:hAnsi="宋体" w:eastAsia="宋体"/>
                <w:sz w:val="16"/>
              </w:rPr>
              <w:t>18</w:t>
            </w:r>
          </w:p>
        </w:tc>
      </w:tr>
    </w:tbl>
    <w:p w14:paraId="2D702CF4">
      <w:r>
        <w:br w:type="page"/>
      </w:r>
    </w:p>
    <w:p w14:paraId="4395CB3E">
      <w:pPr>
        <w:spacing w:line="640" w:lineRule="exact"/>
        <w:ind w:firstLine="640"/>
        <w:jc w:val="both"/>
        <w:outlineLvl w:val="2"/>
      </w:pPr>
      <w:r>
        <w:rPr>
          <w:rFonts w:ascii="黑体" w:hAnsi="黑体" w:eastAsia="黑体"/>
          <w:sz w:val="32"/>
        </w:rPr>
        <w:t>十二、其他需说明的事项</w:t>
      </w:r>
    </w:p>
    <w:p w14:paraId="58D6C7A3">
      <w:pPr>
        <w:spacing w:line="580" w:lineRule="exact"/>
        <w:ind w:firstLine="640"/>
        <w:jc w:val="both"/>
      </w:pPr>
      <w:r>
        <w:rPr>
          <w:rFonts w:ascii="仿宋_GB2312" w:hAnsi="仿宋_GB2312" w:eastAsia="仿宋_GB2312"/>
          <w:b w:val="0"/>
          <w:sz w:val="32"/>
        </w:rPr>
        <w:t>本单位无其他需说明的事项。</w:t>
      </w:r>
    </w:p>
    <w:p w14:paraId="1B382056">
      <w:r>
        <w:br w:type="page"/>
      </w:r>
    </w:p>
    <w:p w14:paraId="0C539F5F">
      <w:pPr>
        <w:spacing w:line="240" w:lineRule="auto"/>
        <w:jc w:val="center"/>
        <w:outlineLvl w:val="1"/>
      </w:pPr>
      <w:r>
        <w:rPr>
          <w:rFonts w:ascii="黑体" w:hAnsi="黑体" w:eastAsia="黑体"/>
          <w:sz w:val="32"/>
        </w:rPr>
        <w:t>第三部分 专业名词解释</w:t>
      </w:r>
    </w:p>
    <w:p w14:paraId="56E07E8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139585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BC169B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370FF2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ED7D28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59D20C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FAE9DF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13FC13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6C21DA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AA9D6A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41FE0A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347C08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45E266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98155F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0F8A9F3">
      <w:r>
        <w:br w:type="page"/>
      </w:r>
    </w:p>
    <w:p w14:paraId="5B251EE4">
      <w:pPr>
        <w:spacing w:line="240" w:lineRule="auto"/>
        <w:jc w:val="center"/>
        <w:outlineLvl w:val="1"/>
      </w:pPr>
      <w:r>
        <w:rPr>
          <w:rFonts w:ascii="黑体" w:hAnsi="黑体" w:eastAsia="黑体"/>
          <w:sz w:val="32"/>
        </w:rPr>
        <w:t>第四部分 部门决算报表（见附表）</w:t>
      </w:r>
    </w:p>
    <w:p w14:paraId="36AF7D18">
      <w:pPr>
        <w:spacing w:line="240" w:lineRule="auto"/>
        <w:ind w:firstLine="640"/>
        <w:jc w:val="both"/>
      </w:pPr>
      <w:r>
        <w:rPr>
          <w:rFonts w:ascii="仿宋_GB2312" w:hAnsi="仿宋_GB2312" w:eastAsia="仿宋_GB2312"/>
          <w:b w:val="0"/>
          <w:sz w:val="32"/>
        </w:rPr>
        <w:t>一、《收入支出决算总表》</w:t>
      </w:r>
    </w:p>
    <w:p w14:paraId="3875161E">
      <w:pPr>
        <w:spacing w:line="240" w:lineRule="auto"/>
        <w:ind w:firstLine="640"/>
        <w:jc w:val="both"/>
      </w:pPr>
      <w:r>
        <w:rPr>
          <w:rFonts w:ascii="仿宋_GB2312" w:hAnsi="仿宋_GB2312" w:eastAsia="仿宋_GB2312"/>
          <w:b w:val="0"/>
          <w:sz w:val="32"/>
        </w:rPr>
        <w:t>二、《收入决算表》</w:t>
      </w:r>
    </w:p>
    <w:p w14:paraId="7FDFEE4D">
      <w:pPr>
        <w:spacing w:line="240" w:lineRule="auto"/>
        <w:ind w:firstLine="640"/>
        <w:jc w:val="both"/>
      </w:pPr>
      <w:r>
        <w:rPr>
          <w:rFonts w:ascii="仿宋_GB2312" w:hAnsi="仿宋_GB2312" w:eastAsia="仿宋_GB2312"/>
          <w:b w:val="0"/>
          <w:sz w:val="32"/>
        </w:rPr>
        <w:t>三、《支出决算表》</w:t>
      </w:r>
    </w:p>
    <w:p w14:paraId="322FF770">
      <w:pPr>
        <w:spacing w:line="240" w:lineRule="auto"/>
        <w:ind w:firstLine="640"/>
        <w:jc w:val="both"/>
      </w:pPr>
      <w:r>
        <w:rPr>
          <w:rFonts w:ascii="仿宋_GB2312" w:hAnsi="仿宋_GB2312" w:eastAsia="仿宋_GB2312"/>
          <w:b w:val="0"/>
          <w:sz w:val="32"/>
        </w:rPr>
        <w:t>四、《财政拨款收入支出决算总表》</w:t>
      </w:r>
    </w:p>
    <w:p w14:paraId="2F425484">
      <w:pPr>
        <w:spacing w:line="240" w:lineRule="auto"/>
        <w:ind w:firstLine="640"/>
        <w:jc w:val="both"/>
      </w:pPr>
      <w:r>
        <w:rPr>
          <w:rFonts w:ascii="仿宋_GB2312" w:hAnsi="仿宋_GB2312" w:eastAsia="仿宋_GB2312"/>
          <w:b w:val="0"/>
          <w:sz w:val="32"/>
        </w:rPr>
        <w:t>五、《一般公共预算财政拨款支出决算表》</w:t>
      </w:r>
    </w:p>
    <w:p w14:paraId="60A3B8E8">
      <w:pPr>
        <w:spacing w:line="240" w:lineRule="auto"/>
        <w:ind w:firstLine="640"/>
        <w:jc w:val="both"/>
      </w:pPr>
      <w:r>
        <w:rPr>
          <w:rFonts w:ascii="仿宋_GB2312" w:hAnsi="仿宋_GB2312" w:eastAsia="仿宋_GB2312"/>
          <w:b w:val="0"/>
          <w:sz w:val="32"/>
        </w:rPr>
        <w:t>六、《一般公共预算财政拨款基本支出决算表》</w:t>
      </w:r>
    </w:p>
    <w:p w14:paraId="314B3F96">
      <w:pPr>
        <w:spacing w:line="240" w:lineRule="auto"/>
        <w:ind w:firstLine="640"/>
        <w:jc w:val="both"/>
      </w:pPr>
      <w:r>
        <w:rPr>
          <w:rFonts w:ascii="仿宋_GB2312" w:hAnsi="仿宋_GB2312" w:eastAsia="仿宋_GB2312"/>
          <w:b w:val="0"/>
          <w:sz w:val="32"/>
        </w:rPr>
        <w:t>七、《政府性基金预算财政拨款收入支出决算表》</w:t>
      </w:r>
    </w:p>
    <w:p w14:paraId="5380B612">
      <w:pPr>
        <w:spacing w:line="240" w:lineRule="auto"/>
        <w:ind w:firstLine="640"/>
        <w:jc w:val="both"/>
      </w:pPr>
      <w:r>
        <w:rPr>
          <w:rFonts w:ascii="仿宋_GB2312" w:hAnsi="仿宋_GB2312" w:eastAsia="仿宋_GB2312"/>
          <w:b w:val="0"/>
          <w:sz w:val="32"/>
        </w:rPr>
        <w:t>八、《国有资本经营预算财政拨款收入支出决算表》</w:t>
      </w:r>
    </w:p>
    <w:p w14:paraId="32335FFD">
      <w:pPr>
        <w:spacing w:line="240" w:lineRule="auto"/>
        <w:ind w:firstLine="640"/>
        <w:jc w:val="both"/>
      </w:pPr>
      <w:r>
        <w:rPr>
          <w:rFonts w:ascii="仿宋_GB2312" w:hAnsi="仿宋_GB2312" w:eastAsia="仿宋_GB2312"/>
          <w:b w:val="0"/>
          <w:sz w:val="32"/>
        </w:rPr>
        <w:t>九、《财政拨款“三公”经费支出决算表》</w:t>
      </w:r>
    </w:p>
    <w:p w14:paraId="74601A60">
      <w:pPr>
        <w:spacing w:line="240" w:lineRule="auto"/>
        <w:ind w:firstLine="640"/>
        <w:jc w:val="both"/>
      </w:pPr>
    </w:p>
    <w:p w14:paraId="362036A1">
      <w:pPr>
        <w:spacing w:line="240" w:lineRule="auto"/>
        <w:ind w:firstLine="640"/>
        <w:jc w:val="both"/>
      </w:pPr>
    </w:p>
    <w:p w14:paraId="049E7D42">
      <w:pPr>
        <w:spacing w:line="240" w:lineRule="auto"/>
        <w:ind w:firstLine="640"/>
        <w:jc w:val="both"/>
      </w:pPr>
    </w:p>
    <w:p w14:paraId="41800FF5">
      <w:pPr>
        <w:spacing w:line="240" w:lineRule="auto"/>
        <w:ind w:firstLine="640"/>
        <w:jc w:val="both"/>
      </w:pPr>
    </w:p>
    <w:p w14:paraId="4FE8F6B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1980990-8578-4F89-84AB-8A83F7E2777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2A26069-69E9-47A7-9CB8-D95EA16D433D}"/>
  </w:font>
  <w:font w:name="仿宋_GB2312">
    <w:panose1 w:val="02010609030101010101"/>
    <w:charset w:val="86"/>
    <w:family w:val="modern"/>
    <w:pitch w:val="default"/>
    <w:sig w:usb0="00000001" w:usb1="080E0000" w:usb2="00000000" w:usb3="00000000" w:csb0="00040000" w:csb1="00000000"/>
    <w:embedRegular r:id="rId3" w:fontKey="{369D09CA-4140-49B6-9A5D-B84872757653}"/>
  </w:font>
  <w:font w:name="楷体_GB2312">
    <w:panose1 w:val="02010609030101010101"/>
    <w:charset w:val="86"/>
    <w:family w:val="auto"/>
    <w:pitch w:val="default"/>
    <w:sig w:usb0="00000001" w:usb1="080E0000" w:usb2="00000000" w:usb3="00000000" w:csb0="00040000" w:csb1="00000000"/>
    <w:embedRegular r:id="rId4" w:fontKey="{56A97B47-9EFD-424D-AD1E-A6769E5765BC}"/>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856D87"/>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AA2499"/>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3885</Words>
  <Characters>4516</Characters>
  <Lines>0</Lines>
  <Paragraphs>0</Paragraphs>
  <TotalTime>4</TotalTime>
  <ScaleCrop>false</ScaleCrop>
  <LinksUpToDate>false</LinksUpToDate>
  <CharactersWithSpaces>4524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2025-09-17T05:11:01Z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