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洛浦县第一幼儿园2024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6BF1C6">
      <w:r>
        <w:br w:type="page"/>
      </w:r>
    </w:p>
    <w:p w14:paraId="3C424252">
      <w:pPr>
        <w:spacing w:line="640" w:lineRule="exact"/>
        <w:jc w:val="center"/>
        <w:outlineLvl w:val="1"/>
      </w:pPr>
      <w:r>
        <w:rPr>
          <w:rFonts w:ascii="黑体" w:hAnsi="黑体" w:eastAsia="黑体"/>
          <w:sz w:val="32"/>
        </w:rPr>
        <w:t>第一部分 单位概况</w:t>
      </w:r>
    </w:p>
    <w:p w14:paraId="73BD0DCC">
      <w:pPr>
        <w:spacing w:line="640" w:lineRule="exact"/>
        <w:ind w:firstLine="640"/>
        <w:jc w:val="both"/>
        <w:outlineLvl w:val="2"/>
      </w:pPr>
      <w:r>
        <w:rPr>
          <w:rFonts w:ascii="黑体" w:hAnsi="黑体" w:eastAsia="黑体"/>
          <w:sz w:val="32"/>
        </w:rPr>
        <w:t>一、主要职能</w:t>
      </w:r>
    </w:p>
    <w:p w14:paraId="57A42269">
      <w:pPr>
        <w:spacing w:line="580" w:lineRule="exact"/>
        <w:ind w:firstLine="640"/>
        <w:jc w:val="both"/>
      </w:pPr>
      <w:r>
        <w:rPr>
          <w:rFonts w:ascii="仿宋_GB2312" w:hAnsi="仿宋_GB2312" w:eastAsia="仿宋_GB2312"/>
          <w:sz w:val="32"/>
        </w:rPr>
        <w:t>根据党的教育方针及教学大纲的要求，组织三年制全日幼儿教学，通过实施素质教育，为小学输送合格的毕业生，为社会培养合格接班人；培养德、智、体、美、劳全面发展的人才；招收适龄儿童，安排班级，组织教学；在当地党政部门的指导下，做好当地幼儿教育。</w:t>
      </w:r>
    </w:p>
    <w:p w14:paraId="5E3C2D00">
      <w:pPr>
        <w:spacing w:line="640" w:lineRule="exact"/>
        <w:ind w:firstLine="640"/>
        <w:jc w:val="both"/>
        <w:outlineLvl w:val="2"/>
      </w:pPr>
      <w:r>
        <w:rPr>
          <w:rFonts w:ascii="黑体" w:hAnsi="黑体" w:eastAsia="黑体"/>
          <w:sz w:val="32"/>
        </w:rPr>
        <w:t>二、机构设置及人员情况</w:t>
      </w:r>
    </w:p>
    <w:p w14:paraId="40E36271">
      <w:pPr>
        <w:spacing w:line="580" w:lineRule="exact"/>
        <w:ind w:firstLine="640"/>
        <w:jc w:val="both"/>
      </w:pPr>
      <w:r>
        <w:rPr>
          <w:rFonts w:ascii="仿宋_GB2312" w:hAnsi="仿宋_GB2312" w:eastAsia="仿宋_GB2312"/>
          <w:sz w:val="32"/>
        </w:rPr>
        <w:t>洛浦县第一幼儿园2024年度，实有人数88人，其中：在职人员57人，增加12人；离休人员0人，增加0人；退休人员31人</w:t>
      </w:r>
      <w:r>
        <w:rPr>
          <w:rFonts w:hint="eastAsia" w:ascii="仿宋_GB2312" w:hAnsi="仿宋_GB2312" w:eastAsia="仿宋_GB2312"/>
          <w:sz w:val="32"/>
          <w:lang w:eastAsia="zh-CN"/>
        </w:rPr>
        <w:t>，</w:t>
      </w:r>
      <w:r>
        <w:rPr>
          <w:rFonts w:ascii="仿宋_GB2312" w:hAnsi="仿宋_GB2312" w:eastAsia="仿宋_GB2312"/>
          <w:sz w:val="32"/>
        </w:rPr>
        <w:t>减少1人。</w:t>
      </w:r>
    </w:p>
    <w:p w14:paraId="710945BF">
      <w:pPr>
        <w:spacing w:line="580" w:lineRule="exact"/>
        <w:ind w:firstLine="640"/>
        <w:jc w:val="both"/>
      </w:pPr>
      <w:r>
        <w:rPr>
          <w:rFonts w:ascii="仿宋_GB2312" w:hAnsi="仿宋_GB2312" w:eastAsia="仿宋_GB2312"/>
          <w:sz w:val="32"/>
        </w:rPr>
        <w:t>洛浦县第一幼儿园无下属预算单位，下设6个科室，分别是：园长办公室、教务处、德育办公室、教研室、财务室、医务室。</w:t>
      </w:r>
    </w:p>
    <w:p w14:paraId="67038DAA">
      <w:r>
        <w:br w:type="page"/>
      </w:r>
    </w:p>
    <w:p w14:paraId="059CC164">
      <w:pPr>
        <w:spacing w:line="240" w:lineRule="auto"/>
        <w:jc w:val="center"/>
        <w:outlineLvl w:val="1"/>
      </w:pPr>
      <w:r>
        <w:rPr>
          <w:rFonts w:ascii="黑体" w:hAnsi="黑体" w:eastAsia="黑体"/>
          <w:sz w:val="32"/>
        </w:rPr>
        <w:t>第二部分 部门决算情况说明</w:t>
      </w:r>
    </w:p>
    <w:p w14:paraId="557D0345">
      <w:pPr>
        <w:spacing w:line="640" w:lineRule="exact"/>
        <w:ind w:firstLine="640"/>
        <w:jc w:val="both"/>
        <w:outlineLvl w:val="2"/>
      </w:pPr>
      <w:r>
        <w:rPr>
          <w:rFonts w:ascii="黑体" w:hAnsi="黑体" w:eastAsia="黑体"/>
          <w:sz w:val="32"/>
        </w:rPr>
        <w:t>一、收入支出决算总体情况说明</w:t>
      </w:r>
    </w:p>
    <w:p w14:paraId="50ED5CD8">
      <w:pPr>
        <w:spacing w:line="580" w:lineRule="exact"/>
        <w:ind w:firstLine="640"/>
        <w:jc w:val="both"/>
      </w:pPr>
      <w:r>
        <w:rPr>
          <w:rFonts w:ascii="仿宋_GB2312" w:hAnsi="仿宋_GB2312" w:eastAsia="仿宋_GB2312"/>
          <w:b/>
          <w:sz w:val="32"/>
        </w:rPr>
        <w:t>2024年度收入总计1,296.67万元，</w:t>
      </w:r>
      <w:r>
        <w:rPr>
          <w:rFonts w:ascii="仿宋_GB2312" w:hAnsi="仿宋_GB2312" w:eastAsia="仿宋_GB2312"/>
          <w:b w:val="0"/>
          <w:sz w:val="32"/>
        </w:rPr>
        <w:t>其中：本年收入合计1,296.67万元，使用非财政拨款结余（含专用结余）0.00万元，年初结转和结余0.00万元。</w:t>
      </w:r>
    </w:p>
    <w:p w14:paraId="3EFE6765">
      <w:pPr>
        <w:spacing w:line="580" w:lineRule="exact"/>
        <w:ind w:firstLine="640"/>
        <w:jc w:val="both"/>
      </w:pPr>
      <w:r>
        <w:rPr>
          <w:rFonts w:ascii="仿宋_GB2312" w:hAnsi="仿宋_GB2312" w:eastAsia="仿宋_GB2312"/>
          <w:b/>
          <w:sz w:val="32"/>
        </w:rPr>
        <w:t>2024年度支出总计1,296.67万元，</w:t>
      </w:r>
      <w:r>
        <w:rPr>
          <w:rFonts w:ascii="仿宋_GB2312" w:hAnsi="仿宋_GB2312" w:eastAsia="仿宋_GB2312"/>
          <w:b w:val="0"/>
          <w:sz w:val="32"/>
        </w:rPr>
        <w:t>其中：本年支出合计1,296.67万元，结余分配0.00万元，年末结转和结余0.00万元。</w:t>
      </w:r>
    </w:p>
    <w:p w14:paraId="08E31C4F">
      <w:pPr>
        <w:spacing w:line="580" w:lineRule="exact"/>
        <w:ind w:firstLine="640"/>
        <w:jc w:val="both"/>
      </w:pPr>
      <w:r>
        <w:rPr>
          <w:rFonts w:ascii="仿宋_GB2312" w:hAnsi="仿宋_GB2312" w:eastAsia="仿宋_GB2312"/>
          <w:b w:val="0"/>
          <w:sz w:val="32"/>
        </w:rPr>
        <w:t>收入支出总体与上年相比，增加178.92万元，增长16.01%，主要原因是：本年在职人员增加，在职人员工资调增、社保、公积金基数调增，人员经费增加。</w:t>
      </w:r>
    </w:p>
    <w:p w14:paraId="72FCFE7F">
      <w:pPr>
        <w:spacing w:line="640" w:lineRule="exact"/>
        <w:ind w:firstLine="640"/>
        <w:jc w:val="both"/>
        <w:outlineLvl w:val="2"/>
      </w:pPr>
      <w:r>
        <w:rPr>
          <w:rFonts w:ascii="黑体" w:hAnsi="黑体" w:eastAsia="黑体"/>
          <w:sz w:val="32"/>
        </w:rPr>
        <w:t>二、收入决算情况说明</w:t>
      </w:r>
    </w:p>
    <w:p w14:paraId="6311CE37">
      <w:pPr>
        <w:spacing w:line="580" w:lineRule="exact"/>
        <w:ind w:firstLine="640"/>
        <w:jc w:val="both"/>
      </w:pPr>
      <w:r>
        <w:rPr>
          <w:rFonts w:ascii="仿宋_GB2312" w:hAnsi="仿宋_GB2312" w:eastAsia="仿宋_GB2312"/>
          <w:b/>
          <w:sz w:val="32"/>
        </w:rPr>
        <w:t>本年收入1,296.67万元，</w:t>
      </w:r>
      <w:r>
        <w:rPr>
          <w:rFonts w:ascii="仿宋_GB2312" w:hAnsi="仿宋_GB2312" w:eastAsia="仿宋_GB2312"/>
          <w:b w:val="0"/>
          <w:sz w:val="32"/>
        </w:rPr>
        <w:t>其中：财政拨款收入1,294.12万元，占99.80%；上级补助收入0.00万元，占0.00%；事业收入0.00万元，占0.00%；经营收入0.00万元，占0.00%；附属单位上缴收入0.00万元，占0.00%；其他收入2.56万元，占0.20%。</w:t>
      </w:r>
    </w:p>
    <w:p w14:paraId="1D4E8EB3">
      <w:pPr>
        <w:spacing w:line="640" w:lineRule="exact"/>
        <w:ind w:firstLine="640"/>
        <w:jc w:val="both"/>
        <w:outlineLvl w:val="2"/>
      </w:pPr>
      <w:r>
        <w:rPr>
          <w:rFonts w:ascii="黑体" w:hAnsi="黑体" w:eastAsia="黑体"/>
          <w:sz w:val="32"/>
        </w:rPr>
        <w:t>三、支出决算情况说明</w:t>
      </w:r>
    </w:p>
    <w:p w14:paraId="1C869E07">
      <w:pPr>
        <w:spacing w:line="580" w:lineRule="exact"/>
        <w:ind w:firstLine="640"/>
        <w:jc w:val="both"/>
      </w:pPr>
      <w:r>
        <w:rPr>
          <w:rFonts w:ascii="仿宋_GB2312" w:hAnsi="仿宋_GB2312" w:eastAsia="仿宋_GB2312"/>
          <w:b/>
          <w:sz w:val="32"/>
        </w:rPr>
        <w:t>本年支出1,296.67万元，</w:t>
      </w:r>
      <w:r>
        <w:rPr>
          <w:rFonts w:ascii="仿宋_GB2312" w:hAnsi="仿宋_GB2312" w:eastAsia="仿宋_GB2312"/>
          <w:b w:val="0"/>
          <w:sz w:val="32"/>
        </w:rPr>
        <w:t>其中：基本支出1,294.12万元，占99.80%；项目支出2.56万元，占0.20%；上缴上级支出0.00万元，占0.00%；经营支出0.00万元，占0.00%；对附属单位补助支出0.00万元，占0.00%。</w:t>
      </w:r>
    </w:p>
    <w:p w14:paraId="5CCB2FD2">
      <w:pPr>
        <w:spacing w:line="640" w:lineRule="exact"/>
        <w:ind w:firstLine="640"/>
        <w:jc w:val="both"/>
        <w:outlineLvl w:val="2"/>
      </w:pPr>
      <w:r>
        <w:rPr>
          <w:rFonts w:ascii="黑体" w:hAnsi="黑体" w:eastAsia="黑体"/>
          <w:sz w:val="32"/>
        </w:rPr>
        <w:t>四、财政拨款收入支出决算总体情况说明</w:t>
      </w:r>
    </w:p>
    <w:p w14:paraId="4C32C265">
      <w:pPr>
        <w:spacing w:line="580" w:lineRule="exact"/>
        <w:ind w:firstLine="640"/>
        <w:jc w:val="both"/>
      </w:pPr>
      <w:r>
        <w:rPr>
          <w:rFonts w:ascii="仿宋_GB2312" w:hAnsi="仿宋_GB2312" w:eastAsia="仿宋_GB2312"/>
          <w:b/>
          <w:sz w:val="32"/>
        </w:rPr>
        <w:t>2024年度财政拨款收入总计1,294.12万元，</w:t>
      </w:r>
      <w:r>
        <w:rPr>
          <w:rFonts w:ascii="仿宋_GB2312" w:hAnsi="仿宋_GB2312" w:eastAsia="仿宋_GB2312"/>
          <w:b w:val="0"/>
          <w:sz w:val="32"/>
        </w:rPr>
        <w:t>其中：年初财政拨款结转和结余0.00万元，本年财政拨款收入1,294.12万元。</w:t>
      </w:r>
      <w:r>
        <w:rPr>
          <w:rFonts w:ascii="仿宋_GB2312" w:hAnsi="仿宋_GB2312" w:eastAsia="仿宋_GB2312"/>
          <w:b/>
          <w:sz w:val="32"/>
        </w:rPr>
        <w:t>财政拨款支出总计1,294.12万元，</w:t>
      </w:r>
      <w:r>
        <w:rPr>
          <w:rFonts w:ascii="仿宋_GB2312" w:hAnsi="仿宋_GB2312" w:eastAsia="仿宋_GB2312"/>
          <w:b w:val="0"/>
          <w:sz w:val="32"/>
        </w:rPr>
        <w:t>其中：年末财政拨款结转和结余0.00万元，本年财政拨款支出1,294.12万元。</w:t>
      </w:r>
    </w:p>
    <w:p w14:paraId="1F428A6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增加176.42万元，增长15.78%，主要原因是：本年在职人员增加，在职人员工资调增、社保、公积金基数调增，人员经费增加。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年初预算数1,116.06万元，决算数1,294.12万元，预决算差异率15.95%，主要原因是：年中追加</w:t>
      </w:r>
      <w:r>
        <w:rPr>
          <w:rFonts w:hint="eastAsia" w:ascii="仿宋_GB2312" w:hAnsi="仿宋_GB2312" w:eastAsia="仿宋_GB2312"/>
          <w:b w:val="0"/>
          <w:sz w:val="32"/>
          <w:lang w:val="en-US" w:eastAsia="zh-CN"/>
        </w:rPr>
        <w:t>学生补助经费</w:t>
      </w:r>
      <w:r>
        <w:rPr>
          <w:rFonts w:ascii="仿宋_GB2312" w:hAnsi="仿宋_GB2312" w:eastAsia="仿宋_GB2312"/>
          <w:b w:val="0"/>
          <w:sz w:val="32"/>
        </w:rPr>
        <w:t>，导致预决算存在差异。</w:t>
      </w:r>
    </w:p>
    <w:p w14:paraId="01128340">
      <w:pPr>
        <w:spacing w:line="640" w:lineRule="exact"/>
        <w:ind w:firstLine="640"/>
        <w:jc w:val="both"/>
        <w:outlineLvl w:val="2"/>
      </w:pPr>
      <w:r>
        <w:rPr>
          <w:rFonts w:ascii="黑体" w:hAnsi="黑体" w:eastAsia="黑体"/>
          <w:sz w:val="32"/>
        </w:rPr>
        <w:t>五、一般公共预算财政拨款支出决算情况说明</w:t>
      </w:r>
    </w:p>
    <w:p w14:paraId="5ADD4695">
      <w:pPr>
        <w:spacing w:line="640" w:lineRule="exact"/>
        <w:ind w:firstLine="640"/>
        <w:jc w:val="both"/>
        <w:outlineLvl w:val="3"/>
      </w:pPr>
      <w:r>
        <w:rPr>
          <w:rFonts w:ascii="楷体_GB2312" w:hAnsi="楷体_GB2312" w:eastAsia="楷体_GB2312"/>
          <w:b/>
          <w:sz w:val="32"/>
        </w:rPr>
        <w:t>（一）一般公共预算财政拨款支出决算总体情况</w:t>
      </w:r>
    </w:p>
    <w:p w14:paraId="611B027A">
      <w:pPr>
        <w:spacing w:line="580" w:lineRule="exact"/>
        <w:ind w:firstLine="640"/>
        <w:jc w:val="both"/>
      </w:pPr>
      <w:r>
        <w:rPr>
          <w:rFonts w:ascii="仿宋_GB2312" w:hAnsi="仿宋_GB2312" w:eastAsia="仿宋_GB2312"/>
          <w:b/>
          <w:sz w:val="32"/>
        </w:rPr>
        <w:t>2024年度一般公共预算财政拨款支出1,294.12万元，</w:t>
      </w:r>
      <w:r>
        <w:rPr>
          <w:rFonts w:ascii="仿宋_GB2312" w:hAnsi="仿宋_GB2312" w:eastAsia="仿宋_GB2312"/>
          <w:b w:val="0"/>
          <w:sz w:val="32"/>
        </w:rPr>
        <w:t>占本年支出合计的99.80%。</w:t>
      </w:r>
      <w:r>
        <w:rPr>
          <w:rFonts w:ascii="仿宋_GB2312" w:hAnsi="仿宋_GB2312" w:eastAsia="仿宋_GB2312"/>
          <w:b/>
          <w:sz w:val="32"/>
        </w:rPr>
        <w:t>与上年相比，</w:t>
      </w:r>
      <w:r>
        <w:rPr>
          <w:rFonts w:ascii="仿宋_GB2312" w:hAnsi="仿宋_GB2312" w:eastAsia="仿宋_GB2312"/>
          <w:b w:val="0"/>
          <w:sz w:val="32"/>
        </w:rPr>
        <w:t>增加176.42万元，增长15.78%，主要原因是：本年在职人员增加，在职人员工资调增、社保、公积金基数调增，人员经费增加。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年初预算数1,116.06万元，决算数1,294.12万元，预决算差异率15.95%，主要原因是：年中追加</w:t>
      </w:r>
      <w:r>
        <w:rPr>
          <w:rFonts w:hint="eastAsia" w:ascii="仿宋_GB2312" w:hAnsi="仿宋_GB2312" w:eastAsia="仿宋_GB2312"/>
          <w:b w:val="0"/>
          <w:sz w:val="32"/>
          <w:lang w:val="en-US" w:eastAsia="zh-CN"/>
        </w:rPr>
        <w:t>学生补助经费</w:t>
      </w:r>
      <w:r>
        <w:rPr>
          <w:rFonts w:ascii="仿宋_GB2312" w:hAnsi="仿宋_GB2312" w:eastAsia="仿宋_GB2312"/>
          <w:b w:val="0"/>
          <w:sz w:val="32"/>
        </w:rPr>
        <w:t>，导致预决算存在差异。</w:t>
      </w:r>
    </w:p>
    <w:p w14:paraId="4FA194CC">
      <w:pPr>
        <w:spacing w:line="640" w:lineRule="exact"/>
        <w:ind w:firstLine="640"/>
        <w:jc w:val="both"/>
        <w:outlineLvl w:val="3"/>
      </w:pPr>
      <w:r>
        <w:rPr>
          <w:rFonts w:ascii="楷体_GB2312" w:hAnsi="楷体_GB2312" w:eastAsia="楷体_GB2312"/>
          <w:b/>
          <w:sz w:val="32"/>
        </w:rPr>
        <w:t>（二）一般公共预算财政拨款支出决算结构情况</w:t>
      </w:r>
    </w:p>
    <w:p w14:paraId="635141BB">
      <w:pPr>
        <w:spacing w:line="580" w:lineRule="exact"/>
        <w:ind w:firstLine="640"/>
        <w:jc w:val="both"/>
      </w:pPr>
      <w:r>
        <w:rPr>
          <w:rFonts w:ascii="仿宋_GB2312" w:hAnsi="仿宋_GB2312" w:eastAsia="仿宋_GB2312"/>
          <w:b w:val="0"/>
          <w:sz w:val="32"/>
        </w:rPr>
        <w:t>1.教育支出(类)1,294.12万元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56AAF730">
      <w:pPr>
        <w:spacing w:line="640" w:lineRule="exact"/>
        <w:ind w:firstLine="640"/>
        <w:jc w:val="both"/>
        <w:outlineLvl w:val="3"/>
      </w:pPr>
      <w:r>
        <w:rPr>
          <w:rFonts w:ascii="楷体_GB2312" w:hAnsi="楷体_GB2312" w:eastAsia="楷体_GB2312"/>
          <w:b/>
          <w:sz w:val="32"/>
        </w:rPr>
        <w:t>（三）一般公共预算财政拨款支出决算具体情况</w:t>
      </w:r>
    </w:p>
    <w:p w14:paraId="3E643EBA">
      <w:pPr>
        <w:spacing w:line="580" w:lineRule="exact"/>
        <w:ind w:firstLine="640"/>
        <w:jc w:val="both"/>
        <w:rPr>
          <w:rFonts w:hint="default" w:eastAsia="仿宋_GB2312"/>
          <w:lang w:val="en-US" w:eastAsia="zh-CN"/>
        </w:rPr>
      </w:pPr>
      <w:r>
        <w:rPr>
          <w:rFonts w:ascii="仿宋_GB2312" w:hAnsi="仿宋_GB2312" w:eastAsia="仿宋_GB2312"/>
          <w:b w:val="0"/>
          <w:sz w:val="32"/>
        </w:rPr>
        <w:t>1.教育支出(类)普通教育(款)学前教育(项):支出决算数为1,294.12万元，比上年决算增加182.79万元，增长16.45%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主要原因是：本年在职人员增加，在职人员工资调增、社保、公积金基数调增，人员经费增加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本年养老保险调整至本科目列支。</w:t>
      </w:r>
    </w:p>
    <w:p w14:paraId="2597451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2.社会保障和就业支出(类)行政事业单位养老支出(款)机关事业单位基本养老保险缴费支出(项):支出决算数为0.00万元，比上年决算减少6.36万元，下降100.00%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14:paraId="1B3B0012">
      <w:pPr>
        <w:spacing w:line="640" w:lineRule="exact"/>
        <w:ind w:firstLine="640"/>
        <w:jc w:val="both"/>
        <w:outlineLvl w:val="2"/>
      </w:pPr>
      <w:r>
        <w:rPr>
          <w:rFonts w:ascii="黑体" w:hAnsi="黑体" w:eastAsia="黑体"/>
          <w:sz w:val="32"/>
        </w:rPr>
        <w:t>六、一般公共预算财政拨款基本支出决算情况说明</w:t>
      </w:r>
    </w:p>
    <w:p w14:paraId="5B121F88">
      <w:pPr>
        <w:spacing w:line="580" w:lineRule="exact"/>
        <w:ind w:firstLine="640"/>
        <w:jc w:val="both"/>
      </w:pPr>
      <w:r>
        <w:rPr>
          <w:rFonts w:ascii="仿宋_GB2312" w:hAnsi="仿宋_GB2312" w:eastAsia="仿宋_GB2312"/>
          <w:b w:val="0"/>
          <w:sz w:val="32"/>
        </w:rPr>
        <w:t>2024年度一般公共预算财政拨款基本支出1,294.12万元，其中：</w:t>
      </w:r>
      <w:r>
        <w:rPr>
          <w:rFonts w:ascii="仿宋_GB2312" w:hAnsi="仿宋_GB2312" w:eastAsia="仿宋_GB2312"/>
          <w:b/>
          <w:sz w:val="32"/>
        </w:rPr>
        <w:t>人员经费1,190.79万元，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包括：基本工资、津贴补贴、绩效工资、机关事业单位基本养老保险缴费、职工基本医疗保险缴费、其他社会保障缴费、住房公积金、退休费、抚恤金、生活补助、医疗费补助。</w:t>
      </w:r>
    </w:p>
    <w:p w14:paraId="2615BAC4">
      <w:pPr>
        <w:spacing w:line="580" w:lineRule="exact"/>
        <w:ind w:firstLine="640"/>
        <w:jc w:val="both"/>
      </w:pPr>
      <w:r>
        <w:rPr>
          <w:rFonts w:ascii="仿宋_GB2312" w:hAnsi="仿宋_GB2312" w:eastAsia="仿宋_GB2312"/>
          <w:b/>
          <w:sz w:val="32"/>
        </w:rPr>
        <w:t>公用经费103.33万元，</w:t>
      </w:r>
      <w:r>
        <w:rPr>
          <w:rFonts w:ascii="仿宋_GB2312" w:hAnsi="仿宋_GB2312" w:eastAsia="仿宋_GB2312"/>
          <w:b w:val="0"/>
          <w:sz w:val="32"/>
        </w:rPr>
        <w:t>包括：办公费、印刷费、水费、电费、取暖费、物业管理费、维修（护）费、培训费、专用材料费、劳务费、其他商品和服务支出、办公设备购置。</w:t>
      </w:r>
    </w:p>
    <w:p w14:paraId="5CEA26E3">
      <w:pPr>
        <w:spacing w:line="640" w:lineRule="exact"/>
        <w:ind w:firstLine="640"/>
        <w:jc w:val="both"/>
        <w:outlineLvl w:val="2"/>
      </w:pPr>
      <w:r>
        <w:rPr>
          <w:rFonts w:ascii="黑体" w:hAnsi="黑体" w:eastAsia="黑体"/>
          <w:sz w:val="32"/>
        </w:rPr>
        <w:t>七、政府性基金预算财政拨款收入支出决算情况说明</w:t>
      </w:r>
    </w:p>
    <w:p w14:paraId="19BE806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8A452CD">
      <w:pPr>
        <w:spacing w:line="640" w:lineRule="exact"/>
        <w:ind w:firstLine="640"/>
        <w:jc w:val="both"/>
        <w:outlineLvl w:val="2"/>
      </w:pPr>
      <w:r>
        <w:rPr>
          <w:rFonts w:ascii="黑体" w:hAnsi="黑体" w:eastAsia="黑体"/>
          <w:sz w:val="32"/>
        </w:rPr>
        <w:t>八、国有资本经营预算财政拨款收入支出决算情况说明</w:t>
      </w:r>
    </w:p>
    <w:p w14:paraId="2774770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2183B0">
      <w:pPr>
        <w:spacing w:line="640" w:lineRule="exact"/>
        <w:ind w:firstLine="640"/>
        <w:jc w:val="both"/>
        <w:outlineLvl w:val="2"/>
      </w:pPr>
      <w:r>
        <w:rPr>
          <w:rFonts w:ascii="黑体" w:hAnsi="黑体" w:eastAsia="黑体"/>
          <w:sz w:val="32"/>
        </w:rPr>
        <w:t>九、财政拨款“三公”经费支出决算情况说明</w:t>
      </w:r>
    </w:p>
    <w:p w14:paraId="4F058D3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0A4B4EC">
      <w:pPr>
        <w:spacing w:line="580" w:lineRule="exact"/>
        <w:ind w:firstLine="640"/>
        <w:jc w:val="both"/>
      </w:pPr>
      <w:r>
        <w:rPr>
          <w:rFonts w:ascii="仿宋_GB2312" w:hAnsi="仿宋_GB2312" w:eastAsia="仿宋_GB2312"/>
          <w:b/>
          <w:sz w:val="32"/>
        </w:rPr>
        <w:t>具体情况如下：</w:t>
      </w:r>
    </w:p>
    <w:p w14:paraId="009F175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DFB69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E5D387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9AD3E9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72D7C40">
      <w:pPr>
        <w:spacing w:line="640" w:lineRule="exact"/>
        <w:ind w:firstLine="640"/>
        <w:jc w:val="both"/>
        <w:outlineLvl w:val="2"/>
      </w:pPr>
      <w:r>
        <w:rPr>
          <w:rFonts w:ascii="黑体" w:hAnsi="黑体" w:eastAsia="黑体"/>
          <w:sz w:val="32"/>
        </w:rPr>
        <w:t>十、其他重要事项的情况说明</w:t>
      </w:r>
    </w:p>
    <w:p w14:paraId="4ACAF941">
      <w:pPr>
        <w:spacing w:line="640" w:lineRule="exact"/>
        <w:ind w:firstLine="640"/>
        <w:jc w:val="both"/>
        <w:outlineLvl w:val="3"/>
      </w:pPr>
      <w:r>
        <w:rPr>
          <w:rFonts w:ascii="楷体_GB2312" w:hAnsi="楷体_GB2312" w:eastAsia="楷体_GB2312"/>
          <w:b/>
          <w:sz w:val="32"/>
        </w:rPr>
        <w:t>（一）机关运行经费及公用经费支出情况</w:t>
      </w:r>
    </w:p>
    <w:p w14:paraId="47230DD6">
      <w:pPr>
        <w:spacing w:line="580" w:lineRule="exact"/>
        <w:ind w:firstLine="640"/>
        <w:jc w:val="both"/>
      </w:pPr>
      <w:r>
        <w:rPr>
          <w:rFonts w:ascii="仿宋_GB2312" w:hAnsi="仿宋_GB2312" w:eastAsia="仿宋_GB2312"/>
          <w:b w:val="0"/>
          <w:sz w:val="32"/>
        </w:rPr>
        <w:t>2024年度洛浦县第一幼儿园（事业单位）公用经费支出103.33万元，比上年增加46.52万元，增长81.89%，主要原因是：本年维修（护）费、劳务费较上年增加，导致公用经费增加。</w:t>
      </w:r>
    </w:p>
    <w:p w14:paraId="36A60BED">
      <w:pPr>
        <w:spacing w:line="640" w:lineRule="exact"/>
        <w:ind w:firstLine="640"/>
        <w:jc w:val="both"/>
        <w:outlineLvl w:val="3"/>
      </w:pPr>
      <w:r>
        <w:rPr>
          <w:rFonts w:ascii="楷体_GB2312" w:hAnsi="楷体_GB2312" w:eastAsia="楷体_GB2312"/>
          <w:b/>
          <w:sz w:val="32"/>
        </w:rPr>
        <w:t>（二）政府采购情况</w:t>
      </w:r>
    </w:p>
    <w:p w14:paraId="1EFA8126">
      <w:pPr>
        <w:spacing w:line="580" w:lineRule="exact"/>
        <w:ind w:firstLine="640"/>
        <w:jc w:val="both"/>
      </w:pPr>
      <w:r>
        <w:rPr>
          <w:rFonts w:ascii="仿宋_GB2312" w:hAnsi="仿宋_GB2312" w:eastAsia="仿宋_GB2312"/>
          <w:b w:val="0"/>
          <w:sz w:val="32"/>
        </w:rPr>
        <w:t>2024年度政府采购支出总额2.05万元，其中：政府采购货物支出2.05万元、政府采购工程支出0.00万元、政府采购服务支出0.00万元。</w:t>
      </w:r>
    </w:p>
    <w:p w14:paraId="75EBF1C2">
      <w:pPr>
        <w:spacing w:line="580" w:lineRule="exact"/>
        <w:ind w:firstLine="640"/>
        <w:jc w:val="both"/>
      </w:pPr>
      <w:r>
        <w:rPr>
          <w:rFonts w:ascii="仿宋_GB2312" w:hAnsi="仿宋_GB2312" w:eastAsia="仿宋_GB2312"/>
          <w:b w:val="0"/>
          <w:sz w:val="32"/>
        </w:rPr>
        <w:t>授予中小企业合同金额2.05万元，占政府采购支出总额的100.00%，其中：授予小微企业合同金额1.30万元，占政府采购支出总额的63.41%。</w:t>
      </w:r>
    </w:p>
    <w:p w14:paraId="02C50260">
      <w:pPr>
        <w:spacing w:line="640" w:lineRule="exact"/>
        <w:ind w:firstLine="640"/>
        <w:jc w:val="both"/>
        <w:outlineLvl w:val="3"/>
      </w:pPr>
      <w:r>
        <w:rPr>
          <w:rFonts w:ascii="楷体_GB2312" w:hAnsi="楷体_GB2312" w:eastAsia="楷体_GB2312"/>
          <w:b/>
          <w:sz w:val="32"/>
        </w:rPr>
        <w:t>（三）国有资产占用情况说明</w:t>
      </w:r>
    </w:p>
    <w:p w14:paraId="7C6C8D8F">
      <w:pPr>
        <w:spacing w:line="580" w:lineRule="exact"/>
        <w:ind w:firstLine="640"/>
        <w:jc w:val="both"/>
      </w:pPr>
      <w:r>
        <w:rPr>
          <w:rFonts w:ascii="仿宋_GB2312" w:hAnsi="仿宋_GB2312" w:eastAsia="仿宋_GB2312"/>
          <w:b w:val="0"/>
          <w:sz w:val="32"/>
        </w:rPr>
        <w:t>截至2024年12月31日，房屋6,536.10平方米，价值680.07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4ED21DB">
      <w:pPr>
        <w:spacing w:line="640" w:lineRule="exact"/>
        <w:ind w:firstLine="640"/>
        <w:jc w:val="both"/>
        <w:outlineLvl w:val="2"/>
      </w:pPr>
      <w:r>
        <w:rPr>
          <w:rFonts w:ascii="黑体" w:hAnsi="黑体" w:eastAsia="黑体"/>
          <w:sz w:val="32"/>
        </w:rPr>
        <w:t>十一、预算绩效的情况说明</w:t>
      </w:r>
    </w:p>
    <w:p w14:paraId="6EA001F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1,296.67万元，实际执行总额1,296.67万元；预算绩效评价项目4个，全年预算数211.02万元，全年执行数204.34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一是预算金额与实际支出金额数偏差较大，是由于后期增加教职员工数量增加，预算绩效管理水平仍有欠缺。在2024年预算绩效管理工作中，存在“重投入轻管理、重支出轻绩效”的情况，对全面实施预算绩效管理的要求认识还不到位，项目申报、实施等环节与预算绩效管理各个环节联系不够紧密。二是部分业务人员绩效管理意识有待增强，未能全面深入认识理解绩效管理工作的意义。绩效管理经验不足，预算绩效管理工作有待进一步落实。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w:t>
      </w:r>
      <w:r>
        <w:rPr>
          <w:rFonts w:hint="eastAsia" w:ascii="仿宋_GB2312" w:hAnsi="仿宋_GB2312" w:eastAsia="仿宋_GB2312"/>
          <w:b w:val="0"/>
          <w:sz w:val="32"/>
          <w:lang w:eastAsia="zh-CN"/>
        </w:rPr>
        <w:t>，</w:t>
      </w:r>
      <w:r>
        <w:rPr>
          <w:rFonts w:ascii="仿宋_GB2312" w:hAnsi="仿宋_GB2312" w:eastAsia="仿宋_GB2312"/>
          <w:b w:val="0"/>
          <w:sz w:val="32"/>
        </w:rPr>
        <w:t>规范部门预算收支核算。制定和完善基本支出、项目支出等各项支出标准</w:t>
      </w:r>
      <w:r>
        <w:rPr>
          <w:rFonts w:hint="eastAsia" w:ascii="仿宋_GB2312" w:hAnsi="仿宋_GB2312" w:eastAsia="仿宋_GB2312"/>
          <w:b w:val="0"/>
          <w:sz w:val="32"/>
          <w:lang w:eastAsia="zh-CN"/>
        </w:rPr>
        <w:t>，</w:t>
      </w:r>
      <w:r>
        <w:rPr>
          <w:rFonts w:ascii="仿宋_GB2312" w:hAnsi="仿宋_GB2312" w:eastAsia="仿宋_GB2312"/>
          <w:b w:val="0"/>
          <w:sz w:val="32"/>
        </w:rPr>
        <w:t>严格按项目进度执行预算</w:t>
      </w:r>
      <w:r>
        <w:rPr>
          <w:rFonts w:hint="eastAsia" w:ascii="仿宋_GB2312" w:hAnsi="仿宋_GB2312" w:eastAsia="仿宋_GB2312"/>
          <w:b w:val="0"/>
          <w:sz w:val="32"/>
          <w:lang w:eastAsia="zh-CN"/>
        </w:rPr>
        <w:t>，</w:t>
      </w:r>
      <w:r>
        <w:rPr>
          <w:rFonts w:ascii="仿宋_GB2312" w:hAnsi="仿宋_GB2312" w:eastAsia="仿宋_GB2312"/>
          <w:b w:val="0"/>
          <w:sz w:val="32"/>
        </w:rPr>
        <w:t xml:space="preserve"> 增强预算的约束力和严肃性。落实预算执行分析</w:t>
      </w:r>
      <w:r>
        <w:rPr>
          <w:rFonts w:hint="eastAsia" w:ascii="仿宋_GB2312" w:hAnsi="仿宋_GB2312" w:eastAsia="仿宋_GB2312"/>
          <w:b w:val="0"/>
          <w:sz w:val="32"/>
          <w:lang w:eastAsia="zh-CN"/>
        </w:rPr>
        <w:t>，</w:t>
      </w:r>
      <w:r>
        <w:rPr>
          <w:rFonts w:ascii="仿宋_GB2312" w:hAnsi="仿宋_GB2312" w:eastAsia="仿宋_GB2312"/>
          <w:b w:val="0"/>
          <w:sz w:val="32"/>
        </w:rPr>
        <w:t>及时了解预算执行差异</w:t>
      </w:r>
      <w:r>
        <w:rPr>
          <w:rFonts w:hint="eastAsia" w:ascii="仿宋_GB2312" w:hAnsi="仿宋_GB2312" w:eastAsia="仿宋_GB2312"/>
          <w:b w:val="0"/>
          <w:sz w:val="32"/>
          <w:lang w:eastAsia="zh-CN"/>
        </w:rPr>
        <w:t>，</w:t>
      </w:r>
      <w:r>
        <w:rPr>
          <w:rFonts w:ascii="仿宋_GB2312" w:hAnsi="仿宋_GB2312" w:eastAsia="仿宋_GB2312"/>
          <w:b w:val="0"/>
          <w:sz w:val="32"/>
        </w:rPr>
        <w:t>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14F4B4A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66C086">
        <w:tblPrEx>
          <w:tblCellMar>
            <w:top w:w="0" w:type="dxa"/>
            <w:left w:w="108" w:type="dxa"/>
            <w:bottom w:w="0" w:type="dxa"/>
            <w:right w:w="108" w:type="dxa"/>
          </w:tblCellMar>
        </w:tblPrEx>
        <w:tc>
          <w:tcPr>
            <w:tcW w:w="8847" w:type="dxa"/>
            <w:gridSpan w:val="9"/>
            <w:vAlign w:val="center"/>
          </w:tcPr>
          <w:p w14:paraId="40D5852F">
            <w:pPr>
              <w:jc w:val="center"/>
            </w:pPr>
            <w:r>
              <w:rPr>
                <w:rFonts w:ascii="宋体" w:hAnsi="宋体" w:eastAsia="宋体"/>
                <w:sz w:val="24"/>
              </w:rPr>
              <w:t>单位整体支出绩效自评表</w:t>
            </w:r>
          </w:p>
        </w:tc>
      </w:tr>
      <w:tr w14:paraId="69A124CB">
        <w:tblPrEx>
          <w:tblCellMar>
            <w:top w:w="0" w:type="dxa"/>
            <w:left w:w="108" w:type="dxa"/>
            <w:bottom w:w="0" w:type="dxa"/>
            <w:right w:w="108" w:type="dxa"/>
          </w:tblCellMar>
        </w:tblPrEx>
        <w:tc>
          <w:tcPr>
            <w:tcW w:w="8847" w:type="dxa"/>
            <w:gridSpan w:val="9"/>
            <w:vAlign w:val="center"/>
          </w:tcPr>
          <w:p w14:paraId="6244E451">
            <w:pPr>
              <w:jc w:val="center"/>
            </w:pPr>
            <w:r>
              <w:rPr>
                <w:rFonts w:ascii="宋体" w:hAnsi="宋体" w:eastAsia="宋体"/>
                <w:sz w:val="24"/>
              </w:rPr>
              <w:t>（2024年度）</w:t>
            </w:r>
          </w:p>
        </w:tc>
      </w:tr>
      <w:tr w14:paraId="58A96A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A06C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D26DE7">
            <w:pPr>
              <w:jc w:val="center"/>
            </w:pPr>
            <w:r>
              <w:rPr>
                <w:rFonts w:ascii="宋体" w:hAnsi="宋体" w:eastAsia="宋体"/>
                <w:sz w:val="16"/>
              </w:rPr>
              <w:t>洛浦县第一幼儿园</w:t>
            </w:r>
          </w:p>
        </w:tc>
      </w:tr>
      <w:tr w14:paraId="6DD125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0A17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F3D9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701C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CF8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B86A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1E5A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B6F7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DA706">
            <w:pPr>
              <w:jc w:val="center"/>
            </w:pPr>
            <w:r>
              <w:rPr>
                <w:rFonts w:ascii="宋体" w:hAnsi="宋体" w:eastAsia="宋体"/>
                <w:sz w:val="16"/>
              </w:rPr>
              <w:t>得分</w:t>
            </w:r>
          </w:p>
        </w:tc>
      </w:tr>
      <w:tr w14:paraId="58CE9F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022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78374">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7503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F1EF">
            <w:pPr>
              <w:jc w:val="center"/>
            </w:pPr>
            <w:r>
              <w:rPr>
                <w:rFonts w:ascii="宋体" w:hAnsi="宋体" w:eastAsia="宋体"/>
                <w:sz w:val="16"/>
              </w:rPr>
              <w:t>1,116.06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D017E">
            <w:pPr>
              <w:jc w:val="center"/>
            </w:pPr>
            <w:r>
              <w:rPr>
                <w:rFonts w:ascii="宋体" w:hAnsi="宋体" w:eastAsia="宋体"/>
                <w:sz w:val="16"/>
              </w:rPr>
              <w:t>1,296.67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41AA7">
            <w:pPr>
              <w:jc w:val="center"/>
            </w:pPr>
            <w:r>
              <w:rPr>
                <w:rFonts w:ascii="宋体" w:hAnsi="宋体" w:eastAsia="宋体"/>
                <w:sz w:val="16"/>
              </w:rPr>
              <w:t>1,296.67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A3B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85A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6DFAB">
            <w:pPr>
              <w:jc w:val="center"/>
            </w:pPr>
            <w:r>
              <w:rPr>
                <w:rFonts w:ascii="宋体" w:hAnsi="宋体" w:eastAsia="宋体"/>
                <w:sz w:val="16"/>
              </w:rPr>
              <w:t>-</w:t>
            </w:r>
          </w:p>
        </w:tc>
      </w:tr>
      <w:tr w14:paraId="4F6274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679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F1C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CDF0">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312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562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7FF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A79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1BB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1F2D7">
            <w:pPr>
              <w:jc w:val="center"/>
            </w:pPr>
            <w:r>
              <w:rPr>
                <w:rFonts w:ascii="宋体" w:hAnsi="宋体" w:eastAsia="宋体"/>
                <w:sz w:val="16"/>
              </w:rPr>
              <w:t>-</w:t>
            </w:r>
          </w:p>
        </w:tc>
      </w:tr>
      <w:tr w14:paraId="543E9C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515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127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A9FE8">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F6F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92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F1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AE3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5BE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1E662">
            <w:pPr>
              <w:jc w:val="center"/>
            </w:pPr>
            <w:r>
              <w:rPr>
                <w:rFonts w:ascii="宋体" w:hAnsi="宋体" w:eastAsia="宋体"/>
                <w:sz w:val="16"/>
              </w:rPr>
              <w:t>-</w:t>
            </w:r>
          </w:p>
        </w:tc>
      </w:tr>
      <w:tr w14:paraId="253515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C54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357D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273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20728">
            <w:pPr>
              <w:jc w:val="center"/>
            </w:pPr>
            <w:r>
              <w:rPr>
                <w:rFonts w:ascii="宋体" w:hAnsi="宋体" w:eastAsia="宋体"/>
                <w:sz w:val="16"/>
              </w:rPr>
              <w:t>1,116.06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8C47A">
            <w:pPr>
              <w:jc w:val="center"/>
            </w:pPr>
            <w:r>
              <w:rPr>
                <w:rFonts w:ascii="宋体" w:hAnsi="宋体" w:eastAsia="宋体"/>
                <w:sz w:val="16"/>
              </w:rPr>
              <w:t>1,296.67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E5ABD">
            <w:pPr>
              <w:jc w:val="center"/>
            </w:pPr>
            <w:r>
              <w:rPr>
                <w:rFonts w:ascii="宋体" w:hAnsi="宋体" w:eastAsia="宋体"/>
                <w:sz w:val="16"/>
              </w:rPr>
              <w:t>1,296.67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376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0D10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1845">
            <w:pPr>
              <w:jc w:val="center"/>
            </w:pPr>
            <w:r>
              <w:rPr>
                <w:rFonts w:ascii="宋体" w:hAnsi="宋体" w:eastAsia="宋体"/>
                <w:sz w:val="16"/>
              </w:rPr>
              <w:t>10</w:t>
            </w:r>
          </w:p>
        </w:tc>
      </w:tr>
      <w:tr w14:paraId="4DDB57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A1B0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53E2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39C241">
            <w:pPr>
              <w:jc w:val="center"/>
            </w:pPr>
            <w:r>
              <w:rPr>
                <w:rFonts w:ascii="宋体" w:hAnsi="宋体" w:eastAsia="宋体"/>
                <w:sz w:val="16"/>
              </w:rPr>
              <w:t>实际完成情况</w:t>
            </w:r>
          </w:p>
        </w:tc>
      </w:tr>
      <w:tr w14:paraId="275942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6D08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740759">
            <w:pPr>
              <w:jc w:val="both"/>
            </w:pPr>
            <w:r>
              <w:rPr>
                <w:rFonts w:ascii="宋体" w:hAnsi="宋体" w:eastAsia="宋体"/>
                <w:sz w:val="16"/>
              </w:rPr>
              <w:t>单位基本职能：1.正确贯彻执行党和国家的教育方针、政策、法规。2.维护学校的教学秩序，为学生创造良好的学习环境。3.积极稳妥</w:t>
            </w:r>
            <w:r>
              <w:rPr>
                <w:rFonts w:hint="eastAsia" w:ascii="宋体" w:hAnsi="宋体"/>
                <w:sz w:val="16"/>
                <w:lang w:eastAsia="zh-CN"/>
              </w:rPr>
              <w:t>地</w:t>
            </w:r>
            <w:r>
              <w:rPr>
                <w:rFonts w:ascii="宋体" w:hAnsi="宋体" w:eastAsia="宋体"/>
                <w:sz w:val="16"/>
              </w:rPr>
              <w:t>推进教育改革，按教育规律办事，不断提 高教育质量。4.根据学校规模，设置学校管理机构，建立健全各项规 章制度和岗位责任制。5.坚持教书育人，服务育人，环境育人方针，加强对学 生思想品德教育，使学生的德智体全面发展。6.抓好教师队伍建设，使每个教师都热心于教育事业。</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机构设置及人员配置：无下属预算单位，下设6个科室，编制数40人，实有人数90人，在职58人，退休32人。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全年加强党对教育工作的全面领导，持续做好3年免费学前教育，加大“控辍保学”力度，不断优化教师队伍结构，提高国家通用语言文字授课能力和办学质量，推进城乡义务教育优质均衡发展。不断改善办学条件，促进教学质量提质增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目标1：保障单位在职58人，退休32人的工资福利及各项补助正常发放及部门正常运转；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700BA0">
            <w:pPr>
              <w:jc w:val="both"/>
            </w:pPr>
            <w:r>
              <w:rPr>
                <w:rFonts w:hint="eastAsia" w:ascii="宋体" w:hAnsi="宋体"/>
                <w:sz w:val="16"/>
                <w:lang w:eastAsia="zh-CN"/>
              </w:rPr>
              <w:t>截至</w:t>
            </w:r>
            <w:r>
              <w:rPr>
                <w:rFonts w:ascii="宋体" w:hAnsi="宋体" w:eastAsia="宋体"/>
                <w:sz w:val="16"/>
              </w:rPr>
              <w:t>2024年12月31日，我单位年初预算数1116.06万元，调整后的预算数为1296.67万元，通过实施该项目，保障单位58名职工工资按时发放，保障学校695名学生正常参与教育教学活动，我园开展教职工培训2次，培训的覆盖率达到了100%。</w:t>
            </w:r>
          </w:p>
        </w:tc>
      </w:tr>
      <w:tr w14:paraId="6F9891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77E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F7B4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113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689B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9A0C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D873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30AC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1CF6">
            <w:pPr>
              <w:jc w:val="center"/>
            </w:pPr>
            <w:r>
              <w:rPr>
                <w:rFonts w:ascii="宋体" w:hAnsi="宋体" w:eastAsia="宋体"/>
                <w:sz w:val="16"/>
              </w:rPr>
              <w:t>得分</w:t>
            </w:r>
          </w:p>
        </w:tc>
      </w:tr>
      <w:tr w14:paraId="36931A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C099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F3D4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AF629">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C55D">
            <w:pPr>
              <w:jc w:val="center"/>
            </w:pPr>
            <w:r>
              <w:rPr>
                <w:rFonts w:ascii="宋体" w:hAnsi="宋体" w:eastAsia="宋体"/>
                <w:sz w:val="16"/>
              </w:rPr>
              <w:t>&gt;=695人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A68C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2E8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66B17">
            <w:pPr>
              <w:jc w:val="center"/>
            </w:pPr>
            <w:r>
              <w:rPr>
                <w:rFonts w:ascii="宋体" w:hAnsi="宋体" w:eastAsia="宋体"/>
                <w:sz w:val="16"/>
              </w:rPr>
              <w:t>695人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8E9A4">
            <w:pPr>
              <w:jc w:val="center"/>
            </w:pPr>
            <w:r>
              <w:rPr>
                <w:rFonts w:ascii="宋体" w:hAnsi="宋体" w:eastAsia="宋体"/>
                <w:sz w:val="16"/>
              </w:rPr>
              <w:t>20</w:t>
            </w:r>
          </w:p>
        </w:tc>
      </w:tr>
      <w:tr w14:paraId="1F5054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A9F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DE2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C062">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8659A">
            <w:pPr>
              <w:jc w:val="center"/>
            </w:pPr>
            <w:r>
              <w:rPr>
                <w:rFonts w:ascii="宋体" w:hAnsi="宋体" w:eastAsia="宋体"/>
                <w:sz w:val="16"/>
              </w:rPr>
              <w:t>&gt;=58人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2F33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52E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5D947">
            <w:pPr>
              <w:jc w:val="center"/>
            </w:pPr>
            <w:r>
              <w:rPr>
                <w:rFonts w:ascii="宋体" w:hAnsi="宋体" w:eastAsia="宋体"/>
                <w:sz w:val="16"/>
              </w:rPr>
              <w:t>58人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80E48">
            <w:pPr>
              <w:jc w:val="center"/>
            </w:pPr>
            <w:r>
              <w:rPr>
                <w:rFonts w:ascii="宋体" w:hAnsi="宋体" w:eastAsia="宋体"/>
                <w:sz w:val="16"/>
              </w:rPr>
              <w:t>20</w:t>
            </w:r>
          </w:p>
        </w:tc>
      </w:tr>
      <w:tr w14:paraId="1CBDEC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9C2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85915">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EE382">
            <w:pPr>
              <w:jc w:val="center"/>
            </w:pPr>
            <w:r>
              <w:rPr>
                <w:rFonts w:ascii="宋体" w:hAnsi="宋体" w:eastAsia="宋体"/>
                <w:sz w:val="16"/>
              </w:rPr>
              <w:t>教师培训合格率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EFA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DDA9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43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7CC73">
            <w:pPr>
              <w:jc w:val="center"/>
            </w:pPr>
            <w:r>
              <w:rPr>
                <w:rFonts w:ascii="宋体" w:hAnsi="宋体" w:eastAsia="宋体"/>
                <w:sz w:val="16"/>
              </w:rPr>
              <w:t>58人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CC1DF">
            <w:pPr>
              <w:jc w:val="center"/>
            </w:pPr>
            <w:r>
              <w:rPr>
                <w:rFonts w:ascii="宋体" w:hAnsi="宋体" w:eastAsia="宋体"/>
                <w:sz w:val="16"/>
              </w:rPr>
              <w:t>20</w:t>
            </w:r>
          </w:p>
        </w:tc>
      </w:tr>
      <w:tr w14:paraId="4FA06E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080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9A3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A30E3">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F98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A2D0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AFF79">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CE4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9A5CB">
            <w:pPr>
              <w:jc w:val="center"/>
            </w:pPr>
            <w:r>
              <w:rPr>
                <w:rFonts w:ascii="宋体" w:hAnsi="宋体" w:eastAsia="宋体"/>
                <w:sz w:val="16"/>
              </w:rPr>
              <w:t>30</w:t>
            </w:r>
          </w:p>
        </w:tc>
      </w:tr>
    </w:tbl>
    <w:p w14:paraId="420ECD2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737F570">
        <w:tblPrEx>
          <w:tblCellMar>
            <w:top w:w="0" w:type="dxa"/>
            <w:left w:w="108" w:type="dxa"/>
            <w:bottom w:w="0" w:type="dxa"/>
            <w:right w:w="108" w:type="dxa"/>
          </w:tblCellMar>
        </w:tblPrEx>
        <w:tc>
          <w:tcPr>
            <w:tcW w:w="8847" w:type="dxa"/>
            <w:gridSpan w:val="9"/>
            <w:vAlign w:val="center"/>
          </w:tcPr>
          <w:p w14:paraId="760E1DB4">
            <w:pPr>
              <w:jc w:val="center"/>
            </w:pPr>
            <w:r>
              <w:rPr>
                <w:rFonts w:ascii="宋体" w:hAnsi="宋体" w:eastAsia="宋体"/>
                <w:sz w:val="24"/>
              </w:rPr>
              <w:t>项目支出绩效自评表</w:t>
            </w:r>
          </w:p>
        </w:tc>
      </w:tr>
      <w:tr w14:paraId="18B730F6">
        <w:tblPrEx>
          <w:tblCellMar>
            <w:top w:w="0" w:type="dxa"/>
            <w:left w:w="108" w:type="dxa"/>
            <w:bottom w:w="0" w:type="dxa"/>
            <w:right w:w="108" w:type="dxa"/>
          </w:tblCellMar>
        </w:tblPrEx>
        <w:tc>
          <w:tcPr>
            <w:tcW w:w="8847" w:type="dxa"/>
            <w:gridSpan w:val="9"/>
            <w:vAlign w:val="center"/>
          </w:tcPr>
          <w:p w14:paraId="0936129E">
            <w:pPr>
              <w:jc w:val="center"/>
            </w:pPr>
            <w:r>
              <w:rPr>
                <w:rFonts w:ascii="宋体" w:hAnsi="宋体" w:eastAsia="宋体"/>
                <w:sz w:val="24"/>
              </w:rPr>
              <w:t>(2024年度)</w:t>
            </w:r>
          </w:p>
        </w:tc>
      </w:tr>
      <w:tr w14:paraId="7E944D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B82F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1E8A9B">
            <w:pPr>
              <w:jc w:val="center"/>
            </w:pPr>
            <w:r>
              <w:rPr>
                <w:rFonts w:ascii="宋体" w:hAnsi="宋体" w:eastAsia="宋体"/>
                <w:sz w:val="16"/>
              </w:rPr>
              <w:t>2021年自治区教育补助资金</w:t>
            </w:r>
            <w:r>
              <w:rPr>
                <w:rFonts w:hint="eastAsia" w:ascii="宋体" w:hAnsi="宋体"/>
                <w:sz w:val="16"/>
                <w:lang w:eastAsia="zh-CN"/>
              </w:rPr>
              <w:t>－</w:t>
            </w:r>
            <w:r>
              <w:rPr>
                <w:rFonts w:ascii="宋体" w:hAnsi="宋体" w:eastAsia="宋体"/>
                <w:sz w:val="16"/>
              </w:rPr>
              <w:t>农村学前三年免费保障经费</w:t>
            </w:r>
          </w:p>
        </w:tc>
      </w:tr>
      <w:tr w14:paraId="340E1E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290D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EC173F">
            <w:pPr>
              <w:jc w:val="center"/>
            </w:pPr>
            <w:r>
              <w:rPr>
                <w:rFonts w:ascii="宋体" w:hAnsi="宋体" w:eastAsia="宋体"/>
                <w:sz w:val="16"/>
              </w:rPr>
              <w:t>洛浦县第一幼儿园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A2F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D318AC">
            <w:pPr>
              <w:jc w:val="center"/>
            </w:pPr>
            <w:r>
              <w:rPr>
                <w:rFonts w:ascii="宋体" w:hAnsi="宋体" w:eastAsia="宋体"/>
                <w:sz w:val="16"/>
              </w:rPr>
              <w:t>洛浦县第一幼儿园</w:t>
            </w:r>
          </w:p>
        </w:tc>
      </w:tr>
      <w:tr w14:paraId="39D3CD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70EC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71B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12E4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5A07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9D3A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B21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9754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B11EC">
            <w:pPr>
              <w:jc w:val="center"/>
            </w:pPr>
            <w:r>
              <w:rPr>
                <w:rFonts w:ascii="宋体" w:hAnsi="宋体" w:eastAsia="宋体"/>
                <w:sz w:val="16"/>
              </w:rPr>
              <w:t>得分</w:t>
            </w:r>
          </w:p>
        </w:tc>
      </w:tr>
      <w:tr w14:paraId="20E95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F2B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1347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A8EB1">
            <w:pPr>
              <w:jc w:val="center"/>
            </w:pPr>
            <w:r>
              <w:rPr>
                <w:rFonts w:ascii="宋体" w:hAnsi="宋体" w:eastAsia="宋体"/>
                <w:sz w:val="16"/>
              </w:rPr>
              <w:t>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8B7EA">
            <w:pPr>
              <w:jc w:val="center"/>
            </w:pPr>
            <w:r>
              <w:rPr>
                <w:rFonts w:ascii="宋体" w:hAnsi="宋体" w:eastAsia="宋体"/>
                <w:sz w:val="16"/>
              </w:rPr>
              <w:t>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6868C">
            <w:pPr>
              <w:jc w:val="center"/>
            </w:pPr>
            <w:r>
              <w:rPr>
                <w:rFonts w:ascii="宋体" w:hAnsi="宋体" w:eastAsia="宋体"/>
                <w:sz w:val="16"/>
              </w:rPr>
              <w:t>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97E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378F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55EDB">
            <w:pPr>
              <w:jc w:val="center"/>
            </w:pPr>
            <w:r>
              <w:rPr>
                <w:rFonts w:ascii="宋体" w:hAnsi="宋体" w:eastAsia="宋体"/>
                <w:sz w:val="16"/>
              </w:rPr>
              <w:t>10.00分</w:t>
            </w:r>
          </w:p>
        </w:tc>
      </w:tr>
      <w:tr w14:paraId="3B1923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690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FB32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26D7B">
            <w:pPr>
              <w:jc w:val="center"/>
            </w:pPr>
            <w:r>
              <w:rPr>
                <w:rFonts w:ascii="宋体" w:hAnsi="宋体" w:eastAsia="宋体"/>
                <w:sz w:val="16"/>
              </w:rPr>
              <w:t>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E904B">
            <w:pPr>
              <w:jc w:val="center"/>
            </w:pPr>
            <w:r>
              <w:rPr>
                <w:rFonts w:ascii="宋体" w:hAnsi="宋体" w:eastAsia="宋体"/>
                <w:sz w:val="16"/>
              </w:rPr>
              <w:t>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06980">
            <w:pPr>
              <w:jc w:val="center"/>
            </w:pPr>
            <w:r>
              <w:rPr>
                <w:rFonts w:ascii="宋体" w:hAnsi="宋体" w:eastAsia="宋体"/>
                <w:sz w:val="16"/>
              </w:rPr>
              <w:t>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021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485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AC26C">
            <w:pPr>
              <w:jc w:val="center"/>
            </w:pPr>
            <w:r>
              <w:rPr>
                <w:rFonts w:ascii="宋体" w:hAnsi="宋体" w:eastAsia="宋体"/>
                <w:sz w:val="16"/>
              </w:rPr>
              <w:t>—</w:t>
            </w:r>
          </w:p>
        </w:tc>
      </w:tr>
      <w:tr w14:paraId="5C55DC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E7A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8E6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888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4F4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12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7F2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8EB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5ACF9">
            <w:pPr>
              <w:jc w:val="center"/>
            </w:pPr>
            <w:r>
              <w:rPr>
                <w:rFonts w:ascii="宋体" w:hAnsi="宋体" w:eastAsia="宋体"/>
                <w:sz w:val="16"/>
              </w:rPr>
              <w:t>—</w:t>
            </w:r>
          </w:p>
        </w:tc>
      </w:tr>
      <w:tr w14:paraId="7A2F5E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B23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7EFA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780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647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6C3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705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3AE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9B8F6">
            <w:pPr>
              <w:jc w:val="center"/>
            </w:pPr>
            <w:r>
              <w:rPr>
                <w:rFonts w:ascii="宋体" w:hAnsi="宋体" w:eastAsia="宋体"/>
                <w:sz w:val="16"/>
              </w:rPr>
              <w:t>—</w:t>
            </w:r>
          </w:p>
        </w:tc>
      </w:tr>
      <w:tr w14:paraId="6A6FA0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CAFE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B731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23E96B">
            <w:pPr>
              <w:jc w:val="center"/>
            </w:pPr>
            <w:r>
              <w:rPr>
                <w:rFonts w:ascii="宋体" w:hAnsi="宋体" w:eastAsia="宋体"/>
                <w:sz w:val="16"/>
              </w:rPr>
              <w:t>实际完成情况</w:t>
            </w:r>
          </w:p>
        </w:tc>
      </w:tr>
      <w:tr w14:paraId="1E4FED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1640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DE3C47">
            <w:pPr>
              <w:jc w:val="both"/>
            </w:pPr>
            <w:r>
              <w:rPr>
                <w:rFonts w:ascii="宋体" w:hAnsi="宋体" w:eastAsia="宋体"/>
                <w:sz w:val="16"/>
              </w:rPr>
              <w:t>根据和地财教</w:t>
            </w:r>
            <w:r>
              <w:rPr>
                <w:rFonts w:hint="eastAsia" w:ascii="宋体" w:hAnsi="宋体"/>
                <w:sz w:val="16"/>
                <w:lang w:eastAsia="zh-CN"/>
              </w:rPr>
              <w:t>〔2021〕3号</w:t>
            </w:r>
            <w:r>
              <w:rPr>
                <w:rFonts w:ascii="宋体" w:hAnsi="宋体" w:eastAsia="宋体"/>
                <w:sz w:val="16"/>
              </w:rPr>
              <w:t>文件实施该项目，项目主要内容：项目资金主要用于保障695名师生在校园的正常生活及幼儿园日常工作正常运行。通过实施本项目可以有效提高幼儿园工作效率。保障幼儿园日常工作正常运行。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9B712B">
            <w:pPr>
              <w:jc w:val="both"/>
            </w:pPr>
            <w:r>
              <w:rPr>
                <w:rFonts w:hint="eastAsia" w:ascii="宋体" w:hAnsi="宋体"/>
                <w:sz w:val="16"/>
                <w:lang w:eastAsia="zh-CN"/>
              </w:rPr>
              <w:t>截至2024</w:t>
            </w:r>
            <w:r>
              <w:rPr>
                <w:rFonts w:ascii="宋体" w:hAnsi="宋体" w:eastAsia="宋体"/>
                <w:sz w:val="16"/>
              </w:rPr>
              <w:t>年12月31日，该项目实际支付资金18.54万元，无结余资金</w:t>
            </w:r>
            <w:r>
              <w:rPr>
                <w:rFonts w:hint="eastAsia" w:ascii="宋体" w:hAnsi="宋体"/>
                <w:sz w:val="16"/>
                <w:lang w:eastAsia="zh-CN"/>
              </w:rPr>
              <w:t>，</w:t>
            </w:r>
            <w:r>
              <w:rPr>
                <w:rFonts w:ascii="宋体" w:hAnsi="宋体" w:eastAsia="宋体"/>
                <w:sz w:val="16"/>
              </w:rPr>
              <w:t>该项目2021年结转2024年专项资金：洛财教</w:t>
            </w:r>
            <w:r>
              <w:rPr>
                <w:rFonts w:hint="eastAsia" w:ascii="宋体" w:hAnsi="宋体"/>
                <w:sz w:val="16"/>
                <w:lang w:eastAsia="zh-CN"/>
              </w:rPr>
              <w:t>〔2021〕38号</w:t>
            </w:r>
            <w:r>
              <w:rPr>
                <w:rFonts w:ascii="宋体" w:hAnsi="宋体" w:eastAsia="宋体"/>
                <w:sz w:val="16"/>
              </w:rPr>
              <w:t>：2021年自治区教育补助资金实施该项目，本项目资金主要用于厨房流量计及燃气管道维修费共计14.59万元，暖气费3.95万元。通过项目的实施，保障我园在校学生的教育教学正常开展。</w:t>
            </w:r>
          </w:p>
        </w:tc>
      </w:tr>
      <w:tr w14:paraId="7AB69E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B549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2C7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D0AA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01D3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C6E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ECB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706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4DFB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D19B">
            <w:pPr>
              <w:jc w:val="center"/>
            </w:pPr>
            <w:r>
              <w:rPr>
                <w:rFonts w:ascii="宋体" w:hAnsi="宋体" w:eastAsia="宋体"/>
                <w:sz w:val="16"/>
              </w:rPr>
              <w:t>偏差原因分析及改进措施</w:t>
            </w:r>
          </w:p>
        </w:tc>
      </w:tr>
      <w:tr w14:paraId="5DE347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1DAC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ADF8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4BC7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A2E8D">
            <w:pPr>
              <w:jc w:val="center"/>
            </w:pPr>
            <w:r>
              <w:rPr>
                <w:rFonts w:ascii="宋体" w:hAnsi="宋体" w:eastAsia="宋体"/>
                <w:sz w:val="16"/>
              </w:rPr>
              <w:t>保障幼儿园在校人数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B3C13">
            <w:pPr>
              <w:jc w:val="center"/>
            </w:pPr>
            <w:r>
              <w:rPr>
                <w:rFonts w:ascii="宋体" w:hAnsi="宋体" w:eastAsia="宋体"/>
                <w:sz w:val="16"/>
              </w:rPr>
              <w:t>&gt;=695人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798DB">
            <w:pPr>
              <w:jc w:val="center"/>
            </w:pPr>
            <w:r>
              <w:rPr>
                <w:rFonts w:ascii="宋体" w:hAnsi="宋体" w:eastAsia="宋体"/>
                <w:sz w:val="16"/>
              </w:rPr>
              <w:t>=695人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272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68F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4206E">
            <w:pPr>
              <w:jc w:val="center"/>
            </w:pPr>
          </w:p>
        </w:tc>
      </w:tr>
      <w:tr w14:paraId="0AADA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074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0D2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BB6E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C5D3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48F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8F0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295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3CB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00E07">
            <w:pPr>
              <w:jc w:val="center"/>
            </w:pPr>
          </w:p>
        </w:tc>
      </w:tr>
      <w:tr w14:paraId="1CF281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39F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718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E9B9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2E93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64B2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4827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00B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212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1F703">
            <w:pPr>
              <w:jc w:val="center"/>
            </w:pPr>
          </w:p>
        </w:tc>
      </w:tr>
      <w:tr w14:paraId="2EDC3C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600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A7E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11B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5E97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143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72B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EC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B57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71A0B">
            <w:pPr>
              <w:jc w:val="center"/>
            </w:pPr>
          </w:p>
        </w:tc>
      </w:tr>
      <w:tr w14:paraId="7FC160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85A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CD8A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944B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83BD9">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71433">
            <w:pPr>
              <w:jc w:val="center"/>
            </w:pPr>
            <w:r>
              <w:rPr>
                <w:rFonts w:ascii="宋体" w:hAnsi="宋体" w:eastAsia="宋体"/>
                <w:sz w:val="16"/>
              </w:rPr>
              <w:t>&lt;=18.54万元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3FC44">
            <w:pPr>
              <w:jc w:val="center"/>
            </w:pPr>
            <w:r>
              <w:rPr>
                <w:rFonts w:ascii="宋体" w:hAnsi="宋体" w:eastAsia="宋体"/>
                <w:sz w:val="16"/>
              </w:rPr>
              <w:t>=18.54万元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47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FFC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3E1E7">
            <w:pPr>
              <w:jc w:val="center"/>
            </w:pPr>
          </w:p>
        </w:tc>
      </w:tr>
      <w:tr w14:paraId="5FA61F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671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E1A4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B1AA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EA7CC">
            <w:pPr>
              <w:jc w:val="center"/>
            </w:pPr>
            <w:r>
              <w:rPr>
                <w:rFonts w:ascii="宋体" w:hAnsi="宋体" w:eastAsia="宋体"/>
                <w:sz w:val="16"/>
              </w:rPr>
              <w:t>保障幼儿园日常工作正常运行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05D9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5C583">
            <w:pPr>
              <w:jc w:val="center"/>
            </w:pPr>
            <w:r>
              <w:rPr>
                <w:rFonts w:ascii="宋体" w:hAnsi="宋体" w:eastAsia="宋体"/>
                <w:sz w:val="16"/>
              </w:rPr>
              <w:tab/>
            </w: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D7D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D1C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D9D89">
            <w:pPr>
              <w:jc w:val="center"/>
            </w:pPr>
          </w:p>
        </w:tc>
      </w:tr>
      <w:tr w14:paraId="67250A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DDB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C11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DB91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67D90">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F32F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036A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3C9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BE9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966C3">
            <w:pPr>
              <w:jc w:val="center"/>
            </w:pPr>
          </w:p>
        </w:tc>
      </w:tr>
      <w:tr w14:paraId="3299A60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4B31D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7E4A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0CB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F0D9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38E454"/>
        </w:tc>
      </w:tr>
    </w:tbl>
    <w:p w14:paraId="0A9E296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7B20B9">
        <w:tblPrEx>
          <w:tblCellMar>
            <w:top w:w="0" w:type="dxa"/>
            <w:left w:w="108" w:type="dxa"/>
            <w:bottom w:w="0" w:type="dxa"/>
            <w:right w:w="108" w:type="dxa"/>
          </w:tblCellMar>
        </w:tblPrEx>
        <w:tc>
          <w:tcPr>
            <w:tcW w:w="8847" w:type="dxa"/>
            <w:gridSpan w:val="9"/>
            <w:vAlign w:val="center"/>
          </w:tcPr>
          <w:p w14:paraId="062A1380">
            <w:pPr>
              <w:jc w:val="center"/>
            </w:pPr>
            <w:r>
              <w:rPr>
                <w:rFonts w:ascii="宋体" w:hAnsi="宋体" w:eastAsia="宋体"/>
                <w:sz w:val="24"/>
              </w:rPr>
              <w:t>项目支出绩效自评表</w:t>
            </w:r>
          </w:p>
        </w:tc>
      </w:tr>
      <w:tr w14:paraId="45457D3A">
        <w:tblPrEx>
          <w:tblCellMar>
            <w:top w:w="0" w:type="dxa"/>
            <w:left w:w="108" w:type="dxa"/>
            <w:bottom w:w="0" w:type="dxa"/>
            <w:right w:w="108" w:type="dxa"/>
          </w:tblCellMar>
        </w:tblPrEx>
        <w:tc>
          <w:tcPr>
            <w:tcW w:w="8847" w:type="dxa"/>
            <w:gridSpan w:val="9"/>
            <w:vAlign w:val="center"/>
          </w:tcPr>
          <w:p w14:paraId="0EAE4815">
            <w:pPr>
              <w:jc w:val="center"/>
            </w:pPr>
            <w:r>
              <w:rPr>
                <w:rFonts w:ascii="宋体" w:hAnsi="宋体" w:eastAsia="宋体"/>
                <w:sz w:val="24"/>
              </w:rPr>
              <w:t>(2024年度)</w:t>
            </w:r>
          </w:p>
        </w:tc>
      </w:tr>
      <w:tr w14:paraId="068981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204D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073135">
            <w:pPr>
              <w:jc w:val="center"/>
            </w:pP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p>
        </w:tc>
      </w:tr>
      <w:tr w14:paraId="2F1200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89A1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0C7C0D">
            <w:pPr>
              <w:jc w:val="center"/>
            </w:pPr>
            <w:r>
              <w:rPr>
                <w:rFonts w:ascii="宋体" w:hAnsi="宋体" w:eastAsia="宋体"/>
                <w:sz w:val="16"/>
              </w:rPr>
              <w:t>洛浦县第一幼儿园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AEE9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90722F">
            <w:pPr>
              <w:jc w:val="center"/>
            </w:pPr>
            <w:r>
              <w:rPr>
                <w:rFonts w:ascii="宋体" w:hAnsi="宋体" w:eastAsia="宋体"/>
                <w:sz w:val="16"/>
              </w:rPr>
              <w:t>洛浦县第一幼儿园</w:t>
            </w:r>
          </w:p>
        </w:tc>
      </w:tr>
      <w:tr w14:paraId="7ADA74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DA96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FD81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9DC1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6FF3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735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0D30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D710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EFB32">
            <w:pPr>
              <w:jc w:val="center"/>
            </w:pPr>
            <w:r>
              <w:rPr>
                <w:rFonts w:ascii="宋体" w:hAnsi="宋体" w:eastAsia="宋体"/>
                <w:sz w:val="16"/>
              </w:rPr>
              <w:t>得分</w:t>
            </w:r>
          </w:p>
        </w:tc>
      </w:tr>
      <w:tr w14:paraId="1C5792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90D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5D9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43BCE">
            <w:pPr>
              <w:jc w:val="center"/>
            </w:pPr>
            <w:r>
              <w:rPr>
                <w:rFonts w:ascii="宋体" w:hAnsi="宋体" w:eastAsia="宋体"/>
                <w:sz w:val="16"/>
              </w:rPr>
              <w:t>181.39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85A7">
            <w:pPr>
              <w:jc w:val="center"/>
            </w:pPr>
            <w:r>
              <w:rPr>
                <w:rFonts w:ascii="宋体" w:hAnsi="宋体" w:eastAsia="宋体"/>
                <w:sz w:val="16"/>
              </w:rPr>
              <w:t>181.39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66FBF">
            <w:pPr>
              <w:jc w:val="center"/>
            </w:pPr>
            <w:r>
              <w:rPr>
                <w:rFonts w:ascii="宋体" w:hAnsi="宋体" w:eastAsia="宋体"/>
                <w:sz w:val="16"/>
              </w:rPr>
              <w:t>178.54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0B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D3DF6">
            <w:pPr>
              <w:jc w:val="center"/>
            </w:pPr>
            <w:r>
              <w:rPr>
                <w:rFonts w:ascii="宋体" w:hAnsi="宋体" w:eastAsia="宋体"/>
                <w:sz w:val="16"/>
              </w:rPr>
              <w:t xml:space="preserve">98.43%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9B73A">
            <w:pPr>
              <w:jc w:val="center"/>
            </w:pPr>
            <w:r>
              <w:rPr>
                <w:rFonts w:ascii="宋体" w:hAnsi="宋体" w:eastAsia="宋体"/>
                <w:sz w:val="16"/>
              </w:rPr>
              <w:t>9.61分</w:t>
            </w:r>
          </w:p>
        </w:tc>
      </w:tr>
      <w:tr w14:paraId="6DC659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0DB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B1D7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0B5F">
            <w:pPr>
              <w:jc w:val="center"/>
            </w:pPr>
            <w:r>
              <w:rPr>
                <w:rFonts w:ascii="宋体" w:hAnsi="宋体" w:eastAsia="宋体"/>
                <w:sz w:val="16"/>
              </w:rPr>
              <w:t>181.39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207C">
            <w:pPr>
              <w:jc w:val="center"/>
            </w:pPr>
            <w:r>
              <w:rPr>
                <w:rFonts w:ascii="宋体" w:hAnsi="宋体" w:eastAsia="宋体"/>
                <w:sz w:val="16"/>
              </w:rPr>
              <w:t>181.39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033D">
            <w:pPr>
              <w:jc w:val="center"/>
            </w:pPr>
            <w:r>
              <w:rPr>
                <w:rFonts w:ascii="宋体" w:hAnsi="宋体" w:eastAsia="宋体"/>
                <w:sz w:val="16"/>
              </w:rPr>
              <w:t>178.54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2C7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766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04943">
            <w:pPr>
              <w:jc w:val="center"/>
            </w:pPr>
            <w:r>
              <w:rPr>
                <w:rFonts w:ascii="宋体" w:hAnsi="宋体" w:eastAsia="宋体"/>
                <w:sz w:val="16"/>
              </w:rPr>
              <w:t>—</w:t>
            </w:r>
          </w:p>
        </w:tc>
      </w:tr>
      <w:tr w14:paraId="40CD1B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9C8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14B2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4CC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FD7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5E3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59C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C14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0D5FE">
            <w:pPr>
              <w:jc w:val="center"/>
            </w:pPr>
            <w:r>
              <w:rPr>
                <w:rFonts w:ascii="宋体" w:hAnsi="宋体" w:eastAsia="宋体"/>
                <w:sz w:val="16"/>
              </w:rPr>
              <w:t>—</w:t>
            </w:r>
          </w:p>
        </w:tc>
      </w:tr>
      <w:tr w14:paraId="2AD81F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BA2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606B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E1F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D46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664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3EC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486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62388">
            <w:pPr>
              <w:jc w:val="center"/>
            </w:pPr>
            <w:r>
              <w:rPr>
                <w:rFonts w:ascii="宋体" w:hAnsi="宋体" w:eastAsia="宋体"/>
                <w:sz w:val="16"/>
              </w:rPr>
              <w:t>—</w:t>
            </w:r>
          </w:p>
        </w:tc>
      </w:tr>
      <w:tr w14:paraId="64B17D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064E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1B50A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04921A">
            <w:pPr>
              <w:jc w:val="center"/>
            </w:pPr>
            <w:r>
              <w:rPr>
                <w:rFonts w:ascii="宋体" w:hAnsi="宋体" w:eastAsia="宋体"/>
                <w:sz w:val="16"/>
              </w:rPr>
              <w:t>实际完成情况</w:t>
            </w:r>
          </w:p>
        </w:tc>
      </w:tr>
      <w:tr w14:paraId="788AD1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C85C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517EA3">
            <w:pPr>
              <w:jc w:val="both"/>
            </w:pPr>
            <w:r>
              <w:rPr>
                <w:rFonts w:ascii="宋体" w:hAnsi="宋体" w:eastAsia="宋体"/>
                <w:sz w:val="16"/>
              </w:rPr>
              <w:t>为保障幼儿园日常工作正常运行，本项目正常性项目，资金总额为181.39万元，将在2024年12月之前完成。通过实施本项目可以有效提高幼儿园工作效率。保障幼儿园日常工作正常运行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6F1CEE">
            <w:pPr>
              <w:jc w:val="both"/>
            </w:pPr>
            <w:r>
              <w:rPr>
                <w:rFonts w:hint="eastAsia" w:ascii="宋体" w:hAnsi="宋体"/>
                <w:sz w:val="16"/>
                <w:lang w:eastAsia="zh-CN"/>
              </w:rPr>
              <w:t>截至</w:t>
            </w:r>
            <w:r>
              <w:rPr>
                <w:rFonts w:ascii="宋体" w:hAnsi="宋体" w:eastAsia="宋体"/>
                <w:sz w:val="16"/>
              </w:rPr>
              <w:t>2024年12月31日，我单位已完成学前教育保障经费受益学生数量695人。资金总额为178.54万元，已在2024年12月之前完成。通过实施本项目有效改善教育教学质量。保障幼儿园日常工作正常运行。</w:t>
            </w:r>
          </w:p>
        </w:tc>
      </w:tr>
      <w:tr w14:paraId="4CBA22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832FB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534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E446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945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00E6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2BB1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E8E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6075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EA3BB">
            <w:pPr>
              <w:jc w:val="center"/>
            </w:pPr>
            <w:r>
              <w:rPr>
                <w:rFonts w:ascii="宋体" w:hAnsi="宋体" w:eastAsia="宋体"/>
                <w:sz w:val="16"/>
              </w:rPr>
              <w:t>偏差原因分析及改进措施</w:t>
            </w:r>
          </w:p>
        </w:tc>
      </w:tr>
      <w:tr w14:paraId="1C14B1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47E0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6312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1B4D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C979">
            <w:pPr>
              <w:jc w:val="center"/>
            </w:pPr>
            <w:r>
              <w:rPr>
                <w:rFonts w:ascii="宋体" w:hAnsi="宋体" w:eastAsia="宋体"/>
                <w:sz w:val="16"/>
              </w:rPr>
              <w:t>学前教育保障经费受益学生数量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1717B">
            <w:pPr>
              <w:jc w:val="center"/>
            </w:pPr>
            <w:r>
              <w:rPr>
                <w:rFonts w:ascii="宋体" w:hAnsi="宋体" w:eastAsia="宋体"/>
                <w:sz w:val="16"/>
              </w:rPr>
              <w:t>=695人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EB7AD">
            <w:pPr>
              <w:jc w:val="center"/>
            </w:pPr>
            <w:r>
              <w:rPr>
                <w:rFonts w:ascii="宋体" w:hAnsi="宋体" w:eastAsia="宋体"/>
                <w:sz w:val="16"/>
              </w:rPr>
              <w:t>=695人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A5DA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355F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56B5">
            <w:pPr>
              <w:jc w:val="center"/>
            </w:pPr>
          </w:p>
        </w:tc>
      </w:tr>
      <w:tr w14:paraId="18F625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116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EE3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0D0E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9D15">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B6F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BE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4A86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29ED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205F0">
            <w:pPr>
              <w:jc w:val="center"/>
            </w:pPr>
          </w:p>
        </w:tc>
      </w:tr>
      <w:tr w14:paraId="61F313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353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E94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9B1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4B9E2">
            <w:pPr>
              <w:jc w:val="center"/>
            </w:pPr>
            <w:r>
              <w:rPr>
                <w:rFonts w:ascii="宋体" w:hAnsi="宋体" w:eastAsia="宋体"/>
                <w:sz w:val="16"/>
              </w:rPr>
              <w:t>补助金发放率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5A3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7DF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93D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2F8E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326BA">
            <w:pPr>
              <w:jc w:val="center"/>
            </w:pPr>
          </w:p>
        </w:tc>
      </w:tr>
      <w:tr w14:paraId="4440A8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1E1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B70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55E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2F07F">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ED3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B2B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5204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9F3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C6E6E">
            <w:pPr>
              <w:jc w:val="center"/>
            </w:pPr>
          </w:p>
        </w:tc>
      </w:tr>
      <w:tr w14:paraId="6AE48D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66A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66E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DF73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53DB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57E5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734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0D8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BEE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E06BA">
            <w:pPr>
              <w:jc w:val="center"/>
            </w:pPr>
          </w:p>
        </w:tc>
      </w:tr>
      <w:tr w14:paraId="4CC6E5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8F5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F38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F25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9C64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657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4C82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26ED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AF3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05A09">
            <w:pPr>
              <w:jc w:val="center"/>
            </w:pPr>
          </w:p>
        </w:tc>
      </w:tr>
      <w:tr w14:paraId="290F1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013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547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54F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E5C12">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352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1FC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57A1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A863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ABEB5">
            <w:pPr>
              <w:jc w:val="center"/>
            </w:pPr>
          </w:p>
        </w:tc>
      </w:tr>
      <w:tr w14:paraId="6DB140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8DF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96E1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20C4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9DF2C">
            <w:pPr>
              <w:jc w:val="center"/>
            </w:pPr>
            <w:r>
              <w:rPr>
                <w:rFonts w:ascii="宋体" w:hAnsi="宋体" w:eastAsia="宋体"/>
                <w:sz w:val="16"/>
              </w:rPr>
              <w:t>保障经费支出成本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E75E8">
            <w:pPr>
              <w:jc w:val="center"/>
            </w:pPr>
            <w:r>
              <w:rPr>
                <w:rFonts w:ascii="宋体" w:hAnsi="宋体" w:eastAsia="宋体"/>
                <w:sz w:val="16"/>
              </w:rPr>
              <w:t>&lt;=181.39万元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06B3A">
            <w:pPr>
              <w:jc w:val="center"/>
            </w:pPr>
            <w:r>
              <w:rPr>
                <w:rFonts w:ascii="宋体" w:hAnsi="宋体" w:eastAsia="宋体"/>
                <w:sz w:val="16"/>
              </w:rPr>
              <w:t>=178.54万元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789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38E4">
            <w:pPr>
              <w:jc w:val="center"/>
            </w:pPr>
            <w:r>
              <w:rPr>
                <w:rFonts w:ascii="宋体" w:hAnsi="宋体" w:eastAsia="宋体"/>
                <w:sz w:val="16"/>
              </w:rPr>
              <w:t>19.22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88B05">
            <w:pPr>
              <w:jc w:val="center"/>
            </w:pPr>
            <w:r>
              <w:rPr>
                <w:rFonts w:ascii="宋体" w:hAnsi="宋体" w:eastAsia="宋体"/>
                <w:sz w:val="16"/>
              </w:rPr>
              <w:t>偏差原因：剩余资金结转至2025年支付。改进措施：精准核算，做好预算编制工作。</w:t>
            </w:r>
          </w:p>
        </w:tc>
      </w:tr>
      <w:tr w14:paraId="69D4A4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EEE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80C3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796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5E171">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AAB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AE1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30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594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BF65A">
            <w:pPr>
              <w:jc w:val="center"/>
            </w:pPr>
          </w:p>
        </w:tc>
      </w:tr>
      <w:tr w14:paraId="26D705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A9F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E2C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418D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BEDF">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DFC6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CCA8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E42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D9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EC298">
            <w:pPr>
              <w:jc w:val="center"/>
            </w:pPr>
          </w:p>
        </w:tc>
      </w:tr>
      <w:tr w14:paraId="0ACE538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522E7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6BD7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5B5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AB85E">
            <w:pPr>
              <w:jc w:val="center"/>
            </w:pPr>
            <w:r>
              <w:rPr>
                <w:rFonts w:ascii="宋体" w:hAnsi="宋体" w:eastAsia="宋体"/>
                <w:sz w:val="16"/>
              </w:rPr>
              <w:t>98.83分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F9428A"/>
        </w:tc>
      </w:tr>
    </w:tbl>
    <w:p w14:paraId="71B5A8E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C0DBD3">
        <w:tblPrEx>
          <w:tblCellMar>
            <w:top w:w="0" w:type="dxa"/>
            <w:left w:w="108" w:type="dxa"/>
            <w:bottom w:w="0" w:type="dxa"/>
            <w:right w:w="108" w:type="dxa"/>
          </w:tblCellMar>
        </w:tblPrEx>
        <w:tc>
          <w:tcPr>
            <w:tcW w:w="8847" w:type="dxa"/>
            <w:gridSpan w:val="9"/>
            <w:vAlign w:val="center"/>
          </w:tcPr>
          <w:p w14:paraId="61AE097A">
            <w:pPr>
              <w:jc w:val="center"/>
            </w:pPr>
            <w:r>
              <w:rPr>
                <w:rFonts w:ascii="宋体" w:hAnsi="宋体" w:eastAsia="宋体"/>
                <w:sz w:val="24"/>
              </w:rPr>
              <w:t>项目支出绩效自评表</w:t>
            </w:r>
          </w:p>
        </w:tc>
      </w:tr>
      <w:tr w14:paraId="093B7585">
        <w:tblPrEx>
          <w:tblCellMar>
            <w:top w:w="0" w:type="dxa"/>
            <w:left w:w="108" w:type="dxa"/>
            <w:bottom w:w="0" w:type="dxa"/>
            <w:right w:w="108" w:type="dxa"/>
          </w:tblCellMar>
        </w:tblPrEx>
        <w:tc>
          <w:tcPr>
            <w:tcW w:w="8847" w:type="dxa"/>
            <w:gridSpan w:val="9"/>
            <w:vAlign w:val="center"/>
          </w:tcPr>
          <w:p w14:paraId="2BB730CB">
            <w:pPr>
              <w:jc w:val="center"/>
            </w:pPr>
            <w:r>
              <w:rPr>
                <w:rFonts w:ascii="宋体" w:hAnsi="宋体" w:eastAsia="宋体"/>
                <w:sz w:val="24"/>
              </w:rPr>
              <w:t>(2024年度)</w:t>
            </w:r>
          </w:p>
        </w:tc>
      </w:tr>
      <w:tr w14:paraId="6C1DAD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81B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F287E3">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〔2022〕83号</w:t>
            </w:r>
            <w:r>
              <w:rPr>
                <w:rFonts w:ascii="宋体" w:hAnsi="宋体" w:eastAsia="宋体"/>
                <w:sz w:val="16"/>
              </w:rPr>
              <w:t>：2023年新疆西藏等地区教育特殊补助资金</w:t>
            </w:r>
            <w:r>
              <w:rPr>
                <w:rFonts w:hint="eastAsia" w:ascii="宋体" w:hAnsi="宋体"/>
                <w:sz w:val="16"/>
                <w:lang w:eastAsia="zh-CN"/>
              </w:rPr>
              <w:t>－</w:t>
            </w:r>
            <w:r>
              <w:rPr>
                <w:rFonts w:ascii="宋体" w:hAnsi="宋体" w:eastAsia="宋体"/>
                <w:sz w:val="16"/>
              </w:rPr>
              <w:t>农村学前三年免费教育保障经费</w:t>
            </w:r>
            <w:r>
              <w:rPr>
                <w:rFonts w:hint="eastAsia" w:ascii="宋体" w:hAnsi="宋体"/>
                <w:sz w:val="16"/>
                <w:lang w:eastAsia="zh-CN"/>
              </w:rPr>
              <w:t>－</w:t>
            </w:r>
            <w:r>
              <w:rPr>
                <w:rFonts w:ascii="宋体" w:hAnsi="宋体" w:eastAsia="宋体"/>
                <w:sz w:val="16"/>
              </w:rPr>
              <w:t>伙食费</w:t>
            </w:r>
          </w:p>
        </w:tc>
      </w:tr>
      <w:tr w14:paraId="1334C7A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9720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16CAF4">
            <w:pPr>
              <w:jc w:val="center"/>
            </w:pPr>
            <w:r>
              <w:rPr>
                <w:rFonts w:ascii="宋体" w:hAnsi="宋体" w:eastAsia="宋体"/>
                <w:sz w:val="16"/>
              </w:rPr>
              <w:t>洛浦县第一幼儿园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19F5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1A28DE">
            <w:pPr>
              <w:jc w:val="center"/>
            </w:pPr>
            <w:r>
              <w:rPr>
                <w:rFonts w:ascii="宋体" w:hAnsi="宋体" w:eastAsia="宋体"/>
                <w:sz w:val="16"/>
              </w:rPr>
              <w:t>洛浦县第一幼儿园</w:t>
            </w:r>
          </w:p>
        </w:tc>
      </w:tr>
      <w:tr w14:paraId="00F2DA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1213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A7C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492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BD11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08D7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AF42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ECB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0A37">
            <w:pPr>
              <w:jc w:val="center"/>
            </w:pPr>
            <w:r>
              <w:rPr>
                <w:rFonts w:ascii="宋体" w:hAnsi="宋体" w:eastAsia="宋体"/>
                <w:sz w:val="16"/>
              </w:rPr>
              <w:t>得分</w:t>
            </w:r>
          </w:p>
        </w:tc>
      </w:tr>
      <w:tr w14:paraId="5C9E47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183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69E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62C15">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7880">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9B464">
            <w:pPr>
              <w:jc w:val="center"/>
            </w:pPr>
            <w:r>
              <w:rPr>
                <w:rFonts w:ascii="宋体" w:hAnsi="宋体" w:eastAsia="宋体"/>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D69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714B7">
            <w:pPr>
              <w:jc w:val="center"/>
            </w:pPr>
            <w:r>
              <w:rPr>
                <w:rFonts w:ascii="宋体" w:hAnsi="宋体" w:eastAsia="宋体"/>
                <w:sz w:val="16"/>
              </w:rPr>
              <w:t>55.10%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966EC">
            <w:pPr>
              <w:jc w:val="center"/>
            </w:pPr>
            <w:r>
              <w:rPr>
                <w:rFonts w:hint="eastAsia" w:ascii="宋体" w:hAnsi="宋体"/>
                <w:sz w:val="16"/>
                <w:lang w:val="en-US" w:eastAsia="zh-CN"/>
              </w:rPr>
              <w:t>5.51</w:t>
            </w:r>
            <w:r>
              <w:rPr>
                <w:rFonts w:ascii="宋体" w:hAnsi="宋体" w:eastAsia="宋体"/>
                <w:sz w:val="16"/>
              </w:rPr>
              <w:t>分</w:t>
            </w:r>
          </w:p>
        </w:tc>
      </w:tr>
      <w:tr w14:paraId="7FB1BD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5BF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75B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0A68A">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9A0B8">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AD650">
            <w:pPr>
              <w:jc w:val="center"/>
            </w:pPr>
            <w:r>
              <w:rPr>
                <w:rFonts w:ascii="宋体" w:hAnsi="宋体" w:eastAsia="宋体"/>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BE1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8DC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FA189">
            <w:pPr>
              <w:jc w:val="center"/>
            </w:pPr>
            <w:r>
              <w:rPr>
                <w:rFonts w:ascii="宋体" w:hAnsi="宋体" w:eastAsia="宋体"/>
                <w:sz w:val="16"/>
              </w:rPr>
              <w:t>—</w:t>
            </w:r>
          </w:p>
        </w:tc>
      </w:tr>
      <w:tr w14:paraId="2BA74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08F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57CA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702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41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0A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928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7E6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72C2A">
            <w:pPr>
              <w:jc w:val="center"/>
            </w:pPr>
            <w:r>
              <w:rPr>
                <w:rFonts w:ascii="宋体" w:hAnsi="宋体" w:eastAsia="宋体"/>
                <w:sz w:val="16"/>
              </w:rPr>
              <w:t>—</w:t>
            </w:r>
          </w:p>
        </w:tc>
      </w:tr>
      <w:tr w14:paraId="159F93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FBF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A2A9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1D1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8A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F6E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E79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CF4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E0C51">
            <w:pPr>
              <w:jc w:val="center"/>
            </w:pPr>
            <w:r>
              <w:rPr>
                <w:rFonts w:ascii="宋体" w:hAnsi="宋体" w:eastAsia="宋体"/>
                <w:sz w:val="16"/>
              </w:rPr>
              <w:t>—</w:t>
            </w:r>
          </w:p>
        </w:tc>
      </w:tr>
      <w:tr w14:paraId="5F27E4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27D0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6D5F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727A8B">
            <w:pPr>
              <w:jc w:val="center"/>
            </w:pPr>
            <w:r>
              <w:rPr>
                <w:rFonts w:ascii="宋体" w:hAnsi="宋体" w:eastAsia="宋体"/>
                <w:sz w:val="16"/>
              </w:rPr>
              <w:t>实际完成情况</w:t>
            </w:r>
          </w:p>
        </w:tc>
      </w:tr>
      <w:tr w14:paraId="3354FA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1E44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E7F679">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〔2022〕83号</w:t>
            </w:r>
            <w:r>
              <w:rPr>
                <w:rFonts w:ascii="宋体" w:hAnsi="宋体" w:eastAsia="宋体"/>
                <w:sz w:val="16"/>
              </w:rPr>
              <w:t>文件实施该项目，项目主要内容：项目资金主要用于保障695名师生在校园的正常生活及幼儿园日常工作正常运行。通过实施本项目可以有效提高幼儿园工作效率。保障幼儿园日常工作正常运行。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2D44B6">
            <w:pPr>
              <w:jc w:val="both"/>
            </w:pPr>
            <w:r>
              <w:rPr>
                <w:rFonts w:hint="eastAsia" w:ascii="宋体" w:hAnsi="宋体"/>
                <w:sz w:val="16"/>
                <w:lang w:eastAsia="zh-CN"/>
              </w:rPr>
              <w:t>截至</w:t>
            </w:r>
            <w:r>
              <w:rPr>
                <w:rFonts w:ascii="宋体" w:hAnsi="宋体" w:eastAsia="宋体"/>
                <w:sz w:val="16"/>
              </w:rPr>
              <w:t>2024年12月，我单位已完成保障695名师生在校园的正常生活及幼儿园日常工作正常运行。资金已使用4.7万元。通过实施本项目可以有效提高幼儿园工作效率。保障幼儿园日常工作正常运行。</w:t>
            </w:r>
          </w:p>
        </w:tc>
      </w:tr>
      <w:tr w14:paraId="26FBDA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90DB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5E34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8806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BB75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9B8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7784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2850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943C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D4EBE">
            <w:pPr>
              <w:jc w:val="center"/>
            </w:pPr>
            <w:r>
              <w:rPr>
                <w:rFonts w:ascii="宋体" w:hAnsi="宋体" w:eastAsia="宋体"/>
                <w:sz w:val="16"/>
              </w:rPr>
              <w:t>偏差原因分析及改进措施</w:t>
            </w:r>
          </w:p>
        </w:tc>
      </w:tr>
      <w:tr w14:paraId="61BBA5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6955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E34F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23E5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F6E39">
            <w:pPr>
              <w:jc w:val="center"/>
            </w:pPr>
            <w:r>
              <w:rPr>
                <w:rFonts w:ascii="宋体" w:hAnsi="宋体" w:eastAsia="宋体"/>
                <w:sz w:val="16"/>
              </w:rPr>
              <w:t>保障幼儿园人数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1262C">
            <w:pPr>
              <w:jc w:val="center"/>
            </w:pPr>
            <w:r>
              <w:rPr>
                <w:rFonts w:ascii="宋体" w:hAnsi="宋体" w:eastAsia="宋体"/>
                <w:sz w:val="16"/>
              </w:rPr>
              <w:t>&gt;=695人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5FE26">
            <w:pPr>
              <w:jc w:val="center"/>
            </w:pPr>
            <w:r>
              <w:rPr>
                <w:rFonts w:ascii="宋体" w:hAnsi="宋体" w:eastAsia="宋体"/>
                <w:sz w:val="16"/>
              </w:rPr>
              <w:t>=695人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D1A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614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69ADD">
            <w:pPr>
              <w:jc w:val="center"/>
            </w:pPr>
          </w:p>
        </w:tc>
      </w:tr>
      <w:tr w14:paraId="4D0E02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CC2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3C1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A01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7FB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6C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156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0D8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75B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1D2F7">
            <w:pPr>
              <w:jc w:val="center"/>
            </w:pPr>
          </w:p>
        </w:tc>
      </w:tr>
      <w:tr w14:paraId="3A92C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B17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9B3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80AD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7A58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F63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365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A8C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2FF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E49DA">
            <w:pPr>
              <w:jc w:val="center"/>
            </w:pPr>
          </w:p>
        </w:tc>
      </w:tr>
      <w:tr w14:paraId="03BED4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2C8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D96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395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5D89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F41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AD0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039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4D8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47DDE">
            <w:pPr>
              <w:jc w:val="center"/>
            </w:pPr>
          </w:p>
        </w:tc>
      </w:tr>
      <w:tr w14:paraId="678CAC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BB6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F94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F940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CB33E">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50387">
            <w:pPr>
              <w:jc w:val="center"/>
            </w:pPr>
            <w:r>
              <w:rPr>
                <w:rFonts w:ascii="宋体" w:hAnsi="宋体" w:eastAsia="宋体"/>
                <w:sz w:val="16"/>
              </w:rPr>
              <w:t>&lt;=8.53万元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06AF6">
            <w:pPr>
              <w:jc w:val="center"/>
            </w:pPr>
            <w:r>
              <w:rPr>
                <w:rFonts w:ascii="宋体" w:hAnsi="宋体" w:eastAsia="宋体"/>
                <w:sz w:val="16"/>
              </w:rPr>
              <w:t>=4.7万元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B67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06B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BDBF0">
            <w:pPr>
              <w:jc w:val="center"/>
            </w:pPr>
          </w:p>
        </w:tc>
      </w:tr>
      <w:tr w14:paraId="496847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D4A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C086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4FA1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D2476">
            <w:pPr>
              <w:jc w:val="center"/>
            </w:pPr>
            <w:r>
              <w:rPr>
                <w:rFonts w:ascii="宋体" w:hAnsi="宋体" w:eastAsia="宋体"/>
                <w:sz w:val="16"/>
              </w:rPr>
              <w:t>保障幼儿园日常工作正常运行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65A4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5C3F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773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EA0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50920">
            <w:pPr>
              <w:jc w:val="center"/>
            </w:pPr>
          </w:p>
        </w:tc>
      </w:tr>
      <w:tr w14:paraId="2B340B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8D2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196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539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6D24">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EDAD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946D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7D9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5DE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B75D">
            <w:pPr>
              <w:jc w:val="center"/>
            </w:pPr>
          </w:p>
        </w:tc>
      </w:tr>
      <w:tr w14:paraId="2CE19AA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F71CE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3AB1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D54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E3E5C">
            <w:pPr>
              <w:jc w:val="center"/>
            </w:pPr>
            <w:r>
              <w:rPr>
                <w:rFonts w:ascii="宋体" w:hAnsi="宋体" w:eastAsia="宋体"/>
                <w:sz w:val="16"/>
              </w:rPr>
              <w:t>95.51分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1F663E"/>
        </w:tc>
      </w:tr>
    </w:tbl>
    <w:p w14:paraId="56B7881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FDF62C">
        <w:tblPrEx>
          <w:tblCellMar>
            <w:top w:w="0" w:type="dxa"/>
            <w:left w:w="108" w:type="dxa"/>
            <w:bottom w:w="0" w:type="dxa"/>
            <w:right w:w="108" w:type="dxa"/>
          </w:tblCellMar>
        </w:tblPrEx>
        <w:tc>
          <w:tcPr>
            <w:tcW w:w="8847" w:type="dxa"/>
            <w:gridSpan w:val="9"/>
            <w:vAlign w:val="center"/>
          </w:tcPr>
          <w:p w14:paraId="1F8CA627">
            <w:pPr>
              <w:jc w:val="center"/>
            </w:pPr>
            <w:r>
              <w:rPr>
                <w:rFonts w:ascii="宋体" w:hAnsi="宋体" w:eastAsia="宋体"/>
                <w:sz w:val="24"/>
              </w:rPr>
              <w:t>项目支出绩效自评表</w:t>
            </w:r>
          </w:p>
        </w:tc>
      </w:tr>
      <w:tr w14:paraId="681A058B">
        <w:tblPrEx>
          <w:tblCellMar>
            <w:top w:w="0" w:type="dxa"/>
            <w:left w:w="108" w:type="dxa"/>
            <w:bottom w:w="0" w:type="dxa"/>
            <w:right w:w="108" w:type="dxa"/>
          </w:tblCellMar>
        </w:tblPrEx>
        <w:tc>
          <w:tcPr>
            <w:tcW w:w="8847" w:type="dxa"/>
            <w:gridSpan w:val="9"/>
            <w:vAlign w:val="center"/>
          </w:tcPr>
          <w:p w14:paraId="560B26A7">
            <w:pPr>
              <w:jc w:val="center"/>
            </w:pPr>
            <w:r>
              <w:rPr>
                <w:rFonts w:ascii="宋体" w:hAnsi="宋体" w:eastAsia="宋体"/>
                <w:sz w:val="24"/>
              </w:rPr>
              <w:t>(2024年度)</w:t>
            </w:r>
          </w:p>
        </w:tc>
      </w:tr>
      <w:tr w14:paraId="447CA7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4E8F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2DDE63">
            <w:pPr>
              <w:jc w:val="center"/>
            </w:pPr>
            <w:r>
              <w:rPr>
                <w:rFonts w:ascii="宋体" w:hAnsi="宋体" w:eastAsia="宋体"/>
                <w:sz w:val="16"/>
              </w:rPr>
              <w:t>2024年退休人员房改补助</w:t>
            </w:r>
          </w:p>
        </w:tc>
      </w:tr>
      <w:tr w14:paraId="69FE23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7323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33E3E8">
            <w:pPr>
              <w:jc w:val="center"/>
            </w:pPr>
            <w:r>
              <w:rPr>
                <w:rFonts w:ascii="宋体" w:hAnsi="宋体" w:eastAsia="宋体"/>
                <w:sz w:val="16"/>
              </w:rPr>
              <w:t>洛浦县第一幼儿园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72FC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1F4C56">
            <w:pPr>
              <w:jc w:val="center"/>
            </w:pPr>
            <w:r>
              <w:rPr>
                <w:rFonts w:ascii="宋体" w:hAnsi="宋体" w:eastAsia="宋体"/>
                <w:sz w:val="16"/>
              </w:rPr>
              <w:t>洛浦县第一幼儿园</w:t>
            </w:r>
          </w:p>
        </w:tc>
      </w:tr>
      <w:tr w14:paraId="68ECD9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0BB0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7145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982A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BC2A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305C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CFC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9CBA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F8FEC">
            <w:pPr>
              <w:jc w:val="center"/>
            </w:pPr>
            <w:r>
              <w:rPr>
                <w:rFonts w:ascii="宋体" w:hAnsi="宋体" w:eastAsia="宋体"/>
                <w:sz w:val="16"/>
              </w:rPr>
              <w:t>得分</w:t>
            </w:r>
          </w:p>
        </w:tc>
      </w:tr>
      <w:tr w14:paraId="51EFE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02F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08B0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77129">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61E4B">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E526">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7F6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3B6B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A1381">
            <w:pPr>
              <w:jc w:val="center"/>
            </w:pPr>
            <w:r>
              <w:rPr>
                <w:rFonts w:ascii="宋体" w:hAnsi="宋体" w:eastAsia="宋体"/>
                <w:sz w:val="16"/>
              </w:rPr>
              <w:t>10.00</w:t>
            </w:r>
          </w:p>
        </w:tc>
      </w:tr>
      <w:tr w14:paraId="1FC49D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A41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8A0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DB04">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C5849">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3180D">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6A4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280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64A2">
            <w:pPr>
              <w:jc w:val="center"/>
            </w:pPr>
            <w:r>
              <w:rPr>
                <w:rFonts w:ascii="宋体" w:hAnsi="宋体" w:eastAsia="宋体"/>
                <w:sz w:val="16"/>
              </w:rPr>
              <w:t>—</w:t>
            </w:r>
          </w:p>
        </w:tc>
      </w:tr>
      <w:tr w14:paraId="7ECDC4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FD0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085B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FA02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EC07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A721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06E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601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4525C">
            <w:pPr>
              <w:jc w:val="center"/>
            </w:pPr>
            <w:r>
              <w:rPr>
                <w:rFonts w:ascii="宋体" w:hAnsi="宋体" w:eastAsia="宋体"/>
                <w:sz w:val="16"/>
              </w:rPr>
              <w:t>—</w:t>
            </w:r>
          </w:p>
        </w:tc>
      </w:tr>
      <w:tr w14:paraId="77539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204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9734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BB84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22B9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BAA9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8BD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FC3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014B">
            <w:pPr>
              <w:jc w:val="center"/>
            </w:pPr>
            <w:r>
              <w:rPr>
                <w:rFonts w:ascii="宋体" w:hAnsi="宋体" w:eastAsia="宋体"/>
                <w:sz w:val="16"/>
              </w:rPr>
              <w:t>—</w:t>
            </w:r>
          </w:p>
        </w:tc>
      </w:tr>
      <w:tr w14:paraId="2D196B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E069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0F80F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9D985B">
            <w:pPr>
              <w:jc w:val="center"/>
            </w:pPr>
            <w:r>
              <w:rPr>
                <w:rFonts w:ascii="宋体" w:hAnsi="宋体" w:eastAsia="宋体"/>
                <w:sz w:val="16"/>
              </w:rPr>
              <w:t>实际完成情况</w:t>
            </w:r>
          </w:p>
        </w:tc>
      </w:tr>
      <w:tr w14:paraId="6D2E36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0175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ED041E">
            <w:pPr>
              <w:jc w:val="both"/>
            </w:pPr>
            <w:r>
              <w:rPr>
                <w:rFonts w:ascii="宋体" w:hAnsi="宋体" w:eastAsia="宋体"/>
                <w:sz w:val="16"/>
              </w:rPr>
              <w:t>根据关于洛财纪字</w:t>
            </w:r>
            <w:r>
              <w:rPr>
                <w:rFonts w:hint="eastAsia" w:ascii="宋体" w:hAnsi="宋体"/>
                <w:sz w:val="16"/>
                <w:lang w:eastAsia="zh-CN"/>
              </w:rPr>
              <w:t>〔2024〕5号</w:t>
            </w:r>
            <w:r>
              <w:rPr>
                <w:rFonts w:ascii="宋体" w:hAnsi="宋体" w:eastAsia="宋体"/>
                <w:sz w:val="16"/>
              </w:rPr>
              <w:t>，对张新梅进行改房退款，退款金额为2.56万元。通过实施本项目，保障退休人员正常住房。</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92832F">
            <w:pPr>
              <w:jc w:val="both"/>
            </w:pPr>
            <w:r>
              <w:rPr>
                <w:rFonts w:hint="eastAsia" w:ascii="宋体" w:hAnsi="宋体"/>
                <w:sz w:val="16"/>
                <w:lang w:eastAsia="zh-CN"/>
              </w:rPr>
              <w:t>截至</w:t>
            </w:r>
            <w:r>
              <w:rPr>
                <w:rFonts w:ascii="宋体" w:hAnsi="宋体" w:eastAsia="宋体"/>
                <w:sz w:val="16"/>
              </w:rPr>
              <w:t>2024年12月31日对张新梅进行改房退款，退款金额为2.56万元。通过实施本项目，保障退休人员正常住房。</w:t>
            </w:r>
          </w:p>
        </w:tc>
      </w:tr>
      <w:tr w14:paraId="07EDBA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29AD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B39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B4F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1DB3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414E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D844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EF22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2A93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2EA4C">
            <w:pPr>
              <w:jc w:val="center"/>
            </w:pPr>
            <w:r>
              <w:rPr>
                <w:rFonts w:ascii="宋体" w:hAnsi="宋体" w:eastAsia="宋体"/>
                <w:sz w:val="16"/>
              </w:rPr>
              <w:t>偏差原因分析及改进措施</w:t>
            </w:r>
          </w:p>
        </w:tc>
      </w:tr>
      <w:tr w14:paraId="450E39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0228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9530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7D4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F603D">
            <w:pPr>
              <w:jc w:val="center"/>
            </w:pPr>
            <w:r>
              <w:rPr>
                <w:rFonts w:ascii="宋体" w:hAnsi="宋体" w:eastAsia="宋体"/>
                <w:sz w:val="16"/>
              </w:rPr>
              <w:t>保障人员数量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46FD5">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52638">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963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EC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F1DDB">
            <w:pPr>
              <w:jc w:val="center"/>
            </w:pPr>
          </w:p>
        </w:tc>
      </w:tr>
      <w:tr w14:paraId="13DD3A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CB4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077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AB2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6A56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8C2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687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DCC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B5A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35FA9">
            <w:pPr>
              <w:jc w:val="center"/>
            </w:pPr>
          </w:p>
        </w:tc>
      </w:tr>
      <w:tr w14:paraId="070988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7C8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828E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704E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C6F7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FAE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876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40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9CC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F150C">
            <w:pPr>
              <w:jc w:val="center"/>
            </w:pPr>
          </w:p>
        </w:tc>
      </w:tr>
      <w:tr w14:paraId="346189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B88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7C3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E32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4442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D5BB6">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B701E">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CF8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CA5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9D352">
            <w:pPr>
              <w:jc w:val="center"/>
            </w:pPr>
          </w:p>
        </w:tc>
      </w:tr>
      <w:tr w14:paraId="3FAD5B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AEB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A7D4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E961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D7978">
            <w:pPr>
              <w:jc w:val="center"/>
            </w:pPr>
            <w:r>
              <w:rPr>
                <w:rFonts w:ascii="宋体" w:hAnsi="宋体" w:eastAsia="宋体"/>
                <w:sz w:val="16"/>
              </w:rPr>
              <w:t>房退改金额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C779">
            <w:pPr>
              <w:jc w:val="center"/>
            </w:pPr>
            <w:r>
              <w:rPr>
                <w:rFonts w:ascii="宋体" w:hAnsi="宋体" w:eastAsia="宋体"/>
                <w:sz w:val="16"/>
              </w:rPr>
              <w:t>≤2.56万元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5569D">
            <w:pPr>
              <w:jc w:val="center"/>
            </w:pPr>
            <w:r>
              <w:rPr>
                <w:rFonts w:ascii="宋体" w:hAnsi="宋体" w:eastAsia="宋体"/>
                <w:sz w:val="16"/>
              </w:rPr>
              <w:t>2.56万元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CA6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5C7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A371">
            <w:pPr>
              <w:jc w:val="center"/>
            </w:pPr>
          </w:p>
        </w:tc>
      </w:tr>
      <w:tr w14:paraId="00A310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8F8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4ACE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72C3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F701">
            <w:pPr>
              <w:jc w:val="center"/>
            </w:pPr>
            <w:r>
              <w:rPr>
                <w:rFonts w:ascii="宋体" w:hAnsi="宋体" w:eastAsia="宋体"/>
                <w:sz w:val="16"/>
              </w:rPr>
              <w:t>保障退休人员正常住房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4B40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FF1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62F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CDC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3A546">
            <w:pPr>
              <w:jc w:val="center"/>
            </w:pPr>
          </w:p>
        </w:tc>
      </w:tr>
      <w:tr w14:paraId="62A223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97C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6A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E061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C5F6A">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BB38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A5D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1D4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092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D1EE4">
            <w:pPr>
              <w:jc w:val="center"/>
            </w:pPr>
          </w:p>
        </w:tc>
      </w:tr>
      <w:tr w14:paraId="6280F22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9882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9CFA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111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9BD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919213"/>
        </w:tc>
      </w:tr>
    </w:tbl>
    <w:p w14:paraId="0591A3FA">
      <w:r>
        <w:br w:type="page"/>
      </w:r>
    </w:p>
    <w:p w14:paraId="2B158A5F">
      <w:pPr>
        <w:spacing w:line="640" w:lineRule="exact"/>
        <w:ind w:firstLine="640"/>
        <w:jc w:val="both"/>
        <w:outlineLvl w:val="2"/>
      </w:pPr>
      <w:r>
        <w:rPr>
          <w:rFonts w:ascii="黑体" w:hAnsi="黑体" w:eastAsia="黑体"/>
          <w:sz w:val="32"/>
        </w:rPr>
        <w:t>十二、其他需说明的事项</w:t>
      </w:r>
    </w:p>
    <w:p w14:paraId="36750619">
      <w:pPr>
        <w:spacing w:line="580" w:lineRule="exact"/>
        <w:ind w:firstLine="640"/>
        <w:jc w:val="both"/>
      </w:pPr>
      <w:r>
        <w:rPr>
          <w:rFonts w:ascii="仿宋_GB2312" w:hAnsi="仿宋_GB2312" w:eastAsia="仿宋_GB2312"/>
          <w:b w:val="0"/>
          <w:sz w:val="32"/>
        </w:rPr>
        <w:t>本单位无其他需说明的事项。</w:t>
      </w:r>
    </w:p>
    <w:p w14:paraId="7EDC26A5">
      <w:r>
        <w:br w:type="page"/>
      </w:r>
    </w:p>
    <w:p w14:paraId="30F1A094">
      <w:pPr>
        <w:spacing w:line="240" w:lineRule="auto"/>
        <w:jc w:val="center"/>
        <w:outlineLvl w:val="1"/>
      </w:pPr>
      <w:r>
        <w:rPr>
          <w:rFonts w:ascii="黑体" w:hAnsi="黑体" w:eastAsia="黑体"/>
          <w:sz w:val="32"/>
        </w:rPr>
        <w:t>第三部分 专业名词解释</w:t>
      </w:r>
    </w:p>
    <w:p w14:paraId="7525851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EBB10B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C520F9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01BDA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0CB1D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ACE7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FE8FA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8019D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D6BC2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E7ECB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BF633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801DD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79C657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A5408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5DD9CC">
      <w:r>
        <w:br w:type="page"/>
      </w:r>
    </w:p>
    <w:p w14:paraId="3C355533">
      <w:pPr>
        <w:spacing w:line="240" w:lineRule="auto"/>
        <w:jc w:val="center"/>
        <w:outlineLvl w:val="1"/>
      </w:pPr>
      <w:r>
        <w:rPr>
          <w:rFonts w:ascii="黑体" w:hAnsi="黑体" w:eastAsia="黑体"/>
          <w:sz w:val="32"/>
        </w:rPr>
        <w:t>第四部分 部门决算报表（见附表）</w:t>
      </w:r>
    </w:p>
    <w:p w14:paraId="7164117B">
      <w:pPr>
        <w:spacing w:line="240" w:lineRule="auto"/>
        <w:ind w:firstLine="640"/>
        <w:jc w:val="both"/>
      </w:pPr>
      <w:r>
        <w:rPr>
          <w:rFonts w:ascii="仿宋_GB2312" w:hAnsi="仿宋_GB2312" w:eastAsia="仿宋_GB2312"/>
          <w:b w:val="0"/>
          <w:sz w:val="32"/>
        </w:rPr>
        <w:t>一、《收入支出决算总表》</w:t>
      </w:r>
    </w:p>
    <w:p w14:paraId="4AA0D5BF">
      <w:pPr>
        <w:spacing w:line="240" w:lineRule="auto"/>
        <w:ind w:firstLine="640"/>
        <w:jc w:val="both"/>
      </w:pPr>
      <w:r>
        <w:rPr>
          <w:rFonts w:ascii="仿宋_GB2312" w:hAnsi="仿宋_GB2312" w:eastAsia="仿宋_GB2312"/>
          <w:b w:val="0"/>
          <w:sz w:val="32"/>
        </w:rPr>
        <w:t>二、《收入决算表》</w:t>
      </w:r>
    </w:p>
    <w:p w14:paraId="04CF0405">
      <w:pPr>
        <w:spacing w:line="240" w:lineRule="auto"/>
        <w:ind w:firstLine="640"/>
        <w:jc w:val="both"/>
      </w:pPr>
      <w:r>
        <w:rPr>
          <w:rFonts w:ascii="仿宋_GB2312" w:hAnsi="仿宋_GB2312" w:eastAsia="仿宋_GB2312"/>
          <w:b w:val="0"/>
          <w:sz w:val="32"/>
        </w:rPr>
        <w:t>三、《支出决算表》</w:t>
      </w:r>
    </w:p>
    <w:p w14:paraId="045C0A1C">
      <w:pPr>
        <w:spacing w:line="240" w:lineRule="auto"/>
        <w:ind w:firstLine="640"/>
        <w:jc w:val="both"/>
      </w:pPr>
      <w:r>
        <w:rPr>
          <w:rFonts w:ascii="仿宋_GB2312" w:hAnsi="仿宋_GB2312" w:eastAsia="仿宋_GB2312"/>
          <w:b w:val="0"/>
          <w:sz w:val="32"/>
        </w:rPr>
        <w:t>四、《财政拨款收入支出决算总表》</w:t>
      </w:r>
    </w:p>
    <w:p w14:paraId="24EBBE2C">
      <w:pPr>
        <w:spacing w:line="240" w:lineRule="auto"/>
        <w:ind w:firstLine="640"/>
        <w:jc w:val="both"/>
      </w:pPr>
      <w:r>
        <w:rPr>
          <w:rFonts w:ascii="仿宋_GB2312" w:hAnsi="仿宋_GB2312" w:eastAsia="仿宋_GB2312"/>
          <w:b w:val="0"/>
          <w:sz w:val="32"/>
        </w:rPr>
        <w:t>五、《一般公共预算财政拨款支出决算表》</w:t>
      </w:r>
    </w:p>
    <w:p w14:paraId="2BCF1226">
      <w:pPr>
        <w:spacing w:line="240" w:lineRule="auto"/>
        <w:ind w:firstLine="640"/>
        <w:jc w:val="both"/>
      </w:pPr>
      <w:r>
        <w:rPr>
          <w:rFonts w:ascii="仿宋_GB2312" w:hAnsi="仿宋_GB2312" w:eastAsia="仿宋_GB2312"/>
          <w:b w:val="0"/>
          <w:sz w:val="32"/>
        </w:rPr>
        <w:t>六、《一般公共预算财政拨款基本支出决算表》</w:t>
      </w:r>
    </w:p>
    <w:p w14:paraId="228FC26D">
      <w:pPr>
        <w:spacing w:line="240" w:lineRule="auto"/>
        <w:ind w:firstLine="640"/>
        <w:jc w:val="both"/>
      </w:pPr>
      <w:r>
        <w:rPr>
          <w:rFonts w:ascii="仿宋_GB2312" w:hAnsi="仿宋_GB2312" w:eastAsia="仿宋_GB2312"/>
          <w:b w:val="0"/>
          <w:sz w:val="32"/>
        </w:rPr>
        <w:t>七、《政府性基金预算财政拨款收入支出决算表》</w:t>
      </w:r>
    </w:p>
    <w:p w14:paraId="2DBD551C">
      <w:pPr>
        <w:spacing w:line="240" w:lineRule="auto"/>
        <w:ind w:firstLine="640"/>
        <w:jc w:val="both"/>
      </w:pPr>
      <w:r>
        <w:rPr>
          <w:rFonts w:ascii="仿宋_GB2312" w:hAnsi="仿宋_GB2312" w:eastAsia="仿宋_GB2312"/>
          <w:b w:val="0"/>
          <w:sz w:val="32"/>
        </w:rPr>
        <w:t>八、《国有资本经营预算财政拨款收入支出决算表》</w:t>
      </w:r>
    </w:p>
    <w:p w14:paraId="3C025CD4">
      <w:pPr>
        <w:spacing w:line="240" w:lineRule="auto"/>
        <w:ind w:firstLine="640"/>
        <w:jc w:val="both"/>
      </w:pPr>
      <w:r>
        <w:rPr>
          <w:rFonts w:ascii="仿宋_GB2312" w:hAnsi="仿宋_GB2312" w:eastAsia="仿宋_GB2312"/>
          <w:b w:val="0"/>
          <w:sz w:val="32"/>
        </w:rPr>
        <w:t>九、《财政拨款“三公”经费支出决算表》</w:t>
      </w:r>
    </w:p>
    <w:p w14:paraId="00E0A5E4">
      <w:pPr>
        <w:spacing w:line="240" w:lineRule="auto"/>
        <w:ind w:firstLine="640"/>
        <w:jc w:val="both"/>
      </w:pPr>
    </w:p>
    <w:p w14:paraId="4BBD0263">
      <w:pPr>
        <w:spacing w:line="240" w:lineRule="auto"/>
        <w:ind w:firstLine="640"/>
        <w:jc w:val="both"/>
      </w:pPr>
    </w:p>
    <w:p w14:paraId="7D19B32D">
      <w:pPr>
        <w:spacing w:line="240" w:lineRule="auto"/>
        <w:ind w:firstLine="640"/>
        <w:jc w:val="both"/>
      </w:pPr>
    </w:p>
    <w:p w14:paraId="1D580AE0">
      <w:pPr>
        <w:spacing w:line="240" w:lineRule="auto"/>
        <w:ind w:firstLine="640"/>
        <w:jc w:val="both"/>
      </w:pPr>
    </w:p>
    <w:p w14:paraId="58E23EF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E270A8-6358-4CA0-9281-77922D3107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3A571F0-F8C9-438A-949A-BB9F150FB457}"/>
  </w:font>
  <w:font w:name="仿宋_GB2312">
    <w:panose1 w:val="02010609030101010101"/>
    <w:charset w:val="86"/>
    <w:family w:val="modern"/>
    <w:pitch w:val="default"/>
    <w:sig w:usb0="00000001" w:usb1="080E0000" w:usb2="00000000" w:usb3="00000000" w:csb0="00040000" w:csb1="00000000"/>
    <w:embedRegular r:id="rId3" w:fontKey="{50BC97DA-1D38-4BC8-B135-BA86470F3D99}"/>
  </w:font>
  <w:font w:name="楷体_GB2312">
    <w:panose1 w:val="02010609030101010101"/>
    <w:charset w:val="86"/>
    <w:family w:val="auto"/>
    <w:pitch w:val="default"/>
    <w:sig w:usb0="00000001" w:usb1="080E0000" w:usb2="00000000" w:usb3="00000000" w:csb0="00040000" w:csb1="00000000"/>
    <w:embedRegular r:id="rId4" w:fontKey="{44647B80-2CF2-44A9-A37C-315841CD02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D81D66"/>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422C8C"/>
    <w:rsid w:val="40834692"/>
    <w:rsid w:val="423A32B2"/>
    <w:rsid w:val="423C0CB4"/>
    <w:rsid w:val="427B5743"/>
    <w:rsid w:val="42E64542"/>
    <w:rsid w:val="464B7E04"/>
    <w:rsid w:val="464F7E64"/>
    <w:rsid w:val="46901EEE"/>
    <w:rsid w:val="469C74D2"/>
    <w:rsid w:val="471A1DC8"/>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4844</Words>
  <Characters>5572</Characters>
  <Lines>0</Lines>
  <Paragraphs>0</Paragraphs>
  <TotalTime>5</TotalTime>
  <ScaleCrop>false</ScaleCrop>
  <LinksUpToDate>false</LinksUpToDate>
  <CharactersWithSpaces>5584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2025-10-11T03:34:23Z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