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洛浦县第一中学2024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228FDCD">
      <w:r>
        <w:br w:type="page"/>
      </w:r>
    </w:p>
    <w:p w14:paraId="0CD7FFBF">
      <w:pPr>
        <w:spacing w:line="640" w:lineRule="exact"/>
        <w:jc w:val="center"/>
        <w:outlineLvl w:val="1"/>
      </w:pPr>
      <w:r>
        <w:rPr>
          <w:rFonts w:ascii="黑体" w:hAnsi="黑体" w:eastAsia="黑体"/>
          <w:sz w:val="32"/>
        </w:rPr>
        <w:t>第一部分 单位概况</w:t>
      </w:r>
    </w:p>
    <w:p w14:paraId="008755E8">
      <w:pPr>
        <w:spacing w:line="640" w:lineRule="exact"/>
        <w:ind w:firstLine="640"/>
        <w:jc w:val="both"/>
        <w:outlineLvl w:val="2"/>
      </w:pPr>
      <w:r>
        <w:rPr>
          <w:rFonts w:ascii="黑体" w:hAnsi="黑体" w:eastAsia="黑体"/>
          <w:sz w:val="32"/>
        </w:rPr>
        <w:t>一、主要职能</w:t>
      </w:r>
    </w:p>
    <w:p w14:paraId="556E918F">
      <w:pPr>
        <w:spacing w:line="580" w:lineRule="exact"/>
        <w:ind w:firstLine="640"/>
        <w:jc w:val="both"/>
      </w:pPr>
      <w:r>
        <w:rPr>
          <w:rFonts w:ascii="仿宋_GB2312" w:hAnsi="仿宋_GB2312" w:eastAsia="仿宋_GB2312"/>
          <w:sz w:val="32"/>
        </w:rPr>
        <w:t>洛浦县第一中学主要职能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7CD8030F">
      <w:pPr>
        <w:spacing w:line="640" w:lineRule="exact"/>
        <w:ind w:firstLine="640"/>
        <w:jc w:val="both"/>
        <w:outlineLvl w:val="2"/>
      </w:pPr>
      <w:r>
        <w:rPr>
          <w:rFonts w:ascii="黑体" w:hAnsi="黑体" w:eastAsia="黑体"/>
          <w:sz w:val="32"/>
        </w:rPr>
        <w:t>二、机构设置及人员情况</w:t>
      </w:r>
    </w:p>
    <w:p w14:paraId="6AB26872">
      <w:pPr>
        <w:spacing w:line="580" w:lineRule="exact"/>
        <w:ind w:firstLine="640"/>
        <w:jc w:val="both"/>
      </w:pPr>
      <w:r>
        <w:rPr>
          <w:rFonts w:ascii="仿宋_GB2312" w:hAnsi="仿宋_GB2312" w:eastAsia="仿宋_GB2312"/>
          <w:sz w:val="32"/>
        </w:rPr>
        <w:t>洛浦县第一中学2024年度，实有人数459人，其中：在职人员425人，增加11人；离休人员0人，增加0人；退休人员34人,增加3人。</w:t>
      </w:r>
    </w:p>
    <w:p w14:paraId="677A7F09">
      <w:pPr>
        <w:spacing w:line="580" w:lineRule="exact"/>
        <w:ind w:firstLine="640"/>
        <w:jc w:val="both"/>
      </w:pPr>
      <w:r>
        <w:rPr>
          <w:rFonts w:ascii="仿宋_GB2312" w:hAnsi="仿宋_GB2312" w:eastAsia="仿宋_GB2312"/>
          <w:sz w:val="32"/>
        </w:rPr>
        <w:t>洛浦县第一中学无下属预算单位，下设4个科室，分别是：校务办、党建办、教务科、总务室。</w:t>
      </w:r>
    </w:p>
    <w:p w14:paraId="37B29B71">
      <w:r>
        <w:br w:type="page"/>
      </w:r>
    </w:p>
    <w:p w14:paraId="42B8809D">
      <w:pPr>
        <w:spacing w:line="240" w:lineRule="auto"/>
        <w:jc w:val="center"/>
        <w:outlineLvl w:val="1"/>
      </w:pPr>
      <w:r>
        <w:rPr>
          <w:rFonts w:ascii="黑体" w:hAnsi="黑体" w:eastAsia="黑体"/>
          <w:sz w:val="32"/>
        </w:rPr>
        <w:t>第二部分 部门决算情况说明</w:t>
      </w:r>
    </w:p>
    <w:p w14:paraId="5E2DAB97">
      <w:pPr>
        <w:spacing w:line="640" w:lineRule="exact"/>
        <w:ind w:firstLine="640"/>
        <w:jc w:val="both"/>
        <w:outlineLvl w:val="2"/>
      </w:pPr>
      <w:r>
        <w:rPr>
          <w:rFonts w:ascii="黑体" w:hAnsi="黑体" w:eastAsia="黑体"/>
          <w:sz w:val="32"/>
        </w:rPr>
        <w:t>一、收入支出决算总体情况说明</w:t>
      </w:r>
    </w:p>
    <w:p w14:paraId="77C4CF04">
      <w:pPr>
        <w:spacing w:line="580" w:lineRule="exact"/>
        <w:ind w:firstLine="640"/>
        <w:jc w:val="both"/>
      </w:pPr>
      <w:r>
        <w:rPr>
          <w:rFonts w:ascii="仿宋_GB2312" w:hAnsi="仿宋_GB2312" w:eastAsia="仿宋_GB2312"/>
          <w:b/>
          <w:sz w:val="32"/>
        </w:rPr>
        <w:t>2024年度收入总计9,466.28万元，</w:t>
      </w:r>
      <w:r>
        <w:rPr>
          <w:rFonts w:ascii="仿宋_GB2312" w:hAnsi="仿宋_GB2312" w:eastAsia="仿宋_GB2312"/>
          <w:b w:val="0"/>
          <w:sz w:val="32"/>
        </w:rPr>
        <w:t>其中：本年收入合计9,466.28万元，使用非财政拨款结余（含专用结余）0.00万元，年初结转和结余0.00万元。</w:t>
      </w:r>
    </w:p>
    <w:p w14:paraId="7C23E40A">
      <w:pPr>
        <w:spacing w:line="580" w:lineRule="exact"/>
        <w:ind w:firstLine="640"/>
        <w:jc w:val="both"/>
      </w:pPr>
      <w:r>
        <w:rPr>
          <w:rFonts w:ascii="仿宋_GB2312" w:hAnsi="仿宋_GB2312" w:eastAsia="仿宋_GB2312"/>
          <w:b/>
          <w:sz w:val="32"/>
        </w:rPr>
        <w:t>2024年度支出总计9,466.28万元，</w:t>
      </w:r>
      <w:r>
        <w:rPr>
          <w:rFonts w:ascii="仿宋_GB2312" w:hAnsi="仿宋_GB2312" w:eastAsia="仿宋_GB2312"/>
          <w:b w:val="0"/>
          <w:sz w:val="32"/>
        </w:rPr>
        <w:t>其中：本年支出合计9,466.28万元，结余分配0.00万元，年末结转和结余0.00万元。</w:t>
      </w:r>
    </w:p>
    <w:p w14:paraId="3526EE1F">
      <w:pPr>
        <w:spacing w:line="580" w:lineRule="exact"/>
        <w:ind w:firstLine="640"/>
        <w:jc w:val="both"/>
      </w:pPr>
      <w:r>
        <w:rPr>
          <w:rFonts w:ascii="仿宋_GB2312" w:hAnsi="仿宋_GB2312" w:eastAsia="仿宋_GB2312"/>
          <w:b w:val="0"/>
          <w:sz w:val="32"/>
        </w:rPr>
        <w:t>收入支出总体与上年相比，增加406.88万元，增长4.49%，主要原因是：一是在职人员工资调增，社保，住房公积金等相关人员经费增加；二是学生人数较上年大幅增加，普通高中助学金项目增加。</w:t>
      </w:r>
    </w:p>
    <w:p w14:paraId="152A948D">
      <w:pPr>
        <w:spacing w:line="640" w:lineRule="exact"/>
        <w:ind w:firstLine="640"/>
        <w:jc w:val="both"/>
        <w:outlineLvl w:val="2"/>
      </w:pPr>
      <w:r>
        <w:rPr>
          <w:rFonts w:ascii="黑体" w:hAnsi="黑体" w:eastAsia="黑体"/>
          <w:sz w:val="32"/>
        </w:rPr>
        <w:t>二、收入决算情况说明</w:t>
      </w:r>
    </w:p>
    <w:p w14:paraId="5A669AA6">
      <w:pPr>
        <w:spacing w:line="580" w:lineRule="exact"/>
        <w:ind w:firstLine="640"/>
        <w:jc w:val="both"/>
      </w:pPr>
      <w:r>
        <w:rPr>
          <w:rFonts w:ascii="仿宋_GB2312" w:hAnsi="仿宋_GB2312" w:eastAsia="仿宋_GB2312"/>
          <w:b/>
          <w:sz w:val="32"/>
        </w:rPr>
        <w:t>本年收入9,466.28万元，</w:t>
      </w:r>
      <w:r>
        <w:rPr>
          <w:rFonts w:ascii="仿宋_GB2312" w:hAnsi="仿宋_GB2312" w:eastAsia="仿宋_GB2312"/>
          <w:b w:val="0"/>
          <w:sz w:val="32"/>
        </w:rPr>
        <w:t>其中：财政拨款收入9,461.83万元，占99.95%；上级补助收入0.00万元，占0.00%；事业收入0.00万元，占0.00%；经营收入0.00万元，占0.00%；附属单位上缴收入0.00万元，占0.00%；其他收入4.45万元，占0.05%。</w:t>
      </w:r>
    </w:p>
    <w:p w14:paraId="3C728F91">
      <w:pPr>
        <w:spacing w:line="640" w:lineRule="exact"/>
        <w:ind w:firstLine="640"/>
        <w:jc w:val="both"/>
        <w:outlineLvl w:val="2"/>
      </w:pPr>
      <w:r>
        <w:rPr>
          <w:rFonts w:ascii="黑体" w:hAnsi="黑体" w:eastAsia="黑体"/>
          <w:sz w:val="32"/>
        </w:rPr>
        <w:t>三、支出决算情况说明</w:t>
      </w:r>
    </w:p>
    <w:p w14:paraId="14A23631">
      <w:pPr>
        <w:spacing w:line="580" w:lineRule="exact"/>
        <w:ind w:firstLine="640"/>
        <w:jc w:val="both"/>
      </w:pPr>
      <w:r>
        <w:rPr>
          <w:rFonts w:ascii="仿宋_GB2312" w:hAnsi="仿宋_GB2312" w:eastAsia="仿宋_GB2312"/>
          <w:b/>
          <w:sz w:val="32"/>
        </w:rPr>
        <w:t>本年支出9,466.28万元，</w:t>
      </w:r>
      <w:r>
        <w:rPr>
          <w:rFonts w:ascii="仿宋_GB2312" w:hAnsi="仿宋_GB2312" w:eastAsia="仿宋_GB2312"/>
          <w:b w:val="0"/>
          <w:sz w:val="32"/>
        </w:rPr>
        <w:t>其中：基本支出8,090.20万元，占85.46%；项目支出1,376.08万元，占14.54%；上缴上级支出0.00万元，占0.00%；经营支出0.00万元，占0.00%；对附属单位补助支出0.00万元，占0.00%。</w:t>
      </w:r>
    </w:p>
    <w:p w14:paraId="10DFA4E2">
      <w:pPr>
        <w:spacing w:line="640" w:lineRule="exact"/>
        <w:ind w:firstLine="640"/>
        <w:jc w:val="both"/>
        <w:outlineLvl w:val="2"/>
      </w:pPr>
      <w:r>
        <w:rPr>
          <w:rFonts w:ascii="黑体" w:hAnsi="黑体" w:eastAsia="黑体"/>
          <w:sz w:val="32"/>
        </w:rPr>
        <w:t>四、财政拨款收入支出决算总体情况说明</w:t>
      </w:r>
    </w:p>
    <w:p w14:paraId="73E92855">
      <w:pPr>
        <w:spacing w:line="580" w:lineRule="exact"/>
        <w:ind w:firstLine="640"/>
        <w:jc w:val="both"/>
      </w:pPr>
      <w:r>
        <w:rPr>
          <w:rFonts w:ascii="仿宋_GB2312" w:hAnsi="仿宋_GB2312" w:eastAsia="仿宋_GB2312"/>
          <w:b/>
          <w:sz w:val="32"/>
        </w:rPr>
        <w:t>2024年度财政拨款收入总计9,461.83万元，</w:t>
      </w:r>
      <w:r>
        <w:rPr>
          <w:rFonts w:ascii="仿宋_GB2312" w:hAnsi="仿宋_GB2312" w:eastAsia="仿宋_GB2312"/>
          <w:b w:val="0"/>
          <w:sz w:val="32"/>
        </w:rPr>
        <w:t>其中：年初财政拨款结转和结余0.00万元，本年财政拨款收入9,461.83万元。</w:t>
      </w:r>
      <w:r>
        <w:rPr>
          <w:rFonts w:ascii="仿宋_GB2312" w:hAnsi="仿宋_GB2312" w:eastAsia="仿宋_GB2312"/>
          <w:b/>
          <w:sz w:val="32"/>
        </w:rPr>
        <w:t>财政拨款支出总计9,461.83万元，</w:t>
      </w:r>
      <w:r>
        <w:rPr>
          <w:rFonts w:ascii="仿宋_GB2312" w:hAnsi="仿宋_GB2312" w:eastAsia="仿宋_GB2312"/>
          <w:b w:val="0"/>
          <w:sz w:val="32"/>
        </w:rPr>
        <w:t>其中：年末财政拨款结转和结余0.00万元，本年财政拨款支出9,461.83万元。</w:t>
      </w:r>
    </w:p>
    <w:p w14:paraId="1F9662D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增加402.99万元，增长4.45%，主要原因是：一是在职人员工资调增，社保，住房公积金等相关人员经费增加；二是学生人数较上年大幅增加，普通高中助学金项目增加。</w:t>
      </w:r>
      <w:r>
        <w:rPr>
          <w:rFonts w:ascii="仿宋_GB2312" w:hAnsi="仿宋_GB2312" w:eastAsia="仿宋_GB2312"/>
          <w:b/>
          <w:sz w:val="32"/>
        </w:rPr>
        <w:t>与年初预算相比，</w:t>
      </w:r>
      <w:r>
        <w:rPr>
          <w:rFonts w:ascii="仿宋_GB2312" w:hAnsi="仿宋_GB2312" w:eastAsia="仿宋_GB2312"/>
          <w:b w:val="0"/>
          <w:sz w:val="32"/>
        </w:rPr>
        <w:t>年初预算数9,736.38万元，决算数9,461.83万元，预决算差异率-2.82%，主要原因是：年中调减普通高中助学金支出，导致预决算差异。</w:t>
      </w:r>
    </w:p>
    <w:p w14:paraId="0DA51191">
      <w:pPr>
        <w:spacing w:line="640" w:lineRule="exact"/>
        <w:ind w:firstLine="640"/>
        <w:jc w:val="both"/>
        <w:outlineLvl w:val="2"/>
      </w:pPr>
      <w:r>
        <w:rPr>
          <w:rFonts w:ascii="黑体" w:hAnsi="黑体" w:eastAsia="黑体"/>
          <w:sz w:val="32"/>
        </w:rPr>
        <w:t>五、一般公共预算财政拨款支出决算情况说明</w:t>
      </w:r>
    </w:p>
    <w:p w14:paraId="2CD86056">
      <w:pPr>
        <w:spacing w:line="640" w:lineRule="exact"/>
        <w:ind w:firstLine="640"/>
        <w:jc w:val="both"/>
        <w:outlineLvl w:val="3"/>
      </w:pPr>
      <w:r>
        <w:rPr>
          <w:rFonts w:ascii="楷体_GB2312" w:hAnsi="楷体_GB2312" w:eastAsia="楷体_GB2312"/>
          <w:b/>
          <w:sz w:val="32"/>
        </w:rPr>
        <w:t>（一）一般公共预算财政拨款支出决算总体情况</w:t>
      </w:r>
    </w:p>
    <w:p w14:paraId="5105342A">
      <w:pPr>
        <w:spacing w:line="580" w:lineRule="exact"/>
        <w:ind w:firstLine="640"/>
        <w:jc w:val="both"/>
      </w:pPr>
      <w:r>
        <w:rPr>
          <w:rFonts w:ascii="仿宋_GB2312" w:hAnsi="仿宋_GB2312" w:eastAsia="仿宋_GB2312"/>
          <w:b/>
          <w:sz w:val="32"/>
        </w:rPr>
        <w:t>2024年度一般公共预算财政拨款支出9,461.83万元，</w:t>
      </w:r>
      <w:r>
        <w:rPr>
          <w:rFonts w:ascii="仿宋_GB2312" w:hAnsi="仿宋_GB2312" w:eastAsia="仿宋_GB2312"/>
          <w:b w:val="0"/>
          <w:sz w:val="32"/>
        </w:rPr>
        <w:t>占本年支出合计的99.95%。</w:t>
      </w:r>
      <w:r>
        <w:rPr>
          <w:rFonts w:ascii="仿宋_GB2312" w:hAnsi="仿宋_GB2312" w:eastAsia="仿宋_GB2312"/>
          <w:b/>
          <w:sz w:val="32"/>
        </w:rPr>
        <w:t>与上年相比，</w:t>
      </w:r>
      <w:r>
        <w:rPr>
          <w:rFonts w:ascii="仿宋_GB2312" w:hAnsi="仿宋_GB2312" w:eastAsia="仿宋_GB2312"/>
          <w:b w:val="0"/>
          <w:sz w:val="32"/>
        </w:rPr>
        <w:t>增加402.99万元，增长4.45%，主要原因是：一是在职人员工资调增，社保，住房公积金等相关人员经费增加；二是学生人数较上年大幅增加，普通高中助学金项目增加。</w:t>
      </w:r>
      <w:r>
        <w:rPr>
          <w:rFonts w:ascii="仿宋_GB2312" w:hAnsi="仿宋_GB2312" w:eastAsia="仿宋_GB2312"/>
          <w:b/>
          <w:sz w:val="32"/>
        </w:rPr>
        <w:t>与年初预算相比,</w:t>
      </w:r>
      <w:r>
        <w:rPr>
          <w:rFonts w:ascii="仿宋_GB2312" w:hAnsi="仿宋_GB2312" w:eastAsia="仿宋_GB2312"/>
          <w:b w:val="0"/>
          <w:sz w:val="32"/>
        </w:rPr>
        <w:t>年初预算数9,736.38万元，决算数9,461.83万元，预决算差异率-2.82%，主要原因是：年中调减普通高中助学金支出，导致预决算差异。</w:t>
      </w:r>
    </w:p>
    <w:p w14:paraId="0BB3E012">
      <w:pPr>
        <w:spacing w:line="640" w:lineRule="exact"/>
        <w:ind w:firstLine="640"/>
        <w:jc w:val="both"/>
        <w:outlineLvl w:val="3"/>
      </w:pPr>
      <w:r>
        <w:rPr>
          <w:rFonts w:ascii="楷体_GB2312" w:hAnsi="楷体_GB2312" w:eastAsia="楷体_GB2312"/>
          <w:b/>
          <w:sz w:val="32"/>
        </w:rPr>
        <w:t>（二）一般公共预算财政拨款支出决算结构情况</w:t>
      </w:r>
    </w:p>
    <w:p w14:paraId="77DF0575">
      <w:pPr>
        <w:spacing w:line="580" w:lineRule="exact"/>
        <w:ind w:firstLine="640"/>
        <w:jc w:val="both"/>
      </w:pPr>
      <w:r>
        <w:rPr>
          <w:rFonts w:ascii="仿宋_GB2312" w:hAnsi="仿宋_GB2312" w:eastAsia="仿宋_GB2312"/>
          <w:b w:val="0"/>
          <w:sz w:val="32"/>
        </w:rPr>
        <w:t>1.教育支出(类)9,454.72万元,占99.92%。</w:t>
      </w:r>
    </w:p>
    <w:p w14:paraId="6FEC3601">
      <w:pPr>
        <w:spacing w:line="580" w:lineRule="exact"/>
        <w:ind w:firstLine="640"/>
        <w:jc w:val="both"/>
      </w:pPr>
      <w:r>
        <w:rPr>
          <w:rFonts w:ascii="仿宋_GB2312" w:hAnsi="仿宋_GB2312" w:eastAsia="仿宋_GB2312"/>
          <w:b w:val="0"/>
          <w:sz w:val="32"/>
        </w:rPr>
        <w:t>2.其他支出(类)7.11万元,占0.08%。</w:t>
      </w:r>
    </w:p>
    <w:p w14:paraId="3DA6EB00">
      <w:pPr>
        <w:spacing w:line="640" w:lineRule="exact"/>
        <w:ind w:firstLine="640"/>
        <w:jc w:val="both"/>
        <w:outlineLvl w:val="3"/>
      </w:pPr>
      <w:r>
        <w:rPr>
          <w:rFonts w:ascii="楷体_GB2312" w:hAnsi="楷体_GB2312" w:eastAsia="楷体_GB2312"/>
          <w:b/>
          <w:sz w:val="32"/>
        </w:rPr>
        <w:t>（三）一般公共预算财政拨款支出决算具体情况</w:t>
      </w:r>
    </w:p>
    <w:p w14:paraId="3078655B">
      <w:pPr>
        <w:spacing w:line="580" w:lineRule="exact"/>
        <w:ind w:firstLine="640"/>
        <w:jc w:val="both"/>
      </w:pPr>
      <w:r>
        <w:rPr>
          <w:rFonts w:ascii="仿宋_GB2312" w:hAnsi="仿宋_GB2312" w:eastAsia="仿宋_GB2312"/>
          <w:b w:val="0"/>
          <w:sz w:val="32"/>
        </w:rPr>
        <w:t>1.教育支出(类)普通教育(款)高中教育(项):支出决算数为9,454.72万元，比上年决算增加515.08万元，增长5.76%,主要原因是：1.本年在职人员工资调增，社保，住房公积金等相关人员经费增加。2.普通高中助学金资金较上年增加。3.本年科目调整，机关事业单位基本养老保险缴费支出，机关事业单位职业年金缴费支出上年单独列支，</w:t>
      </w:r>
      <w:r>
        <w:rPr>
          <w:rFonts w:hint="eastAsia" w:ascii="仿宋_GB2312" w:hAnsi="仿宋_GB2312" w:eastAsia="仿宋_GB2312"/>
          <w:b w:val="0"/>
          <w:sz w:val="32"/>
          <w:lang w:val="en-US" w:eastAsia="zh-CN"/>
        </w:rPr>
        <w:t>本</w:t>
      </w:r>
      <w:r>
        <w:rPr>
          <w:rFonts w:ascii="仿宋_GB2312" w:hAnsi="仿宋_GB2312" w:eastAsia="仿宋_GB2312"/>
          <w:b w:val="0"/>
          <w:sz w:val="32"/>
        </w:rPr>
        <w:t>年在主科目列支，导致经费增加。</w:t>
      </w:r>
    </w:p>
    <w:p w14:paraId="37757A4A">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0.00万元，比上年决算减少56.58万元，下降100.00%,主要原因是：本年功能科目调整，养老保险缴费上年度单独列支，本年调整至主科目列支，导致经费较上年减少。</w:t>
      </w:r>
    </w:p>
    <w:p w14:paraId="300A5E45">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3.社会保障和就业支出(类)行政事业单位养老支出(款)机关事业单位职业年金缴费支出(项):支出决算数为0.00万元，比上年决算减少35.00万元，下降100.00%,主要原因是：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年功能科目调整，机关事业单位职业年金缴费上年度单独列支，本年调整至主科目列支，导致经费较上年减少。</w:t>
      </w:r>
    </w:p>
    <w:p w14:paraId="5F1877BF">
      <w:pPr>
        <w:spacing w:line="580" w:lineRule="exact"/>
        <w:ind w:firstLine="640"/>
        <w:jc w:val="both"/>
      </w:pPr>
      <w:r>
        <w:rPr>
          <w:rFonts w:ascii="仿宋_GB2312" w:hAnsi="仿宋_GB2312" w:eastAsia="仿宋_GB2312"/>
          <w:b w:val="0"/>
          <w:sz w:val="32"/>
        </w:rPr>
        <w:t>4.社会保障和就业支出(类)抚恤(款)死亡抚恤(项):支出决算数为0.00万元，比上年决算减少24.08万元，下降100.00%,主要原因是：本年无新增死亡人员，死亡抚恤支出较上年减少。</w:t>
      </w:r>
    </w:p>
    <w:p w14:paraId="692F29A4">
      <w:pPr>
        <w:spacing w:line="580" w:lineRule="exact"/>
        <w:ind w:firstLine="640"/>
        <w:jc w:val="both"/>
      </w:pPr>
      <w:r>
        <w:rPr>
          <w:rFonts w:ascii="仿宋_GB2312" w:hAnsi="仿宋_GB2312" w:eastAsia="仿宋_GB2312"/>
          <w:b w:val="0"/>
          <w:sz w:val="32"/>
        </w:rPr>
        <w:t>5.其他支出(类)其他支出(款)其他支出(项):支出决算数为7.11万元，比上年决算增加3.57万元，增长100.85%,主要原因是：为民办实事经费较上年增加。</w:t>
      </w:r>
    </w:p>
    <w:p w14:paraId="0BDB8266">
      <w:pPr>
        <w:spacing w:line="640" w:lineRule="exact"/>
        <w:ind w:firstLine="640"/>
        <w:jc w:val="both"/>
        <w:outlineLvl w:val="2"/>
      </w:pPr>
      <w:r>
        <w:rPr>
          <w:rFonts w:ascii="黑体" w:hAnsi="黑体" w:eastAsia="黑体"/>
          <w:sz w:val="32"/>
        </w:rPr>
        <w:t>六、一般公共预算财政拨款基本支出决算情况说明</w:t>
      </w:r>
    </w:p>
    <w:p w14:paraId="46CAD62A">
      <w:pPr>
        <w:spacing w:line="580" w:lineRule="exact"/>
        <w:ind w:firstLine="640"/>
        <w:jc w:val="both"/>
      </w:pPr>
      <w:r>
        <w:rPr>
          <w:rFonts w:ascii="仿宋_GB2312" w:hAnsi="仿宋_GB2312" w:eastAsia="仿宋_GB2312"/>
          <w:b w:val="0"/>
          <w:sz w:val="32"/>
        </w:rPr>
        <w:t>2024年度一般公共预算财政拨款基本支出8,085.75万元，其中：</w:t>
      </w:r>
      <w:r>
        <w:rPr>
          <w:rFonts w:ascii="仿宋_GB2312" w:hAnsi="仿宋_GB2312" w:eastAsia="仿宋_GB2312"/>
          <w:b/>
          <w:sz w:val="32"/>
        </w:rPr>
        <w:t>人员经费7,199.75万元，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包括：基本工资、津贴补贴、绩效工资、机关事业单位基本养老保险缴费、职业年金缴费、职工基本医疗保险缴费、其他社会保障缴费、住房公积金、退休费、生活补助。</w:t>
      </w:r>
    </w:p>
    <w:p w14:paraId="17D90785">
      <w:pPr>
        <w:spacing w:line="580" w:lineRule="exact"/>
        <w:ind w:firstLine="640"/>
        <w:jc w:val="both"/>
      </w:pPr>
      <w:r>
        <w:rPr>
          <w:rFonts w:ascii="仿宋_GB2312" w:hAnsi="仿宋_GB2312" w:eastAsia="仿宋_GB2312"/>
          <w:b/>
          <w:sz w:val="32"/>
        </w:rPr>
        <w:t>公用经费886.00万元，</w:t>
      </w:r>
      <w:r>
        <w:rPr>
          <w:rFonts w:ascii="仿宋_GB2312" w:hAnsi="仿宋_GB2312" w:eastAsia="仿宋_GB2312"/>
          <w:b w:val="0"/>
          <w:sz w:val="32"/>
        </w:rPr>
        <w:t>包括：办公费、印刷费、水费、电费、邮电费、取暖费、物业管理费、差旅费、维修（护）费、租赁费、培训费、专用材料费、劳务费、其他交通费用、其他商品和服务支出、办公设备购置。</w:t>
      </w:r>
    </w:p>
    <w:p w14:paraId="103D1114">
      <w:pPr>
        <w:spacing w:line="640" w:lineRule="exact"/>
        <w:ind w:firstLine="640"/>
        <w:jc w:val="both"/>
        <w:outlineLvl w:val="2"/>
      </w:pPr>
      <w:r>
        <w:rPr>
          <w:rFonts w:ascii="黑体" w:hAnsi="黑体" w:eastAsia="黑体"/>
          <w:sz w:val="32"/>
        </w:rPr>
        <w:t>七、政府性基金预算财政拨款收入支出决算情况说明</w:t>
      </w:r>
    </w:p>
    <w:p w14:paraId="771AC38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1DE94F9">
      <w:pPr>
        <w:spacing w:line="640" w:lineRule="exact"/>
        <w:ind w:firstLine="640"/>
        <w:jc w:val="both"/>
        <w:outlineLvl w:val="2"/>
      </w:pPr>
      <w:r>
        <w:rPr>
          <w:rFonts w:ascii="黑体" w:hAnsi="黑体" w:eastAsia="黑体"/>
          <w:sz w:val="32"/>
        </w:rPr>
        <w:t>八、国有资本经营预算财政拨款收入支出决算情况说明</w:t>
      </w:r>
    </w:p>
    <w:p w14:paraId="63CA765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01DA7AB">
      <w:pPr>
        <w:spacing w:line="640" w:lineRule="exact"/>
        <w:ind w:firstLine="640"/>
        <w:jc w:val="both"/>
        <w:outlineLvl w:val="2"/>
      </w:pPr>
      <w:r>
        <w:rPr>
          <w:rFonts w:ascii="黑体" w:hAnsi="黑体" w:eastAsia="黑体"/>
          <w:sz w:val="32"/>
        </w:rPr>
        <w:t>九、财政拨款“三公”经费支出决算情况说明</w:t>
      </w:r>
    </w:p>
    <w:p w14:paraId="25AF31C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8D1CE95">
      <w:pPr>
        <w:spacing w:line="580" w:lineRule="exact"/>
        <w:ind w:firstLine="640"/>
        <w:jc w:val="both"/>
      </w:pPr>
      <w:r>
        <w:rPr>
          <w:rFonts w:ascii="仿宋_GB2312" w:hAnsi="仿宋_GB2312" w:eastAsia="仿宋_GB2312"/>
          <w:b/>
          <w:sz w:val="32"/>
        </w:rPr>
        <w:t>具体情况如下：</w:t>
      </w:r>
    </w:p>
    <w:p w14:paraId="41EEA96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5EA3FA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735AAD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8719A9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3DE1746">
      <w:pPr>
        <w:spacing w:line="640" w:lineRule="exact"/>
        <w:ind w:firstLine="640"/>
        <w:jc w:val="both"/>
        <w:outlineLvl w:val="2"/>
      </w:pPr>
      <w:r>
        <w:rPr>
          <w:rFonts w:ascii="黑体" w:hAnsi="黑体" w:eastAsia="黑体"/>
          <w:sz w:val="32"/>
        </w:rPr>
        <w:t>十、其他重要事项的情况说明</w:t>
      </w:r>
    </w:p>
    <w:p w14:paraId="07E4158B">
      <w:pPr>
        <w:spacing w:line="640" w:lineRule="exact"/>
        <w:ind w:firstLine="640"/>
        <w:jc w:val="both"/>
        <w:outlineLvl w:val="3"/>
      </w:pPr>
      <w:r>
        <w:rPr>
          <w:rFonts w:ascii="楷体_GB2312" w:hAnsi="楷体_GB2312" w:eastAsia="楷体_GB2312"/>
          <w:b/>
          <w:sz w:val="32"/>
        </w:rPr>
        <w:t>（一）机关运行经费及公用经费支出情况</w:t>
      </w:r>
    </w:p>
    <w:p w14:paraId="4AFA58BD">
      <w:pPr>
        <w:spacing w:line="580" w:lineRule="exact"/>
        <w:ind w:firstLine="640"/>
        <w:jc w:val="both"/>
      </w:pPr>
      <w:r>
        <w:rPr>
          <w:rFonts w:ascii="仿宋_GB2312" w:hAnsi="仿宋_GB2312" w:eastAsia="仿宋_GB2312"/>
          <w:b w:val="0"/>
          <w:sz w:val="32"/>
        </w:rPr>
        <w:t>2024年度洛浦县第一中学（事业单位）公用经费支出886.00万元，比上年减少265.88万元，下降23.08%，主要原因是：本年减少办公费，水费，取暖费，维修（护）费，导致公用经费支出下降。</w:t>
      </w:r>
    </w:p>
    <w:p w14:paraId="2DD8CEDB">
      <w:pPr>
        <w:spacing w:line="640" w:lineRule="exact"/>
        <w:ind w:firstLine="640"/>
        <w:jc w:val="both"/>
        <w:outlineLvl w:val="3"/>
      </w:pPr>
      <w:r>
        <w:rPr>
          <w:rFonts w:ascii="楷体_GB2312" w:hAnsi="楷体_GB2312" w:eastAsia="楷体_GB2312"/>
          <w:b/>
          <w:sz w:val="32"/>
        </w:rPr>
        <w:t>（二）政府采购情况</w:t>
      </w:r>
    </w:p>
    <w:p w14:paraId="6806BD2A">
      <w:pPr>
        <w:spacing w:line="580" w:lineRule="exact"/>
        <w:ind w:firstLine="640"/>
        <w:jc w:val="both"/>
      </w:pPr>
      <w:r>
        <w:rPr>
          <w:rFonts w:ascii="仿宋_GB2312" w:hAnsi="仿宋_GB2312" w:eastAsia="仿宋_GB2312"/>
          <w:b w:val="0"/>
          <w:sz w:val="32"/>
        </w:rPr>
        <w:t>2024年度政府采购支出总额130.21万元，其中：政府采购货物支出44.38万元、政府采购工程支出2.29万元、政府采购服务支出83.53万元。</w:t>
      </w:r>
    </w:p>
    <w:p w14:paraId="3652154A">
      <w:pPr>
        <w:spacing w:line="580" w:lineRule="exact"/>
        <w:ind w:firstLine="640"/>
        <w:jc w:val="both"/>
      </w:pPr>
      <w:r>
        <w:rPr>
          <w:rFonts w:ascii="仿宋_GB2312" w:hAnsi="仿宋_GB2312" w:eastAsia="仿宋_GB2312"/>
          <w:b w:val="0"/>
          <w:sz w:val="32"/>
        </w:rPr>
        <w:t>授予中小企业合同金额130.21万元，占政府采购支出总额的100.00%，其中：授予小微企业合同金额130.21万元，占政府采购支出总额的100.00%。</w:t>
      </w:r>
    </w:p>
    <w:p w14:paraId="37D5933E">
      <w:pPr>
        <w:spacing w:line="640" w:lineRule="exact"/>
        <w:ind w:firstLine="640"/>
        <w:jc w:val="both"/>
        <w:outlineLvl w:val="3"/>
      </w:pPr>
      <w:r>
        <w:rPr>
          <w:rFonts w:ascii="楷体_GB2312" w:hAnsi="楷体_GB2312" w:eastAsia="楷体_GB2312"/>
          <w:b/>
          <w:sz w:val="32"/>
        </w:rPr>
        <w:t>（三）国有资产占用情况说明</w:t>
      </w:r>
    </w:p>
    <w:p w14:paraId="714F409B">
      <w:pPr>
        <w:spacing w:line="580" w:lineRule="exact"/>
        <w:ind w:firstLine="640"/>
        <w:jc w:val="both"/>
      </w:pPr>
      <w:r>
        <w:rPr>
          <w:rFonts w:ascii="仿宋_GB2312" w:hAnsi="仿宋_GB2312" w:eastAsia="仿宋_GB2312"/>
          <w:b w:val="0"/>
          <w:sz w:val="32"/>
        </w:rPr>
        <w:t>截至2024年12月31日，房屋63,128.12平方米，价值9,032.48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3台（套）。</w:t>
      </w:r>
    </w:p>
    <w:p w14:paraId="29ADC0BF">
      <w:pPr>
        <w:spacing w:line="640" w:lineRule="exact"/>
        <w:ind w:firstLine="640"/>
        <w:jc w:val="both"/>
        <w:outlineLvl w:val="2"/>
      </w:pPr>
      <w:r>
        <w:rPr>
          <w:rFonts w:ascii="黑体" w:hAnsi="黑体" w:eastAsia="黑体"/>
          <w:sz w:val="32"/>
        </w:rPr>
        <w:t>十一、预算绩效的情况说明</w:t>
      </w:r>
    </w:p>
    <w:p w14:paraId="1FE8625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根据预算绩效管理要求，本单位2024年度预算绩效管理形成整体支出绩效自评表1个，全年预算总额9,736.38万元，实际执行总额9,466.28万元；预算绩效评价项目</w:t>
      </w:r>
      <w:r>
        <w:rPr>
          <w:rFonts w:hint="eastAsia" w:ascii="仿宋_GB2312" w:hAnsi="仿宋_GB2312" w:eastAsia="仿宋_GB2312"/>
          <w:b w:val="0"/>
          <w:sz w:val="32"/>
          <w:lang w:val="en-US" w:eastAsia="zh-CN"/>
        </w:rPr>
        <w:t>5</w:t>
      </w:r>
      <w:r>
        <w:rPr>
          <w:rFonts w:ascii="仿宋_GB2312" w:hAnsi="仿宋_GB2312" w:eastAsia="仿宋_GB2312"/>
          <w:b w:val="0"/>
          <w:sz w:val="32"/>
        </w:rPr>
        <w:t>个，全年预算数</w:t>
      </w:r>
      <w:r>
        <w:rPr>
          <w:rFonts w:hint="eastAsia" w:ascii="仿宋_GB2312" w:hAnsi="仿宋_GB2312" w:eastAsia="仿宋_GB2312"/>
          <w:b w:val="0"/>
          <w:sz w:val="32"/>
        </w:rPr>
        <w:t>2</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262.08</w:t>
      </w:r>
      <w:r>
        <w:rPr>
          <w:rFonts w:ascii="仿宋_GB2312" w:hAnsi="仿宋_GB2312" w:eastAsia="仿宋_GB2312"/>
          <w:b w:val="0"/>
          <w:sz w:val="32"/>
        </w:rPr>
        <w:t>万元，全年执行数</w:t>
      </w:r>
      <w:r>
        <w:rPr>
          <w:rFonts w:hint="eastAsia" w:ascii="仿宋_GB2312" w:hAnsi="仿宋_GB2312" w:eastAsia="仿宋_GB2312"/>
          <w:b w:val="0"/>
          <w:sz w:val="32"/>
        </w:rPr>
        <w:t>2</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262.08</w:t>
      </w:r>
      <w:r>
        <w:rPr>
          <w:rFonts w:ascii="仿宋_GB2312" w:hAnsi="仿宋_GB2312" w:eastAsia="仿宋_GB2312"/>
          <w:b w:val="0"/>
          <w:sz w:val="32"/>
        </w:rPr>
        <w:t>万元。预算绩效管理取得的成效：</w:t>
      </w:r>
      <w:r>
        <w:rPr>
          <w:rFonts w:hint="eastAsia" w:ascii="仿宋_GB2312" w:hAnsi="仿宋_GB2312" w:eastAsia="仿宋_GB2312"/>
          <w:b w:val="0"/>
          <w:sz w:val="32"/>
          <w:lang w:val="en-US" w:eastAsia="zh-CN"/>
        </w:rPr>
        <w:t>一</w:t>
      </w:r>
      <w:r>
        <w:rPr>
          <w:rFonts w:ascii="仿宋_GB2312" w:hAnsi="仿宋_GB2312" w:eastAsia="仿宋_GB2312"/>
          <w:b w:val="0"/>
          <w:sz w:val="32"/>
        </w:rPr>
        <w:t>是通过加强预算绩效管理，预算绩效管理质量得到了显著提高；二是通过深入分析预算绩效管理的数据和信息，有助于更好地了解自身财务状况，从而制定更加科学合理的财政政策和经济决策。发现的问题及原因：年初预算不精准，实际执行偏差较大。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w:t>
      </w:r>
    </w:p>
    <w:p w14:paraId="0299C203">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745"/>
        <w:gridCol w:w="1395"/>
        <w:gridCol w:w="1120"/>
        <w:gridCol w:w="672"/>
        <w:gridCol w:w="983"/>
        <w:gridCol w:w="983"/>
      </w:tblGrid>
      <w:tr w14:paraId="52395743">
        <w:tblPrEx>
          <w:tblCellMar>
            <w:top w:w="0" w:type="dxa"/>
            <w:left w:w="108" w:type="dxa"/>
            <w:bottom w:w="0" w:type="dxa"/>
            <w:right w:w="108" w:type="dxa"/>
          </w:tblCellMar>
        </w:tblPrEx>
        <w:tc>
          <w:tcPr>
            <w:tcW w:w="8847" w:type="dxa"/>
            <w:gridSpan w:val="9"/>
            <w:vAlign w:val="center"/>
          </w:tcPr>
          <w:p w14:paraId="6A0C7D4D">
            <w:pPr>
              <w:jc w:val="center"/>
            </w:pPr>
            <w:r>
              <w:rPr>
                <w:rFonts w:ascii="宋体" w:hAnsi="宋体" w:eastAsia="宋体"/>
                <w:sz w:val="24"/>
              </w:rPr>
              <w:t>单位整体支出绩效自评表</w:t>
            </w:r>
          </w:p>
        </w:tc>
      </w:tr>
      <w:tr w14:paraId="38B0CF7E">
        <w:tblPrEx>
          <w:tblCellMar>
            <w:top w:w="0" w:type="dxa"/>
            <w:left w:w="108" w:type="dxa"/>
            <w:bottom w:w="0" w:type="dxa"/>
            <w:right w:w="108" w:type="dxa"/>
          </w:tblCellMar>
        </w:tblPrEx>
        <w:tc>
          <w:tcPr>
            <w:tcW w:w="8847" w:type="dxa"/>
            <w:gridSpan w:val="9"/>
            <w:vAlign w:val="center"/>
          </w:tcPr>
          <w:p w14:paraId="68200E37">
            <w:pPr>
              <w:jc w:val="center"/>
            </w:pPr>
            <w:r>
              <w:rPr>
                <w:rFonts w:ascii="宋体" w:hAnsi="宋体" w:eastAsia="宋体"/>
                <w:sz w:val="24"/>
              </w:rPr>
              <w:t>（2024年度）</w:t>
            </w:r>
          </w:p>
        </w:tc>
      </w:tr>
      <w:tr w14:paraId="337FFA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CD61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BE08F9">
            <w:pPr>
              <w:jc w:val="center"/>
            </w:pPr>
            <w:r>
              <w:rPr>
                <w:rFonts w:ascii="宋体" w:hAnsi="宋体" w:eastAsia="宋体"/>
                <w:sz w:val="16"/>
              </w:rPr>
              <w:t>洛浦县第一中学</w:t>
            </w:r>
          </w:p>
        </w:tc>
      </w:tr>
      <w:tr w14:paraId="7D0C6E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0D692">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0A3F7">
            <w:pPr>
              <w:jc w:val="center"/>
            </w:pPr>
            <w:r>
              <w:rPr>
                <w:rFonts w:ascii="宋体" w:hAnsi="宋体" w:eastAsia="宋体"/>
                <w:sz w:val="16"/>
              </w:rPr>
              <w:t>资金来源</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3C0BFA00">
            <w:pPr>
              <w:jc w:val="center"/>
            </w:pPr>
            <w:r>
              <w:rPr>
                <w:rFonts w:ascii="宋体" w:hAnsi="宋体" w:eastAsia="宋体"/>
                <w:sz w:val="16"/>
              </w:rPr>
              <w:t>年初预算数</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546F91F0">
            <w:pPr>
              <w:jc w:val="center"/>
            </w:pPr>
            <w:r>
              <w:rPr>
                <w:rFonts w:ascii="宋体" w:hAnsi="宋体" w:eastAsia="宋体"/>
                <w:sz w:val="16"/>
              </w:rPr>
              <w:t>全年预算数</w:t>
            </w:r>
          </w:p>
        </w:tc>
        <w:tc>
          <w:tcPr>
            <w:tcW w:w="1120" w:type="dxa"/>
            <w:tcBorders>
              <w:top w:val="single" w:color="auto" w:sz="10" w:space="0"/>
              <w:left w:val="single" w:color="auto" w:sz="10" w:space="0"/>
              <w:bottom w:val="single" w:color="auto" w:sz="10" w:space="0"/>
              <w:right w:val="single" w:color="auto" w:sz="10" w:space="0"/>
              <w:insideV w:val="single" w:sz="10" w:space="0"/>
            </w:tcBorders>
            <w:vAlign w:val="center"/>
          </w:tcPr>
          <w:p w14:paraId="2550F471">
            <w:pPr>
              <w:jc w:val="center"/>
            </w:pPr>
            <w:r>
              <w:rPr>
                <w:rFonts w:ascii="宋体" w:hAnsi="宋体" w:eastAsia="宋体"/>
                <w:sz w:val="16"/>
              </w:rPr>
              <w:t>全年执行数</w:t>
            </w:r>
          </w:p>
        </w:tc>
        <w:tc>
          <w:tcPr>
            <w:tcW w:w="672" w:type="dxa"/>
            <w:tcBorders>
              <w:top w:val="single" w:color="auto" w:sz="10" w:space="0"/>
              <w:left w:val="single" w:color="auto" w:sz="10" w:space="0"/>
              <w:bottom w:val="single" w:color="auto" w:sz="10" w:space="0"/>
              <w:right w:val="single" w:color="auto" w:sz="10" w:space="0"/>
              <w:insideV w:val="single" w:sz="10" w:space="0"/>
            </w:tcBorders>
            <w:vAlign w:val="center"/>
          </w:tcPr>
          <w:p w14:paraId="51CE41E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1DD4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CC34E">
            <w:pPr>
              <w:jc w:val="center"/>
            </w:pPr>
            <w:r>
              <w:rPr>
                <w:rFonts w:ascii="宋体" w:hAnsi="宋体" w:eastAsia="宋体"/>
                <w:sz w:val="16"/>
              </w:rPr>
              <w:t>得分</w:t>
            </w:r>
          </w:p>
        </w:tc>
      </w:tr>
      <w:tr w14:paraId="62DB27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C068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EFF36">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D6406">
            <w:pPr>
              <w:jc w:val="center"/>
            </w:pPr>
            <w:r>
              <w:rPr>
                <w:rFonts w:ascii="宋体" w:hAnsi="宋体" w:eastAsia="宋体"/>
                <w:sz w:val="16"/>
              </w:rPr>
              <w:t>上级</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3D47172B">
            <w:pPr>
              <w:jc w:val="center"/>
            </w:pPr>
            <w:r>
              <w:rPr>
                <w:rFonts w:ascii="宋体" w:hAnsi="宋体" w:eastAsia="宋体"/>
                <w:sz w:val="16"/>
              </w:rPr>
              <w:t>1,755.49</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00455136">
            <w:pPr>
              <w:jc w:val="center"/>
            </w:pPr>
            <w:r>
              <w:rPr>
                <w:rFonts w:ascii="宋体" w:hAnsi="宋体" w:eastAsia="宋体"/>
                <w:sz w:val="16"/>
              </w:rPr>
              <w:t>1,755.49</w:t>
            </w:r>
          </w:p>
        </w:tc>
        <w:tc>
          <w:tcPr>
            <w:tcW w:w="1120" w:type="dxa"/>
            <w:tcBorders>
              <w:top w:val="single" w:color="auto" w:sz="10" w:space="0"/>
              <w:left w:val="single" w:color="auto" w:sz="10" w:space="0"/>
              <w:bottom w:val="single" w:color="auto" w:sz="10" w:space="0"/>
              <w:right w:val="single" w:color="auto" w:sz="10" w:space="0"/>
              <w:insideV w:val="single" w:sz="10" w:space="0"/>
            </w:tcBorders>
            <w:vAlign w:val="center"/>
          </w:tcPr>
          <w:p w14:paraId="657C0576">
            <w:pPr>
              <w:jc w:val="center"/>
            </w:pPr>
            <w:r>
              <w:rPr>
                <w:rFonts w:ascii="宋体" w:hAnsi="宋体" w:eastAsia="宋体"/>
                <w:sz w:val="16"/>
              </w:rPr>
              <w:t>1,376.08</w:t>
            </w:r>
          </w:p>
        </w:tc>
        <w:tc>
          <w:tcPr>
            <w:tcW w:w="672" w:type="dxa"/>
            <w:tcBorders>
              <w:top w:val="single" w:color="auto" w:sz="10" w:space="0"/>
              <w:left w:val="single" w:color="auto" w:sz="10" w:space="0"/>
              <w:bottom w:val="single" w:color="auto" w:sz="10" w:space="0"/>
              <w:right w:val="single" w:color="auto" w:sz="10" w:space="0"/>
              <w:insideV w:val="single" w:sz="10" w:space="0"/>
            </w:tcBorders>
            <w:vAlign w:val="center"/>
          </w:tcPr>
          <w:p w14:paraId="62A138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8CE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372BB">
            <w:pPr>
              <w:jc w:val="center"/>
            </w:pPr>
            <w:r>
              <w:rPr>
                <w:rFonts w:ascii="宋体" w:hAnsi="宋体" w:eastAsia="宋体"/>
                <w:sz w:val="16"/>
              </w:rPr>
              <w:t>-</w:t>
            </w:r>
          </w:p>
        </w:tc>
      </w:tr>
      <w:tr w14:paraId="3A9A03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EF47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1DEE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6D657">
            <w:pPr>
              <w:jc w:val="center"/>
            </w:pPr>
            <w:r>
              <w:rPr>
                <w:rFonts w:ascii="宋体" w:hAnsi="宋体" w:eastAsia="宋体"/>
                <w:sz w:val="16"/>
              </w:rPr>
              <w:t>本级</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145BF029">
            <w:pPr>
              <w:jc w:val="center"/>
            </w:pPr>
            <w:r>
              <w:rPr>
                <w:rFonts w:ascii="宋体" w:hAnsi="宋体" w:eastAsia="宋体"/>
                <w:sz w:val="16"/>
              </w:rPr>
              <w:t>7,980.89</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2CCE76F2">
            <w:pPr>
              <w:jc w:val="center"/>
            </w:pPr>
            <w:r>
              <w:rPr>
                <w:rFonts w:ascii="宋体" w:hAnsi="宋体" w:eastAsia="宋体"/>
                <w:sz w:val="16"/>
              </w:rPr>
              <w:t>7,980.89</w:t>
            </w:r>
          </w:p>
        </w:tc>
        <w:tc>
          <w:tcPr>
            <w:tcW w:w="1120" w:type="dxa"/>
            <w:tcBorders>
              <w:top w:val="single" w:color="auto" w:sz="10" w:space="0"/>
              <w:left w:val="single" w:color="auto" w:sz="10" w:space="0"/>
              <w:bottom w:val="single" w:color="auto" w:sz="10" w:space="0"/>
              <w:right w:val="single" w:color="auto" w:sz="10" w:space="0"/>
              <w:insideV w:val="single" w:sz="10" w:space="0"/>
            </w:tcBorders>
            <w:vAlign w:val="center"/>
          </w:tcPr>
          <w:p w14:paraId="0C8586C1">
            <w:pPr>
              <w:jc w:val="center"/>
            </w:pPr>
            <w:r>
              <w:rPr>
                <w:rFonts w:ascii="宋体" w:hAnsi="宋体" w:eastAsia="宋体"/>
                <w:sz w:val="16"/>
              </w:rPr>
              <w:t>8,090.20</w:t>
            </w:r>
          </w:p>
        </w:tc>
        <w:tc>
          <w:tcPr>
            <w:tcW w:w="672" w:type="dxa"/>
            <w:tcBorders>
              <w:top w:val="single" w:color="auto" w:sz="10" w:space="0"/>
              <w:left w:val="single" w:color="auto" w:sz="10" w:space="0"/>
              <w:bottom w:val="single" w:color="auto" w:sz="10" w:space="0"/>
              <w:right w:val="single" w:color="auto" w:sz="10" w:space="0"/>
              <w:insideV w:val="single" w:sz="10" w:space="0"/>
            </w:tcBorders>
            <w:vAlign w:val="center"/>
          </w:tcPr>
          <w:p w14:paraId="2F9E64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1DE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A7FA3">
            <w:pPr>
              <w:jc w:val="center"/>
            </w:pPr>
            <w:r>
              <w:rPr>
                <w:rFonts w:ascii="宋体" w:hAnsi="宋体" w:eastAsia="宋体"/>
                <w:sz w:val="16"/>
              </w:rPr>
              <w:t>-</w:t>
            </w:r>
          </w:p>
        </w:tc>
      </w:tr>
      <w:tr w14:paraId="6D9607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6022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EC4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1485B">
            <w:pPr>
              <w:jc w:val="center"/>
            </w:pPr>
            <w:r>
              <w:rPr>
                <w:rFonts w:ascii="宋体" w:hAnsi="宋体" w:eastAsia="宋体"/>
                <w:sz w:val="16"/>
              </w:rPr>
              <w:t>其他</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5D2C3277">
            <w:pPr>
              <w:jc w:val="center"/>
            </w:pPr>
            <w:r>
              <w:rPr>
                <w:rFonts w:ascii="宋体" w:hAnsi="宋体" w:eastAsia="宋体"/>
                <w:sz w:val="16"/>
              </w:rPr>
              <w:t>0.00</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6AAF73EE">
            <w:pPr>
              <w:jc w:val="center"/>
            </w:pPr>
            <w:r>
              <w:rPr>
                <w:rFonts w:ascii="宋体" w:hAnsi="宋体" w:eastAsia="宋体"/>
                <w:sz w:val="16"/>
              </w:rPr>
              <w:t>0.00</w:t>
            </w:r>
          </w:p>
        </w:tc>
        <w:tc>
          <w:tcPr>
            <w:tcW w:w="1120" w:type="dxa"/>
            <w:tcBorders>
              <w:top w:val="single" w:color="auto" w:sz="10" w:space="0"/>
              <w:left w:val="single" w:color="auto" w:sz="10" w:space="0"/>
              <w:bottom w:val="single" w:color="auto" w:sz="10" w:space="0"/>
              <w:right w:val="single" w:color="auto" w:sz="10" w:space="0"/>
              <w:insideV w:val="single" w:sz="10" w:space="0"/>
            </w:tcBorders>
            <w:vAlign w:val="center"/>
          </w:tcPr>
          <w:p w14:paraId="7DC1C191">
            <w:pPr>
              <w:jc w:val="center"/>
            </w:pPr>
            <w:r>
              <w:rPr>
                <w:rFonts w:ascii="宋体" w:hAnsi="宋体" w:eastAsia="宋体"/>
                <w:sz w:val="16"/>
              </w:rPr>
              <w:t>0.00</w:t>
            </w:r>
          </w:p>
        </w:tc>
        <w:tc>
          <w:tcPr>
            <w:tcW w:w="672" w:type="dxa"/>
            <w:tcBorders>
              <w:top w:val="single" w:color="auto" w:sz="10" w:space="0"/>
              <w:left w:val="single" w:color="auto" w:sz="10" w:space="0"/>
              <w:bottom w:val="single" w:color="auto" w:sz="10" w:space="0"/>
              <w:right w:val="single" w:color="auto" w:sz="10" w:space="0"/>
              <w:insideV w:val="single" w:sz="10" w:space="0"/>
            </w:tcBorders>
            <w:vAlign w:val="center"/>
          </w:tcPr>
          <w:p w14:paraId="410FB4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888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A5E70">
            <w:pPr>
              <w:jc w:val="center"/>
            </w:pPr>
            <w:r>
              <w:rPr>
                <w:rFonts w:ascii="宋体" w:hAnsi="宋体" w:eastAsia="宋体"/>
                <w:sz w:val="16"/>
              </w:rPr>
              <w:t>-</w:t>
            </w:r>
          </w:p>
        </w:tc>
      </w:tr>
      <w:tr w14:paraId="5AACB2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B84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927D5">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24A99">
            <w:pPr>
              <w:jc w:val="center"/>
            </w:pPr>
            <w:r>
              <w:rPr>
                <w:rFonts w:ascii="宋体" w:hAnsi="宋体" w:eastAsia="宋体"/>
                <w:sz w:val="16"/>
              </w:rPr>
              <w:t>-</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15B85750">
            <w:pPr>
              <w:jc w:val="center"/>
            </w:pPr>
            <w:r>
              <w:rPr>
                <w:rFonts w:ascii="宋体" w:hAnsi="宋体" w:eastAsia="宋体"/>
                <w:sz w:val="16"/>
              </w:rPr>
              <w:t>9,736.38</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2ACFE350">
            <w:pPr>
              <w:jc w:val="center"/>
            </w:pPr>
            <w:r>
              <w:rPr>
                <w:rFonts w:ascii="宋体" w:hAnsi="宋体" w:eastAsia="宋体"/>
                <w:sz w:val="16"/>
              </w:rPr>
              <w:t>9,736.38</w:t>
            </w:r>
          </w:p>
        </w:tc>
        <w:tc>
          <w:tcPr>
            <w:tcW w:w="1120" w:type="dxa"/>
            <w:tcBorders>
              <w:top w:val="single" w:color="auto" w:sz="10" w:space="0"/>
              <w:left w:val="single" w:color="auto" w:sz="10" w:space="0"/>
              <w:bottom w:val="single" w:color="auto" w:sz="10" w:space="0"/>
              <w:right w:val="single" w:color="auto" w:sz="10" w:space="0"/>
              <w:insideV w:val="single" w:sz="10" w:space="0"/>
            </w:tcBorders>
            <w:vAlign w:val="center"/>
          </w:tcPr>
          <w:p w14:paraId="260534FE">
            <w:pPr>
              <w:jc w:val="center"/>
            </w:pPr>
            <w:r>
              <w:rPr>
                <w:rFonts w:ascii="宋体" w:hAnsi="宋体" w:eastAsia="宋体"/>
                <w:sz w:val="16"/>
              </w:rPr>
              <w:t>9,466.28</w:t>
            </w:r>
          </w:p>
        </w:tc>
        <w:tc>
          <w:tcPr>
            <w:tcW w:w="672" w:type="dxa"/>
            <w:tcBorders>
              <w:top w:val="single" w:color="auto" w:sz="10" w:space="0"/>
              <w:left w:val="single" w:color="auto" w:sz="10" w:space="0"/>
              <w:bottom w:val="single" w:color="auto" w:sz="10" w:space="0"/>
              <w:right w:val="single" w:color="auto" w:sz="10" w:space="0"/>
              <w:insideV w:val="single" w:sz="10" w:space="0"/>
            </w:tcBorders>
            <w:vAlign w:val="center"/>
          </w:tcPr>
          <w:p w14:paraId="510A45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6CCD7">
            <w:pPr>
              <w:jc w:val="center"/>
            </w:pPr>
            <w:r>
              <w:rPr>
                <w:rFonts w:ascii="宋体" w:hAnsi="宋体" w:eastAsia="宋体"/>
                <w:sz w:val="16"/>
              </w:rPr>
              <w:t>97.23%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29D79">
            <w:pPr>
              <w:jc w:val="center"/>
            </w:pPr>
            <w:r>
              <w:rPr>
                <w:rFonts w:ascii="宋体" w:hAnsi="宋体" w:eastAsia="宋体"/>
                <w:sz w:val="16"/>
              </w:rPr>
              <w:t>9.7</w:t>
            </w:r>
          </w:p>
        </w:tc>
      </w:tr>
      <w:tr w14:paraId="774DE8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91110">
            <w:pPr>
              <w:jc w:val="center"/>
            </w:pPr>
            <w:r>
              <w:rPr>
                <w:rFonts w:ascii="宋体" w:hAnsi="宋体" w:eastAsia="宋体"/>
                <w:sz w:val="16"/>
              </w:rPr>
              <w:t>年度总体目标</w:t>
            </w:r>
          </w:p>
        </w:tc>
        <w:tc>
          <w:tcPr>
            <w:tcW w:w="271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7184AE">
            <w:pPr>
              <w:jc w:val="center"/>
            </w:pPr>
            <w:r>
              <w:rPr>
                <w:rFonts w:ascii="宋体" w:hAnsi="宋体" w:eastAsia="宋体"/>
                <w:sz w:val="16"/>
              </w:rPr>
              <w:t>预期目标</w:t>
            </w:r>
          </w:p>
        </w:tc>
        <w:tc>
          <w:tcPr>
            <w:tcW w:w="515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210230">
            <w:pPr>
              <w:jc w:val="center"/>
            </w:pPr>
            <w:r>
              <w:rPr>
                <w:rFonts w:ascii="宋体" w:hAnsi="宋体" w:eastAsia="宋体"/>
                <w:sz w:val="16"/>
              </w:rPr>
              <w:t>实际完成情况</w:t>
            </w:r>
          </w:p>
        </w:tc>
      </w:tr>
      <w:tr w14:paraId="295FC7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2036F8"/>
        </w:tc>
        <w:tc>
          <w:tcPr>
            <w:tcW w:w="271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9D1C9E">
            <w:pPr>
              <w:jc w:val="both"/>
            </w:pPr>
            <w:r>
              <w:rPr>
                <w:rFonts w:ascii="宋体" w:hAnsi="宋体" w:eastAsia="宋体"/>
                <w:sz w:val="16"/>
              </w:rPr>
              <w:t>单位基本职能：1、保障</w:t>
            </w:r>
            <w:r>
              <w:rPr>
                <w:rFonts w:hint="eastAsia" w:ascii="宋体" w:hAnsi="宋体"/>
                <w:sz w:val="16"/>
                <w:lang w:eastAsia="zh-CN"/>
              </w:rPr>
              <w:t>本单位</w:t>
            </w:r>
            <w:r>
              <w:rPr>
                <w:rFonts w:ascii="宋体" w:hAnsi="宋体" w:eastAsia="宋体"/>
                <w:sz w:val="16"/>
              </w:rPr>
              <w:t>全年教职工的工资、津贴、奖金、离休费、退休人员生活补助、医疗保险、养老保险、住房公积金等开支。以及用于日常办公、业务活动方面的经常性开支，包括：办公费、水电费、取暖费、差旅费、公务用车交通费等。 2、主要职能为认真贯彻落实党和国家的教育方针、政策，正确执行上级主管部门的决议和指示，根据教育规律、社会要求和学校实际，组织制定学校发展的远景规划、近期目标、学年和学期各项工作计划以及各项工作指标并组织实施。 3、制定教师队伍建设规划，不断提高他们的政治素质、文化业务水平和科研水平。 4、全面实施素质教育，培养德、智、体、美等方面全面发展的社会主义事业的建设者和接班人。</w:t>
            </w:r>
          </w:p>
        </w:tc>
        <w:tc>
          <w:tcPr>
            <w:tcW w:w="515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A299D0">
            <w:pPr>
              <w:jc w:val="both"/>
            </w:pPr>
            <w:r>
              <w:rPr>
                <w:rFonts w:ascii="宋体" w:hAnsi="宋体" w:eastAsia="宋体"/>
                <w:sz w:val="16"/>
              </w:rPr>
              <w:t>截止至自评节点，</w:t>
            </w:r>
            <w:r>
              <w:rPr>
                <w:rFonts w:hint="eastAsia" w:ascii="宋体" w:hAnsi="宋体"/>
                <w:sz w:val="16"/>
                <w:lang w:eastAsia="zh-CN"/>
              </w:rPr>
              <w:t>本单位已</w:t>
            </w:r>
            <w:r>
              <w:rPr>
                <w:rFonts w:ascii="宋体" w:hAnsi="宋体" w:eastAsia="宋体"/>
                <w:sz w:val="16"/>
              </w:rPr>
              <w:t>保障学校教职员工工资发放413个人，保障外聘人员工资发放47人，保障学校正常运转1所，开展教研培训工作12次，开展党建工作12次，保障学校学生人数6256人。通过这些业务的实施，不断提高教师的政治素质、文化业务水平和科研水平。全面实施素质教育，培养德、智、体、美等方面全面发展的社会主义事业的建设者和接班人。</w:t>
            </w:r>
          </w:p>
        </w:tc>
      </w:tr>
      <w:tr w14:paraId="1C25B3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6F03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135E5">
            <w:pPr>
              <w:jc w:val="center"/>
            </w:pPr>
            <w:r>
              <w:rPr>
                <w:rFonts w:ascii="宋体" w:hAnsi="宋体" w:eastAsia="宋体"/>
                <w:sz w:val="16"/>
              </w:rPr>
              <w:t>二级指标</w:t>
            </w:r>
          </w:p>
        </w:tc>
        <w:tc>
          <w:tcPr>
            <w:tcW w:w="17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66408">
            <w:pPr>
              <w:jc w:val="center"/>
            </w:pPr>
            <w:r>
              <w:rPr>
                <w:rFonts w:ascii="宋体" w:hAnsi="宋体" w:eastAsia="宋体"/>
                <w:sz w:val="16"/>
              </w:rPr>
              <w:t>三级指标</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47A706BD">
            <w:pPr>
              <w:jc w:val="center"/>
            </w:pPr>
            <w:r>
              <w:rPr>
                <w:rFonts w:ascii="宋体" w:hAnsi="宋体" w:eastAsia="宋体"/>
                <w:sz w:val="16"/>
              </w:rPr>
              <w:t>预期指标值</w:t>
            </w:r>
          </w:p>
        </w:tc>
        <w:tc>
          <w:tcPr>
            <w:tcW w:w="1120" w:type="dxa"/>
            <w:tcBorders>
              <w:top w:val="single" w:color="auto" w:sz="10" w:space="0"/>
              <w:left w:val="single" w:color="auto" w:sz="10" w:space="0"/>
              <w:bottom w:val="single" w:color="auto" w:sz="10" w:space="0"/>
              <w:right w:val="single" w:color="auto" w:sz="10" w:space="0"/>
              <w:insideV w:val="single" w:sz="10" w:space="0"/>
            </w:tcBorders>
            <w:vAlign w:val="center"/>
          </w:tcPr>
          <w:p w14:paraId="02CC1A06">
            <w:pPr>
              <w:jc w:val="center"/>
            </w:pPr>
            <w:r>
              <w:rPr>
                <w:rFonts w:ascii="宋体" w:hAnsi="宋体" w:eastAsia="宋体"/>
                <w:sz w:val="16"/>
              </w:rPr>
              <w:t>指标值设定依据</w:t>
            </w:r>
          </w:p>
        </w:tc>
        <w:tc>
          <w:tcPr>
            <w:tcW w:w="672" w:type="dxa"/>
            <w:tcBorders>
              <w:top w:val="single" w:color="auto" w:sz="10" w:space="0"/>
              <w:left w:val="single" w:color="auto" w:sz="10" w:space="0"/>
              <w:bottom w:val="single" w:color="auto" w:sz="10" w:space="0"/>
              <w:right w:val="single" w:color="auto" w:sz="10" w:space="0"/>
              <w:insideV w:val="single" w:sz="10" w:space="0"/>
            </w:tcBorders>
            <w:vAlign w:val="center"/>
          </w:tcPr>
          <w:p w14:paraId="61F268B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B1865">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1D39F">
            <w:pPr>
              <w:jc w:val="center"/>
            </w:pPr>
            <w:r>
              <w:rPr>
                <w:rFonts w:ascii="宋体" w:hAnsi="宋体" w:eastAsia="宋体"/>
                <w:sz w:val="16"/>
              </w:rPr>
              <w:t>得分</w:t>
            </w:r>
          </w:p>
        </w:tc>
      </w:tr>
      <w:tr w14:paraId="5417BA8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7BDD6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9618C">
            <w:pPr>
              <w:jc w:val="center"/>
            </w:pPr>
            <w:r>
              <w:rPr>
                <w:rFonts w:ascii="宋体" w:hAnsi="宋体" w:eastAsia="宋体"/>
                <w:sz w:val="16"/>
              </w:rPr>
              <w:t>数量指标</w:t>
            </w:r>
          </w:p>
        </w:tc>
        <w:tc>
          <w:tcPr>
            <w:tcW w:w="17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CF3C3">
            <w:pPr>
              <w:jc w:val="center"/>
            </w:pPr>
            <w:r>
              <w:rPr>
                <w:rFonts w:ascii="宋体" w:hAnsi="宋体" w:eastAsia="宋体"/>
                <w:sz w:val="16"/>
              </w:rPr>
              <w:t>保障学校教职员工工资发放</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639F45B1">
            <w:pPr>
              <w:jc w:val="center"/>
            </w:pPr>
            <w:r>
              <w:rPr>
                <w:rFonts w:ascii="宋体" w:hAnsi="宋体" w:eastAsia="宋体"/>
                <w:sz w:val="16"/>
              </w:rPr>
              <w:t>&gt;=413人</w:t>
            </w:r>
          </w:p>
        </w:tc>
        <w:tc>
          <w:tcPr>
            <w:tcW w:w="1120" w:type="dxa"/>
            <w:tcBorders>
              <w:top w:val="single" w:color="auto" w:sz="10" w:space="0"/>
              <w:left w:val="single" w:color="auto" w:sz="10" w:space="0"/>
              <w:bottom w:val="single" w:color="auto" w:sz="10" w:space="0"/>
              <w:right w:val="single" w:color="auto" w:sz="10" w:space="0"/>
              <w:insideV w:val="single" w:sz="10" w:space="0"/>
            </w:tcBorders>
            <w:vAlign w:val="center"/>
          </w:tcPr>
          <w:p w14:paraId="5D1627AE">
            <w:pPr>
              <w:jc w:val="center"/>
            </w:pPr>
            <w:r>
              <w:rPr>
                <w:rFonts w:ascii="宋体" w:hAnsi="宋体" w:eastAsia="宋体"/>
                <w:sz w:val="16"/>
              </w:rPr>
              <w:t>2024年工作计划</w:t>
            </w:r>
          </w:p>
        </w:tc>
        <w:tc>
          <w:tcPr>
            <w:tcW w:w="672" w:type="dxa"/>
            <w:tcBorders>
              <w:top w:val="single" w:color="auto" w:sz="10" w:space="0"/>
              <w:left w:val="single" w:color="auto" w:sz="10" w:space="0"/>
              <w:bottom w:val="single" w:color="auto" w:sz="10" w:space="0"/>
              <w:right w:val="single" w:color="auto" w:sz="10" w:space="0"/>
              <w:insideV w:val="single" w:sz="10" w:space="0"/>
            </w:tcBorders>
            <w:vAlign w:val="center"/>
          </w:tcPr>
          <w:p w14:paraId="11337E3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824AE">
            <w:pPr>
              <w:jc w:val="center"/>
            </w:pPr>
            <w:r>
              <w:rPr>
                <w:rFonts w:ascii="宋体" w:hAnsi="宋体" w:eastAsia="宋体"/>
                <w:sz w:val="16"/>
              </w:rPr>
              <w:t>413人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5A52D">
            <w:pPr>
              <w:jc w:val="center"/>
            </w:pPr>
            <w:r>
              <w:rPr>
                <w:rFonts w:ascii="宋体" w:hAnsi="宋体" w:eastAsia="宋体"/>
                <w:sz w:val="16"/>
              </w:rPr>
              <w:t>20</w:t>
            </w:r>
          </w:p>
        </w:tc>
      </w:tr>
      <w:tr w14:paraId="2B8E9B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EF2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03DEDD"/>
        </w:tc>
        <w:tc>
          <w:tcPr>
            <w:tcW w:w="17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74302">
            <w:pPr>
              <w:jc w:val="center"/>
            </w:pPr>
            <w:r>
              <w:rPr>
                <w:rFonts w:ascii="宋体" w:hAnsi="宋体" w:eastAsia="宋体"/>
                <w:sz w:val="16"/>
              </w:rPr>
              <w:t>保障外聘人员工资发放</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2769E326">
            <w:pPr>
              <w:jc w:val="center"/>
            </w:pPr>
            <w:r>
              <w:rPr>
                <w:rFonts w:ascii="宋体" w:hAnsi="宋体" w:eastAsia="宋体"/>
                <w:sz w:val="16"/>
              </w:rPr>
              <w:t>&gt;=47人</w:t>
            </w:r>
          </w:p>
        </w:tc>
        <w:tc>
          <w:tcPr>
            <w:tcW w:w="1120" w:type="dxa"/>
            <w:tcBorders>
              <w:top w:val="single" w:color="auto" w:sz="10" w:space="0"/>
              <w:left w:val="single" w:color="auto" w:sz="10" w:space="0"/>
              <w:bottom w:val="single" w:color="auto" w:sz="10" w:space="0"/>
              <w:right w:val="single" w:color="auto" w:sz="10" w:space="0"/>
              <w:insideV w:val="single" w:sz="10" w:space="0"/>
            </w:tcBorders>
            <w:vAlign w:val="center"/>
          </w:tcPr>
          <w:p w14:paraId="584783F8">
            <w:pPr>
              <w:jc w:val="center"/>
            </w:pPr>
            <w:r>
              <w:rPr>
                <w:rFonts w:ascii="宋体" w:hAnsi="宋体" w:eastAsia="宋体"/>
                <w:sz w:val="16"/>
              </w:rPr>
              <w:t>2024年工作计划</w:t>
            </w:r>
          </w:p>
        </w:tc>
        <w:tc>
          <w:tcPr>
            <w:tcW w:w="672" w:type="dxa"/>
            <w:tcBorders>
              <w:top w:val="single" w:color="auto" w:sz="10" w:space="0"/>
              <w:left w:val="single" w:color="auto" w:sz="10" w:space="0"/>
              <w:bottom w:val="single" w:color="auto" w:sz="10" w:space="0"/>
              <w:right w:val="single" w:color="auto" w:sz="10" w:space="0"/>
              <w:insideV w:val="single" w:sz="10" w:space="0"/>
            </w:tcBorders>
            <w:vAlign w:val="center"/>
          </w:tcPr>
          <w:p w14:paraId="026046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7A1D8">
            <w:pPr>
              <w:jc w:val="center"/>
            </w:pPr>
            <w:r>
              <w:rPr>
                <w:rFonts w:ascii="宋体" w:hAnsi="宋体" w:eastAsia="宋体"/>
                <w:sz w:val="16"/>
              </w:rPr>
              <w:t>46人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FF5BA">
            <w:pPr>
              <w:jc w:val="center"/>
            </w:pPr>
            <w:r>
              <w:rPr>
                <w:rFonts w:ascii="宋体" w:hAnsi="宋体" w:eastAsia="宋体"/>
                <w:sz w:val="16"/>
              </w:rPr>
              <w:t>10</w:t>
            </w:r>
          </w:p>
        </w:tc>
      </w:tr>
      <w:tr w14:paraId="49CF1A98">
        <w:tblPrEx>
          <w:tblCellMar>
            <w:top w:w="0" w:type="dxa"/>
            <w:left w:w="108" w:type="dxa"/>
            <w:bottom w:w="0" w:type="dxa"/>
            <w:right w:w="108" w:type="dxa"/>
          </w:tblCellMar>
        </w:tblPrEx>
        <w:trPr>
          <w:trHeight w:val="683"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9B1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3648D"/>
        </w:tc>
        <w:tc>
          <w:tcPr>
            <w:tcW w:w="17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481AF">
            <w:pPr>
              <w:jc w:val="center"/>
            </w:pPr>
            <w:r>
              <w:rPr>
                <w:rFonts w:ascii="宋体" w:hAnsi="宋体" w:eastAsia="宋体"/>
                <w:sz w:val="16"/>
              </w:rPr>
              <w:t>保障学校正常运转</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7480009F">
            <w:pPr>
              <w:jc w:val="center"/>
            </w:pPr>
            <w:r>
              <w:rPr>
                <w:rFonts w:ascii="宋体" w:hAnsi="宋体" w:eastAsia="宋体"/>
                <w:sz w:val="16"/>
              </w:rPr>
              <w:t>&gt;=1所</w:t>
            </w:r>
          </w:p>
        </w:tc>
        <w:tc>
          <w:tcPr>
            <w:tcW w:w="1120" w:type="dxa"/>
            <w:tcBorders>
              <w:top w:val="single" w:color="auto" w:sz="10" w:space="0"/>
              <w:left w:val="single" w:color="auto" w:sz="10" w:space="0"/>
              <w:bottom w:val="single" w:color="auto" w:sz="10" w:space="0"/>
              <w:right w:val="single" w:color="auto" w:sz="10" w:space="0"/>
              <w:insideV w:val="single" w:sz="10" w:space="0"/>
            </w:tcBorders>
            <w:vAlign w:val="center"/>
          </w:tcPr>
          <w:p w14:paraId="6852FF0D">
            <w:pPr>
              <w:jc w:val="center"/>
            </w:pPr>
            <w:r>
              <w:rPr>
                <w:rFonts w:ascii="宋体" w:hAnsi="宋体" w:eastAsia="宋体"/>
                <w:sz w:val="16"/>
              </w:rPr>
              <w:t>2024年工作计划</w:t>
            </w:r>
          </w:p>
        </w:tc>
        <w:tc>
          <w:tcPr>
            <w:tcW w:w="672" w:type="dxa"/>
            <w:tcBorders>
              <w:top w:val="single" w:color="auto" w:sz="10" w:space="0"/>
              <w:left w:val="single" w:color="auto" w:sz="10" w:space="0"/>
              <w:bottom w:val="single" w:color="auto" w:sz="10" w:space="0"/>
              <w:right w:val="single" w:color="auto" w:sz="10" w:space="0"/>
              <w:insideV w:val="single" w:sz="10" w:space="0"/>
            </w:tcBorders>
            <w:vAlign w:val="center"/>
          </w:tcPr>
          <w:p w14:paraId="6CCD7B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89248">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1046F">
            <w:pPr>
              <w:jc w:val="center"/>
            </w:pPr>
            <w:r>
              <w:rPr>
                <w:rFonts w:ascii="宋体" w:hAnsi="宋体" w:eastAsia="宋体"/>
                <w:sz w:val="16"/>
              </w:rPr>
              <w:t>10</w:t>
            </w:r>
          </w:p>
        </w:tc>
      </w:tr>
      <w:tr w14:paraId="331113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FF31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876737"/>
        </w:tc>
        <w:tc>
          <w:tcPr>
            <w:tcW w:w="17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8B3AE">
            <w:pPr>
              <w:jc w:val="center"/>
            </w:pPr>
            <w:r>
              <w:rPr>
                <w:rFonts w:ascii="宋体" w:hAnsi="宋体" w:eastAsia="宋体"/>
                <w:sz w:val="16"/>
              </w:rPr>
              <w:t>开展教研培训工作</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24B9ED13">
            <w:pPr>
              <w:jc w:val="center"/>
            </w:pPr>
            <w:r>
              <w:rPr>
                <w:rFonts w:ascii="宋体" w:hAnsi="宋体" w:eastAsia="宋体"/>
                <w:sz w:val="16"/>
              </w:rPr>
              <w:t>&gt;=12次</w:t>
            </w:r>
          </w:p>
        </w:tc>
        <w:tc>
          <w:tcPr>
            <w:tcW w:w="1120" w:type="dxa"/>
            <w:tcBorders>
              <w:top w:val="single" w:color="auto" w:sz="10" w:space="0"/>
              <w:left w:val="single" w:color="auto" w:sz="10" w:space="0"/>
              <w:bottom w:val="single" w:color="auto" w:sz="10" w:space="0"/>
              <w:right w:val="single" w:color="auto" w:sz="10" w:space="0"/>
              <w:insideV w:val="single" w:sz="10" w:space="0"/>
            </w:tcBorders>
            <w:vAlign w:val="center"/>
          </w:tcPr>
          <w:p w14:paraId="09CA50CC">
            <w:pPr>
              <w:jc w:val="center"/>
            </w:pPr>
            <w:r>
              <w:rPr>
                <w:rFonts w:ascii="宋体" w:hAnsi="宋体" w:eastAsia="宋体"/>
                <w:sz w:val="16"/>
              </w:rPr>
              <w:t>2024年工作计划</w:t>
            </w:r>
          </w:p>
        </w:tc>
        <w:tc>
          <w:tcPr>
            <w:tcW w:w="672" w:type="dxa"/>
            <w:tcBorders>
              <w:top w:val="single" w:color="auto" w:sz="10" w:space="0"/>
              <w:left w:val="single" w:color="auto" w:sz="10" w:space="0"/>
              <w:bottom w:val="single" w:color="auto" w:sz="10" w:space="0"/>
              <w:right w:val="single" w:color="auto" w:sz="10" w:space="0"/>
              <w:insideV w:val="single" w:sz="10" w:space="0"/>
            </w:tcBorders>
            <w:vAlign w:val="center"/>
          </w:tcPr>
          <w:p w14:paraId="4DCBB7B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EB7F3">
            <w:pPr>
              <w:jc w:val="center"/>
            </w:pPr>
            <w:r>
              <w:rPr>
                <w:rFonts w:ascii="宋体" w:hAnsi="宋体" w:eastAsia="宋体"/>
                <w:sz w:val="16"/>
              </w:rPr>
              <w:t>11次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B4F3B">
            <w:pPr>
              <w:jc w:val="center"/>
            </w:pPr>
            <w:r>
              <w:rPr>
                <w:rFonts w:ascii="宋体" w:hAnsi="宋体" w:eastAsia="宋体"/>
                <w:sz w:val="16"/>
              </w:rPr>
              <w:t>20</w:t>
            </w:r>
          </w:p>
        </w:tc>
      </w:tr>
      <w:tr w14:paraId="525FA7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5EDA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DD2C1D"/>
        </w:tc>
        <w:tc>
          <w:tcPr>
            <w:tcW w:w="17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E4020">
            <w:pPr>
              <w:jc w:val="center"/>
            </w:pPr>
            <w:r>
              <w:rPr>
                <w:rFonts w:ascii="宋体" w:hAnsi="宋体" w:eastAsia="宋体"/>
                <w:sz w:val="16"/>
              </w:rPr>
              <w:t>开展党建工作</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4D79456A">
            <w:pPr>
              <w:jc w:val="center"/>
            </w:pPr>
            <w:r>
              <w:rPr>
                <w:rFonts w:ascii="宋体" w:hAnsi="宋体" w:eastAsia="宋体"/>
                <w:sz w:val="16"/>
              </w:rPr>
              <w:t>&gt;=12次</w:t>
            </w:r>
          </w:p>
        </w:tc>
        <w:tc>
          <w:tcPr>
            <w:tcW w:w="1120" w:type="dxa"/>
            <w:tcBorders>
              <w:top w:val="single" w:color="auto" w:sz="10" w:space="0"/>
              <w:left w:val="single" w:color="auto" w:sz="10" w:space="0"/>
              <w:bottom w:val="single" w:color="auto" w:sz="10" w:space="0"/>
              <w:right w:val="single" w:color="auto" w:sz="10" w:space="0"/>
              <w:insideV w:val="single" w:sz="10" w:space="0"/>
            </w:tcBorders>
            <w:vAlign w:val="center"/>
          </w:tcPr>
          <w:p w14:paraId="640AA270">
            <w:pPr>
              <w:jc w:val="center"/>
            </w:pPr>
            <w:r>
              <w:rPr>
                <w:rFonts w:ascii="宋体" w:hAnsi="宋体" w:eastAsia="宋体"/>
                <w:sz w:val="16"/>
              </w:rPr>
              <w:t>2024年工作计划</w:t>
            </w:r>
          </w:p>
        </w:tc>
        <w:tc>
          <w:tcPr>
            <w:tcW w:w="672" w:type="dxa"/>
            <w:tcBorders>
              <w:top w:val="single" w:color="auto" w:sz="10" w:space="0"/>
              <w:left w:val="single" w:color="auto" w:sz="10" w:space="0"/>
              <w:bottom w:val="single" w:color="auto" w:sz="10" w:space="0"/>
              <w:right w:val="single" w:color="auto" w:sz="10" w:space="0"/>
              <w:insideV w:val="single" w:sz="10" w:space="0"/>
            </w:tcBorders>
            <w:vAlign w:val="center"/>
          </w:tcPr>
          <w:p w14:paraId="26D1CF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2BDC9">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2B04E">
            <w:pPr>
              <w:jc w:val="center"/>
            </w:pPr>
            <w:r>
              <w:rPr>
                <w:rFonts w:ascii="宋体" w:hAnsi="宋体" w:eastAsia="宋体"/>
                <w:sz w:val="16"/>
              </w:rPr>
              <w:t>10</w:t>
            </w:r>
          </w:p>
        </w:tc>
      </w:tr>
      <w:tr w14:paraId="55780D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374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92D211"/>
        </w:tc>
        <w:tc>
          <w:tcPr>
            <w:tcW w:w="17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870EF">
            <w:pPr>
              <w:jc w:val="center"/>
            </w:pPr>
            <w:r>
              <w:rPr>
                <w:rFonts w:ascii="宋体" w:hAnsi="宋体" w:eastAsia="宋体"/>
                <w:sz w:val="16"/>
              </w:rPr>
              <w:t>保障学校学生人数</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54FCEACC">
            <w:pPr>
              <w:jc w:val="center"/>
            </w:pPr>
            <w:r>
              <w:rPr>
                <w:rFonts w:ascii="宋体" w:hAnsi="宋体" w:eastAsia="宋体"/>
                <w:sz w:val="16"/>
              </w:rPr>
              <w:t>&gt;=6256人</w:t>
            </w:r>
          </w:p>
        </w:tc>
        <w:tc>
          <w:tcPr>
            <w:tcW w:w="1120" w:type="dxa"/>
            <w:tcBorders>
              <w:top w:val="single" w:color="auto" w:sz="10" w:space="0"/>
              <w:left w:val="single" w:color="auto" w:sz="10" w:space="0"/>
              <w:bottom w:val="single" w:color="auto" w:sz="10" w:space="0"/>
              <w:right w:val="single" w:color="auto" w:sz="10" w:space="0"/>
              <w:insideV w:val="single" w:sz="10" w:space="0"/>
            </w:tcBorders>
            <w:vAlign w:val="center"/>
          </w:tcPr>
          <w:p w14:paraId="1421A769">
            <w:pPr>
              <w:jc w:val="center"/>
            </w:pPr>
            <w:r>
              <w:rPr>
                <w:rFonts w:ascii="宋体" w:hAnsi="宋体" w:eastAsia="宋体"/>
                <w:sz w:val="16"/>
              </w:rPr>
              <w:t>2024年工作计划</w:t>
            </w:r>
          </w:p>
        </w:tc>
        <w:tc>
          <w:tcPr>
            <w:tcW w:w="672" w:type="dxa"/>
            <w:tcBorders>
              <w:top w:val="single" w:color="auto" w:sz="10" w:space="0"/>
              <w:left w:val="single" w:color="auto" w:sz="10" w:space="0"/>
              <w:bottom w:val="single" w:color="auto" w:sz="10" w:space="0"/>
              <w:right w:val="single" w:color="auto" w:sz="10" w:space="0"/>
              <w:insideV w:val="single" w:sz="10" w:space="0"/>
            </w:tcBorders>
            <w:vAlign w:val="center"/>
          </w:tcPr>
          <w:p w14:paraId="0BA0441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73DBB">
            <w:pPr>
              <w:jc w:val="center"/>
            </w:pPr>
            <w:r>
              <w:rPr>
                <w:rFonts w:ascii="宋体" w:hAnsi="宋体" w:eastAsia="宋体"/>
                <w:sz w:val="16"/>
              </w:rPr>
              <w:t>6256人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00521">
            <w:pPr>
              <w:jc w:val="center"/>
            </w:pPr>
            <w:r>
              <w:rPr>
                <w:rFonts w:ascii="宋体" w:hAnsi="宋体" w:eastAsia="宋体"/>
                <w:sz w:val="16"/>
              </w:rPr>
              <w:t>20</w:t>
            </w:r>
          </w:p>
        </w:tc>
      </w:tr>
    </w:tbl>
    <w:p w14:paraId="5ECEA65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5D78D5B">
        <w:tblPrEx>
          <w:tblCellMar>
            <w:top w:w="0" w:type="dxa"/>
            <w:left w:w="108" w:type="dxa"/>
            <w:bottom w:w="0" w:type="dxa"/>
            <w:right w:w="108" w:type="dxa"/>
          </w:tblCellMar>
        </w:tblPrEx>
        <w:tc>
          <w:tcPr>
            <w:tcW w:w="8847" w:type="dxa"/>
            <w:gridSpan w:val="9"/>
            <w:vAlign w:val="center"/>
          </w:tcPr>
          <w:p w14:paraId="53DF624B">
            <w:pPr>
              <w:jc w:val="center"/>
            </w:pPr>
            <w:r>
              <w:rPr>
                <w:rFonts w:ascii="宋体" w:hAnsi="宋体" w:eastAsia="宋体"/>
                <w:sz w:val="24"/>
              </w:rPr>
              <w:t>项目支出绩效自评表</w:t>
            </w:r>
          </w:p>
        </w:tc>
      </w:tr>
      <w:tr w14:paraId="04AD6A09">
        <w:tblPrEx>
          <w:tblCellMar>
            <w:top w:w="0" w:type="dxa"/>
            <w:left w:w="108" w:type="dxa"/>
            <w:bottom w:w="0" w:type="dxa"/>
            <w:right w:w="108" w:type="dxa"/>
          </w:tblCellMar>
        </w:tblPrEx>
        <w:tc>
          <w:tcPr>
            <w:tcW w:w="8847" w:type="dxa"/>
            <w:gridSpan w:val="9"/>
            <w:vAlign w:val="center"/>
          </w:tcPr>
          <w:p w14:paraId="24302EC2">
            <w:pPr>
              <w:jc w:val="center"/>
            </w:pPr>
            <w:r>
              <w:rPr>
                <w:rFonts w:ascii="宋体" w:hAnsi="宋体" w:eastAsia="宋体"/>
                <w:sz w:val="24"/>
              </w:rPr>
              <w:t>(2024年度)</w:t>
            </w:r>
          </w:p>
        </w:tc>
      </w:tr>
      <w:tr w14:paraId="6EAA451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9D2D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AFFCEA">
            <w:pPr>
              <w:jc w:val="center"/>
            </w:pPr>
            <w:r>
              <w:rPr>
                <w:rFonts w:ascii="宋体" w:hAnsi="宋体" w:eastAsia="宋体"/>
                <w:sz w:val="16"/>
              </w:rPr>
              <w:t>《2024年自治区第二批学生资助补助经费-高中助学金》（和地财教</w:t>
            </w:r>
            <w:r>
              <w:rPr>
                <w:rFonts w:hint="eastAsia" w:ascii="宋体" w:hAnsi="宋体"/>
                <w:sz w:val="16"/>
                <w:lang w:eastAsia="zh-CN"/>
              </w:rPr>
              <w:t>〔2024〕58号</w:t>
            </w:r>
            <w:r>
              <w:rPr>
                <w:rFonts w:ascii="宋体" w:hAnsi="宋体" w:eastAsia="宋体"/>
                <w:sz w:val="16"/>
              </w:rPr>
              <w:t>）</w:t>
            </w:r>
          </w:p>
        </w:tc>
      </w:tr>
      <w:tr w14:paraId="343B1DD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8DEF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7D1F78">
            <w:pPr>
              <w:jc w:val="center"/>
            </w:pPr>
            <w:r>
              <w:rPr>
                <w:rFonts w:ascii="宋体" w:hAnsi="宋体" w:eastAsia="宋体"/>
                <w:sz w:val="16"/>
              </w:rPr>
              <w:t>洛浦县第一中学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4610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EB49CB">
            <w:pPr>
              <w:jc w:val="center"/>
            </w:pPr>
            <w:r>
              <w:rPr>
                <w:rFonts w:ascii="宋体" w:hAnsi="宋体" w:eastAsia="宋体"/>
                <w:sz w:val="16"/>
              </w:rPr>
              <w:t>洛浦县第一中学</w:t>
            </w:r>
          </w:p>
        </w:tc>
      </w:tr>
      <w:tr w14:paraId="040C046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A962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041F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9B8B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CDEF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FFA9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0A90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38AB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8739D">
            <w:pPr>
              <w:jc w:val="center"/>
            </w:pPr>
            <w:r>
              <w:rPr>
                <w:rFonts w:ascii="宋体" w:hAnsi="宋体" w:eastAsia="宋体"/>
                <w:sz w:val="16"/>
              </w:rPr>
              <w:t>得分</w:t>
            </w:r>
          </w:p>
        </w:tc>
      </w:tr>
      <w:tr w14:paraId="74C778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0D7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5A15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93F2D">
            <w:pPr>
              <w:jc w:val="center"/>
            </w:pPr>
            <w:r>
              <w:rPr>
                <w:rFonts w:ascii="宋体" w:hAnsi="宋体" w:eastAsia="宋体"/>
                <w:sz w:val="16"/>
              </w:rPr>
              <w:t>65.81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17EF4">
            <w:pPr>
              <w:jc w:val="center"/>
            </w:pPr>
            <w:r>
              <w:rPr>
                <w:rFonts w:ascii="宋体" w:hAnsi="宋体" w:eastAsia="宋体"/>
                <w:sz w:val="16"/>
              </w:rPr>
              <w:t>65.81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915E8">
            <w:pPr>
              <w:jc w:val="center"/>
            </w:pPr>
            <w:r>
              <w:rPr>
                <w:rFonts w:ascii="宋体" w:hAnsi="宋体" w:eastAsia="宋体"/>
                <w:sz w:val="16"/>
              </w:rPr>
              <w:t>65.81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46B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7EBB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16F9E">
            <w:pPr>
              <w:jc w:val="center"/>
            </w:pPr>
            <w:r>
              <w:rPr>
                <w:rFonts w:ascii="宋体" w:hAnsi="宋体" w:eastAsia="宋体"/>
                <w:sz w:val="16"/>
              </w:rPr>
              <w:t>10.00分</w:t>
            </w:r>
          </w:p>
        </w:tc>
      </w:tr>
      <w:tr w14:paraId="4FD996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A3DB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6D02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0762A">
            <w:pPr>
              <w:jc w:val="center"/>
            </w:pPr>
            <w:r>
              <w:rPr>
                <w:rFonts w:ascii="宋体" w:hAnsi="宋体" w:eastAsia="宋体"/>
                <w:sz w:val="16"/>
              </w:rPr>
              <w:t>65.81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D5492">
            <w:pPr>
              <w:jc w:val="center"/>
            </w:pPr>
            <w:r>
              <w:rPr>
                <w:rFonts w:ascii="宋体" w:hAnsi="宋体" w:eastAsia="宋体"/>
                <w:sz w:val="16"/>
              </w:rPr>
              <w:t>65.81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1B9CD">
            <w:pPr>
              <w:jc w:val="center"/>
            </w:pPr>
            <w:r>
              <w:rPr>
                <w:rFonts w:ascii="宋体" w:hAnsi="宋体" w:eastAsia="宋体"/>
                <w:sz w:val="16"/>
              </w:rPr>
              <w:t>65.81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C8B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1E5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3D64F">
            <w:pPr>
              <w:jc w:val="center"/>
            </w:pPr>
            <w:r>
              <w:rPr>
                <w:rFonts w:ascii="宋体" w:hAnsi="宋体" w:eastAsia="宋体"/>
                <w:sz w:val="16"/>
              </w:rPr>
              <w:t>—</w:t>
            </w:r>
          </w:p>
        </w:tc>
      </w:tr>
      <w:tr w14:paraId="584278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E5E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A390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E60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626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6F2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B18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88B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167AE">
            <w:pPr>
              <w:jc w:val="center"/>
            </w:pPr>
            <w:r>
              <w:rPr>
                <w:rFonts w:ascii="宋体" w:hAnsi="宋体" w:eastAsia="宋体"/>
                <w:sz w:val="16"/>
              </w:rPr>
              <w:t>—</w:t>
            </w:r>
          </w:p>
        </w:tc>
      </w:tr>
      <w:tr w14:paraId="1A665C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9767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ED7A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692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C5F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ED4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E93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888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E7648">
            <w:pPr>
              <w:jc w:val="center"/>
            </w:pPr>
            <w:r>
              <w:rPr>
                <w:rFonts w:ascii="宋体" w:hAnsi="宋体" w:eastAsia="宋体"/>
                <w:sz w:val="16"/>
              </w:rPr>
              <w:t>—</w:t>
            </w:r>
          </w:p>
        </w:tc>
      </w:tr>
      <w:tr w14:paraId="26362B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B2C8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F4B4F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E73F89">
            <w:pPr>
              <w:jc w:val="center"/>
            </w:pPr>
            <w:r>
              <w:rPr>
                <w:rFonts w:ascii="宋体" w:hAnsi="宋体" w:eastAsia="宋体"/>
                <w:sz w:val="16"/>
              </w:rPr>
              <w:t>实际完成情况</w:t>
            </w:r>
          </w:p>
        </w:tc>
      </w:tr>
      <w:tr w14:paraId="00D4A3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3C2F8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11DB74">
            <w:pPr>
              <w:jc w:val="both"/>
            </w:pPr>
            <w:r>
              <w:rPr>
                <w:rFonts w:ascii="宋体" w:hAnsi="宋体" w:eastAsia="宋体"/>
                <w:sz w:val="16"/>
              </w:rPr>
              <w:t>根据《2024年自治区第二批学生资助补助经费-高中助学金》（和地财教</w:t>
            </w:r>
            <w:r>
              <w:rPr>
                <w:rFonts w:hint="eastAsia" w:ascii="宋体" w:hAnsi="宋体"/>
                <w:sz w:val="16"/>
                <w:lang w:eastAsia="zh-CN"/>
              </w:rPr>
              <w:t>〔2024〕58号</w:t>
            </w:r>
            <w:r>
              <w:rPr>
                <w:rFonts w:ascii="宋体" w:hAnsi="宋体" w:eastAsia="宋体"/>
                <w:sz w:val="16"/>
              </w:rPr>
              <w:t>）文件落实的项目,项目主要内容为：保障6256名学生助学金按时发放，人均补助105.19/人，通过本项目的实施，减轻普通高中学生经济压力，持续保障学校日常工作正常运行。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9319C7">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享受免学费，助学金学生人数6256人，资金已使用65.81万元。通过项目实施，有效保障家庭经济困难学生生活水平，同时减轻学校建档立卡学生家庭教育负担，使生活家庭经济困难学生接受公平而有质量的教育。减轻普通高中学生经济压力，持续保障学校日常工作正常运行</w:t>
            </w:r>
          </w:p>
        </w:tc>
      </w:tr>
      <w:tr w14:paraId="18A06E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C3B66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A81B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19DD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BB5E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9F12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841C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D9B5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69A9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DDB8E">
            <w:pPr>
              <w:jc w:val="center"/>
            </w:pPr>
            <w:r>
              <w:rPr>
                <w:rFonts w:ascii="宋体" w:hAnsi="宋体" w:eastAsia="宋体"/>
                <w:sz w:val="16"/>
              </w:rPr>
              <w:t>偏差原因分析及改进措施</w:t>
            </w:r>
          </w:p>
        </w:tc>
      </w:tr>
      <w:tr w14:paraId="11BCEA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23DF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CF62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8A1B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F301D">
            <w:pPr>
              <w:jc w:val="center"/>
            </w:pPr>
            <w:r>
              <w:rPr>
                <w:rFonts w:ascii="宋体" w:hAnsi="宋体" w:eastAsia="宋体"/>
                <w:sz w:val="16"/>
              </w:rPr>
              <w:t>补助学生人数（人）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C326C">
            <w:pPr>
              <w:jc w:val="center"/>
            </w:pPr>
            <w:r>
              <w:rPr>
                <w:rFonts w:ascii="宋体" w:hAnsi="宋体" w:eastAsia="宋体"/>
                <w:sz w:val="16"/>
              </w:rPr>
              <w:t>&gt;=6256人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75FDB">
            <w:pPr>
              <w:jc w:val="center"/>
            </w:pPr>
            <w:r>
              <w:rPr>
                <w:rFonts w:ascii="宋体" w:hAnsi="宋体" w:eastAsia="宋体"/>
                <w:sz w:val="16"/>
              </w:rPr>
              <w:t>=6256人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7484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D68B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8DDF3">
            <w:pPr>
              <w:jc w:val="center"/>
            </w:pPr>
          </w:p>
        </w:tc>
      </w:tr>
      <w:tr w14:paraId="5E7B52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B1F7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848E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61CD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88CA6">
            <w:pPr>
              <w:jc w:val="center"/>
            </w:pPr>
            <w:r>
              <w:rPr>
                <w:rFonts w:ascii="宋体" w:hAnsi="宋体" w:eastAsia="宋体"/>
                <w:sz w:val="16"/>
              </w:rPr>
              <w:t>普通高中国家助学金受助学生数占应受助学生数比例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AAD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9B8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F4E2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CD27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D5582">
            <w:pPr>
              <w:jc w:val="center"/>
            </w:pPr>
          </w:p>
        </w:tc>
      </w:tr>
      <w:tr w14:paraId="1457ED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8790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EB5B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2823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59BD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80A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532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A266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703D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13BD9">
            <w:pPr>
              <w:jc w:val="center"/>
            </w:pPr>
          </w:p>
        </w:tc>
      </w:tr>
      <w:tr w14:paraId="049D71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2FC6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44D3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B325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4FCAC">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2E3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19F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DC6E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A8BD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0EEBB">
            <w:pPr>
              <w:jc w:val="center"/>
            </w:pPr>
          </w:p>
        </w:tc>
      </w:tr>
      <w:tr w14:paraId="6309E6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F7EE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2E280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D046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A11A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B8B9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3CA2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339A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737E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9F50C">
            <w:pPr>
              <w:jc w:val="center"/>
            </w:pPr>
          </w:p>
        </w:tc>
      </w:tr>
      <w:tr w14:paraId="3DC3CE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A347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F77A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1E5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FC563">
            <w:pPr>
              <w:jc w:val="center"/>
            </w:pPr>
            <w:r>
              <w:rPr>
                <w:rFonts w:ascii="宋体" w:hAnsi="宋体" w:eastAsia="宋体"/>
                <w:sz w:val="16"/>
              </w:rPr>
              <w:t>助学金按规定及时发放率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3AA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3E5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3D95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E95A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20C2D">
            <w:pPr>
              <w:jc w:val="center"/>
            </w:pPr>
          </w:p>
        </w:tc>
      </w:tr>
      <w:tr w14:paraId="6DCFB8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6A6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C2A3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0D5C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A176F">
            <w:pPr>
              <w:jc w:val="center"/>
            </w:pPr>
            <w:r>
              <w:rPr>
                <w:rFonts w:ascii="宋体" w:hAnsi="宋体" w:eastAsia="宋体"/>
                <w:sz w:val="16"/>
              </w:rPr>
              <w:t>人均补助标准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E7F18">
            <w:pPr>
              <w:jc w:val="center"/>
            </w:pPr>
            <w:r>
              <w:rPr>
                <w:rFonts w:ascii="宋体" w:hAnsi="宋体" w:eastAsia="宋体"/>
                <w:sz w:val="16"/>
              </w:rPr>
              <w:t>=105.19元/人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7235A">
            <w:pPr>
              <w:jc w:val="center"/>
            </w:pPr>
            <w:r>
              <w:rPr>
                <w:rFonts w:ascii="宋体" w:hAnsi="宋体" w:eastAsia="宋体"/>
                <w:sz w:val="16"/>
              </w:rPr>
              <w:t>=105.19元/人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FCF8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01D4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4793F">
            <w:pPr>
              <w:jc w:val="center"/>
            </w:pPr>
          </w:p>
        </w:tc>
      </w:tr>
      <w:tr w14:paraId="1D0EBC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7EFC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0035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C6F4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D0AB4">
            <w:pPr>
              <w:jc w:val="center"/>
            </w:pPr>
            <w:r>
              <w:rPr>
                <w:rFonts w:ascii="宋体" w:hAnsi="宋体" w:eastAsia="宋体"/>
                <w:sz w:val="16"/>
              </w:rPr>
              <w:t>减轻普通高中学生经济压力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0241B">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21AFC">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A28B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76D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73714">
            <w:pPr>
              <w:jc w:val="center"/>
            </w:pPr>
          </w:p>
        </w:tc>
      </w:tr>
      <w:tr w14:paraId="06AF9B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D709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53D5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145E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4A5B2">
            <w:pPr>
              <w:jc w:val="center"/>
            </w:pPr>
            <w:r>
              <w:rPr>
                <w:rFonts w:ascii="宋体" w:hAnsi="宋体" w:eastAsia="宋体"/>
                <w:sz w:val="16"/>
              </w:rPr>
              <w:t>学生、家长抽样调查满意度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68BAE">
            <w:pPr>
              <w:jc w:val="center"/>
            </w:pPr>
            <w:r>
              <w:rPr>
                <w:rFonts w:ascii="宋体" w:hAnsi="宋体" w:eastAsia="宋体"/>
                <w:sz w:val="16"/>
              </w:rPr>
              <w:t>&lt;=95%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43B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ECF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415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CA320">
            <w:pPr>
              <w:jc w:val="center"/>
            </w:pPr>
          </w:p>
        </w:tc>
      </w:tr>
      <w:tr w14:paraId="3757428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261AF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E26E2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F71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34B6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C5116D7"/>
        </w:tc>
      </w:tr>
    </w:tbl>
    <w:p w14:paraId="3EBE1FA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D40893C">
        <w:tblPrEx>
          <w:tblCellMar>
            <w:top w:w="0" w:type="dxa"/>
            <w:left w:w="108" w:type="dxa"/>
            <w:bottom w:w="0" w:type="dxa"/>
            <w:right w:w="108" w:type="dxa"/>
          </w:tblCellMar>
        </w:tblPrEx>
        <w:tc>
          <w:tcPr>
            <w:tcW w:w="8847" w:type="dxa"/>
            <w:gridSpan w:val="9"/>
            <w:vAlign w:val="center"/>
          </w:tcPr>
          <w:p w14:paraId="03F40859">
            <w:pPr>
              <w:jc w:val="center"/>
            </w:pPr>
            <w:r>
              <w:rPr>
                <w:rFonts w:ascii="宋体" w:hAnsi="宋体" w:eastAsia="宋体"/>
                <w:sz w:val="24"/>
              </w:rPr>
              <w:t>项目支出绩效自评表</w:t>
            </w:r>
          </w:p>
        </w:tc>
      </w:tr>
      <w:tr w14:paraId="45C8BB89">
        <w:tblPrEx>
          <w:tblCellMar>
            <w:top w:w="0" w:type="dxa"/>
            <w:left w:w="108" w:type="dxa"/>
            <w:bottom w:w="0" w:type="dxa"/>
            <w:right w:w="108" w:type="dxa"/>
          </w:tblCellMar>
        </w:tblPrEx>
        <w:tc>
          <w:tcPr>
            <w:tcW w:w="8847" w:type="dxa"/>
            <w:gridSpan w:val="9"/>
            <w:vAlign w:val="center"/>
          </w:tcPr>
          <w:p w14:paraId="213875E8">
            <w:pPr>
              <w:jc w:val="center"/>
            </w:pPr>
            <w:r>
              <w:rPr>
                <w:rFonts w:ascii="宋体" w:hAnsi="宋体" w:eastAsia="宋体"/>
                <w:sz w:val="24"/>
              </w:rPr>
              <w:t>(2024年度)</w:t>
            </w:r>
          </w:p>
        </w:tc>
      </w:tr>
      <w:tr w14:paraId="1BF735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FFAB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C0F5DC">
            <w:pPr>
              <w:jc w:val="center"/>
            </w:pPr>
            <w:r>
              <w:rPr>
                <w:rFonts w:ascii="宋体" w:hAnsi="宋体" w:eastAsia="宋体"/>
                <w:sz w:val="16"/>
              </w:rPr>
              <w:t>中央直达资金-和地财教</w:t>
            </w:r>
            <w:r>
              <w:rPr>
                <w:rFonts w:hint="eastAsia" w:ascii="宋体" w:hAnsi="宋体"/>
                <w:sz w:val="16"/>
                <w:lang w:eastAsia="zh-CN"/>
              </w:rPr>
              <w:t>〔2024〕11号</w:t>
            </w:r>
            <w:r>
              <w:rPr>
                <w:rFonts w:ascii="宋体" w:hAnsi="宋体" w:eastAsia="宋体"/>
                <w:sz w:val="16"/>
              </w:rPr>
              <w:t>-2024年学生资助补助经费预算（第二批）中央直达</w:t>
            </w:r>
            <w:r>
              <w:rPr>
                <w:rFonts w:hint="eastAsia" w:ascii="宋体" w:hAnsi="宋体"/>
                <w:sz w:val="16"/>
                <w:lang w:eastAsia="zh-CN"/>
              </w:rPr>
              <w:t>资金</w:t>
            </w:r>
          </w:p>
        </w:tc>
      </w:tr>
      <w:tr w14:paraId="47BEA74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735B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87DDBC">
            <w:pPr>
              <w:jc w:val="center"/>
            </w:pPr>
            <w:r>
              <w:rPr>
                <w:rFonts w:ascii="宋体" w:hAnsi="宋体" w:eastAsia="宋体"/>
                <w:sz w:val="16"/>
              </w:rPr>
              <w:t>洛浦县第一中学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D2D1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C12B71">
            <w:pPr>
              <w:jc w:val="center"/>
            </w:pPr>
            <w:r>
              <w:rPr>
                <w:rFonts w:ascii="宋体" w:hAnsi="宋体" w:eastAsia="宋体"/>
                <w:sz w:val="16"/>
              </w:rPr>
              <w:t>洛浦县第一中学</w:t>
            </w:r>
          </w:p>
        </w:tc>
      </w:tr>
      <w:tr w14:paraId="0D35F7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CC48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8164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4202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BF4E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703B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B4FC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E4AA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6654F">
            <w:pPr>
              <w:jc w:val="center"/>
            </w:pPr>
            <w:r>
              <w:rPr>
                <w:rFonts w:ascii="宋体" w:hAnsi="宋体" w:eastAsia="宋体"/>
                <w:sz w:val="16"/>
              </w:rPr>
              <w:t>得分</w:t>
            </w:r>
          </w:p>
        </w:tc>
      </w:tr>
      <w:tr w14:paraId="5AB6CC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484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F76D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48388">
            <w:pPr>
              <w:jc w:val="center"/>
            </w:pPr>
            <w:r>
              <w:rPr>
                <w:rFonts w:ascii="宋体" w:hAnsi="宋体" w:eastAsia="宋体"/>
                <w:sz w:val="16"/>
              </w:rPr>
              <w:t>450.00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0F816">
            <w:pPr>
              <w:jc w:val="center"/>
            </w:pPr>
            <w:r>
              <w:rPr>
                <w:rFonts w:ascii="宋体" w:hAnsi="宋体" w:eastAsia="宋体"/>
                <w:sz w:val="16"/>
              </w:rPr>
              <w:t>450.00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33826">
            <w:pPr>
              <w:jc w:val="center"/>
            </w:pPr>
            <w:r>
              <w:rPr>
                <w:rFonts w:ascii="宋体" w:hAnsi="宋体" w:eastAsia="宋体"/>
                <w:sz w:val="16"/>
              </w:rPr>
              <w:t>450.00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BD7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DC68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C1333">
            <w:pPr>
              <w:jc w:val="center"/>
            </w:pPr>
            <w:r>
              <w:rPr>
                <w:rFonts w:ascii="宋体" w:hAnsi="宋体" w:eastAsia="宋体"/>
                <w:sz w:val="16"/>
              </w:rPr>
              <w:t>10.00分</w:t>
            </w:r>
          </w:p>
        </w:tc>
      </w:tr>
      <w:tr w14:paraId="44076E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A85F8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879A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B7B88">
            <w:pPr>
              <w:jc w:val="center"/>
            </w:pPr>
            <w:r>
              <w:rPr>
                <w:rFonts w:ascii="宋体" w:hAnsi="宋体" w:eastAsia="宋体"/>
                <w:sz w:val="16"/>
              </w:rPr>
              <w:t>450.00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F464B">
            <w:pPr>
              <w:jc w:val="center"/>
            </w:pPr>
            <w:r>
              <w:rPr>
                <w:rFonts w:ascii="宋体" w:hAnsi="宋体" w:eastAsia="宋体"/>
                <w:sz w:val="16"/>
              </w:rPr>
              <w:t>450.00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5E4AF">
            <w:pPr>
              <w:jc w:val="center"/>
            </w:pPr>
            <w:r>
              <w:rPr>
                <w:rFonts w:ascii="宋体" w:hAnsi="宋体" w:eastAsia="宋体"/>
                <w:sz w:val="16"/>
              </w:rPr>
              <w:t>450.00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032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BF5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C7C88">
            <w:pPr>
              <w:jc w:val="center"/>
            </w:pPr>
            <w:r>
              <w:rPr>
                <w:rFonts w:ascii="宋体" w:hAnsi="宋体" w:eastAsia="宋体"/>
                <w:sz w:val="16"/>
              </w:rPr>
              <w:t>—</w:t>
            </w:r>
          </w:p>
        </w:tc>
      </w:tr>
      <w:tr w14:paraId="2FBD07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932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0B36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CF8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12D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0F9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B4A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31C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5AB16">
            <w:pPr>
              <w:jc w:val="center"/>
            </w:pPr>
            <w:r>
              <w:rPr>
                <w:rFonts w:ascii="宋体" w:hAnsi="宋体" w:eastAsia="宋体"/>
                <w:sz w:val="16"/>
              </w:rPr>
              <w:t>—</w:t>
            </w:r>
          </w:p>
        </w:tc>
      </w:tr>
      <w:tr w14:paraId="020E7B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E145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5F52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CB1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AEA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46B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742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5D7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EA71D">
            <w:pPr>
              <w:jc w:val="center"/>
            </w:pPr>
            <w:r>
              <w:rPr>
                <w:rFonts w:ascii="宋体" w:hAnsi="宋体" w:eastAsia="宋体"/>
                <w:sz w:val="16"/>
              </w:rPr>
              <w:t>—</w:t>
            </w:r>
          </w:p>
        </w:tc>
      </w:tr>
      <w:tr w14:paraId="00CE1D9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5C48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9FE47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7B2427">
            <w:pPr>
              <w:jc w:val="center"/>
            </w:pPr>
            <w:r>
              <w:rPr>
                <w:rFonts w:ascii="宋体" w:hAnsi="宋体" w:eastAsia="宋体"/>
                <w:sz w:val="16"/>
              </w:rPr>
              <w:t>实际完成情况</w:t>
            </w:r>
          </w:p>
        </w:tc>
      </w:tr>
      <w:tr w14:paraId="3A9F95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EC79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8E71C8">
            <w:pPr>
              <w:jc w:val="both"/>
            </w:pPr>
            <w:r>
              <w:rPr>
                <w:rFonts w:ascii="宋体" w:hAnsi="宋体" w:eastAsia="宋体"/>
                <w:sz w:val="16"/>
              </w:rPr>
              <w:t>通过该项目的实施，有效减轻学生的经济压力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E22A2F">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享受免学费，助学金学生人数6256人，资金已使用450万元。通过项目实施，有效保障家庭经济困难学生生活水平，同时减轻学校建档立卡学生家庭教育负担，使生活家庭经济困难学生接受公平而有质量的教育。</w:t>
            </w:r>
          </w:p>
        </w:tc>
      </w:tr>
      <w:tr w14:paraId="41F2C4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5258A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B844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1BF6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8CCE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4CD9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5AE1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16D7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7062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95B3D">
            <w:pPr>
              <w:jc w:val="center"/>
            </w:pPr>
            <w:r>
              <w:rPr>
                <w:rFonts w:ascii="宋体" w:hAnsi="宋体" w:eastAsia="宋体"/>
                <w:sz w:val="16"/>
              </w:rPr>
              <w:t>偏差原因分析及改进措施</w:t>
            </w:r>
          </w:p>
        </w:tc>
      </w:tr>
      <w:tr w14:paraId="5267EE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1421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D5E3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E70E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9C3C5">
            <w:pPr>
              <w:jc w:val="center"/>
            </w:pPr>
            <w:r>
              <w:rPr>
                <w:rFonts w:ascii="宋体" w:hAnsi="宋体" w:eastAsia="宋体"/>
                <w:sz w:val="16"/>
              </w:rPr>
              <w:t>补助学生人数（人）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73682">
            <w:pPr>
              <w:jc w:val="center"/>
            </w:pPr>
            <w:r>
              <w:rPr>
                <w:rFonts w:ascii="宋体" w:hAnsi="宋体" w:eastAsia="宋体"/>
                <w:sz w:val="16"/>
              </w:rPr>
              <w:t>&gt;=6256人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7A77B">
            <w:pPr>
              <w:jc w:val="center"/>
            </w:pPr>
            <w:r>
              <w:rPr>
                <w:rFonts w:ascii="宋体" w:hAnsi="宋体" w:eastAsia="宋体"/>
                <w:sz w:val="16"/>
              </w:rPr>
              <w:t>=6256人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695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000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53730">
            <w:pPr>
              <w:jc w:val="center"/>
            </w:pPr>
          </w:p>
        </w:tc>
      </w:tr>
      <w:tr w14:paraId="557CAF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1EB6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748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4C71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03D5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AC4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BB8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64E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E1B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83287">
            <w:pPr>
              <w:jc w:val="center"/>
            </w:pPr>
          </w:p>
        </w:tc>
      </w:tr>
      <w:tr w14:paraId="132AEF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B9A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7609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2B1F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3137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5F2F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682E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A3A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555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2ACDF">
            <w:pPr>
              <w:jc w:val="center"/>
            </w:pPr>
          </w:p>
        </w:tc>
      </w:tr>
      <w:tr w14:paraId="775E73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06B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015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BCE8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602A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44D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DE1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DF7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0B3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614D0">
            <w:pPr>
              <w:jc w:val="center"/>
            </w:pPr>
          </w:p>
        </w:tc>
      </w:tr>
      <w:tr w14:paraId="7C49AF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0E4B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F51A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8592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41FA6">
            <w:pPr>
              <w:jc w:val="center"/>
            </w:pPr>
            <w:r>
              <w:rPr>
                <w:rFonts w:ascii="宋体" w:hAnsi="宋体" w:eastAsia="宋体"/>
                <w:sz w:val="16"/>
              </w:rPr>
              <w:t>人均补助标准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A908B">
            <w:pPr>
              <w:jc w:val="center"/>
            </w:pPr>
            <w:r>
              <w:rPr>
                <w:rFonts w:ascii="宋体" w:hAnsi="宋体" w:eastAsia="宋体"/>
                <w:sz w:val="16"/>
              </w:rPr>
              <w:t>=719.30元/人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E59CC">
            <w:pPr>
              <w:jc w:val="center"/>
            </w:pPr>
            <w:r>
              <w:rPr>
                <w:rFonts w:ascii="宋体" w:hAnsi="宋体" w:eastAsia="宋体"/>
                <w:sz w:val="16"/>
              </w:rPr>
              <w:t>=719.3元/人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C4BF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EDFC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C90B1">
            <w:pPr>
              <w:jc w:val="center"/>
            </w:pPr>
          </w:p>
        </w:tc>
      </w:tr>
      <w:tr w14:paraId="683348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5CE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D23B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6CFE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62479">
            <w:pPr>
              <w:jc w:val="center"/>
            </w:pPr>
            <w:r>
              <w:rPr>
                <w:rFonts w:ascii="宋体" w:hAnsi="宋体" w:eastAsia="宋体"/>
                <w:sz w:val="16"/>
              </w:rPr>
              <w:t>减轻普通高中学生经济压力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E2051">
            <w:pPr>
              <w:jc w:val="center"/>
            </w:pPr>
            <w:r>
              <w:rPr>
                <w:rFonts w:ascii="宋体" w:hAnsi="宋体" w:eastAsia="宋体"/>
                <w:sz w:val="16"/>
              </w:rPr>
              <w:t>有效减轻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94E45">
            <w:pPr>
              <w:jc w:val="center"/>
            </w:pPr>
            <w:r>
              <w:rPr>
                <w:rFonts w:ascii="宋体" w:hAnsi="宋体" w:eastAsia="宋体"/>
                <w:sz w:val="16"/>
              </w:rPr>
              <w:t>有效减轻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B1BE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FDDD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69DF0">
            <w:pPr>
              <w:jc w:val="center"/>
            </w:pPr>
          </w:p>
        </w:tc>
      </w:tr>
      <w:tr w14:paraId="414223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CFB2E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EC76B">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E260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6C0FD">
            <w:pPr>
              <w:jc w:val="center"/>
            </w:pPr>
            <w:r>
              <w:rPr>
                <w:rFonts w:ascii="宋体" w:hAnsi="宋体" w:eastAsia="宋体"/>
                <w:sz w:val="16"/>
              </w:rPr>
              <w:t>受益教职工满意度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F92B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255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65FE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8C02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A5809">
            <w:pPr>
              <w:jc w:val="center"/>
            </w:pPr>
          </w:p>
        </w:tc>
      </w:tr>
      <w:tr w14:paraId="53E25A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9DF1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D521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6908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B8D9A">
            <w:pPr>
              <w:jc w:val="center"/>
            </w:pPr>
            <w:r>
              <w:rPr>
                <w:rFonts w:ascii="宋体" w:hAnsi="宋体" w:eastAsia="宋体"/>
                <w:sz w:val="16"/>
              </w:rPr>
              <w:t>受益学生和家长满意度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C253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F89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14BB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71DC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A1DD1">
            <w:pPr>
              <w:jc w:val="center"/>
            </w:pPr>
          </w:p>
        </w:tc>
      </w:tr>
      <w:tr w14:paraId="1DE2B70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762EE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33D08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8CD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BAF4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D4D2616"/>
        </w:tc>
      </w:tr>
    </w:tbl>
    <w:p w14:paraId="24A0C62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86CC7A5">
        <w:tblPrEx>
          <w:tblCellMar>
            <w:top w:w="0" w:type="dxa"/>
            <w:left w:w="108" w:type="dxa"/>
            <w:bottom w:w="0" w:type="dxa"/>
            <w:right w:w="108" w:type="dxa"/>
          </w:tblCellMar>
        </w:tblPrEx>
        <w:tc>
          <w:tcPr>
            <w:tcW w:w="8847" w:type="dxa"/>
            <w:gridSpan w:val="9"/>
            <w:vAlign w:val="center"/>
          </w:tcPr>
          <w:p w14:paraId="4CEA3832">
            <w:pPr>
              <w:jc w:val="center"/>
            </w:pPr>
            <w:r>
              <w:rPr>
                <w:rFonts w:ascii="宋体" w:hAnsi="宋体" w:eastAsia="宋体"/>
                <w:sz w:val="24"/>
              </w:rPr>
              <w:t>项目支出绩效自评表</w:t>
            </w:r>
          </w:p>
        </w:tc>
      </w:tr>
      <w:tr w14:paraId="60CD26B9">
        <w:tblPrEx>
          <w:tblCellMar>
            <w:top w:w="0" w:type="dxa"/>
            <w:left w:w="108" w:type="dxa"/>
            <w:bottom w:w="0" w:type="dxa"/>
            <w:right w:w="108" w:type="dxa"/>
          </w:tblCellMar>
        </w:tblPrEx>
        <w:tc>
          <w:tcPr>
            <w:tcW w:w="8847" w:type="dxa"/>
            <w:gridSpan w:val="9"/>
            <w:vAlign w:val="center"/>
          </w:tcPr>
          <w:p w14:paraId="39AA7C3B">
            <w:pPr>
              <w:jc w:val="center"/>
            </w:pPr>
            <w:r>
              <w:rPr>
                <w:rFonts w:ascii="宋体" w:hAnsi="宋体" w:eastAsia="宋体"/>
                <w:sz w:val="24"/>
              </w:rPr>
              <w:t>(2024年度)</w:t>
            </w:r>
          </w:p>
        </w:tc>
      </w:tr>
      <w:tr w14:paraId="3F3BDE0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1F67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47C117">
            <w:pPr>
              <w:jc w:val="center"/>
            </w:pPr>
            <w:r>
              <w:rPr>
                <w:rFonts w:ascii="宋体" w:hAnsi="宋体" w:eastAsia="宋体"/>
                <w:sz w:val="16"/>
              </w:rPr>
              <w:t>中央直达资金和地财教</w:t>
            </w:r>
            <w:r>
              <w:rPr>
                <w:rFonts w:hint="eastAsia" w:ascii="宋体" w:hAnsi="宋体"/>
                <w:sz w:val="16"/>
                <w:lang w:eastAsia="zh-CN"/>
              </w:rPr>
              <w:t>〔2023〕59号</w:t>
            </w:r>
            <w:r>
              <w:rPr>
                <w:rFonts w:ascii="宋体" w:hAnsi="宋体" w:eastAsia="宋体"/>
                <w:sz w:val="16"/>
              </w:rPr>
              <w:t>-2024年学生资助补助经费-高中免学费及助学金</w:t>
            </w:r>
          </w:p>
        </w:tc>
      </w:tr>
      <w:tr w14:paraId="10339B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3CAA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9EF195">
            <w:pPr>
              <w:jc w:val="center"/>
            </w:pPr>
            <w:r>
              <w:rPr>
                <w:rFonts w:ascii="宋体" w:hAnsi="宋体" w:eastAsia="宋体"/>
                <w:sz w:val="16"/>
              </w:rPr>
              <w:t>洛浦县第一中学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392E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731D37">
            <w:pPr>
              <w:jc w:val="center"/>
            </w:pPr>
            <w:r>
              <w:rPr>
                <w:rFonts w:ascii="宋体" w:hAnsi="宋体" w:eastAsia="宋体"/>
                <w:sz w:val="16"/>
              </w:rPr>
              <w:t>洛浦县第一中学</w:t>
            </w:r>
          </w:p>
        </w:tc>
      </w:tr>
      <w:tr w14:paraId="1A1B3B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C291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6FD0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0E03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2923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B28A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4665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093D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ECFB6">
            <w:pPr>
              <w:jc w:val="center"/>
            </w:pPr>
            <w:r>
              <w:rPr>
                <w:rFonts w:ascii="宋体" w:hAnsi="宋体" w:eastAsia="宋体"/>
                <w:sz w:val="16"/>
              </w:rPr>
              <w:t>得分</w:t>
            </w:r>
          </w:p>
        </w:tc>
      </w:tr>
      <w:tr w14:paraId="346321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9985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C526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E4138">
            <w:pPr>
              <w:jc w:val="center"/>
            </w:pPr>
            <w:r>
              <w:rPr>
                <w:rFonts w:ascii="宋体" w:hAnsi="宋体" w:eastAsia="宋体"/>
                <w:sz w:val="16"/>
              </w:rPr>
              <w:t>1,417.00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80B2B">
            <w:pPr>
              <w:jc w:val="center"/>
            </w:pPr>
            <w:r>
              <w:rPr>
                <w:rFonts w:ascii="宋体" w:hAnsi="宋体" w:eastAsia="宋体"/>
                <w:sz w:val="16"/>
              </w:rPr>
              <w:t>1,417.00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1B167">
            <w:pPr>
              <w:jc w:val="center"/>
            </w:pPr>
            <w:r>
              <w:rPr>
                <w:rFonts w:ascii="宋体" w:hAnsi="宋体" w:eastAsia="宋体"/>
                <w:sz w:val="16"/>
              </w:rPr>
              <w:t>1,417.00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95E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0501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D5140">
            <w:pPr>
              <w:jc w:val="center"/>
            </w:pPr>
            <w:r>
              <w:rPr>
                <w:rFonts w:ascii="宋体" w:hAnsi="宋体" w:eastAsia="宋体"/>
                <w:sz w:val="16"/>
              </w:rPr>
              <w:t>10.00分</w:t>
            </w:r>
          </w:p>
        </w:tc>
      </w:tr>
      <w:tr w14:paraId="217E5B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FEF5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0E01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6BFDC">
            <w:pPr>
              <w:jc w:val="center"/>
            </w:pPr>
            <w:r>
              <w:rPr>
                <w:rFonts w:ascii="宋体" w:hAnsi="宋体" w:eastAsia="宋体"/>
                <w:sz w:val="16"/>
              </w:rPr>
              <w:t>1,417.00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85C2C">
            <w:pPr>
              <w:jc w:val="center"/>
            </w:pPr>
            <w:r>
              <w:rPr>
                <w:rFonts w:ascii="宋体" w:hAnsi="宋体" w:eastAsia="宋体"/>
                <w:sz w:val="16"/>
              </w:rPr>
              <w:t>1,417.00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4EA12">
            <w:pPr>
              <w:jc w:val="center"/>
            </w:pPr>
            <w:r>
              <w:rPr>
                <w:rFonts w:ascii="宋体" w:hAnsi="宋体" w:eastAsia="宋体"/>
                <w:sz w:val="16"/>
              </w:rPr>
              <w:t>1,417.00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BC2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468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A219B">
            <w:pPr>
              <w:jc w:val="center"/>
            </w:pPr>
            <w:r>
              <w:rPr>
                <w:rFonts w:ascii="宋体" w:hAnsi="宋体" w:eastAsia="宋体"/>
                <w:sz w:val="16"/>
              </w:rPr>
              <w:t>—</w:t>
            </w:r>
          </w:p>
        </w:tc>
      </w:tr>
      <w:tr w14:paraId="001055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63C0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25B3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381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ADA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62A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F98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420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4FE25">
            <w:pPr>
              <w:jc w:val="center"/>
            </w:pPr>
            <w:r>
              <w:rPr>
                <w:rFonts w:ascii="宋体" w:hAnsi="宋体" w:eastAsia="宋体"/>
                <w:sz w:val="16"/>
              </w:rPr>
              <w:t>—</w:t>
            </w:r>
          </w:p>
        </w:tc>
      </w:tr>
      <w:tr w14:paraId="6F988C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8B50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264A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20E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B1B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8CE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2E3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E38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19AE4">
            <w:pPr>
              <w:jc w:val="center"/>
            </w:pPr>
            <w:r>
              <w:rPr>
                <w:rFonts w:ascii="宋体" w:hAnsi="宋体" w:eastAsia="宋体"/>
                <w:sz w:val="16"/>
              </w:rPr>
              <w:t>—</w:t>
            </w:r>
          </w:p>
        </w:tc>
      </w:tr>
      <w:tr w14:paraId="18B2EC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451D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B9251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86264C">
            <w:pPr>
              <w:jc w:val="center"/>
            </w:pPr>
            <w:r>
              <w:rPr>
                <w:rFonts w:ascii="宋体" w:hAnsi="宋体" w:eastAsia="宋体"/>
                <w:sz w:val="16"/>
              </w:rPr>
              <w:t>实际完成情况</w:t>
            </w:r>
          </w:p>
        </w:tc>
      </w:tr>
      <w:tr w14:paraId="7DBEAD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9E679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94220D">
            <w:pPr>
              <w:jc w:val="both"/>
            </w:pPr>
            <w:r>
              <w:rPr>
                <w:rFonts w:ascii="宋体" w:hAnsi="宋体" w:eastAsia="宋体"/>
                <w:sz w:val="16"/>
              </w:rPr>
              <w:t>根据《关于提前下达2024年学生资助补助经费预算（中央直达资金）通知》--（和地财教〔2023〕59号）实施此项目，主要内容为：保证普通高中建档立卡学生人数6256人，为6256位建档学生发放普通高中教育补助，补助标准为2000元/年，项目将保证建档学生享受补助覆盖率达到100.00%。通过项目实施，可以有效保障家庭经济困难学生生活水平，同时减轻学校建档立卡学生家庭教育负担，使生活家庭经济困难学生接受公平而有质量的教育。</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8E1AB9">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享受免学费，助学金学生人数6256人，资金已使用1417.00万元。通过项目实施，有效保障家庭经济困难学生生活水平，同时减轻学校建档立卡学生家庭教育负担，使生活家庭经济困难学生接受公平而有质量的教育。</w:t>
            </w:r>
          </w:p>
        </w:tc>
      </w:tr>
      <w:tr w14:paraId="376C127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7569C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9169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A38B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E75C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14DF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562E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CBB1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5D5C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C9443">
            <w:pPr>
              <w:jc w:val="center"/>
            </w:pPr>
            <w:r>
              <w:rPr>
                <w:rFonts w:ascii="宋体" w:hAnsi="宋体" w:eastAsia="宋体"/>
                <w:sz w:val="16"/>
              </w:rPr>
              <w:t>偏差原因分析及改进措施</w:t>
            </w:r>
          </w:p>
        </w:tc>
      </w:tr>
      <w:tr w14:paraId="1BF25B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6149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0D5F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C1EC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BFE42">
            <w:pPr>
              <w:jc w:val="center"/>
            </w:pPr>
            <w:r>
              <w:rPr>
                <w:rFonts w:ascii="宋体" w:hAnsi="宋体" w:eastAsia="宋体"/>
                <w:sz w:val="16"/>
              </w:rPr>
              <w:t>享受免学费，助学金学生人数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B9BA7">
            <w:pPr>
              <w:jc w:val="center"/>
            </w:pPr>
            <w:r>
              <w:rPr>
                <w:rFonts w:ascii="宋体" w:hAnsi="宋体" w:eastAsia="宋体"/>
                <w:sz w:val="16"/>
              </w:rPr>
              <w:t>&gt;=6256人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71C1D">
            <w:pPr>
              <w:jc w:val="center"/>
            </w:pPr>
            <w:r>
              <w:rPr>
                <w:rFonts w:ascii="宋体" w:hAnsi="宋体" w:eastAsia="宋体"/>
                <w:sz w:val="16"/>
              </w:rPr>
              <w:t>=6256人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C23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EB5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27724">
            <w:pPr>
              <w:jc w:val="center"/>
            </w:pPr>
          </w:p>
        </w:tc>
      </w:tr>
      <w:tr w14:paraId="648D12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273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E010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07DF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41C2C">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659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438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60A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D90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ADCD9">
            <w:pPr>
              <w:jc w:val="center"/>
            </w:pPr>
          </w:p>
        </w:tc>
      </w:tr>
      <w:tr w14:paraId="49A730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1982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7A3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62BA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78C20">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04E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C86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2C0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0A6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96A39">
            <w:pPr>
              <w:jc w:val="center"/>
            </w:pPr>
          </w:p>
        </w:tc>
      </w:tr>
      <w:tr w14:paraId="743947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B7C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7868B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C25A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B591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C639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040B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361C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ADFF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C8DD2">
            <w:pPr>
              <w:jc w:val="center"/>
            </w:pPr>
          </w:p>
        </w:tc>
      </w:tr>
      <w:tr w14:paraId="655FE4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969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9CFF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0EB2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984C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4CF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D47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5120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48A3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7B871">
            <w:pPr>
              <w:jc w:val="center"/>
            </w:pPr>
          </w:p>
        </w:tc>
      </w:tr>
      <w:tr w14:paraId="2AE713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1F99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7534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FEDB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481F7">
            <w:pPr>
              <w:jc w:val="center"/>
            </w:pPr>
            <w:r>
              <w:rPr>
                <w:rFonts w:ascii="宋体" w:hAnsi="宋体" w:eastAsia="宋体"/>
                <w:sz w:val="16"/>
              </w:rPr>
              <w:t>项目投入成本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44747">
            <w:pPr>
              <w:jc w:val="center"/>
            </w:pPr>
            <w:r>
              <w:rPr>
                <w:rFonts w:ascii="宋体" w:hAnsi="宋体" w:eastAsia="宋体"/>
                <w:sz w:val="16"/>
              </w:rPr>
              <w:t>&lt;=1417万元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06680">
            <w:pPr>
              <w:jc w:val="center"/>
            </w:pPr>
            <w:r>
              <w:rPr>
                <w:rFonts w:ascii="宋体" w:hAnsi="宋体" w:eastAsia="宋体"/>
                <w:sz w:val="16"/>
              </w:rPr>
              <w:t>=1417万元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8A33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59C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B14C3">
            <w:pPr>
              <w:jc w:val="center"/>
            </w:pPr>
          </w:p>
        </w:tc>
      </w:tr>
      <w:tr w14:paraId="62BF8E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3371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79C0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650A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80B76">
            <w:pPr>
              <w:jc w:val="center"/>
            </w:pPr>
            <w:r>
              <w:rPr>
                <w:rFonts w:ascii="宋体" w:hAnsi="宋体" w:eastAsia="宋体"/>
                <w:sz w:val="16"/>
              </w:rPr>
              <w:t>减轻普通高中学生经济压力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5C382">
            <w:pPr>
              <w:jc w:val="center"/>
            </w:pPr>
            <w:r>
              <w:rPr>
                <w:rFonts w:ascii="宋体" w:hAnsi="宋体" w:eastAsia="宋体"/>
                <w:sz w:val="16"/>
              </w:rPr>
              <w:t>有效减轻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56649">
            <w:pPr>
              <w:jc w:val="center"/>
            </w:pPr>
            <w:r>
              <w:rPr>
                <w:rFonts w:ascii="宋体" w:hAnsi="宋体" w:eastAsia="宋体"/>
                <w:sz w:val="16"/>
              </w:rPr>
              <w:t>有效减轻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F09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5FD5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057C8">
            <w:pPr>
              <w:jc w:val="center"/>
            </w:pPr>
          </w:p>
        </w:tc>
      </w:tr>
      <w:tr w14:paraId="08ABC3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7AD6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D1B15">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A09E7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EA1B6">
            <w:pPr>
              <w:jc w:val="center"/>
            </w:pPr>
            <w:r>
              <w:rPr>
                <w:rFonts w:ascii="宋体" w:hAnsi="宋体" w:eastAsia="宋体"/>
                <w:sz w:val="16"/>
              </w:rPr>
              <w:t>受益教职工满意度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2567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4C3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5696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C348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85CA5">
            <w:pPr>
              <w:jc w:val="center"/>
            </w:pPr>
          </w:p>
        </w:tc>
      </w:tr>
      <w:tr w14:paraId="28D8EC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4A97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714A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2CA3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6DAA7">
            <w:pPr>
              <w:jc w:val="center"/>
            </w:pPr>
            <w:r>
              <w:rPr>
                <w:rFonts w:ascii="宋体" w:hAnsi="宋体" w:eastAsia="宋体"/>
                <w:sz w:val="16"/>
              </w:rPr>
              <w:t>学生、家长抽样调查满意度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CDA0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DB5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EB83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4ABA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9ED14">
            <w:pPr>
              <w:jc w:val="center"/>
            </w:pPr>
          </w:p>
        </w:tc>
      </w:tr>
      <w:tr w14:paraId="039CD8C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A0524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0069C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3C1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B249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2CE2521"/>
        </w:tc>
      </w:tr>
    </w:tbl>
    <w:p w14:paraId="1F30D2C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0729354">
        <w:tblPrEx>
          <w:tblCellMar>
            <w:top w:w="0" w:type="dxa"/>
            <w:left w:w="108" w:type="dxa"/>
            <w:bottom w:w="0" w:type="dxa"/>
            <w:right w:w="108" w:type="dxa"/>
          </w:tblCellMar>
        </w:tblPrEx>
        <w:tc>
          <w:tcPr>
            <w:tcW w:w="8847" w:type="dxa"/>
            <w:gridSpan w:val="9"/>
            <w:vAlign w:val="center"/>
          </w:tcPr>
          <w:p w14:paraId="3500CFF1">
            <w:pPr>
              <w:jc w:val="center"/>
            </w:pPr>
            <w:r>
              <w:rPr>
                <w:rFonts w:ascii="宋体" w:hAnsi="宋体" w:eastAsia="宋体"/>
                <w:sz w:val="24"/>
              </w:rPr>
              <w:t>项目支出绩效自评表</w:t>
            </w:r>
          </w:p>
        </w:tc>
      </w:tr>
      <w:tr w14:paraId="7A57DA6B">
        <w:tblPrEx>
          <w:tblCellMar>
            <w:top w:w="0" w:type="dxa"/>
            <w:left w:w="108" w:type="dxa"/>
            <w:bottom w:w="0" w:type="dxa"/>
            <w:right w:w="108" w:type="dxa"/>
          </w:tblCellMar>
        </w:tblPrEx>
        <w:tc>
          <w:tcPr>
            <w:tcW w:w="8847" w:type="dxa"/>
            <w:gridSpan w:val="9"/>
            <w:vAlign w:val="center"/>
          </w:tcPr>
          <w:p w14:paraId="25FF0FA9">
            <w:pPr>
              <w:jc w:val="center"/>
            </w:pPr>
            <w:r>
              <w:rPr>
                <w:rFonts w:ascii="宋体" w:hAnsi="宋体" w:eastAsia="宋体"/>
                <w:sz w:val="24"/>
              </w:rPr>
              <w:t>(2024年度)</w:t>
            </w:r>
          </w:p>
        </w:tc>
      </w:tr>
      <w:tr w14:paraId="6189995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511D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49092B4">
            <w:pPr>
              <w:jc w:val="center"/>
            </w:pPr>
            <w:r>
              <w:rPr>
                <w:rFonts w:ascii="宋体" w:hAnsi="宋体" w:eastAsia="宋体"/>
                <w:sz w:val="16"/>
              </w:rPr>
              <w:t>自治区直达资金和地财教</w:t>
            </w:r>
            <w:r>
              <w:rPr>
                <w:rFonts w:hint="eastAsia" w:ascii="宋体" w:hAnsi="宋体"/>
                <w:sz w:val="16"/>
                <w:lang w:eastAsia="zh-CN"/>
              </w:rPr>
              <w:t>〔2023〕69号</w:t>
            </w:r>
            <w:r>
              <w:rPr>
                <w:rFonts w:ascii="宋体" w:hAnsi="宋体" w:eastAsia="宋体"/>
                <w:sz w:val="16"/>
              </w:rPr>
              <w:t>-2024年学生资助补助经费：高中免学费及助学金</w:t>
            </w:r>
          </w:p>
        </w:tc>
      </w:tr>
      <w:tr w14:paraId="469D81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B4ED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F9CFCB">
            <w:pPr>
              <w:jc w:val="center"/>
            </w:pPr>
            <w:r>
              <w:rPr>
                <w:rFonts w:ascii="宋体" w:hAnsi="宋体" w:eastAsia="宋体"/>
                <w:sz w:val="16"/>
              </w:rPr>
              <w:t>洛浦县第一中学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9FF7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385E7C">
            <w:pPr>
              <w:jc w:val="center"/>
            </w:pPr>
            <w:r>
              <w:rPr>
                <w:rFonts w:ascii="宋体" w:hAnsi="宋体" w:eastAsia="宋体"/>
                <w:sz w:val="16"/>
              </w:rPr>
              <w:t>洛浦县第一中学</w:t>
            </w:r>
          </w:p>
        </w:tc>
      </w:tr>
      <w:tr w14:paraId="3912A4F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6642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2709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9CCB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B808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8AE6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A5B2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D077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125C1">
            <w:pPr>
              <w:jc w:val="center"/>
            </w:pPr>
            <w:r>
              <w:rPr>
                <w:rFonts w:ascii="宋体" w:hAnsi="宋体" w:eastAsia="宋体"/>
                <w:sz w:val="16"/>
              </w:rPr>
              <w:t>得分</w:t>
            </w:r>
          </w:p>
        </w:tc>
      </w:tr>
      <w:tr w14:paraId="379DB1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816CA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7100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2B7EF">
            <w:pPr>
              <w:jc w:val="center"/>
            </w:pPr>
            <w:r>
              <w:rPr>
                <w:rFonts w:ascii="宋体" w:hAnsi="宋体" w:eastAsia="宋体"/>
                <w:sz w:val="16"/>
              </w:rPr>
              <w:t>322.16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53276">
            <w:pPr>
              <w:jc w:val="center"/>
            </w:pPr>
            <w:r>
              <w:rPr>
                <w:rFonts w:ascii="宋体" w:hAnsi="宋体" w:eastAsia="宋体"/>
                <w:sz w:val="16"/>
              </w:rPr>
              <w:t>322.16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48FF2">
            <w:pPr>
              <w:jc w:val="center"/>
            </w:pPr>
            <w:r>
              <w:rPr>
                <w:rFonts w:ascii="宋体" w:hAnsi="宋体" w:eastAsia="宋体"/>
                <w:sz w:val="16"/>
              </w:rPr>
              <w:t>322.16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4DD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5D69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E14D0">
            <w:pPr>
              <w:jc w:val="center"/>
            </w:pPr>
            <w:r>
              <w:rPr>
                <w:rFonts w:ascii="宋体" w:hAnsi="宋体" w:eastAsia="宋体"/>
                <w:sz w:val="16"/>
              </w:rPr>
              <w:t>10.00分</w:t>
            </w:r>
          </w:p>
        </w:tc>
      </w:tr>
      <w:tr w14:paraId="370938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3FB1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CD64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1B3AD">
            <w:pPr>
              <w:jc w:val="center"/>
            </w:pPr>
            <w:r>
              <w:rPr>
                <w:rFonts w:ascii="宋体" w:hAnsi="宋体" w:eastAsia="宋体"/>
                <w:sz w:val="16"/>
              </w:rPr>
              <w:t>322.16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4181C">
            <w:pPr>
              <w:jc w:val="center"/>
            </w:pPr>
            <w:r>
              <w:rPr>
                <w:rFonts w:ascii="宋体" w:hAnsi="宋体" w:eastAsia="宋体"/>
                <w:sz w:val="16"/>
              </w:rPr>
              <w:t>322.16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A0B72">
            <w:pPr>
              <w:jc w:val="center"/>
            </w:pPr>
            <w:r>
              <w:rPr>
                <w:rFonts w:ascii="宋体" w:hAnsi="宋体" w:eastAsia="宋体"/>
                <w:sz w:val="16"/>
              </w:rPr>
              <w:t>322.16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03C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13B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0DF18">
            <w:pPr>
              <w:jc w:val="center"/>
            </w:pPr>
            <w:r>
              <w:rPr>
                <w:rFonts w:ascii="宋体" w:hAnsi="宋体" w:eastAsia="宋体"/>
                <w:sz w:val="16"/>
              </w:rPr>
              <w:t>—</w:t>
            </w:r>
          </w:p>
        </w:tc>
      </w:tr>
      <w:tr w14:paraId="3B60AA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8EBD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8E34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17B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D10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C60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D14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855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4E723">
            <w:pPr>
              <w:jc w:val="center"/>
            </w:pPr>
            <w:r>
              <w:rPr>
                <w:rFonts w:ascii="宋体" w:hAnsi="宋体" w:eastAsia="宋体"/>
                <w:sz w:val="16"/>
              </w:rPr>
              <w:t>—</w:t>
            </w:r>
          </w:p>
        </w:tc>
      </w:tr>
      <w:tr w14:paraId="380A95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1DE7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CB42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C9F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92E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A48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F7A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489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A37C1">
            <w:pPr>
              <w:jc w:val="center"/>
            </w:pPr>
            <w:r>
              <w:rPr>
                <w:rFonts w:ascii="宋体" w:hAnsi="宋体" w:eastAsia="宋体"/>
                <w:sz w:val="16"/>
              </w:rPr>
              <w:t>—</w:t>
            </w:r>
          </w:p>
        </w:tc>
      </w:tr>
      <w:tr w14:paraId="296B05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0519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19158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E14A75">
            <w:pPr>
              <w:jc w:val="center"/>
            </w:pPr>
            <w:r>
              <w:rPr>
                <w:rFonts w:ascii="宋体" w:hAnsi="宋体" w:eastAsia="宋体"/>
                <w:sz w:val="16"/>
              </w:rPr>
              <w:t>实际完成情况</w:t>
            </w:r>
          </w:p>
        </w:tc>
      </w:tr>
      <w:tr w14:paraId="1FDB9D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008B5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F8FA40">
            <w:pPr>
              <w:jc w:val="both"/>
            </w:pPr>
            <w:r>
              <w:rPr>
                <w:rFonts w:ascii="宋体" w:hAnsi="宋体" w:eastAsia="宋体"/>
                <w:sz w:val="16"/>
              </w:rPr>
              <w:t>根据《关于提前下达2024年学生资助补助经费预算（自治区直达资金）通知》--（和地财教〔2023〕69号）实施此项目，主要内容为：保证普通高中在校学生人数6256人，为6256位普通高中在校生发放普通高中助学金，补助标准为2000元/年，项目将保证建档学生享受补助覆盖率达到100.00%。通过项目实施，可以有效保障家庭经济困难学生生活水平，同时减轻学校建档立卡学生家庭教育负担，使生活家庭经济困难学生接受公平而有质量的教育。</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CC0617">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享受免学费，助学金学生人数6256人，资金已使用322.16万元。通过项目实施，有效保障家庭经济困难学生生活水平，减轻普通高中学生经济压力，同时减轻学校建档立卡学生家庭教育负担，使生活家庭经济困难学生接受公平而有质量的教育。</w:t>
            </w:r>
          </w:p>
        </w:tc>
      </w:tr>
      <w:tr w14:paraId="34F23D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6C82B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8FFD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CBE0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0B53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33AF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07C6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04F8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CE11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E0221">
            <w:pPr>
              <w:jc w:val="center"/>
            </w:pPr>
            <w:r>
              <w:rPr>
                <w:rFonts w:ascii="宋体" w:hAnsi="宋体" w:eastAsia="宋体"/>
                <w:sz w:val="16"/>
              </w:rPr>
              <w:t>偏差原因分析及改进措施</w:t>
            </w:r>
          </w:p>
        </w:tc>
      </w:tr>
      <w:tr w14:paraId="502FF1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FB4E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716F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28A6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3CF71">
            <w:pPr>
              <w:jc w:val="center"/>
            </w:pPr>
            <w:r>
              <w:rPr>
                <w:rFonts w:ascii="宋体" w:hAnsi="宋体" w:eastAsia="宋体"/>
                <w:sz w:val="16"/>
              </w:rPr>
              <w:t>享受免学费，助学金学生人数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E03B6">
            <w:pPr>
              <w:jc w:val="center"/>
            </w:pPr>
            <w:r>
              <w:rPr>
                <w:rFonts w:ascii="宋体" w:hAnsi="宋体" w:eastAsia="宋体"/>
                <w:sz w:val="16"/>
              </w:rPr>
              <w:t>≥6256人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FC8AE">
            <w:pPr>
              <w:jc w:val="center"/>
            </w:pPr>
            <w:r>
              <w:rPr>
                <w:rFonts w:ascii="宋体" w:hAnsi="宋体" w:eastAsia="宋体"/>
                <w:sz w:val="16"/>
              </w:rPr>
              <w:t>≥6256人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BCC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782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9B2D0">
            <w:pPr>
              <w:jc w:val="center"/>
            </w:pPr>
          </w:p>
        </w:tc>
      </w:tr>
      <w:tr w14:paraId="7A402A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CE87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41332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00AD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19098">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152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9F6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1261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B9B3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BA53D">
            <w:pPr>
              <w:jc w:val="center"/>
            </w:pPr>
          </w:p>
        </w:tc>
      </w:tr>
      <w:tr w14:paraId="791ACA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66B6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D8D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25E2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D262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1DE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AA2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7AE0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7136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A461D">
            <w:pPr>
              <w:jc w:val="center"/>
            </w:pPr>
          </w:p>
        </w:tc>
      </w:tr>
      <w:tr w14:paraId="0E0FC2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D33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09B8A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5342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81E5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5FE0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47C2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79C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DE6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6F8CD">
            <w:pPr>
              <w:jc w:val="center"/>
            </w:pPr>
          </w:p>
        </w:tc>
      </w:tr>
      <w:tr w14:paraId="47DBDF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ECB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E43D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C21A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1AF5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710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78E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0FF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E04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A4868">
            <w:pPr>
              <w:jc w:val="center"/>
            </w:pPr>
          </w:p>
        </w:tc>
      </w:tr>
      <w:tr w14:paraId="05C3B0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4E88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B56A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A622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4A85C">
            <w:pPr>
              <w:jc w:val="center"/>
            </w:pPr>
            <w:r>
              <w:rPr>
                <w:rFonts w:ascii="宋体" w:hAnsi="宋体" w:eastAsia="宋体"/>
                <w:sz w:val="16"/>
              </w:rPr>
              <w:t>项目投入成本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D216E">
            <w:pPr>
              <w:jc w:val="center"/>
            </w:pPr>
            <w:r>
              <w:rPr>
                <w:rFonts w:ascii="宋体" w:hAnsi="宋体" w:eastAsia="宋体"/>
                <w:sz w:val="16"/>
              </w:rPr>
              <w:t>=322.16万元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9083A">
            <w:pPr>
              <w:jc w:val="center"/>
            </w:pPr>
            <w:r>
              <w:rPr>
                <w:rFonts w:ascii="宋体" w:hAnsi="宋体" w:eastAsia="宋体"/>
                <w:sz w:val="16"/>
              </w:rPr>
              <w:t>=322.16万元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97E4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BC69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BD19E">
            <w:pPr>
              <w:jc w:val="center"/>
            </w:pPr>
          </w:p>
        </w:tc>
      </w:tr>
      <w:tr w14:paraId="36BD62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945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F9AE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CC48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34DA7">
            <w:pPr>
              <w:jc w:val="center"/>
            </w:pPr>
            <w:r>
              <w:rPr>
                <w:rFonts w:ascii="宋体" w:hAnsi="宋体" w:eastAsia="宋体"/>
                <w:sz w:val="16"/>
              </w:rPr>
              <w:t>减轻普通高中学生经济压力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DE4A6">
            <w:pPr>
              <w:jc w:val="center"/>
            </w:pPr>
            <w:r>
              <w:rPr>
                <w:rFonts w:ascii="宋体" w:hAnsi="宋体" w:eastAsia="宋体"/>
                <w:sz w:val="16"/>
              </w:rPr>
              <w:t>有效减轻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17916">
            <w:pPr>
              <w:jc w:val="center"/>
            </w:pPr>
            <w:r>
              <w:rPr>
                <w:rFonts w:ascii="宋体" w:hAnsi="宋体" w:eastAsia="宋体"/>
                <w:sz w:val="16"/>
              </w:rPr>
              <w:t>有效减轻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30F3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259A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E31F9">
            <w:pPr>
              <w:jc w:val="center"/>
            </w:pPr>
          </w:p>
        </w:tc>
      </w:tr>
      <w:tr w14:paraId="6675E3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B7235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BD467">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EB5C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A4D86">
            <w:pPr>
              <w:jc w:val="center"/>
            </w:pPr>
            <w:r>
              <w:rPr>
                <w:rFonts w:ascii="宋体" w:hAnsi="宋体" w:eastAsia="宋体"/>
                <w:sz w:val="16"/>
              </w:rPr>
              <w:t>受益教职工满意度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7FE8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9E4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1BFF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480E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5559E">
            <w:pPr>
              <w:jc w:val="center"/>
            </w:pPr>
          </w:p>
        </w:tc>
      </w:tr>
      <w:tr w14:paraId="575DAA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F699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E48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E1A5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B19CC">
            <w:pPr>
              <w:jc w:val="center"/>
            </w:pPr>
            <w:r>
              <w:rPr>
                <w:rFonts w:ascii="宋体" w:hAnsi="宋体" w:eastAsia="宋体"/>
                <w:sz w:val="16"/>
              </w:rPr>
              <w:t>学生、家长抽样调查满意度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C7B5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BD1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B7A3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28A9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D1981">
            <w:pPr>
              <w:jc w:val="center"/>
            </w:pPr>
          </w:p>
        </w:tc>
      </w:tr>
      <w:tr w14:paraId="0D9CB89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080D5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F8212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EB5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001C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51533D0"/>
        </w:tc>
      </w:tr>
    </w:tbl>
    <w:p w14:paraId="34B049FE">
      <w:r>
        <w:br w:type="page"/>
      </w:r>
    </w:p>
    <w:p w14:paraId="1C61B4F5">
      <w:pPr>
        <w:spacing w:line="640" w:lineRule="exact"/>
        <w:ind w:firstLine="640"/>
        <w:jc w:val="both"/>
        <w:outlineLvl w:val="2"/>
      </w:pPr>
      <w:r>
        <w:rPr>
          <w:rFonts w:ascii="黑体" w:hAnsi="黑体" w:eastAsia="黑体"/>
          <w:sz w:val="32"/>
        </w:rPr>
        <w:t>十二、其他需说明的事项</w:t>
      </w:r>
    </w:p>
    <w:p w14:paraId="50EA9489">
      <w:pPr>
        <w:spacing w:line="580" w:lineRule="exact"/>
        <w:ind w:firstLine="640"/>
        <w:jc w:val="both"/>
      </w:pPr>
      <w:r>
        <w:rPr>
          <w:rFonts w:ascii="仿宋_GB2312" w:hAnsi="仿宋_GB2312" w:eastAsia="仿宋_GB2312"/>
          <w:b w:val="0"/>
          <w:sz w:val="32"/>
        </w:rPr>
        <w:t>本年本单位SM项目1个，全年预算数7.11万元，全年执行数7.11万元。</w:t>
      </w:r>
    </w:p>
    <w:p w14:paraId="5DBF1199">
      <w:r>
        <w:br w:type="page"/>
      </w:r>
    </w:p>
    <w:p w14:paraId="7B9A567F">
      <w:pPr>
        <w:spacing w:line="240" w:lineRule="auto"/>
        <w:jc w:val="center"/>
        <w:outlineLvl w:val="1"/>
      </w:pPr>
      <w:r>
        <w:rPr>
          <w:rFonts w:ascii="黑体" w:hAnsi="黑体" w:eastAsia="黑体"/>
          <w:sz w:val="32"/>
        </w:rPr>
        <w:t>第三部分 专业名词解释</w:t>
      </w:r>
    </w:p>
    <w:p w14:paraId="3D07147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5B9CE3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1289C0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50858A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8D2569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0DB13F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F950D10">
      <w:pPr>
        <w:spacing w:line="240" w:lineRule="auto"/>
        <w:ind w:firstLine="640"/>
        <w:jc w:val="both"/>
      </w:pPr>
      <w:r>
        <w:rPr>
          <w:rFonts w:ascii="仿宋_GB2312" w:hAnsi="仿宋_GB2312" w:eastAsia="仿宋_GB2312"/>
          <w:b/>
          <w:sz w:val="32"/>
        </w:rPr>
        <w:t>七、年初结转和</w:t>
      </w:r>
      <w:bookmarkStart w:id="0" w:name="_GoBack"/>
      <w:r>
        <w:rPr>
          <w:rFonts w:ascii="仿宋_GB2312" w:hAnsi="仿宋_GB2312" w:eastAsia="仿宋_GB2312"/>
          <w:b/>
          <w:sz w:val="32"/>
        </w:rPr>
        <w:t>结余</w:t>
      </w:r>
      <w:bookmarkEnd w:id="0"/>
      <w:r>
        <w:rPr>
          <w:rFonts w:ascii="仿宋_GB2312" w:hAnsi="仿宋_GB2312" w:eastAsia="仿宋_GB2312"/>
          <w:b/>
          <w:sz w:val="32"/>
        </w:rPr>
        <w:t>：</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83F73C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FF1B24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9952CE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756A32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6623A4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236A99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13CBAD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0333BA8">
      <w:r>
        <w:br w:type="page"/>
      </w:r>
    </w:p>
    <w:p w14:paraId="12F9A18C">
      <w:pPr>
        <w:spacing w:line="240" w:lineRule="auto"/>
        <w:jc w:val="center"/>
        <w:outlineLvl w:val="1"/>
      </w:pPr>
      <w:r>
        <w:rPr>
          <w:rFonts w:ascii="黑体" w:hAnsi="黑体" w:eastAsia="黑体"/>
          <w:sz w:val="32"/>
        </w:rPr>
        <w:t>第四部分 部门决算报表（见附表）</w:t>
      </w:r>
    </w:p>
    <w:p w14:paraId="3C591388">
      <w:pPr>
        <w:spacing w:line="240" w:lineRule="auto"/>
        <w:ind w:firstLine="640"/>
        <w:jc w:val="both"/>
      </w:pPr>
      <w:r>
        <w:rPr>
          <w:rFonts w:ascii="仿宋_GB2312" w:hAnsi="仿宋_GB2312" w:eastAsia="仿宋_GB2312"/>
          <w:b w:val="0"/>
          <w:sz w:val="32"/>
        </w:rPr>
        <w:t>一、《收入支出决算总表》</w:t>
      </w:r>
    </w:p>
    <w:p w14:paraId="29F32F96">
      <w:pPr>
        <w:spacing w:line="240" w:lineRule="auto"/>
        <w:ind w:firstLine="640"/>
        <w:jc w:val="both"/>
      </w:pPr>
      <w:r>
        <w:rPr>
          <w:rFonts w:ascii="仿宋_GB2312" w:hAnsi="仿宋_GB2312" w:eastAsia="仿宋_GB2312"/>
          <w:b w:val="0"/>
          <w:sz w:val="32"/>
        </w:rPr>
        <w:t>二、《收入决算表》</w:t>
      </w:r>
    </w:p>
    <w:p w14:paraId="3B107462">
      <w:pPr>
        <w:spacing w:line="240" w:lineRule="auto"/>
        <w:ind w:firstLine="640"/>
        <w:jc w:val="both"/>
      </w:pPr>
      <w:r>
        <w:rPr>
          <w:rFonts w:ascii="仿宋_GB2312" w:hAnsi="仿宋_GB2312" w:eastAsia="仿宋_GB2312"/>
          <w:b w:val="0"/>
          <w:sz w:val="32"/>
        </w:rPr>
        <w:t>三、《支出决算表》</w:t>
      </w:r>
    </w:p>
    <w:p w14:paraId="452E26CE">
      <w:pPr>
        <w:spacing w:line="240" w:lineRule="auto"/>
        <w:ind w:firstLine="640"/>
        <w:jc w:val="both"/>
      </w:pPr>
      <w:r>
        <w:rPr>
          <w:rFonts w:ascii="仿宋_GB2312" w:hAnsi="仿宋_GB2312" w:eastAsia="仿宋_GB2312"/>
          <w:b w:val="0"/>
          <w:sz w:val="32"/>
        </w:rPr>
        <w:t>四、《财政拨款收入支出决算总表》</w:t>
      </w:r>
    </w:p>
    <w:p w14:paraId="286A8ED0">
      <w:pPr>
        <w:spacing w:line="240" w:lineRule="auto"/>
        <w:ind w:firstLine="640"/>
        <w:jc w:val="both"/>
      </w:pPr>
      <w:r>
        <w:rPr>
          <w:rFonts w:ascii="仿宋_GB2312" w:hAnsi="仿宋_GB2312" w:eastAsia="仿宋_GB2312"/>
          <w:b w:val="0"/>
          <w:sz w:val="32"/>
        </w:rPr>
        <w:t>五、《一般公共预算财政拨款支出决算表》</w:t>
      </w:r>
    </w:p>
    <w:p w14:paraId="6E708C2F">
      <w:pPr>
        <w:spacing w:line="240" w:lineRule="auto"/>
        <w:ind w:firstLine="640"/>
        <w:jc w:val="both"/>
      </w:pPr>
      <w:r>
        <w:rPr>
          <w:rFonts w:ascii="仿宋_GB2312" w:hAnsi="仿宋_GB2312" w:eastAsia="仿宋_GB2312"/>
          <w:b w:val="0"/>
          <w:sz w:val="32"/>
        </w:rPr>
        <w:t>六、《一般公共预算财政拨款基本支出决算表》</w:t>
      </w:r>
    </w:p>
    <w:p w14:paraId="602A5ADC">
      <w:pPr>
        <w:spacing w:line="240" w:lineRule="auto"/>
        <w:ind w:firstLine="640"/>
        <w:jc w:val="both"/>
      </w:pPr>
      <w:r>
        <w:rPr>
          <w:rFonts w:ascii="仿宋_GB2312" w:hAnsi="仿宋_GB2312" w:eastAsia="仿宋_GB2312"/>
          <w:b w:val="0"/>
          <w:sz w:val="32"/>
        </w:rPr>
        <w:t>七、《政府性基金预算财政拨款收入支出决算表》</w:t>
      </w:r>
    </w:p>
    <w:p w14:paraId="0B9BD16A">
      <w:pPr>
        <w:spacing w:line="240" w:lineRule="auto"/>
        <w:ind w:firstLine="640"/>
        <w:jc w:val="both"/>
      </w:pPr>
      <w:r>
        <w:rPr>
          <w:rFonts w:ascii="仿宋_GB2312" w:hAnsi="仿宋_GB2312" w:eastAsia="仿宋_GB2312"/>
          <w:b w:val="0"/>
          <w:sz w:val="32"/>
        </w:rPr>
        <w:t>八、《国有资本经营预算财政拨款收入支出决算表》</w:t>
      </w:r>
    </w:p>
    <w:p w14:paraId="6781A8FE">
      <w:pPr>
        <w:spacing w:line="240" w:lineRule="auto"/>
        <w:ind w:firstLine="640"/>
        <w:jc w:val="both"/>
      </w:pPr>
      <w:r>
        <w:rPr>
          <w:rFonts w:ascii="仿宋_GB2312" w:hAnsi="仿宋_GB2312" w:eastAsia="仿宋_GB2312"/>
          <w:b w:val="0"/>
          <w:sz w:val="32"/>
        </w:rPr>
        <w:t>九、《财政拨款“三公”经费支出决算表》</w:t>
      </w:r>
    </w:p>
    <w:p w14:paraId="7F534EBA">
      <w:pPr>
        <w:spacing w:line="240" w:lineRule="auto"/>
        <w:ind w:firstLine="640"/>
        <w:jc w:val="both"/>
      </w:pPr>
    </w:p>
    <w:p w14:paraId="700F5AD0">
      <w:pPr>
        <w:spacing w:line="240" w:lineRule="auto"/>
        <w:ind w:firstLine="640"/>
        <w:jc w:val="both"/>
      </w:pPr>
    </w:p>
    <w:p w14:paraId="7F66FD44">
      <w:pPr>
        <w:spacing w:line="240" w:lineRule="auto"/>
        <w:ind w:firstLine="640"/>
        <w:jc w:val="both"/>
      </w:pPr>
    </w:p>
    <w:p w14:paraId="467D6161">
      <w:pPr>
        <w:spacing w:line="240" w:lineRule="auto"/>
        <w:ind w:firstLine="640"/>
        <w:jc w:val="both"/>
      </w:pPr>
    </w:p>
    <w:p w14:paraId="4B83217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618B08-57D2-472A-94AD-7729BC24C07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301311F-2328-4C35-AD69-C3107F50F6F8}"/>
  </w:font>
  <w:font w:name="仿宋_GB2312">
    <w:altName w:val="仿宋"/>
    <w:panose1 w:val="02010609030101010101"/>
    <w:charset w:val="86"/>
    <w:family w:val="modern"/>
    <w:pitch w:val="default"/>
    <w:sig w:usb0="00000000" w:usb1="00000000" w:usb2="00000000" w:usb3="00000000" w:csb0="00040000" w:csb1="00000000"/>
    <w:embedRegular r:id="rId3" w:fontKey="{FA033BBE-F245-4B40-81AE-B29C28AC1510}"/>
  </w:font>
  <w:font w:name="楷体_GB2312">
    <w:altName w:val="楷体"/>
    <w:panose1 w:val="00000000000000000000"/>
    <w:charset w:val="00"/>
    <w:family w:val="auto"/>
    <w:pitch w:val="default"/>
    <w:sig w:usb0="00000000" w:usb1="00000000" w:usb2="00000000" w:usb3="00000000" w:csb0="00000000" w:csb1="00000000"/>
    <w:embedRegular r:id="rId4" w:fontKey="{5D403BB5-4D87-48B9-8DA3-6E2966D192B7}"/>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6"/>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1932B08"/>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4355</Words>
  <Characters>5028</Characters>
  <Lines>0</Lines>
  <Paragraphs>0</Paragraphs>
  <TotalTime>1</TotalTime>
  <ScaleCrop>false</ScaleCrop>
  <LinksUpToDate>false</LinksUpToDate>
  <CharactersWithSpaces>5036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2025-09-17T02:14:29Z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