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洛浦县疾病预防控制中心2024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FA6A9F1">
      <w:r>
        <w:br w:type="page"/>
      </w:r>
    </w:p>
    <w:p w14:paraId="3E294018">
      <w:pPr>
        <w:spacing w:line="640" w:lineRule="exact"/>
        <w:jc w:val="center"/>
        <w:outlineLvl w:val="1"/>
      </w:pPr>
      <w:r>
        <w:rPr>
          <w:rFonts w:ascii="黑体" w:hAnsi="黑体" w:eastAsia="黑体"/>
          <w:sz w:val="32"/>
        </w:rPr>
        <w:t>第一部分 单位概况</w:t>
      </w:r>
    </w:p>
    <w:p w14:paraId="6FA6EDB7">
      <w:pPr>
        <w:spacing w:line="640" w:lineRule="exact"/>
        <w:ind w:firstLine="640"/>
        <w:jc w:val="both"/>
        <w:outlineLvl w:val="2"/>
      </w:pPr>
      <w:r>
        <w:rPr>
          <w:rFonts w:ascii="黑体" w:hAnsi="黑体" w:eastAsia="黑体"/>
          <w:sz w:val="32"/>
        </w:rPr>
        <w:t>一、主要职能</w:t>
      </w:r>
    </w:p>
    <w:p w14:paraId="7C68C1F1">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开展疾病预防与控制、疾病监测、传染病、地方病等疾病的预防控制、组织实施疾病预防控制工作规划，制定计划和方案预防控制相关疾病的发生与流行。</w:t>
      </w:r>
    </w:p>
    <w:p w14:paraId="518DF56F">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突发公共卫生事件应急处置。</w:t>
      </w:r>
    </w:p>
    <w:p w14:paraId="40F75DB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YQ及健康相关因素，信息管理。</w:t>
      </w:r>
    </w:p>
    <w:p w14:paraId="358498C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实验室监测与评价。</w:t>
      </w:r>
    </w:p>
    <w:p w14:paraId="523FDB7D">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健康教育与健康促进等疾病预防控制工作。</w:t>
      </w:r>
    </w:p>
    <w:p w14:paraId="12552951">
      <w:pPr>
        <w:spacing w:line="640" w:lineRule="exact"/>
        <w:ind w:firstLine="640"/>
        <w:jc w:val="both"/>
        <w:outlineLvl w:val="2"/>
      </w:pPr>
      <w:r>
        <w:rPr>
          <w:rFonts w:ascii="黑体" w:hAnsi="黑体" w:eastAsia="黑体"/>
          <w:sz w:val="32"/>
        </w:rPr>
        <w:t>二、机构设置及人员情况</w:t>
      </w:r>
    </w:p>
    <w:p w14:paraId="6E743495">
      <w:pPr>
        <w:spacing w:line="580" w:lineRule="exact"/>
        <w:ind w:firstLine="640"/>
        <w:jc w:val="both"/>
      </w:pPr>
      <w:r>
        <w:rPr>
          <w:rFonts w:ascii="仿宋_GB2312" w:hAnsi="仿宋_GB2312" w:eastAsia="仿宋_GB2312"/>
          <w:sz w:val="32"/>
        </w:rPr>
        <w:t>洛浦县疾病预防控制中心2024年度，实有人数71人，其中：在职人员55人，减少3人；离休人员0人，增加0人；退休人员16人,增加1人。</w:t>
      </w:r>
    </w:p>
    <w:p w14:paraId="5E1717E8">
      <w:pPr>
        <w:spacing w:line="580" w:lineRule="exact"/>
        <w:ind w:firstLine="640"/>
        <w:jc w:val="both"/>
      </w:pPr>
      <w:r>
        <w:rPr>
          <w:rFonts w:ascii="仿宋_GB2312" w:hAnsi="仿宋_GB2312" w:eastAsia="仿宋_GB2312"/>
          <w:sz w:val="32"/>
        </w:rPr>
        <w:t>洛浦县疾病预防控制中心无下属预算单位，下设11个科室，分别是：办公室、财务室、质控科、公共卫生科、职业病科、</w:t>
      </w:r>
      <w:r>
        <w:rPr>
          <w:rFonts w:hint="eastAsia" w:ascii="仿宋_GB2312" w:hAnsi="仿宋_GB2312" w:eastAsia="仿宋_GB2312"/>
          <w:sz w:val="32"/>
          <w:lang w:eastAsia="zh-CN"/>
        </w:rPr>
        <w:t>AZB</w:t>
      </w:r>
      <w:r>
        <w:rPr>
          <w:rFonts w:ascii="仿宋_GB2312" w:hAnsi="仿宋_GB2312" w:eastAsia="仿宋_GB2312"/>
          <w:sz w:val="32"/>
        </w:rPr>
        <w:t>防治科、传防科、地方病科、慢病和宣传教育科、结麻科、免疫规划科。</w:t>
      </w:r>
    </w:p>
    <w:p w14:paraId="03848B0F">
      <w:r>
        <w:br w:type="page"/>
      </w:r>
    </w:p>
    <w:p w14:paraId="572D2A4F">
      <w:pPr>
        <w:spacing w:line="240" w:lineRule="auto"/>
        <w:jc w:val="center"/>
        <w:outlineLvl w:val="1"/>
      </w:pPr>
      <w:r>
        <w:rPr>
          <w:rFonts w:ascii="黑体" w:hAnsi="黑体" w:eastAsia="黑体"/>
          <w:sz w:val="32"/>
        </w:rPr>
        <w:t>第二部分 部门决算情况说明</w:t>
      </w:r>
    </w:p>
    <w:p w14:paraId="7A10AFCE">
      <w:pPr>
        <w:spacing w:line="640" w:lineRule="exact"/>
        <w:ind w:firstLine="640"/>
        <w:jc w:val="both"/>
        <w:outlineLvl w:val="2"/>
      </w:pPr>
      <w:r>
        <w:rPr>
          <w:rFonts w:ascii="黑体" w:hAnsi="黑体" w:eastAsia="黑体"/>
          <w:sz w:val="32"/>
        </w:rPr>
        <w:t>一、收入支出决算总体情况说明</w:t>
      </w:r>
    </w:p>
    <w:p w14:paraId="09B043DD">
      <w:pPr>
        <w:spacing w:line="580" w:lineRule="exact"/>
        <w:ind w:firstLine="640"/>
        <w:jc w:val="both"/>
      </w:pPr>
      <w:r>
        <w:rPr>
          <w:rFonts w:ascii="仿宋_GB2312" w:hAnsi="仿宋_GB2312" w:eastAsia="仿宋_GB2312"/>
          <w:b/>
          <w:sz w:val="32"/>
        </w:rPr>
        <w:t>2024年度收入总计1,312.09万元，</w:t>
      </w:r>
      <w:r>
        <w:rPr>
          <w:rFonts w:ascii="仿宋_GB2312" w:hAnsi="仿宋_GB2312" w:eastAsia="仿宋_GB2312"/>
          <w:b w:val="0"/>
          <w:sz w:val="32"/>
        </w:rPr>
        <w:t>其中：本年收入合计1,312.09万元，使用非财政拨款结余（含专用结余）0.00万元，年初结转和结余0.00万元。</w:t>
      </w:r>
    </w:p>
    <w:p w14:paraId="7D776973">
      <w:pPr>
        <w:spacing w:line="580" w:lineRule="exact"/>
        <w:ind w:firstLine="640"/>
        <w:jc w:val="both"/>
      </w:pPr>
      <w:r>
        <w:rPr>
          <w:rFonts w:ascii="仿宋_GB2312" w:hAnsi="仿宋_GB2312" w:eastAsia="仿宋_GB2312"/>
          <w:b/>
          <w:sz w:val="32"/>
        </w:rPr>
        <w:t>2024年度支出总计1,312.09万元，</w:t>
      </w:r>
      <w:r>
        <w:rPr>
          <w:rFonts w:ascii="仿宋_GB2312" w:hAnsi="仿宋_GB2312" w:eastAsia="仿宋_GB2312"/>
          <w:b w:val="0"/>
          <w:sz w:val="32"/>
        </w:rPr>
        <w:t>其中：本年支出合计1,312.09万元，结余分配0.00万元，年末结转和结余0.00万元。</w:t>
      </w:r>
    </w:p>
    <w:p w14:paraId="65194C6B">
      <w:pPr>
        <w:spacing w:line="580" w:lineRule="exact"/>
        <w:ind w:firstLine="640"/>
        <w:jc w:val="both"/>
      </w:pPr>
      <w:r>
        <w:rPr>
          <w:rFonts w:ascii="仿宋_GB2312" w:hAnsi="仿宋_GB2312" w:eastAsia="仿宋_GB2312"/>
          <w:b w:val="0"/>
          <w:sz w:val="32"/>
        </w:rPr>
        <w:t>收入支出总体与上年相比，减少2,517.66万元，下降65.74%，主要原因是：</w:t>
      </w:r>
      <w:r>
        <w:rPr>
          <w:rFonts w:hint="eastAsia" w:ascii="仿宋_GB2312" w:hAnsi="仿宋_GB2312" w:eastAsia="仿宋_GB2312"/>
          <w:b w:val="0"/>
          <w:sz w:val="32"/>
          <w:lang w:eastAsia="zh-CN"/>
        </w:rPr>
        <w:t>本年减少实验室建设项目资金、疾控中心业务用房建设项目；本年为民办实事经费，中央YQ防控财力补助资金、</w:t>
      </w:r>
      <w:r>
        <w:rPr>
          <w:rFonts w:ascii="仿宋_GB2312" w:hAnsi="仿宋_GB2312" w:eastAsia="仿宋_GB2312"/>
          <w:b w:val="0"/>
          <w:sz w:val="32"/>
        </w:rPr>
        <w:t>突发公共卫生事件应急处置资金较上年减少。</w:t>
      </w:r>
    </w:p>
    <w:p w14:paraId="51A9137B">
      <w:pPr>
        <w:spacing w:line="640" w:lineRule="exact"/>
        <w:ind w:firstLine="640"/>
        <w:jc w:val="both"/>
        <w:outlineLvl w:val="2"/>
      </w:pPr>
      <w:r>
        <w:rPr>
          <w:rFonts w:ascii="黑体" w:hAnsi="黑体" w:eastAsia="黑体"/>
          <w:sz w:val="32"/>
        </w:rPr>
        <w:t>二、收入决算情况说明</w:t>
      </w:r>
    </w:p>
    <w:p w14:paraId="0643B967">
      <w:pPr>
        <w:spacing w:line="580" w:lineRule="exact"/>
        <w:ind w:firstLine="640"/>
        <w:jc w:val="both"/>
      </w:pPr>
      <w:r>
        <w:rPr>
          <w:rFonts w:ascii="仿宋_GB2312" w:hAnsi="仿宋_GB2312" w:eastAsia="仿宋_GB2312"/>
          <w:b/>
          <w:sz w:val="32"/>
        </w:rPr>
        <w:t>本年收入1,312.09万元，</w:t>
      </w:r>
      <w:r>
        <w:rPr>
          <w:rFonts w:ascii="仿宋_GB2312" w:hAnsi="仿宋_GB2312" w:eastAsia="仿宋_GB2312"/>
          <w:b w:val="0"/>
          <w:sz w:val="32"/>
        </w:rPr>
        <w:t>其中：财政拨款收入1,294.49万元，占98.66%；上级补助收入0.00万元，占0.00%；事业收入0.00万元，占0.00%；经营收入0.00万元，占0.00%；附属单位上缴收入0.00万元，占0.00%；其他收入17.60万元，占1.34%。</w:t>
      </w:r>
    </w:p>
    <w:p w14:paraId="670B327A">
      <w:pPr>
        <w:spacing w:line="640" w:lineRule="exact"/>
        <w:ind w:firstLine="640"/>
        <w:jc w:val="both"/>
        <w:outlineLvl w:val="2"/>
      </w:pPr>
      <w:r>
        <w:rPr>
          <w:rFonts w:ascii="黑体" w:hAnsi="黑体" w:eastAsia="黑体"/>
          <w:sz w:val="32"/>
        </w:rPr>
        <w:t>三、支出决算情况说明</w:t>
      </w:r>
    </w:p>
    <w:p w14:paraId="3ED3DD45">
      <w:pPr>
        <w:spacing w:line="580" w:lineRule="exact"/>
        <w:ind w:firstLine="640"/>
        <w:jc w:val="both"/>
      </w:pPr>
      <w:r>
        <w:rPr>
          <w:rFonts w:ascii="仿宋_GB2312" w:hAnsi="仿宋_GB2312" w:eastAsia="仿宋_GB2312"/>
          <w:b/>
          <w:sz w:val="32"/>
        </w:rPr>
        <w:t>本年支出1,312.09万元，</w:t>
      </w:r>
      <w:r>
        <w:rPr>
          <w:rFonts w:ascii="仿宋_GB2312" w:hAnsi="仿宋_GB2312" w:eastAsia="仿宋_GB2312"/>
          <w:b w:val="0"/>
          <w:sz w:val="32"/>
        </w:rPr>
        <w:t>其中：基本支出1,069.54万元，占81.51%；项目支出242.54万元，占18.49%；上缴上级支出0.00万元，占0.00%；经营支出0.00万元，占0.00%；对附属单位补助支出0.00万元，占0.00%。</w:t>
      </w:r>
    </w:p>
    <w:p w14:paraId="651D2FF2">
      <w:pPr>
        <w:spacing w:line="640" w:lineRule="exact"/>
        <w:ind w:firstLine="640"/>
        <w:jc w:val="both"/>
        <w:outlineLvl w:val="2"/>
      </w:pPr>
      <w:r>
        <w:rPr>
          <w:rFonts w:ascii="黑体" w:hAnsi="黑体" w:eastAsia="黑体"/>
          <w:sz w:val="32"/>
        </w:rPr>
        <w:t>四、财政拨款收入支出决算总体情况说明</w:t>
      </w:r>
    </w:p>
    <w:p w14:paraId="44534D4B">
      <w:pPr>
        <w:spacing w:line="580" w:lineRule="exact"/>
        <w:ind w:firstLine="640"/>
        <w:jc w:val="both"/>
      </w:pPr>
      <w:r>
        <w:rPr>
          <w:rFonts w:ascii="仿宋_GB2312" w:hAnsi="仿宋_GB2312" w:eastAsia="仿宋_GB2312"/>
          <w:b/>
          <w:sz w:val="32"/>
        </w:rPr>
        <w:t>2024年度财政拨款收入总计1,294.49万元，</w:t>
      </w:r>
      <w:r>
        <w:rPr>
          <w:rFonts w:ascii="仿宋_GB2312" w:hAnsi="仿宋_GB2312" w:eastAsia="仿宋_GB2312"/>
          <w:b w:val="0"/>
          <w:sz w:val="32"/>
        </w:rPr>
        <w:t>其中：年初财政拨款结转和结余0.00万元，本年财政拨款收入1,294.49万元。</w:t>
      </w:r>
      <w:r>
        <w:rPr>
          <w:rFonts w:ascii="仿宋_GB2312" w:hAnsi="仿宋_GB2312" w:eastAsia="仿宋_GB2312"/>
          <w:b/>
          <w:sz w:val="32"/>
        </w:rPr>
        <w:t>财政拨款支出总计1,294.49万元，</w:t>
      </w:r>
      <w:r>
        <w:rPr>
          <w:rFonts w:ascii="仿宋_GB2312" w:hAnsi="仿宋_GB2312" w:eastAsia="仿宋_GB2312"/>
          <w:b w:val="0"/>
          <w:sz w:val="32"/>
        </w:rPr>
        <w:t>其中：年末财政拨款结转和结余0.00万元，本年财政拨款支出1,294.49万元。</w:t>
      </w:r>
    </w:p>
    <w:p w14:paraId="584C2E9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减少2,494.56万元，下降65.84%，主要原因是：</w:t>
      </w:r>
      <w:r>
        <w:rPr>
          <w:rFonts w:hint="eastAsia" w:ascii="仿宋_GB2312" w:hAnsi="仿宋_GB2312" w:eastAsia="仿宋_GB2312"/>
          <w:b w:val="0"/>
          <w:sz w:val="32"/>
          <w:lang w:eastAsia="zh-CN"/>
        </w:rPr>
        <w:t>本年减少实验室建设项目资金、疾控中心业务用房建设项目；本年为民办实事经费，中央YQ防控财力补助资金较上年减少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年初预算数1,190.87万元，决算数1,294.49万元，预决算差异率8.70%，主要原因是：年中追加人员工资、社保、公积金基数调增部分资金</w:t>
      </w:r>
      <w:r>
        <w:rPr>
          <w:rFonts w:hint="eastAsia" w:ascii="仿宋_GB2312" w:hAnsi="仿宋_GB2312" w:eastAsia="仿宋_GB2312"/>
          <w:b w:val="0"/>
          <w:sz w:val="32"/>
          <w:lang w:eastAsia="zh-CN"/>
        </w:rPr>
        <w:t>、</w:t>
      </w:r>
      <w:r>
        <w:rPr>
          <w:rFonts w:hint="eastAsia" w:ascii="仿宋_GB2312" w:hAnsi="仿宋_GB2312" w:eastAsia="仿宋_GB2312"/>
          <w:b w:val="0"/>
          <w:sz w:val="32"/>
        </w:rPr>
        <w:t>YQ防控补助资金、基本公共卫生补助资金项目、洛浦县疾控中心供暖工程资金项目</w:t>
      </w:r>
      <w:r>
        <w:rPr>
          <w:rFonts w:ascii="仿宋_GB2312" w:hAnsi="仿宋_GB2312" w:eastAsia="仿宋_GB2312"/>
          <w:b w:val="0"/>
          <w:sz w:val="32"/>
        </w:rPr>
        <w:t>，导致预决算存在差异。</w:t>
      </w:r>
    </w:p>
    <w:p w14:paraId="3010D557">
      <w:pPr>
        <w:spacing w:line="640" w:lineRule="exact"/>
        <w:ind w:firstLine="640"/>
        <w:jc w:val="both"/>
        <w:outlineLvl w:val="2"/>
      </w:pPr>
      <w:r>
        <w:rPr>
          <w:rFonts w:ascii="黑体" w:hAnsi="黑体" w:eastAsia="黑体"/>
          <w:sz w:val="32"/>
        </w:rPr>
        <w:t>五、一般公共预算财政拨款支出决算情况说明</w:t>
      </w:r>
    </w:p>
    <w:p w14:paraId="73DE3DA5">
      <w:pPr>
        <w:spacing w:line="640" w:lineRule="exact"/>
        <w:ind w:firstLine="640"/>
        <w:jc w:val="both"/>
        <w:outlineLvl w:val="3"/>
      </w:pPr>
      <w:r>
        <w:rPr>
          <w:rFonts w:ascii="楷体_GB2312" w:hAnsi="楷体_GB2312" w:eastAsia="楷体_GB2312"/>
          <w:b/>
          <w:sz w:val="32"/>
        </w:rPr>
        <w:t>（一）一般公共预算财政拨款支出决算总体情况</w:t>
      </w:r>
    </w:p>
    <w:p w14:paraId="41E4560E">
      <w:pPr>
        <w:spacing w:line="580" w:lineRule="exact"/>
        <w:ind w:firstLine="640"/>
        <w:jc w:val="both"/>
      </w:pPr>
      <w:r>
        <w:rPr>
          <w:rFonts w:ascii="仿宋_GB2312" w:hAnsi="仿宋_GB2312" w:eastAsia="仿宋_GB2312"/>
          <w:b/>
          <w:sz w:val="32"/>
        </w:rPr>
        <w:t>2024年度一般公共预算财政拨款支出1,294.49万元，</w:t>
      </w:r>
      <w:r>
        <w:rPr>
          <w:rFonts w:ascii="仿宋_GB2312" w:hAnsi="仿宋_GB2312" w:eastAsia="仿宋_GB2312"/>
          <w:b w:val="0"/>
          <w:sz w:val="32"/>
        </w:rPr>
        <w:t>占本年支出合计的98.66%。</w:t>
      </w:r>
      <w:r>
        <w:rPr>
          <w:rFonts w:ascii="仿宋_GB2312" w:hAnsi="仿宋_GB2312" w:eastAsia="仿宋_GB2312"/>
          <w:b/>
          <w:sz w:val="32"/>
        </w:rPr>
        <w:t>与上年相比，</w:t>
      </w:r>
      <w:r>
        <w:rPr>
          <w:rFonts w:ascii="仿宋_GB2312" w:hAnsi="仿宋_GB2312" w:eastAsia="仿宋_GB2312"/>
          <w:b w:val="0"/>
          <w:sz w:val="32"/>
        </w:rPr>
        <w:t>减少1,924.56万元，下降59.79%，主要原因是：</w:t>
      </w:r>
      <w:r>
        <w:rPr>
          <w:rFonts w:hint="eastAsia" w:ascii="仿宋_GB2312" w:hAnsi="仿宋_GB2312" w:eastAsia="仿宋_GB2312"/>
          <w:b w:val="0"/>
          <w:sz w:val="32"/>
        </w:rPr>
        <w:t>本年减少实验室建设项目资金、疾控中心业务用房建设项目；本年为民办实事经费，中央YQ防控财力补助资金较上年减少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年初预算数1,190.87万元，决算数1,294.49万元，预决算差异率8.70%，主要原因是：年中追加人员工资、社保、公积金基数调增部分资金</w:t>
      </w:r>
      <w:r>
        <w:rPr>
          <w:rFonts w:hint="eastAsia" w:ascii="仿宋_GB2312" w:hAnsi="仿宋_GB2312" w:eastAsia="仿宋_GB2312"/>
          <w:b w:val="0"/>
          <w:sz w:val="32"/>
          <w:lang w:eastAsia="zh-CN"/>
        </w:rPr>
        <w:t>、</w:t>
      </w:r>
      <w:r>
        <w:rPr>
          <w:rFonts w:hint="eastAsia" w:ascii="仿宋_GB2312" w:hAnsi="仿宋_GB2312" w:eastAsia="仿宋_GB2312"/>
          <w:b w:val="0"/>
          <w:sz w:val="32"/>
        </w:rPr>
        <w:t>YQ防控补助资金、基本公共卫生补助资金项目、洛浦县疾控中心供暖工程资金项目</w:t>
      </w:r>
      <w:r>
        <w:rPr>
          <w:rFonts w:ascii="仿宋_GB2312" w:hAnsi="仿宋_GB2312" w:eastAsia="仿宋_GB2312"/>
          <w:b w:val="0"/>
          <w:sz w:val="32"/>
        </w:rPr>
        <w:t>，导致预决算存在差异。</w:t>
      </w:r>
    </w:p>
    <w:p w14:paraId="3907F847">
      <w:pPr>
        <w:spacing w:line="640" w:lineRule="exact"/>
        <w:ind w:firstLine="640"/>
        <w:jc w:val="both"/>
        <w:outlineLvl w:val="3"/>
      </w:pPr>
      <w:r>
        <w:rPr>
          <w:rFonts w:ascii="楷体_GB2312" w:hAnsi="楷体_GB2312" w:eastAsia="楷体_GB2312"/>
          <w:b/>
          <w:sz w:val="32"/>
        </w:rPr>
        <w:t>（二）一般公共预算财政拨款支出决算结构情况</w:t>
      </w:r>
    </w:p>
    <w:p w14:paraId="292364A0">
      <w:pPr>
        <w:spacing w:line="580" w:lineRule="exact"/>
        <w:ind w:firstLine="640"/>
        <w:jc w:val="both"/>
      </w:pPr>
      <w:r>
        <w:rPr>
          <w:rFonts w:ascii="仿宋_GB2312" w:hAnsi="仿宋_GB2312" w:eastAsia="仿宋_GB2312"/>
          <w:b w:val="0"/>
          <w:sz w:val="32"/>
        </w:rPr>
        <w:t>1.社会保障和就业支出(类)132.71万元,占10.25%。</w:t>
      </w:r>
    </w:p>
    <w:p w14:paraId="28D3C5FE">
      <w:pPr>
        <w:spacing w:line="580" w:lineRule="exact"/>
        <w:ind w:firstLine="640"/>
        <w:jc w:val="both"/>
      </w:pPr>
      <w:r>
        <w:rPr>
          <w:rFonts w:ascii="仿宋_GB2312" w:hAnsi="仿宋_GB2312" w:eastAsia="仿宋_GB2312"/>
          <w:b w:val="0"/>
          <w:sz w:val="32"/>
        </w:rPr>
        <w:t>2.卫生健康支出(类)1,049.56万元,占81.08%。</w:t>
      </w:r>
    </w:p>
    <w:p w14:paraId="18A9E9B1">
      <w:pPr>
        <w:spacing w:line="580" w:lineRule="exact"/>
        <w:ind w:firstLine="640"/>
        <w:jc w:val="both"/>
      </w:pPr>
      <w:r>
        <w:rPr>
          <w:rFonts w:ascii="仿宋_GB2312" w:hAnsi="仿宋_GB2312" w:eastAsia="仿宋_GB2312"/>
          <w:b w:val="0"/>
          <w:sz w:val="32"/>
        </w:rPr>
        <w:t>3.住房保障支出(类)82.86万元,占6.40%。</w:t>
      </w:r>
    </w:p>
    <w:p w14:paraId="192053E2">
      <w:pPr>
        <w:spacing w:line="580" w:lineRule="exact"/>
        <w:ind w:firstLine="640"/>
        <w:jc w:val="both"/>
      </w:pPr>
      <w:r>
        <w:rPr>
          <w:rFonts w:ascii="仿宋_GB2312" w:hAnsi="仿宋_GB2312" w:eastAsia="仿宋_GB2312"/>
          <w:b w:val="0"/>
          <w:sz w:val="32"/>
        </w:rPr>
        <w:t>4.其他支出(类)29.35万元,占2.27%。</w:t>
      </w:r>
    </w:p>
    <w:p w14:paraId="2ED33E56">
      <w:pPr>
        <w:spacing w:line="640" w:lineRule="exact"/>
        <w:ind w:firstLine="640"/>
        <w:jc w:val="both"/>
        <w:outlineLvl w:val="3"/>
      </w:pPr>
      <w:r>
        <w:rPr>
          <w:rFonts w:ascii="楷体_GB2312" w:hAnsi="楷体_GB2312" w:eastAsia="楷体_GB2312"/>
          <w:b/>
          <w:sz w:val="32"/>
        </w:rPr>
        <w:t>（三）一般公共预算财政拨款支出决算具体情况</w:t>
      </w:r>
    </w:p>
    <w:p w14:paraId="74067708">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23.39万元，比上年决算增加23.39万元，增长100.00%,主要原因是：本年功能科目调整，事业单位离退休上年度在主科目列支，本年单独列支，导致经费较上年增加。</w:t>
      </w:r>
    </w:p>
    <w:p w14:paraId="6002840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109.32万元，比上年决算增加12.45万元，增长12.85%,主要原因是：本年在职人员工资基数调增，养老缴费基数上涨，相应支出增加。</w:t>
      </w:r>
    </w:p>
    <w:p w14:paraId="7D06237E">
      <w:pPr>
        <w:spacing w:line="580" w:lineRule="exact"/>
        <w:ind w:firstLine="640"/>
        <w:jc w:val="both"/>
      </w:pPr>
      <w:r>
        <w:rPr>
          <w:rFonts w:ascii="仿宋_GB2312" w:hAnsi="仿宋_GB2312" w:eastAsia="仿宋_GB2312"/>
          <w:b w:val="0"/>
          <w:sz w:val="32"/>
        </w:rPr>
        <w:t>3.卫生健康支出(类)卫生健康管理事务(款)其他卫生健康管理事务支出(项):支出决算数为0.00万元，比上年决算减少6.30万元，下降100.00%,主要原因是：本年度减少流感核酸检测试剂耗材费项目。</w:t>
      </w:r>
    </w:p>
    <w:p w14:paraId="4D42C107">
      <w:pPr>
        <w:spacing w:line="580" w:lineRule="exact"/>
        <w:ind w:firstLine="640"/>
        <w:jc w:val="both"/>
      </w:pPr>
      <w:r>
        <w:rPr>
          <w:rFonts w:ascii="仿宋_GB2312" w:hAnsi="仿宋_GB2312" w:eastAsia="仿宋_GB2312"/>
          <w:b w:val="0"/>
          <w:sz w:val="32"/>
        </w:rPr>
        <w:t>4.卫生健康支出(类)公共卫生(款)疾病预防控制机构(项):支出决算数为809.56万元，比上年决算减少160.20万元，下降16.52%,主要原因是：本年在职人员减少，人员经费减少。上年度</w:t>
      </w:r>
      <w:r>
        <w:rPr>
          <w:rFonts w:hint="eastAsia" w:ascii="仿宋_GB2312" w:hAnsi="仿宋_GB2312" w:eastAsia="仿宋_GB2312"/>
          <w:b w:val="0"/>
          <w:sz w:val="32"/>
          <w:lang w:val="en-US" w:eastAsia="zh-CN"/>
        </w:rPr>
        <w:t>退休人员经费、</w:t>
      </w:r>
      <w:r>
        <w:rPr>
          <w:rFonts w:ascii="仿宋_GB2312" w:hAnsi="仿宋_GB2312" w:eastAsia="仿宋_GB2312"/>
          <w:b w:val="0"/>
          <w:sz w:val="32"/>
        </w:rPr>
        <w:t>在职人员医疗缴费、住房公积金上年度在主科目列支，本年单独列支，导致本科目经费减少。</w:t>
      </w:r>
    </w:p>
    <w:p w14:paraId="2DCDE0C9">
      <w:pPr>
        <w:spacing w:line="580" w:lineRule="exact"/>
        <w:ind w:firstLine="640"/>
        <w:jc w:val="both"/>
      </w:pPr>
      <w:r>
        <w:rPr>
          <w:rFonts w:ascii="仿宋_GB2312" w:hAnsi="仿宋_GB2312" w:eastAsia="仿宋_GB2312"/>
          <w:b w:val="0"/>
          <w:sz w:val="32"/>
        </w:rPr>
        <w:t>5.卫生健康支出(类)公共卫生(款)基本公共卫生服务(项):支出决算数为14.21万元，比上年决算增加1.21万元，增长9.31%,主要原因是：2024年中央基本公共卫生补助资金项目资金较上年增加。</w:t>
      </w:r>
    </w:p>
    <w:p w14:paraId="2DD1A4F9">
      <w:pPr>
        <w:spacing w:line="580" w:lineRule="exact"/>
        <w:ind w:firstLine="640"/>
        <w:jc w:val="both"/>
      </w:pPr>
      <w:r>
        <w:rPr>
          <w:rFonts w:ascii="仿宋_GB2312" w:hAnsi="仿宋_GB2312" w:eastAsia="仿宋_GB2312"/>
          <w:b w:val="0"/>
          <w:sz w:val="32"/>
        </w:rPr>
        <w:t>6.卫生健康支出(类)公共卫生(款)重大公共卫生服务(项):支出决算数为101.38万元，比上年决算减少75.45万元，下降42.67%,主要原因是：2024年重大传染病防治补助资金项目资金较上年减少。</w:t>
      </w:r>
    </w:p>
    <w:p w14:paraId="42B41D67">
      <w:pPr>
        <w:spacing w:line="580" w:lineRule="exact"/>
        <w:ind w:firstLine="640"/>
        <w:jc w:val="both"/>
      </w:pPr>
      <w:r>
        <w:rPr>
          <w:rFonts w:ascii="仿宋_GB2312" w:hAnsi="仿宋_GB2312" w:eastAsia="仿宋_GB2312"/>
          <w:b w:val="0"/>
          <w:sz w:val="32"/>
        </w:rPr>
        <w:t>7.卫生健康支出(类)公共卫生(款)突发公共卫生事件应急处置(项):支出决算数为60.00万元，比上年决算增加37.81万元，增长170.39%,主要原因是：本年YQ防控补助资金比上年增加。</w:t>
      </w:r>
    </w:p>
    <w:p w14:paraId="6257B38A">
      <w:pPr>
        <w:spacing w:line="580" w:lineRule="exact"/>
        <w:ind w:firstLine="640"/>
        <w:jc w:val="both"/>
      </w:pPr>
      <w:r>
        <w:rPr>
          <w:rFonts w:ascii="仿宋_GB2312" w:hAnsi="仿宋_GB2312" w:eastAsia="仿宋_GB2312"/>
          <w:b w:val="0"/>
          <w:sz w:val="32"/>
        </w:rPr>
        <w:t>8.卫生健康支出(类)公共卫生(款)其他公共卫生支出(项):支出决算数为20.00万元，比上年决算减少1,580.00万元，下降98.75%,主要原因是：本年减少实验室建设项目资金。</w:t>
      </w:r>
    </w:p>
    <w:p w14:paraId="08801C13">
      <w:pPr>
        <w:spacing w:line="580" w:lineRule="exact"/>
        <w:ind w:firstLine="640"/>
        <w:jc w:val="both"/>
      </w:pPr>
      <w:r>
        <w:rPr>
          <w:rFonts w:ascii="仿宋_GB2312" w:hAnsi="仿宋_GB2312" w:eastAsia="仿宋_GB2312"/>
          <w:b w:val="0"/>
          <w:sz w:val="32"/>
        </w:rPr>
        <w:t>9.卫生健康支出(类)行政事业单位医疗(款)事业单位医疗(项):支出决算数为44.41万元，比上年决算增加44.41万元，增长100.00%,主要原因是：本年功能科目调整，事业单位医疗上年度在主科目列支，本年单独列支，导致经费较上年增加。</w:t>
      </w:r>
    </w:p>
    <w:p w14:paraId="3C94B74F">
      <w:pPr>
        <w:spacing w:line="580" w:lineRule="exact"/>
        <w:ind w:firstLine="640"/>
        <w:jc w:val="both"/>
      </w:pPr>
      <w:r>
        <w:rPr>
          <w:rFonts w:ascii="仿宋_GB2312" w:hAnsi="仿宋_GB2312" w:eastAsia="仿宋_GB2312"/>
          <w:b w:val="0"/>
          <w:sz w:val="32"/>
        </w:rPr>
        <w:t>10.卫生健康支出(类)其他卫生健康支出(款)其他卫生健康支出(项):支出决算数为0.00万元，比上年决算减少230.00万元，下降100.00%,主要原因是：本年减少疾控中心业务用房建设项目。</w:t>
      </w:r>
    </w:p>
    <w:p w14:paraId="478E8F78">
      <w:pPr>
        <w:spacing w:line="580" w:lineRule="exact"/>
        <w:ind w:firstLine="640"/>
        <w:jc w:val="both"/>
      </w:pPr>
      <w:r>
        <w:rPr>
          <w:rFonts w:ascii="仿宋_GB2312" w:hAnsi="仿宋_GB2312" w:eastAsia="仿宋_GB2312"/>
          <w:b w:val="0"/>
          <w:sz w:val="32"/>
        </w:rPr>
        <w:t>11.住房保障支出(类)住房改革支出(款)住房公积金(项):支出决算数为82.86万元，比上年决算增加82.86万元，增长100.00%,主要原因是：本年功能科目调整，住房公积金上年度在主科目列支，本年单独列支，导致经费较上年增加。</w:t>
      </w:r>
    </w:p>
    <w:p w14:paraId="4EBBD0B2">
      <w:pPr>
        <w:spacing w:line="580" w:lineRule="exact"/>
        <w:ind w:firstLine="640"/>
        <w:jc w:val="both"/>
      </w:pPr>
      <w:r>
        <w:rPr>
          <w:rFonts w:ascii="仿宋_GB2312" w:hAnsi="仿宋_GB2312" w:eastAsia="仿宋_GB2312"/>
          <w:b w:val="0"/>
          <w:sz w:val="32"/>
        </w:rPr>
        <w:t>12.其他支出(类)其他支出(款)其他支出(项):支出决算数为29.35万元，比上年决算减少74.75万元，下降71.81%,主要原因是：本年为民办实事经费，中央</w:t>
      </w:r>
      <w:r>
        <w:rPr>
          <w:rFonts w:hint="eastAsia" w:ascii="仿宋_GB2312" w:hAnsi="仿宋_GB2312" w:eastAsia="仿宋_GB2312"/>
          <w:b w:val="0"/>
          <w:sz w:val="32"/>
          <w:lang w:eastAsia="zh-CN"/>
        </w:rPr>
        <w:t>YQ</w:t>
      </w:r>
      <w:r>
        <w:rPr>
          <w:rFonts w:ascii="仿宋_GB2312" w:hAnsi="仿宋_GB2312" w:eastAsia="仿宋_GB2312"/>
          <w:b w:val="0"/>
          <w:sz w:val="32"/>
        </w:rPr>
        <w:t>防控财力补助资金较上年减少。</w:t>
      </w:r>
    </w:p>
    <w:p w14:paraId="57E572BD">
      <w:pPr>
        <w:spacing w:line="640" w:lineRule="exact"/>
        <w:ind w:firstLine="640"/>
        <w:jc w:val="both"/>
        <w:outlineLvl w:val="2"/>
      </w:pPr>
      <w:r>
        <w:rPr>
          <w:rFonts w:ascii="黑体" w:hAnsi="黑体" w:eastAsia="黑体"/>
          <w:sz w:val="32"/>
        </w:rPr>
        <w:t>六、一般公共预算财政拨款基本支出决算情况说明</w:t>
      </w:r>
    </w:p>
    <w:p w14:paraId="141C5439">
      <w:pPr>
        <w:spacing w:line="580" w:lineRule="exact"/>
        <w:ind w:firstLine="640"/>
        <w:jc w:val="both"/>
      </w:pPr>
      <w:r>
        <w:rPr>
          <w:rFonts w:ascii="仿宋_GB2312" w:hAnsi="仿宋_GB2312" w:eastAsia="仿宋_GB2312"/>
          <w:b w:val="0"/>
          <w:sz w:val="32"/>
        </w:rPr>
        <w:t>2024年度一般公共预算财政拨款基本支出1,069.54万元，其中：</w:t>
      </w:r>
      <w:r>
        <w:rPr>
          <w:rFonts w:ascii="仿宋_GB2312" w:hAnsi="仿宋_GB2312" w:eastAsia="仿宋_GB2312"/>
          <w:b/>
          <w:sz w:val="32"/>
        </w:rPr>
        <w:t>人员经费1,055.43万元，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10743B09">
      <w:pPr>
        <w:spacing w:line="580" w:lineRule="exact"/>
        <w:ind w:firstLine="640"/>
        <w:jc w:val="both"/>
      </w:pPr>
      <w:r>
        <w:rPr>
          <w:rFonts w:ascii="仿宋_GB2312" w:hAnsi="仿宋_GB2312" w:eastAsia="仿宋_GB2312"/>
          <w:b/>
          <w:sz w:val="32"/>
        </w:rPr>
        <w:t>公用经费14.11万元，</w:t>
      </w:r>
      <w:r>
        <w:rPr>
          <w:rFonts w:ascii="仿宋_GB2312" w:hAnsi="仿宋_GB2312" w:eastAsia="仿宋_GB2312"/>
          <w:b w:val="0"/>
          <w:sz w:val="32"/>
        </w:rPr>
        <w:t>包括：办公费、印刷费、咨询费、手续费、水费、电费、邮电费、维修（护）费、培训费、劳务费、公务用车运行维护费。</w:t>
      </w:r>
    </w:p>
    <w:p w14:paraId="1B03DF9A">
      <w:pPr>
        <w:spacing w:line="640" w:lineRule="exact"/>
        <w:ind w:firstLine="640"/>
        <w:jc w:val="both"/>
        <w:outlineLvl w:val="2"/>
      </w:pPr>
      <w:r>
        <w:rPr>
          <w:rFonts w:ascii="黑体" w:hAnsi="黑体" w:eastAsia="黑体"/>
          <w:sz w:val="32"/>
        </w:rPr>
        <w:t>七、政府性基金预算财政拨款收入支出决算情况说明</w:t>
      </w:r>
    </w:p>
    <w:p w14:paraId="41B9E3FD">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784862E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减少570.00万元，下降100.00%，主要原因是：本年减少疾控中心业务用房建设项目。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w:t>
      </w:r>
      <w:r>
        <w:rPr>
          <w:rFonts w:hint="eastAsia" w:ascii="仿宋_GB2312" w:hAnsi="仿宋_GB2312" w:eastAsia="仿宋_GB2312"/>
          <w:b w:val="0"/>
          <w:sz w:val="32"/>
          <w:lang w:val="en-US" w:eastAsia="zh-CN"/>
        </w:rPr>
        <w:t>政府性基金预算财政拨款</w:t>
      </w:r>
      <w:r>
        <w:rPr>
          <w:rFonts w:ascii="仿宋_GB2312" w:hAnsi="仿宋_GB2312" w:eastAsia="仿宋_GB2312"/>
          <w:b w:val="0"/>
          <w:sz w:val="32"/>
        </w:rPr>
        <w:t>。</w:t>
      </w:r>
    </w:p>
    <w:p w14:paraId="51E51993">
      <w:pPr>
        <w:spacing w:line="580" w:lineRule="exact"/>
        <w:ind w:firstLine="640"/>
        <w:jc w:val="both"/>
      </w:pPr>
      <w:r>
        <w:rPr>
          <w:rFonts w:ascii="仿宋_GB2312" w:hAnsi="仿宋_GB2312" w:eastAsia="仿宋_GB2312"/>
          <w:b w:val="0"/>
          <w:sz w:val="32"/>
        </w:rPr>
        <w:t>政府性基金预算财政拨款支出0.00万元。</w:t>
      </w:r>
    </w:p>
    <w:p w14:paraId="1E3014B3">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570.00万元，下降100.00%,主要原因是：本年减少疾控中心业务用房建设项目。</w:t>
      </w:r>
    </w:p>
    <w:p w14:paraId="1863BEF0">
      <w:pPr>
        <w:spacing w:line="640" w:lineRule="exact"/>
        <w:ind w:firstLine="640"/>
        <w:jc w:val="both"/>
        <w:outlineLvl w:val="2"/>
      </w:pPr>
      <w:r>
        <w:rPr>
          <w:rFonts w:ascii="黑体" w:hAnsi="黑体" w:eastAsia="黑体"/>
          <w:sz w:val="32"/>
        </w:rPr>
        <w:t>八、国有资本经营预算财政拨款收入支出决算情况说明</w:t>
      </w:r>
    </w:p>
    <w:p w14:paraId="7F6554F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F045AC0">
      <w:pPr>
        <w:spacing w:line="640" w:lineRule="exact"/>
        <w:ind w:firstLine="640"/>
        <w:jc w:val="both"/>
        <w:outlineLvl w:val="2"/>
      </w:pPr>
      <w:r>
        <w:rPr>
          <w:rFonts w:ascii="黑体" w:hAnsi="黑体" w:eastAsia="黑体"/>
          <w:sz w:val="32"/>
        </w:rPr>
        <w:t>九、财政拨款“三公”经费支出决算情况说明</w:t>
      </w:r>
    </w:p>
    <w:p w14:paraId="1EDD9B59">
      <w:pPr>
        <w:spacing w:line="580" w:lineRule="exact"/>
        <w:ind w:firstLine="640"/>
        <w:jc w:val="both"/>
      </w:pPr>
      <w:r>
        <w:rPr>
          <w:rFonts w:ascii="仿宋_GB2312" w:hAnsi="仿宋_GB2312" w:eastAsia="仿宋_GB2312"/>
          <w:b/>
          <w:sz w:val="32"/>
        </w:rPr>
        <w:t>2024年度财政拨款“三公”经费支出0.83万元，</w:t>
      </w:r>
      <w:r>
        <w:rPr>
          <w:rFonts w:ascii="仿宋_GB2312" w:hAnsi="仿宋_GB2312" w:eastAsia="仿宋_GB2312"/>
          <w:b w:val="0"/>
          <w:sz w:val="32"/>
        </w:rPr>
        <w:t>比上年减少4.34万元，下降83.95%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0.83万元，占100.00%，比上年减少4.34万元，下降83.95%，主要原因是：严格落实中央八项规定精神，厉行节约，减少公务用车运行维护费。公务接待费支出0.00万元，占0.00%，比上年增加0.00万元，增长0.00%，主要原因是：2023年与2024年均未安排公务接待费支出。</w:t>
      </w:r>
    </w:p>
    <w:p w14:paraId="65AC6FA7">
      <w:pPr>
        <w:spacing w:line="580" w:lineRule="exact"/>
        <w:ind w:firstLine="640"/>
        <w:jc w:val="both"/>
      </w:pPr>
      <w:r>
        <w:rPr>
          <w:rFonts w:ascii="仿宋_GB2312" w:hAnsi="仿宋_GB2312" w:eastAsia="仿宋_GB2312"/>
          <w:b/>
          <w:sz w:val="32"/>
        </w:rPr>
        <w:t>具体情况如下：</w:t>
      </w:r>
    </w:p>
    <w:p w14:paraId="6B82221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81E90CA">
      <w:pPr>
        <w:spacing w:line="580" w:lineRule="exact"/>
        <w:ind w:firstLine="640"/>
        <w:jc w:val="both"/>
      </w:pPr>
      <w:r>
        <w:rPr>
          <w:rFonts w:ascii="仿宋_GB2312" w:hAnsi="仿宋_GB2312" w:eastAsia="仿宋_GB2312"/>
          <w:b w:val="0"/>
          <w:sz w:val="32"/>
        </w:rPr>
        <w:t>公务用车购置及运行维护费0.83万元，其中：公务用车购置费0.00万元，公务用车运行维护费0.83万元。公务用车运行维护费开支内容包括车辆加油费、车辆维修费、车辆保险费。公务用车购置数0辆，公务用车保有量6辆。国有资产占用情况中固定资产车辆6辆，与公务用车保有量差异原因是：本单位固定资产车辆与公务用车保有量一致无差异。</w:t>
      </w:r>
    </w:p>
    <w:p w14:paraId="02DDB9B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1F64C4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0.83万元，决算数0.83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0.83万元，决算数0.83万元，预决算差异率0.00%，主要原因是：严格按照预算执行，预决算无差异。公务接待费全年预算数0.00万元，决算数0.00万元，预决算差异率0.00%，主要原因是：本单位无公务接待费。</w:t>
      </w:r>
    </w:p>
    <w:p w14:paraId="1157AA01">
      <w:pPr>
        <w:spacing w:line="640" w:lineRule="exact"/>
        <w:ind w:firstLine="640"/>
        <w:jc w:val="both"/>
        <w:outlineLvl w:val="2"/>
      </w:pPr>
      <w:r>
        <w:rPr>
          <w:rFonts w:ascii="黑体" w:hAnsi="黑体" w:eastAsia="黑体"/>
          <w:sz w:val="32"/>
        </w:rPr>
        <w:t>十、其他重要事项的情况说明</w:t>
      </w:r>
    </w:p>
    <w:p w14:paraId="040E765D">
      <w:pPr>
        <w:spacing w:line="640" w:lineRule="exact"/>
        <w:ind w:firstLine="640"/>
        <w:jc w:val="both"/>
        <w:outlineLvl w:val="3"/>
      </w:pPr>
      <w:r>
        <w:rPr>
          <w:rFonts w:ascii="楷体_GB2312" w:hAnsi="楷体_GB2312" w:eastAsia="楷体_GB2312"/>
          <w:b/>
          <w:sz w:val="32"/>
        </w:rPr>
        <w:t>（一）机关运行经费及公用经费支出情况</w:t>
      </w:r>
    </w:p>
    <w:p w14:paraId="1AABCDE0">
      <w:pPr>
        <w:spacing w:line="580" w:lineRule="exact"/>
        <w:ind w:firstLine="640"/>
        <w:jc w:val="both"/>
      </w:pPr>
      <w:r>
        <w:rPr>
          <w:rFonts w:ascii="仿宋_GB2312" w:hAnsi="仿宋_GB2312" w:eastAsia="仿宋_GB2312"/>
          <w:b w:val="0"/>
          <w:sz w:val="32"/>
        </w:rPr>
        <w:t>2024年度洛浦县疾病预防控制中心（事业单位）公用经费支出14.11万元，比上年增加4.32万元，增长44.13%，主要原因是：本年业务量增加，公用经费增加。</w:t>
      </w:r>
    </w:p>
    <w:p w14:paraId="5318AA4D">
      <w:pPr>
        <w:spacing w:line="640" w:lineRule="exact"/>
        <w:ind w:firstLine="640"/>
        <w:jc w:val="both"/>
        <w:outlineLvl w:val="3"/>
      </w:pPr>
      <w:r>
        <w:rPr>
          <w:rFonts w:ascii="楷体_GB2312" w:hAnsi="楷体_GB2312" w:eastAsia="楷体_GB2312"/>
          <w:b/>
          <w:sz w:val="32"/>
        </w:rPr>
        <w:t>（二）政府采购情况</w:t>
      </w:r>
    </w:p>
    <w:p w14:paraId="27521F98">
      <w:pPr>
        <w:spacing w:line="580" w:lineRule="exact"/>
        <w:ind w:firstLine="640"/>
        <w:jc w:val="both"/>
      </w:pPr>
      <w:r>
        <w:rPr>
          <w:rFonts w:ascii="仿宋_GB2312" w:hAnsi="仿宋_GB2312" w:eastAsia="仿宋_GB2312"/>
          <w:b w:val="0"/>
          <w:sz w:val="32"/>
        </w:rPr>
        <w:t>2024年度政府采购支出总额7.21万元，其中：政府采购货物支出0.00万元、政府采购工程支出0.00万元、政府采购服务支出7.21万元。</w:t>
      </w:r>
    </w:p>
    <w:p w14:paraId="23DA22C4">
      <w:pPr>
        <w:spacing w:line="580" w:lineRule="exact"/>
        <w:ind w:firstLine="640"/>
        <w:jc w:val="both"/>
      </w:pPr>
      <w:r>
        <w:rPr>
          <w:rFonts w:ascii="仿宋_GB2312" w:hAnsi="仿宋_GB2312" w:eastAsia="仿宋_GB2312"/>
          <w:b w:val="0"/>
          <w:sz w:val="32"/>
        </w:rPr>
        <w:t>授予中小企业合同金额7.21万元，占政府采购支出总额的100.00%，其中：授予小微企业合同金额6.61万元，占政府采购支出总额的91.68%。</w:t>
      </w:r>
    </w:p>
    <w:p w14:paraId="70FB3252">
      <w:pPr>
        <w:spacing w:line="640" w:lineRule="exact"/>
        <w:ind w:firstLine="640"/>
        <w:jc w:val="both"/>
        <w:outlineLvl w:val="3"/>
      </w:pPr>
      <w:r>
        <w:rPr>
          <w:rFonts w:ascii="楷体_GB2312" w:hAnsi="楷体_GB2312" w:eastAsia="楷体_GB2312"/>
          <w:b/>
          <w:sz w:val="32"/>
        </w:rPr>
        <w:t>（三）国有资产占用情况说明</w:t>
      </w:r>
    </w:p>
    <w:p w14:paraId="6A4D27B3">
      <w:pPr>
        <w:spacing w:line="580" w:lineRule="exact"/>
        <w:ind w:firstLine="640"/>
        <w:jc w:val="both"/>
      </w:pPr>
      <w:r>
        <w:rPr>
          <w:rFonts w:ascii="仿宋_GB2312" w:hAnsi="仿宋_GB2312" w:eastAsia="仿宋_GB2312"/>
          <w:b w:val="0"/>
          <w:sz w:val="32"/>
        </w:rPr>
        <w:t>截至2024年12月31日，房屋6,252.34平方米，价值1,608.61万元。车辆6辆，价值98.04万元，其中：副部（省）级及以上领导用车0辆、主要负责人用车0辆、机要通信用车0辆、应急保障用车2辆、执法执勤用车0辆、特种专业技术用车0辆、离退休干部服务用车0辆、其他用车4辆，其他用车主要是：一般公务用车。单价100万元（含）以上设备（不含车辆）1台（套）。</w:t>
      </w:r>
    </w:p>
    <w:p w14:paraId="7D71C516">
      <w:pPr>
        <w:spacing w:line="640" w:lineRule="exact"/>
        <w:ind w:firstLine="640"/>
        <w:jc w:val="both"/>
        <w:outlineLvl w:val="2"/>
      </w:pPr>
      <w:r>
        <w:rPr>
          <w:rFonts w:ascii="黑体" w:hAnsi="黑体" w:eastAsia="黑体"/>
          <w:sz w:val="32"/>
        </w:rPr>
        <w:t>十一、预算绩效的情况说明</w:t>
      </w:r>
    </w:p>
    <w:p w14:paraId="096D298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根据预算绩效管理要求，本单位2024年度预算绩效管理形成整体支出绩效自评表1个，全年预算总额1,312.09万元，实际执行总额1,312.09万元；预算绩效评价项目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rPr>
        <w:t>142.25</w:t>
      </w:r>
      <w:r>
        <w:rPr>
          <w:rFonts w:ascii="仿宋_GB2312" w:hAnsi="仿宋_GB2312" w:eastAsia="仿宋_GB2312"/>
          <w:b w:val="0"/>
          <w:sz w:val="32"/>
        </w:rPr>
        <w:t>万元，全年执行数</w:t>
      </w:r>
      <w:r>
        <w:rPr>
          <w:rFonts w:hint="eastAsia" w:ascii="仿宋_GB2312" w:hAnsi="仿宋_GB2312" w:eastAsia="仿宋_GB2312"/>
          <w:b w:val="0"/>
          <w:sz w:val="32"/>
        </w:rPr>
        <w:t>142.25</w:t>
      </w:r>
      <w:r>
        <w:rPr>
          <w:rFonts w:ascii="仿宋_GB2312" w:hAnsi="仿宋_GB2312" w:eastAsia="仿宋_GB2312"/>
          <w:b w:val="0"/>
          <w:sz w:val="32"/>
        </w:rPr>
        <w:t>万元。预算绩效管理取得的成效：一是项目实施过程中，洛浦县疾控中心根据相关实施方案等要求保障了项目的顺利实施项目的实施遵守相关法律法规和业务管理规定，不定期对项目进度情况进行督导检查，对检查过程中发现的问题及时督促整改，确保了项目按时保质完成。二是资金的拨付有完整的审批程序和手续，不存在截留、挤占、挪用等情况。三是实施本项目过程中，采取积极有效的措施，在用好、管好项目资金的同时，制定切实可行的资金使用方案，保证项目能够如期完成。为保证项目的顺利实施，洛浦县维吾尔医院按照有关条款实施该项目，保证项目顺利进行。发现的问题及原因：一是对项目绩效管理工作不够重视。二是对项目自评工作欠积极性，资料不及时，敷衍了事。下一步改进措施：一是进一步理顺责任关系，完善项目实施机制，提高项目管理规范性。建立健全项目管理机制，明确各级管理部门对项目管理的责任。二是进一步完善项目监督管理机制，加强对项目实施。</w:t>
      </w:r>
      <w:bookmarkStart w:id="0" w:name="_GoBack"/>
      <w:bookmarkEnd w:id="0"/>
      <w:r>
        <w:rPr>
          <w:rFonts w:ascii="仿宋_GB2312" w:hAnsi="仿宋_GB2312" w:eastAsia="仿宋_GB2312"/>
          <w:b w:val="0"/>
          <w:sz w:val="32"/>
        </w:rPr>
        <w:t>具体附整体支出绩效自评表，项目支出绩效自评表和评价报告。</w:t>
      </w:r>
    </w:p>
    <w:p w14:paraId="1CF2AD7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528F69">
        <w:tblPrEx>
          <w:tblCellMar>
            <w:top w:w="0" w:type="dxa"/>
            <w:left w:w="108" w:type="dxa"/>
            <w:bottom w:w="0" w:type="dxa"/>
            <w:right w:w="108" w:type="dxa"/>
          </w:tblCellMar>
        </w:tblPrEx>
        <w:tc>
          <w:tcPr>
            <w:tcW w:w="8847" w:type="dxa"/>
            <w:gridSpan w:val="9"/>
            <w:vAlign w:val="center"/>
          </w:tcPr>
          <w:p w14:paraId="6A2F05C1">
            <w:pPr>
              <w:jc w:val="center"/>
            </w:pPr>
            <w:r>
              <w:rPr>
                <w:rFonts w:ascii="宋体" w:hAnsi="宋体" w:eastAsia="宋体"/>
                <w:sz w:val="24"/>
              </w:rPr>
              <w:t>单位整体支出绩效自评表</w:t>
            </w:r>
          </w:p>
        </w:tc>
      </w:tr>
      <w:tr w14:paraId="00260A9A">
        <w:tblPrEx>
          <w:tblCellMar>
            <w:top w:w="0" w:type="dxa"/>
            <w:left w:w="108" w:type="dxa"/>
            <w:bottom w:w="0" w:type="dxa"/>
            <w:right w:w="108" w:type="dxa"/>
          </w:tblCellMar>
        </w:tblPrEx>
        <w:tc>
          <w:tcPr>
            <w:tcW w:w="8847" w:type="dxa"/>
            <w:gridSpan w:val="9"/>
            <w:vAlign w:val="center"/>
          </w:tcPr>
          <w:p w14:paraId="37390925">
            <w:pPr>
              <w:jc w:val="center"/>
            </w:pPr>
            <w:r>
              <w:rPr>
                <w:rFonts w:ascii="宋体" w:hAnsi="宋体" w:eastAsia="宋体"/>
                <w:sz w:val="24"/>
              </w:rPr>
              <w:t>（2024年度）</w:t>
            </w:r>
          </w:p>
        </w:tc>
      </w:tr>
      <w:tr w14:paraId="12D3DF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1433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425177">
            <w:pPr>
              <w:jc w:val="center"/>
            </w:pPr>
            <w:r>
              <w:rPr>
                <w:rFonts w:ascii="宋体" w:hAnsi="宋体" w:eastAsia="宋体"/>
                <w:sz w:val="16"/>
              </w:rPr>
              <w:t>洛浦县疾病预防控制中心</w:t>
            </w:r>
          </w:p>
        </w:tc>
      </w:tr>
      <w:tr w14:paraId="082CA9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3E567">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0696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4418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7829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C29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C8DF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A98D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59F4E">
            <w:pPr>
              <w:jc w:val="center"/>
            </w:pPr>
            <w:r>
              <w:rPr>
                <w:rFonts w:ascii="宋体" w:hAnsi="宋体" w:eastAsia="宋体"/>
                <w:sz w:val="16"/>
              </w:rPr>
              <w:t>得分</w:t>
            </w:r>
          </w:p>
        </w:tc>
      </w:tr>
      <w:tr w14:paraId="11ADB5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1D65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30655">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4133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BDC23">
            <w:pPr>
              <w:jc w:val="center"/>
            </w:pPr>
            <w:r>
              <w:rPr>
                <w:rFonts w:ascii="宋体" w:hAnsi="宋体" w:eastAsia="宋体"/>
                <w:sz w:val="16"/>
              </w:rPr>
              <w:t>80.09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90467">
            <w:pPr>
              <w:jc w:val="center"/>
            </w:pPr>
            <w:r>
              <w:rPr>
                <w:rFonts w:ascii="宋体" w:hAnsi="宋体" w:eastAsia="宋体"/>
                <w:sz w:val="16"/>
              </w:rPr>
              <w:t>242.54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116B1">
            <w:pPr>
              <w:jc w:val="center"/>
            </w:pPr>
            <w:r>
              <w:rPr>
                <w:rFonts w:ascii="宋体" w:hAnsi="宋体" w:eastAsia="宋体"/>
                <w:sz w:val="16"/>
              </w:rPr>
              <w:t>242.54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CA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E9E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BE4A4">
            <w:pPr>
              <w:jc w:val="center"/>
            </w:pPr>
            <w:r>
              <w:rPr>
                <w:rFonts w:ascii="宋体" w:hAnsi="宋体" w:eastAsia="宋体"/>
                <w:sz w:val="16"/>
              </w:rPr>
              <w:t>-</w:t>
            </w:r>
          </w:p>
        </w:tc>
      </w:tr>
      <w:tr w14:paraId="6CD21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DFB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AE3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3DA18">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3E14F">
            <w:pPr>
              <w:jc w:val="center"/>
            </w:pPr>
            <w:r>
              <w:rPr>
                <w:rFonts w:ascii="宋体" w:hAnsi="宋体" w:eastAsia="宋体"/>
                <w:sz w:val="16"/>
              </w:rPr>
              <w:t>1,110.78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085B7">
            <w:pPr>
              <w:jc w:val="center"/>
            </w:pPr>
            <w:r>
              <w:rPr>
                <w:rFonts w:ascii="宋体" w:hAnsi="宋体" w:eastAsia="宋体"/>
                <w:sz w:val="16"/>
              </w:rPr>
              <w:t>1,069.55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7DA92">
            <w:pPr>
              <w:jc w:val="center"/>
            </w:pPr>
            <w:r>
              <w:rPr>
                <w:rFonts w:ascii="宋体" w:hAnsi="宋体" w:eastAsia="宋体"/>
                <w:sz w:val="16"/>
              </w:rPr>
              <w:t>1,069.55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3CA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C54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E63D9">
            <w:pPr>
              <w:jc w:val="center"/>
            </w:pPr>
            <w:r>
              <w:rPr>
                <w:rFonts w:ascii="宋体" w:hAnsi="宋体" w:eastAsia="宋体"/>
                <w:sz w:val="16"/>
              </w:rPr>
              <w:t>-</w:t>
            </w:r>
          </w:p>
        </w:tc>
      </w:tr>
      <w:tr w14:paraId="513D26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879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1CC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D784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5A8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E83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ED7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48A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A30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71F87">
            <w:pPr>
              <w:jc w:val="center"/>
            </w:pPr>
            <w:r>
              <w:rPr>
                <w:rFonts w:ascii="宋体" w:hAnsi="宋体" w:eastAsia="宋体"/>
                <w:sz w:val="16"/>
              </w:rPr>
              <w:t>-</w:t>
            </w:r>
          </w:p>
        </w:tc>
      </w:tr>
      <w:tr w14:paraId="1B5E0E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46C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25DA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97F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E22B8">
            <w:pPr>
              <w:jc w:val="center"/>
            </w:pPr>
            <w:r>
              <w:rPr>
                <w:rFonts w:ascii="宋体" w:hAnsi="宋体" w:eastAsia="宋体"/>
                <w:sz w:val="16"/>
              </w:rPr>
              <w:t>1,190.87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A3189">
            <w:pPr>
              <w:jc w:val="center"/>
            </w:pPr>
            <w:r>
              <w:rPr>
                <w:rFonts w:ascii="宋体" w:hAnsi="宋体" w:eastAsia="宋体"/>
                <w:sz w:val="16"/>
              </w:rPr>
              <w:t>1,312.09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8A235">
            <w:pPr>
              <w:jc w:val="center"/>
            </w:pPr>
            <w:r>
              <w:rPr>
                <w:rFonts w:ascii="宋体" w:hAnsi="宋体" w:eastAsia="宋体"/>
                <w:sz w:val="16"/>
              </w:rPr>
              <w:t>1,312.09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AA4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1FDF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60B12">
            <w:pPr>
              <w:jc w:val="center"/>
            </w:pPr>
            <w:r>
              <w:rPr>
                <w:rFonts w:ascii="宋体" w:hAnsi="宋体" w:eastAsia="宋体"/>
                <w:sz w:val="16"/>
              </w:rPr>
              <w:t>10</w:t>
            </w:r>
          </w:p>
        </w:tc>
      </w:tr>
      <w:tr w14:paraId="644267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D942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410F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437326">
            <w:pPr>
              <w:jc w:val="center"/>
            </w:pPr>
            <w:r>
              <w:rPr>
                <w:rFonts w:ascii="宋体" w:hAnsi="宋体" w:eastAsia="宋体"/>
                <w:sz w:val="16"/>
              </w:rPr>
              <w:t>实际完成情况</w:t>
            </w:r>
          </w:p>
        </w:tc>
      </w:tr>
      <w:tr w14:paraId="4C6751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721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ECACC0">
            <w:pPr>
              <w:jc w:val="both"/>
            </w:pPr>
            <w:r>
              <w:rPr>
                <w:rFonts w:ascii="宋体" w:hAnsi="宋体" w:eastAsia="宋体"/>
                <w:sz w:val="16"/>
              </w:rPr>
              <w:t>单位本年度预算资金为1190.87万元，主要用途为如下：</w:t>
            </w:r>
            <w:r>
              <w:rPr>
                <w:rFonts w:ascii="宋体" w:hAnsi="宋体" w:eastAsia="宋体"/>
                <w:sz w:val="16"/>
              </w:rPr>
              <w:br w:type="textWrapping"/>
            </w:r>
            <w:r>
              <w:rPr>
                <w:rFonts w:ascii="宋体" w:hAnsi="宋体" w:eastAsia="宋体"/>
                <w:sz w:val="16"/>
              </w:rPr>
              <w:t>目标1.发放在职57名人员工资，支付用工经费，发放15名退休人员生活补助，保障单位7个预算项目的顺利开展，贯彻以公共卫生服务为主，医疗卫生为中心的工作方针，为全县人民身体健康提供医疗与预防保健服务，医疗、常见病、地方病、多发病、疑难病诊断治疗。</w:t>
            </w:r>
            <w:r>
              <w:rPr>
                <w:rFonts w:ascii="宋体" w:hAnsi="宋体" w:eastAsia="宋体"/>
                <w:sz w:val="16"/>
              </w:rPr>
              <w:br w:type="textWrapping"/>
            </w:r>
            <w:r>
              <w:rPr>
                <w:rFonts w:ascii="宋体" w:hAnsi="宋体" w:eastAsia="宋体"/>
                <w:sz w:val="16"/>
              </w:rPr>
              <w:t>目标2.提高医疗服务质量，完善医疗管理各项制度，规范医疗行为，确保医疗安全，提高医疗质量，让患者满意；</w:t>
            </w:r>
            <w:r>
              <w:rPr>
                <w:rFonts w:ascii="宋体" w:hAnsi="宋体" w:eastAsia="宋体"/>
                <w:sz w:val="16"/>
              </w:rPr>
              <w:br w:type="textWrapping"/>
            </w:r>
            <w:r>
              <w:rPr>
                <w:rFonts w:ascii="宋体" w:hAnsi="宋体" w:eastAsia="宋体"/>
                <w:sz w:val="16"/>
              </w:rPr>
              <w:t>目标3.各项业务经费不超出预算，不超支审批。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77CAB">
            <w:pPr>
              <w:jc w:val="both"/>
            </w:pPr>
            <w:r>
              <w:rPr>
                <w:rFonts w:ascii="宋体" w:hAnsi="宋体" w:eastAsia="宋体"/>
                <w:sz w:val="16"/>
              </w:rPr>
              <w:t>单位本年度预算资金为1190.87万元，主要用途为如下：</w:t>
            </w:r>
            <w:r>
              <w:rPr>
                <w:rFonts w:ascii="宋体" w:hAnsi="宋体" w:eastAsia="宋体"/>
                <w:sz w:val="16"/>
              </w:rPr>
              <w:br w:type="textWrapping"/>
            </w:r>
            <w:r>
              <w:rPr>
                <w:rFonts w:ascii="宋体" w:hAnsi="宋体" w:eastAsia="宋体"/>
                <w:sz w:val="16"/>
              </w:rPr>
              <w:t>目标1.发放在职57名人员工资，支付用工经费，发放15名退休人员生活补助，保障单位7个预算项目的顺利开展，贯彻以公共卫生服务为主，医疗卫生为中心的工作方针，为全县人民身体健康提供医疗与预防保健服务，医疗、常见病、地方病、多发病、疑难病诊断治疗。</w:t>
            </w:r>
            <w:r>
              <w:rPr>
                <w:rFonts w:ascii="宋体" w:hAnsi="宋体" w:eastAsia="宋体"/>
                <w:sz w:val="16"/>
              </w:rPr>
              <w:br w:type="textWrapping"/>
            </w:r>
            <w:r>
              <w:rPr>
                <w:rFonts w:ascii="宋体" w:hAnsi="宋体" w:eastAsia="宋体"/>
                <w:sz w:val="16"/>
              </w:rPr>
              <w:t>目标2.提高医疗服务质量，完善医疗管理各项制度，规范医疗行为，确保医疗安全，提高医疗质量，让患者满意；</w:t>
            </w:r>
            <w:r>
              <w:rPr>
                <w:rFonts w:ascii="宋体" w:hAnsi="宋体" w:eastAsia="宋体"/>
                <w:sz w:val="16"/>
              </w:rPr>
              <w:br w:type="textWrapping"/>
            </w:r>
            <w:r>
              <w:rPr>
                <w:rFonts w:ascii="宋体" w:hAnsi="宋体" w:eastAsia="宋体"/>
                <w:sz w:val="16"/>
              </w:rPr>
              <w:t>目标3.各项业务经费不超出预算，不超支审批。</w:t>
            </w:r>
          </w:p>
        </w:tc>
      </w:tr>
      <w:tr w14:paraId="3DAB20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CCF8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F3E0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B78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A43B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8DA5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5A17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17D0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FC785">
            <w:pPr>
              <w:jc w:val="center"/>
            </w:pPr>
            <w:r>
              <w:rPr>
                <w:rFonts w:ascii="宋体" w:hAnsi="宋体" w:eastAsia="宋体"/>
                <w:sz w:val="16"/>
              </w:rPr>
              <w:t>得分</w:t>
            </w:r>
          </w:p>
        </w:tc>
      </w:tr>
      <w:tr w14:paraId="0EA180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63E1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C708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17890">
            <w:pPr>
              <w:jc w:val="center"/>
            </w:pPr>
            <w:r>
              <w:rPr>
                <w:rFonts w:ascii="宋体" w:hAnsi="宋体" w:eastAsia="宋体"/>
                <w:sz w:val="16"/>
              </w:rPr>
              <w:t>开展集中学习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6FC07">
            <w:pPr>
              <w:jc w:val="center"/>
            </w:pPr>
            <w:r>
              <w:rPr>
                <w:rFonts w:ascii="宋体" w:hAnsi="宋体" w:eastAsia="宋体"/>
                <w:sz w:val="16"/>
              </w:rPr>
              <w:t>&lt;=32次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C936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1F8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D6802">
            <w:pPr>
              <w:jc w:val="center"/>
            </w:pPr>
            <w:r>
              <w:rPr>
                <w:rFonts w:ascii="宋体" w:hAnsi="宋体" w:eastAsia="宋体"/>
                <w:sz w:val="16"/>
              </w:rPr>
              <w:t>32次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42400">
            <w:pPr>
              <w:jc w:val="center"/>
            </w:pPr>
            <w:r>
              <w:rPr>
                <w:rFonts w:ascii="宋体" w:hAnsi="宋体" w:eastAsia="宋体"/>
                <w:sz w:val="16"/>
              </w:rPr>
              <w:t>20</w:t>
            </w:r>
          </w:p>
        </w:tc>
      </w:tr>
      <w:tr w14:paraId="58F572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328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E75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A3549">
            <w:pPr>
              <w:jc w:val="center"/>
            </w:pPr>
            <w:r>
              <w:rPr>
                <w:rFonts w:ascii="宋体" w:hAnsi="宋体" w:eastAsia="宋体"/>
                <w:sz w:val="16"/>
              </w:rPr>
              <w:t>保障发放工资人数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EADAA">
            <w:pPr>
              <w:jc w:val="center"/>
            </w:pPr>
            <w:r>
              <w:rPr>
                <w:rFonts w:ascii="宋体" w:hAnsi="宋体" w:eastAsia="宋体"/>
                <w:sz w:val="16"/>
              </w:rPr>
              <w:t>=57人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386E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C1363">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9B32B">
            <w:pPr>
              <w:jc w:val="center"/>
            </w:pPr>
            <w:r>
              <w:rPr>
                <w:rFonts w:ascii="宋体" w:hAnsi="宋体" w:eastAsia="宋体"/>
                <w:sz w:val="16"/>
              </w:rPr>
              <w:t>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6631B">
            <w:pPr>
              <w:jc w:val="center"/>
            </w:pPr>
            <w:r>
              <w:rPr>
                <w:rFonts w:ascii="宋体" w:hAnsi="宋体" w:eastAsia="宋体"/>
                <w:sz w:val="16"/>
              </w:rPr>
              <w:t>25</w:t>
            </w:r>
          </w:p>
        </w:tc>
      </w:tr>
      <w:tr w14:paraId="26D530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CE1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24C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73CC">
            <w:pPr>
              <w:jc w:val="center"/>
            </w:pPr>
            <w:r>
              <w:rPr>
                <w:rFonts w:ascii="宋体" w:hAnsi="宋体" w:eastAsia="宋体"/>
                <w:sz w:val="16"/>
              </w:rPr>
              <w:t>2024年本单位全年保障项目支出个数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33CED">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D600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4DDB9">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D8349">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FA6B1">
            <w:pPr>
              <w:jc w:val="center"/>
            </w:pPr>
            <w:r>
              <w:rPr>
                <w:rFonts w:ascii="宋体" w:hAnsi="宋体" w:eastAsia="宋体"/>
                <w:sz w:val="16"/>
              </w:rPr>
              <w:t>25</w:t>
            </w:r>
          </w:p>
        </w:tc>
      </w:tr>
      <w:tr w14:paraId="671574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B76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F2B64">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001A9">
            <w:pPr>
              <w:jc w:val="center"/>
            </w:pPr>
            <w:r>
              <w:rPr>
                <w:rFonts w:ascii="宋体" w:hAnsi="宋体" w:eastAsia="宋体"/>
                <w:sz w:val="16"/>
              </w:rPr>
              <w:t>控制报告发病率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0CF0D">
            <w:pPr>
              <w:jc w:val="center"/>
            </w:pPr>
            <w:r>
              <w:rPr>
                <w:rFonts w:ascii="宋体" w:hAnsi="宋体" w:eastAsia="宋体"/>
                <w:sz w:val="16"/>
              </w:rPr>
              <w:t>&lt;=60%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067A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845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F0576">
            <w:pPr>
              <w:jc w:val="center"/>
            </w:pPr>
            <w:r>
              <w:rPr>
                <w:rFonts w:ascii="宋体" w:hAnsi="宋体" w:eastAsia="宋体"/>
                <w:sz w:val="16"/>
              </w:rPr>
              <w: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8BB41">
            <w:pPr>
              <w:jc w:val="center"/>
            </w:pPr>
            <w:r>
              <w:rPr>
                <w:rFonts w:ascii="宋体" w:hAnsi="宋体" w:eastAsia="宋体"/>
                <w:sz w:val="16"/>
              </w:rPr>
              <w:t>20</w:t>
            </w:r>
          </w:p>
        </w:tc>
      </w:tr>
    </w:tbl>
    <w:p w14:paraId="6E37ACB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3E9ED5">
        <w:tblPrEx>
          <w:tblCellMar>
            <w:top w:w="0" w:type="dxa"/>
            <w:left w:w="108" w:type="dxa"/>
            <w:bottom w:w="0" w:type="dxa"/>
            <w:right w:w="108" w:type="dxa"/>
          </w:tblCellMar>
        </w:tblPrEx>
        <w:tc>
          <w:tcPr>
            <w:tcW w:w="8847" w:type="dxa"/>
            <w:gridSpan w:val="9"/>
            <w:vAlign w:val="center"/>
          </w:tcPr>
          <w:p w14:paraId="6BF2B6B2">
            <w:pPr>
              <w:jc w:val="center"/>
            </w:pPr>
            <w:r>
              <w:rPr>
                <w:rFonts w:ascii="宋体" w:hAnsi="宋体" w:eastAsia="宋体"/>
                <w:sz w:val="24"/>
              </w:rPr>
              <w:t>项目支出绩效自评表</w:t>
            </w:r>
          </w:p>
        </w:tc>
      </w:tr>
      <w:tr w14:paraId="7172977E">
        <w:tblPrEx>
          <w:tblCellMar>
            <w:top w:w="0" w:type="dxa"/>
            <w:left w:w="108" w:type="dxa"/>
            <w:bottom w:w="0" w:type="dxa"/>
            <w:right w:w="108" w:type="dxa"/>
          </w:tblCellMar>
        </w:tblPrEx>
        <w:tc>
          <w:tcPr>
            <w:tcW w:w="8847" w:type="dxa"/>
            <w:gridSpan w:val="9"/>
            <w:vAlign w:val="center"/>
          </w:tcPr>
          <w:p w14:paraId="7E18B9C1">
            <w:pPr>
              <w:jc w:val="center"/>
            </w:pPr>
            <w:r>
              <w:rPr>
                <w:rFonts w:ascii="宋体" w:hAnsi="宋体" w:eastAsia="宋体"/>
                <w:sz w:val="24"/>
              </w:rPr>
              <w:t>(2024年度)</w:t>
            </w:r>
          </w:p>
        </w:tc>
      </w:tr>
      <w:tr w14:paraId="41C5BE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7143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01C535">
            <w:pPr>
              <w:jc w:val="center"/>
            </w:pPr>
            <w:r>
              <w:rPr>
                <w:rFonts w:ascii="宋体" w:hAnsi="宋体" w:eastAsia="宋体"/>
                <w:sz w:val="16"/>
              </w:rPr>
              <w:t>存量资金-</w:t>
            </w:r>
            <w:r>
              <w:rPr>
                <w:rFonts w:hint="eastAsia" w:ascii="宋体" w:hAnsi="宋体"/>
                <w:sz w:val="16"/>
                <w:lang w:eastAsia="zh-CN"/>
              </w:rPr>
              <w:t>YQ</w:t>
            </w:r>
            <w:r>
              <w:rPr>
                <w:rFonts w:ascii="宋体" w:hAnsi="宋体" w:eastAsia="宋体"/>
                <w:sz w:val="16"/>
              </w:rPr>
              <w:t>防控经费（洛浦县海峡蓝天酒店住宿费）</w:t>
            </w:r>
          </w:p>
        </w:tc>
      </w:tr>
      <w:tr w14:paraId="6664E1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0123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995582">
            <w:pPr>
              <w:jc w:val="center"/>
            </w:pPr>
            <w:r>
              <w:rPr>
                <w:rFonts w:ascii="宋体" w:hAnsi="宋体" w:eastAsia="宋体"/>
                <w:sz w:val="16"/>
              </w:rPr>
              <w:t>洛浦县疾病预防控制中心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05D8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6C896D">
            <w:pPr>
              <w:jc w:val="center"/>
            </w:pPr>
            <w:r>
              <w:rPr>
                <w:rFonts w:ascii="宋体" w:hAnsi="宋体" w:eastAsia="宋体"/>
                <w:sz w:val="16"/>
              </w:rPr>
              <w:t>洛浦县疾病预防控制中心</w:t>
            </w:r>
          </w:p>
        </w:tc>
      </w:tr>
      <w:tr w14:paraId="60594B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375F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109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5F31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6DF9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88C3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23D2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09DC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EA316">
            <w:pPr>
              <w:jc w:val="center"/>
            </w:pPr>
            <w:r>
              <w:rPr>
                <w:rFonts w:ascii="宋体" w:hAnsi="宋体" w:eastAsia="宋体"/>
                <w:sz w:val="16"/>
              </w:rPr>
              <w:t>得分</w:t>
            </w:r>
          </w:p>
        </w:tc>
      </w:tr>
      <w:tr w14:paraId="44AC66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E67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272D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083BE">
            <w:pPr>
              <w:jc w:val="center"/>
            </w:pPr>
            <w:r>
              <w:rPr>
                <w:rFonts w:ascii="宋体" w:hAnsi="宋体" w:eastAsia="宋体"/>
                <w:sz w:val="16"/>
              </w:rPr>
              <w:t>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FB43A">
            <w:pPr>
              <w:jc w:val="center"/>
            </w:pPr>
            <w:r>
              <w:rPr>
                <w:rFonts w:ascii="宋体" w:hAnsi="宋体" w:eastAsia="宋体"/>
                <w:sz w:val="16"/>
              </w:rPr>
              <w:t>77.60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AA580">
            <w:pPr>
              <w:jc w:val="center"/>
            </w:pPr>
            <w:r>
              <w:rPr>
                <w:rFonts w:ascii="宋体" w:hAnsi="宋体" w:eastAsia="宋体"/>
                <w:sz w:val="16"/>
              </w:rPr>
              <w:t>77.60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DB9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E93D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053F4">
            <w:pPr>
              <w:jc w:val="center"/>
            </w:pPr>
            <w:r>
              <w:rPr>
                <w:rFonts w:ascii="宋体" w:hAnsi="宋体" w:eastAsia="宋体"/>
                <w:sz w:val="16"/>
              </w:rPr>
              <w:t>10.00分</w:t>
            </w:r>
          </w:p>
        </w:tc>
      </w:tr>
      <w:tr w14:paraId="765373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23C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44B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44CA4">
            <w:pPr>
              <w:jc w:val="center"/>
            </w:pPr>
            <w:r>
              <w:rPr>
                <w:rFonts w:ascii="宋体" w:hAnsi="宋体" w:eastAsia="宋体"/>
                <w:sz w:val="16"/>
              </w:rPr>
              <w:t>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E387F">
            <w:pPr>
              <w:jc w:val="center"/>
            </w:pPr>
            <w:r>
              <w:rPr>
                <w:rFonts w:ascii="宋体" w:hAnsi="宋体" w:eastAsia="宋体"/>
                <w:sz w:val="16"/>
              </w:rPr>
              <w:t>77.60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0703C">
            <w:pPr>
              <w:jc w:val="center"/>
            </w:pPr>
            <w:r>
              <w:rPr>
                <w:rFonts w:ascii="宋体" w:hAnsi="宋体" w:eastAsia="宋体"/>
                <w:sz w:val="16"/>
              </w:rPr>
              <w:t>77.60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7A0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DD3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3970E">
            <w:pPr>
              <w:jc w:val="center"/>
            </w:pPr>
            <w:r>
              <w:rPr>
                <w:rFonts w:ascii="宋体" w:hAnsi="宋体" w:eastAsia="宋体"/>
                <w:sz w:val="16"/>
              </w:rPr>
              <w:t>—</w:t>
            </w:r>
          </w:p>
        </w:tc>
      </w:tr>
      <w:tr w14:paraId="5EC0FD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79A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35DD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B22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225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B58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694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83D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ED55A">
            <w:pPr>
              <w:jc w:val="center"/>
            </w:pPr>
            <w:r>
              <w:rPr>
                <w:rFonts w:ascii="宋体" w:hAnsi="宋体" w:eastAsia="宋体"/>
                <w:sz w:val="16"/>
              </w:rPr>
              <w:t>—</w:t>
            </w:r>
          </w:p>
        </w:tc>
      </w:tr>
      <w:tr w14:paraId="165902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F30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6BC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6AA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3F4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2BA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816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990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1A989">
            <w:pPr>
              <w:jc w:val="center"/>
            </w:pPr>
            <w:r>
              <w:rPr>
                <w:rFonts w:ascii="宋体" w:hAnsi="宋体" w:eastAsia="宋体"/>
                <w:sz w:val="16"/>
              </w:rPr>
              <w:t>—</w:t>
            </w:r>
          </w:p>
        </w:tc>
      </w:tr>
      <w:tr w14:paraId="2F8435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419B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12B95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CDFB3B">
            <w:pPr>
              <w:jc w:val="center"/>
            </w:pPr>
            <w:r>
              <w:rPr>
                <w:rFonts w:ascii="宋体" w:hAnsi="宋体" w:eastAsia="宋体"/>
                <w:sz w:val="16"/>
              </w:rPr>
              <w:t>实际完成情况</w:t>
            </w:r>
          </w:p>
        </w:tc>
      </w:tr>
      <w:tr w14:paraId="470658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E738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322C80">
            <w:pPr>
              <w:jc w:val="both"/>
            </w:pPr>
            <w:r>
              <w:rPr>
                <w:rFonts w:ascii="宋体" w:hAnsi="宋体" w:eastAsia="宋体"/>
                <w:sz w:val="16"/>
              </w:rPr>
              <w:t>根据文件实施该项目实施此项目，项目主要内容：支付95位医护人员住宿费及购买防疫设备，更好</w:t>
            </w:r>
            <w:r>
              <w:rPr>
                <w:rFonts w:hint="eastAsia" w:ascii="宋体" w:hAnsi="宋体"/>
                <w:sz w:val="16"/>
                <w:lang w:eastAsia="zh-CN"/>
              </w:rPr>
              <w:t>地</w:t>
            </w:r>
            <w:r>
              <w:rPr>
                <w:rFonts w:ascii="宋体" w:hAnsi="宋体" w:eastAsia="宋体"/>
                <w:sz w:val="16"/>
              </w:rPr>
              <w:t>开展</w:t>
            </w:r>
            <w:r>
              <w:rPr>
                <w:rFonts w:hint="eastAsia" w:ascii="宋体" w:hAnsi="宋体"/>
                <w:sz w:val="16"/>
                <w:lang w:eastAsia="zh-CN"/>
              </w:rPr>
              <w:t>YQ</w:t>
            </w:r>
            <w:r>
              <w:rPr>
                <w:rFonts w:ascii="宋体" w:hAnsi="宋体" w:eastAsia="宋体"/>
                <w:sz w:val="16"/>
              </w:rPr>
              <w:t>防控工作，保障人民群众的身体健康。</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5F4D6F">
            <w:pPr>
              <w:jc w:val="both"/>
            </w:pPr>
            <w:r>
              <w:rPr>
                <w:rFonts w:hint="eastAsia" w:ascii="宋体" w:hAnsi="宋体"/>
                <w:sz w:val="16"/>
                <w:lang w:eastAsia="zh-CN"/>
              </w:rPr>
              <w:t>截至2024</w:t>
            </w:r>
            <w:r>
              <w:rPr>
                <w:rFonts w:ascii="宋体" w:hAnsi="宋体" w:eastAsia="宋体"/>
                <w:sz w:val="16"/>
              </w:rPr>
              <w:t>年12月31日该项目资金主要用于支付95位医护人员住宿费及购买防疫设备，资金使用77.6万元，通过项目的实施更好</w:t>
            </w:r>
            <w:r>
              <w:rPr>
                <w:rFonts w:hint="eastAsia" w:ascii="宋体" w:hAnsi="宋体"/>
                <w:sz w:val="16"/>
                <w:lang w:eastAsia="zh-CN"/>
              </w:rPr>
              <w:t>地</w:t>
            </w:r>
            <w:r>
              <w:rPr>
                <w:rFonts w:ascii="宋体" w:hAnsi="宋体" w:eastAsia="宋体"/>
                <w:sz w:val="16"/>
              </w:rPr>
              <w:t>开展</w:t>
            </w:r>
            <w:r>
              <w:rPr>
                <w:rFonts w:hint="eastAsia" w:ascii="宋体" w:hAnsi="宋体"/>
                <w:sz w:val="16"/>
                <w:lang w:eastAsia="zh-CN"/>
              </w:rPr>
              <w:t>YQ</w:t>
            </w:r>
            <w:r>
              <w:rPr>
                <w:rFonts w:ascii="宋体" w:hAnsi="宋体" w:eastAsia="宋体"/>
                <w:sz w:val="16"/>
              </w:rPr>
              <w:t>防控工作，保障人民群众的身体健康。</w:t>
            </w:r>
          </w:p>
        </w:tc>
      </w:tr>
      <w:tr w14:paraId="18D07C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28BF2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5A5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4FAF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6B63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7D82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E99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28D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BFBF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5498E">
            <w:pPr>
              <w:jc w:val="center"/>
            </w:pPr>
            <w:r>
              <w:rPr>
                <w:rFonts w:ascii="宋体" w:hAnsi="宋体" w:eastAsia="宋体"/>
                <w:sz w:val="16"/>
              </w:rPr>
              <w:t>偏差原因分析及改进措施</w:t>
            </w:r>
          </w:p>
        </w:tc>
      </w:tr>
      <w:tr w14:paraId="1C2F59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78E6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0527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7CBE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871F6">
            <w:pPr>
              <w:jc w:val="center"/>
            </w:pPr>
            <w:r>
              <w:rPr>
                <w:rFonts w:ascii="宋体" w:hAnsi="宋体" w:eastAsia="宋体"/>
                <w:sz w:val="16"/>
              </w:rPr>
              <w:t>住宿人员数量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06467">
            <w:pPr>
              <w:jc w:val="center"/>
            </w:pPr>
            <w:r>
              <w:rPr>
                <w:rFonts w:ascii="宋体" w:hAnsi="宋体" w:eastAsia="宋体"/>
                <w:sz w:val="16"/>
              </w:rPr>
              <w:t>&gt;=95个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27645">
            <w:pPr>
              <w:jc w:val="center"/>
            </w:pPr>
            <w:r>
              <w:rPr>
                <w:rFonts w:ascii="宋体" w:hAnsi="宋体" w:eastAsia="宋体"/>
                <w:sz w:val="16"/>
              </w:rPr>
              <w:t>=95个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83DD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C21A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4C0D7">
            <w:pPr>
              <w:jc w:val="center"/>
            </w:pPr>
          </w:p>
        </w:tc>
      </w:tr>
      <w:tr w14:paraId="315297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522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EBE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ADC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08BD9">
            <w:pPr>
              <w:jc w:val="center"/>
            </w:pPr>
            <w:r>
              <w:rPr>
                <w:rFonts w:ascii="宋体" w:hAnsi="宋体" w:eastAsia="宋体"/>
                <w:sz w:val="16"/>
              </w:rPr>
              <w:t>购买设备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4256D">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D1256">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F206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4D94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40BAA">
            <w:pPr>
              <w:jc w:val="center"/>
            </w:pPr>
          </w:p>
        </w:tc>
      </w:tr>
      <w:tr w14:paraId="20EDD7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96E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9E9C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80B9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AF8D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3AF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E43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8849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AD75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4A5D0">
            <w:pPr>
              <w:jc w:val="center"/>
            </w:pPr>
          </w:p>
        </w:tc>
      </w:tr>
      <w:tr w14:paraId="1FE154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936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F9CC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695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A34A7">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FE8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7F6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AE93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4F81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B54EC">
            <w:pPr>
              <w:jc w:val="center"/>
            </w:pPr>
          </w:p>
        </w:tc>
      </w:tr>
      <w:tr w14:paraId="1FFB1C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6EE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396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70AF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91A9">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336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BBD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3D20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E929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1F4BE">
            <w:pPr>
              <w:jc w:val="center"/>
            </w:pPr>
          </w:p>
        </w:tc>
      </w:tr>
      <w:tr w14:paraId="119FB7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77C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72F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B79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9B6D0">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FBB6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C536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2A5D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7C7C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C9A89">
            <w:pPr>
              <w:jc w:val="center"/>
            </w:pPr>
          </w:p>
        </w:tc>
      </w:tr>
      <w:tr w14:paraId="72857D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FFE0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E52B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2E8C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D7AB1">
            <w:pPr>
              <w:jc w:val="center"/>
            </w:pPr>
            <w:r>
              <w:rPr>
                <w:rFonts w:ascii="宋体" w:hAnsi="宋体" w:eastAsia="宋体"/>
                <w:sz w:val="16"/>
              </w:rPr>
              <w:t>住宿费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E045D">
            <w:pPr>
              <w:jc w:val="center"/>
            </w:pPr>
            <w:r>
              <w:rPr>
                <w:rFonts w:ascii="宋体" w:hAnsi="宋体" w:eastAsia="宋体"/>
                <w:sz w:val="16"/>
              </w:rPr>
              <w:t>&lt;=1.90万元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777C">
            <w:pPr>
              <w:jc w:val="center"/>
            </w:pPr>
            <w:r>
              <w:rPr>
                <w:rFonts w:ascii="宋体" w:hAnsi="宋体" w:eastAsia="宋体"/>
                <w:sz w:val="16"/>
              </w:rPr>
              <w:t>=1.9万元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12AB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8058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68A5E">
            <w:pPr>
              <w:jc w:val="center"/>
            </w:pPr>
          </w:p>
        </w:tc>
      </w:tr>
      <w:tr w14:paraId="512B6D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F41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6B1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908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85102">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C1BA2">
            <w:pPr>
              <w:jc w:val="center"/>
            </w:pPr>
            <w:r>
              <w:rPr>
                <w:rFonts w:ascii="宋体" w:hAnsi="宋体" w:eastAsia="宋体"/>
                <w:sz w:val="16"/>
              </w:rPr>
              <w:t>&lt;=70万元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8C79A">
            <w:pPr>
              <w:jc w:val="center"/>
            </w:pPr>
            <w:r>
              <w:rPr>
                <w:rFonts w:ascii="宋体" w:hAnsi="宋体" w:eastAsia="宋体"/>
                <w:sz w:val="16"/>
              </w:rPr>
              <w: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0D26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4BBB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1C544">
            <w:pPr>
              <w:jc w:val="center"/>
            </w:pPr>
          </w:p>
        </w:tc>
      </w:tr>
      <w:tr w14:paraId="356BE4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521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6B4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7A4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AC2E5">
            <w:pPr>
              <w:jc w:val="center"/>
            </w:pPr>
            <w:r>
              <w:rPr>
                <w:rFonts w:hint="eastAsia" w:ascii="宋体" w:hAnsi="宋体"/>
                <w:sz w:val="16"/>
                <w:lang w:eastAsia="zh-CN"/>
              </w:rPr>
              <w:t>YQ</w:t>
            </w:r>
            <w:r>
              <w:rPr>
                <w:rFonts w:ascii="宋体" w:hAnsi="宋体" w:eastAsia="宋体"/>
                <w:sz w:val="16"/>
              </w:rPr>
              <w:t>物资款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1D989">
            <w:pPr>
              <w:jc w:val="center"/>
            </w:pPr>
            <w:r>
              <w:rPr>
                <w:rFonts w:ascii="宋体" w:hAnsi="宋体" w:eastAsia="宋体"/>
                <w:sz w:val="16"/>
              </w:rPr>
              <w:t>&lt;=5.70万元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CB6A">
            <w:pPr>
              <w:jc w:val="center"/>
            </w:pPr>
            <w:r>
              <w:rPr>
                <w:rFonts w:ascii="宋体" w:hAnsi="宋体" w:eastAsia="宋体"/>
                <w:sz w:val="16"/>
              </w:rPr>
              <w:t>=5.7万元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F8A3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2BBF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20B43">
            <w:pPr>
              <w:jc w:val="center"/>
            </w:pPr>
          </w:p>
        </w:tc>
      </w:tr>
      <w:tr w14:paraId="5C55DD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8B8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3A97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1695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9CF0A">
            <w:pPr>
              <w:jc w:val="center"/>
            </w:pPr>
            <w:r>
              <w:rPr>
                <w:rFonts w:ascii="宋体" w:hAnsi="宋体" w:eastAsia="宋体"/>
                <w:sz w:val="16"/>
              </w:rPr>
              <w:t>保障人民群众的身体健康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892A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A50A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D1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C1E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9B71A">
            <w:pPr>
              <w:jc w:val="center"/>
            </w:pPr>
          </w:p>
        </w:tc>
      </w:tr>
      <w:tr w14:paraId="66868A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610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833F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1EC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90603">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9F0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C1AE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A76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8FF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A1DD8">
            <w:pPr>
              <w:jc w:val="center"/>
            </w:pPr>
          </w:p>
        </w:tc>
      </w:tr>
      <w:tr w14:paraId="757B1B3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BC06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BE1A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789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2909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6705EF"/>
        </w:tc>
      </w:tr>
    </w:tbl>
    <w:p w14:paraId="54E7FC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E00A68">
        <w:tblPrEx>
          <w:tblCellMar>
            <w:top w:w="0" w:type="dxa"/>
            <w:left w:w="108" w:type="dxa"/>
            <w:bottom w:w="0" w:type="dxa"/>
            <w:right w:w="108" w:type="dxa"/>
          </w:tblCellMar>
        </w:tblPrEx>
        <w:tc>
          <w:tcPr>
            <w:tcW w:w="8847" w:type="dxa"/>
            <w:gridSpan w:val="9"/>
            <w:vAlign w:val="center"/>
          </w:tcPr>
          <w:p w14:paraId="21C55E2B">
            <w:pPr>
              <w:jc w:val="center"/>
            </w:pPr>
            <w:r>
              <w:rPr>
                <w:rFonts w:ascii="宋体" w:hAnsi="宋体" w:eastAsia="宋体"/>
                <w:sz w:val="24"/>
              </w:rPr>
              <w:t>项目支出绩效自评表</w:t>
            </w:r>
          </w:p>
        </w:tc>
      </w:tr>
      <w:tr w14:paraId="611E4F6B">
        <w:tblPrEx>
          <w:tblCellMar>
            <w:top w:w="0" w:type="dxa"/>
            <w:left w:w="108" w:type="dxa"/>
            <w:bottom w:w="0" w:type="dxa"/>
            <w:right w:w="108" w:type="dxa"/>
          </w:tblCellMar>
        </w:tblPrEx>
        <w:tc>
          <w:tcPr>
            <w:tcW w:w="8847" w:type="dxa"/>
            <w:gridSpan w:val="9"/>
            <w:vAlign w:val="center"/>
          </w:tcPr>
          <w:p w14:paraId="3F907D10">
            <w:pPr>
              <w:jc w:val="center"/>
            </w:pPr>
            <w:r>
              <w:rPr>
                <w:rFonts w:ascii="宋体" w:hAnsi="宋体" w:eastAsia="宋体"/>
                <w:sz w:val="24"/>
              </w:rPr>
              <w:t>(2024年度)</w:t>
            </w:r>
          </w:p>
        </w:tc>
      </w:tr>
      <w:tr w14:paraId="56204E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46EC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D9C5ED">
            <w:pPr>
              <w:jc w:val="center"/>
            </w:pPr>
            <w:r>
              <w:rPr>
                <w:rFonts w:ascii="宋体" w:hAnsi="宋体" w:eastAsia="宋体"/>
                <w:sz w:val="16"/>
              </w:rPr>
              <w:t>洛浦县疾控中心供暖工程资金项目-洛财纪字</w:t>
            </w:r>
            <w:r>
              <w:rPr>
                <w:rFonts w:hint="eastAsia" w:ascii="宋体" w:hAnsi="宋体"/>
                <w:sz w:val="16"/>
                <w:lang w:eastAsia="zh-CN"/>
              </w:rPr>
              <w:t>〔2024〕11号</w:t>
            </w:r>
          </w:p>
        </w:tc>
      </w:tr>
      <w:tr w14:paraId="55E464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85E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57F4AA">
            <w:pPr>
              <w:jc w:val="center"/>
            </w:pPr>
            <w:r>
              <w:rPr>
                <w:rFonts w:ascii="宋体" w:hAnsi="宋体" w:eastAsia="宋体"/>
                <w:sz w:val="16"/>
              </w:rPr>
              <w:t>洛浦县疾病预防控制中心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FF7A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D61635">
            <w:pPr>
              <w:jc w:val="center"/>
            </w:pPr>
            <w:r>
              <w:rPr>
                <w:rFonts w:ascii="宋体" w:hAnsi="宋体" w:eastAsia="宋体"/>
                <w:sz w:val="16"/>
              </w:rPr>
              <w:t>洛浦县疾病预防控制中心</w:t>
            </w:r>
          </w:p>
        </w:tc>
      </w:tr>
      <w:tr w14:paraId="50227B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72A9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BBF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645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1D56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4161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465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F809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B62E4">
            <w:pPr>
              <w:jc w:val="center"/>
            </w:pPr>
            <w:r>
              <w:rPr>
                <w:rFonts w:ascii="宋体" w:hAnsi="宋体" w:eastAsia="宋体"/>
                <w:sz w:val="16"/>
              </w:rPr>
              <w:t>得分</w:t>
            </w:r>
          </w:p>
        </w:tc>
      </w:tr>
      <w:tr w14:paraId="742E73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B03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5A19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19198">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703C8">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F3FE">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68E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9DB7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90BBD">
            <w:pPr>
              <w:jc w:val="center"/>
            </w:pPr>
            <w:r>
              <w:rPr>
                <w:rFonts w:ascii="宋体" w:hAnsi="宋体" w:eastAsia="宋体"/>
                <w:sz w:val="16"/>
              </w:rPr>
              <w:t>10.00分</w:t>
            </w:r>
          </w:p>
        </w:tc>
      </w:tr>
      <w:tr w14:paraId="487F26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DCB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71ED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CBD14">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5CAA7">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B0968">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E53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040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20C49">
            <w:pPr>
              <w:jc w:val="center"/>
            </w:pPr>
            <w:r>
              <w:rPr>
                <w:rFonts w:ascii="宋体" w:hAnsi="宋体" w:eastAsia="宋体"/>
                <w:sz w:val="16"/>
              </w:rPr>
              <w:t>—</w:t>
            </w:r>
          </w:p>
        </w:tc>
      </w:tr>
      <w:tr w14:paraId="7DFDE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75B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453A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C83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A5B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4D3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D96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717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13E67">
            <w:pPr>
              <w:jc w:val="center"/>
            </w:pPr>
            <w:r>
              <w:rPr>
                <w:rFonts w:ascii="宋体" w:hAnsi="宋体" w:eastAsia="宋体"/>
                <w:sz w:val="16"/>
              </w:rPr>
              <w:t>—</w:t>
            </w:r>
          </w:p>
        </w:tc>
      </w:tr>
      <w:tr w14:paraId="744978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F76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C71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98C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B1D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8A4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CAC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EF7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EB1ED">
            <w:pPr>
              <w:jc w:val="center"/>
            </w:pPr>
            <w:r>
              <w:rPr>
                <w:rFonts w:ascii="宋体" w:hAnsi="宋体" w:eastAsia="宋体"/>
                <w:sz w:val="16"/>
              </w:rPr>
              <w:t>—</w:t>
            </w:r>
          </w:p>
        </w:tc>
      </w:tr>
      <w:tr w14:paraId="0B1997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3327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A001D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FE97B">
            <w:pPr>
              <w:jc w:val="center"/>
            </w:pPr>
            <w:r>
              <w:rPr>
                <w:rFonts w:ascii="宋体" w:hAnsi="宋体" w:eastAsia="宋体"/>
                <w:sz w:val="16"/>
              </w:rPr>
              <w:t>实际完成情况</w:t>
            </w:r>
          </w:p>
        </w:tc>
      </w:tr>
      <w:tr w14:paraId="135EA5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512E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DDFF27">
            <w:pPr>
              <w:jc w:val="both"/>
            </w:pPr>
            <w:r>
              <w:rPr>
                <w:rFonts w:ascii="宋体" w:hAnsi="宋体" w:eastAsia="宋体"/>
                <w:sz w:val="16"/>
              </w:rPr>
              <w:t>根据文件实施该项目，项目主要内容：项目资金主要用于单位的电费及锅炉购买。通过项目的实施，有效保障单位正常运转及供暖。</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A431D6">
            <w:pPr>
              <w:jc w:val="both"/>
            </w:pP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项目资金主要用于单位的电费及锅炉购买。资金使用20万元，通过项目的实施，有效保障单位正常运转及供暖。</w:t>
            </w:r>
          </w:p>
        </w:tc>
      </w:tr>
      <w:tr w14:paraId="4097ED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CED4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EFDD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8B2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1BB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6123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C8A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8136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F209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FF9CC">
            <w:pPr>
              <w:jc w:val="center"/>
            </w:pPr>
            <w:r>
              <w:rPr>
                <w:rFonts w:ascii="宋体" w:hAnsi="宋体" w:eastAsia="宋体"/>
                <w:sz w:val="16"/>
              </w:rPr>
              <w:t>偏差原因分析及改进措施</w:t>
            </w:r>
          </w:p>
        </w:tc>
      </w:tr>
      <w:tr w14:paraId="3F0D33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9B09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023B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E0D9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29410">
            <w:pPr>
              <w:jc w:val="center"/>
            </w:pPr>
            <w:r>
              <w:rPr>
                <w:rFonts w:ascii="宋体" w:hAnsi="宋体" w:eastAsia="宋体"/>
                <w:sz w:val="16"/>
              </w:rPr>
              <w:t>购买锅炉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B8CF0">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92B03">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00C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DF6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007D2">
            <w:pPr>
              <w:jc w:val="center"/>
            </w:pPr>
          </w:p>
        </w:tc>
      </w:tr>
      <w:tr w14:paraId="40590D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7C3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AAA3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94E3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EE94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784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48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F4D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8B3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7508">
            <w:pPr>
              <w:jc w:val="center"/>
            </w:pPr>
          </w:p>
        </w:tc>
      </w:tr>
      <w:tr w14:paraId="690A7D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D33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1E8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8A9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0BC6B">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0C9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259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234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1D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B45CF">
            <w:pPr>
              <w:jc w:val="center"/>
            </w:pPr>
          </w:p>
        </w:tc>
      </w:tr>
      <w:tr w14:paraId="30EA02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C8F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C56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F1BA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77F4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97CF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B57C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BD7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60E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6822B">
            <w:pPr>
              <w:jc w:val="center"/>
            </w:pPr>
          </w:p>
        </w:tc>
      </w:tr>
      <w:tr w14:paraId="43B100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278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640A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8CF6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9313C">
            <w:pPr>
              <w:jc w:val="center"/>
            </w:pPr>
            <w:r>
              <w:rPr>
                <w:rFonts w:ascii="宋体" w:hAnsi="宋体" w:eastAsia="宋体"/>
                <w:sz w:val="16"/>
              </w:rPr>
              <w:t>电费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D29C4">
            <w:pPr>
              <w:jc w:val="center"/>
            </w:pPr>
            <w:r>
              <w:rPr>
                <w:rFonts w:ascii="宋体" w:hAnsi="宋体" w:eastAsia="宋体"/>
                <w:sz w:val="16"/>
              </w:rPr>
              <w:t>&lt;=11.26万元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D3B86">
            <w:pPr>
              <w:jc w:val="center"/>
            </w:pPr>
            <w:r>
              <w:rPr>
                <w:rFonts w:ascii="宋体" w:hAnsi="宋体" w:eastAsia="宋体"/>
                <w:sz w:val="16"/>
              </w:rPr>
              <w:t>=11.26万元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A41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60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FE2B2">
            <w:pPr>
              <w:jc w:val="center"/>
            </w:pPr>
          </w:p>
        </w:tc>
      </w:tr>
      <w:tr w14:paraId="20FDBF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7C5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1E6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9B7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BB0AA">
            <w:pPr>
              <w:jc w:val="center"/>
            </w:pPr>
            <w:r>
              <w:rPr>
                <w:rFonts w:ascii="宋体" w:hAnsi="宋体" w:eastAsia="宋体"/>
                <w:sz w:val="16"/>
              </w:rPr>
              <w:t>购买锅炉费用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B9730">
            <w:pPr>
              <w:jc w:val="center"/>
            </w:pPr>
            <w:r>
              <w:rPr>
                <w:rFonts w:ascii="宋体" w:hAnsi="宋体" w:eastAsia="宋体"/>
                <w:sz w:val="16"/>
              </w:rPr>
              <w:t>&lt;=8.74万元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93B87">
            <w:pPr>
              <w:jc w:val="center"/>
            </w:pPr>
            <w:r>
              <w:rPr>
                <w:rFonts w:ascii="宋体" w:hAnsi="宋体" w:eastAsia="宋体"/>
                <w:sz w:val="16"/>
              </w:rPr>
              <w:t>=8.74万元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4FB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F2C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079B6">
            <w:pPr>
              <w:jc w:val="center"/>
            </w:pPr>
          </w:p>
        </w:tc>
      </w:tr>
      <w:tr w14:paraId="681776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50C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147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02B4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97B62">
            <w:pPr>
              <w:jc w:val="center"/>
            </w:pPr>
            <w:r>
              <w:rPr>
                <w:rFonts w:ascii="宋体" w:hAnsi="宋体" w:eastAsia="宋体"/>
                <w:sz w:val="16"/>
              </w:rPr>
              <w:t>保障单位正常运转及供暖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ACDE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5C78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A8A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A7A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646A3">
            <w:pPr>
              <w:jc w:val="center"/>
            </w:pPr>
          </w:p>
        </w:tc>
      </w:tr>
      <w:tr w14:paraId="6F7CB9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067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CB56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44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31A98">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FFB3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DD5C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763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D4B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E855">
            <w:pPr>
              <w:jc w:val="center"/>
            </w:pPr>
          </w:p>
        </w:tc>
      </w:tr>
      <w:tr w14:paraId="47A8F3F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9CAF9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20B3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838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28EB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1D4376"/>
        </w:tc>
      </w:tr>
    </w:tbl>
    <w:p w14:paraId="1B0366D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9C4437">
        <w:tblPrEx>
          <w:tblCellMar>
            <w:top w:w="0" w:type="dxa"/>
            <w:left w:w="108" w:type="dxa"/>
            <w:bottom w:w="0" w:type="dxa"/>
            <w:right w:w="108" w:type="dxa"/>
          </w:tblCellMar>
        </w:tblPrEx>
        <w:tc>
          <w:tcPr>
            <w:tcW w:w="8847" w:type="dxa"/>
            <w:gridSpan w:val="9"/>
            <w:vAlign w:val="center"/>
          </w:tcPr>
          <w:p w14:paraId="2B9AFB03">
            <w:pPr>
              <w:jc w:val="center"/>
            </w:pPr>
            <w:r>
              <w:rPr>
                <w:rFonts w:ascii="宋体" w:hAnsi="宋体" w:eastAsia="宋体"/>
                <w:sz w:val="24"/>
              </w:rPr>
              <w:t>项目支出绩效自评表</w:t>
            </w:r>
          </w:p>
        </w:tc>
      </w:tr>
      <w:tr w14:paraId="2CFB7E9F">
        <w:tblPrEx>
          <w:tblCellMar>
            <w:top w:w="0" w:type="dxa"/>
            <w:left w:w="108" w:type="dxa"/>
            <w:bottom w:w="0" w:type="dxa"/>
            <w:right w:w="108" w:type="dxa"/>
          </w:tblCellMar>
        </w:tblPrEx>
        <w:tc>
          <w:tcPr>
            <w:tcW w:w="8847" w:type="dxa"/>
            <w:gridSpan w:val="9"/>
            <w:vAlign w:val="center"/>
          </w:tcPr>
          <w:p w14:paraId="470DFBF6">
            <w:pPr>
              <w:jc w:val="center"/>
            </w:pPr>
            <w:r>
              <w:rPr>
                <w:rFonts w:ascii="宋体" w:hAnsi="宋体" w:eastAsia="宋体"/>
                <w:sz w:val="24"/>
              </w:rPr>
              <w:t>(2024年度)</w:t>
            </w:r>
          </w:p>
        </w:tc>
      </w:tr>
      <w:tr w14:paraId="5D8CCD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20F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0E6871">
            <w:pPr>
              <w:jc w:val="center"/>
            </w:pPr>
            <w:r>
              <w:rPr>
                <w:rFonts w:ascii="宋体" w:hAnsi="宋体" w:eastAsia="宋体"/>
                <w:sz w:val="16"/>
              </w:rPr>
              <w:t>采购麻腮风疫苗资金-洛财纪字</w:t>
            </w:r>
            <w:r>
              <w:rPr>
                <w:rFonts w:hint="eastAsia" w:ascii="宋体" w:hAnsi="宋体"/>
                <w:sz w:val="16"/>
                <w:lang w:eastAsia="zh-CN"/>
              </w:rPr>
              <w:t>〔2024〕7号</w:t>
            </w:r>
          </w:p>
        </w:tc>
      </w:tr>
      <w:tr w14:paraId="014FC6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6C98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20AE68">
            <w:pPr>
              <w:jc w:val="center"/>
            </w:pPr>
            <w:r>
              <w:rPr>
                <w:rFonts w:ascii="宋体" w:hAnsi="宋体" w:eastAsia="宋体"/>
                <w:sz w:val="16"/>
              </w:rPr>
              <w:t>洛浦县疾病预防控制中心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E03F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12EE17">
            <w:pPr>
              <w:jc w:val="center"/>
            </w:pPr>
            <w:r>
              <w:rPr>
                <w:rFonts w:ascii="宋体" w:hAnsi="宋体" w:eastAsia="宋体"/>
                <w:sz w:val="16"/>
              </w:rPr>
              <w:t>洛浦县疾病预防控制中心</w:t>
            </w:r>
          </w:p>
        </w:tc>
      </w:tr>
      <w:tr w14:paraId="32324C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90AC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2416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4073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478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86EA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FDB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4EF3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CB81B">
            <w:pPr>
              <w:jc w:val="center"/>
            </w:pPr>
            <w:r>
              <w:rPr>
                <w:rFonts w:ascii="宋体" w:hAnsi="宋体" w:eastAsia="宋体"/>
                <w:sz w:val="16"/>
              </w:rPr>
              <w:t>得分</w:t>
            </w:r>
          </w:p>
        </w:tc>
      </w:tr>
      <w:tr w14:paraId="232773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10E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9CDC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13387">
            <w:pPr>
              <w:jc w:val="center"/>
            </w:pPr>
            <w:r>
              <w:rPr>
                <w:rFonts w:ascii="宋体" w:hAnsi="宋体" w:eastAsia="宋体"/>
                <w:sz w:val="16"/>
              </w:rPr>
              <w:t>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3BC32">
            <w:pPr>
              <w:jc w:val="center"/>
            </w:pPr>
            <w:r>
              <w:rPr>
                <w:rFonts w:ascii="宋体" w:hAnsi="宋体" w:eastAsia="宋体"/>
                <w:sz w:val="16"/>
              </w:rPr>
              <w:t>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52C2C">
            <w:pPr>
              <w:jc w:val="center"/>
            </w:pPr>
            <w:r>
              <w:rPr>
                <w:rFonts w:ascii="宋体" w:hAnsi="宋体" w:eastAsia="宋体"/>
                <w:sz w:val="16"/>
              </w:rPr>
              <w:t>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EA4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8F61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F6788">
            <w:pPr>
              <w:jc w:val="center"/>
            </w:pPr>
            <w:r>
              <w:rPr>
                <w:rFonts w:ascii="宋体" w:hAnsi="宋体" w:eastAsia="宋体"/>
                <w:sz w:val="16"/>
              </w:rPr>
              <w:t>10.00分</w:t>
            </w:r>
          </w:p>
        </w:tc>
      </w:tr>
      <w:tr w14:paraId="0FDC8C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F76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9C1C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474F0">
            <w:pPr>
              <w:jc w:val="center"/>
            </w:pPr>
            <w:r>
              <w:rPr>
                <w:rFonts w:ascii="宋体" w:hAnsi="宋体" w:eastAsia="宋体"/>
                <w:sz w:val="16"/>
              </w:rPr>
              <w:t>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0B290">
            <w:pPr>
              <w:jc w:val="center"/>
            </w:pPr>
            <w:r>
              <w:rPr>
                <w:rFonts w:ascii="宋体" w:hAnsi="宋体" w:eastAsia="宋体"/>
                <w:sz w:val="16"/>
              </w:rPr>
              <w:t>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72971">
            <w:pPr>
              <w:jc w:val="center"/>
            </w:pPr>
            <w:r>
              <w:rPr>
                <w:rFonts w:ascii="宋体" w:hAnsi="宋体" w:eastAsia="宋体"/>
                <w:sz w:val="16"/>
              </w:rPr>
              <w:t>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299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770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05722">
            <w:pPr>
              <w:jc w:val="center"/>
            </w:pPr>
            <w:r>
              <w:rPr>
                <w:rFonts w:ascii="宋体" w:hAnsi="宋体" w:eastAsia="宋体"/>
                <w:sz w:val="16"/>
              </w:rPr>
              <w:t>—</w:t>
            </w:r>
          </w:p>
        </w:tc>
      </w:tr>
      <w:tr w14:paraId="1CE061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080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7B4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AE2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3DA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A1D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C77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E19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90E8B">
            <w:pPr>
              <w:jc w:val="center"/>
            </w:pPr>
            <w:r>
              <w:rPr>
                <w:rFonts w:ascii="宋体" w:hAnsi="宋体" w:eastAsia="宋体"/>
                <w:sz w:val="16"/>
              </w:rPr>
              <w:t>—</w:t>
            </w:r>
          </w:p>
        </w:tc>
      </w:tr>
      <w:tr w14:paraId="1A0449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3F4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BBBE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3CF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B14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DC6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80D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05B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6F6A2">
            <w:pPr>
              <w:jc w:val="center"/>
            </w:pPr>
            <w:r>
              <w:rPr>
                <w:rFonts w:ascii="宋体" w:hAnsi="宋体" w:eastAsia="宋体"/>
                <w:sz w:val="16"/>
              </w:rPr>
              <w:t>—</w:t>
            </w:r>
          </w:p>
        </w:tc>
      </w:tr>
      <w:tr w14:paraId="7A5734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5535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2ED17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1BB61E">
            <w:pPr>
              <w:jc w:val="center"/>
            </w:pPr>
            <w:r>
              <w:rPr>
                <w:rFonts w:ascii="宋体" w:hAnsi="宋体" w:eastAsia="宋体"/>
                <w:sz w:val="16"/>
              </w:rPr>
              <w:t>实际完成情况</w:t>
            </w:r>
          </w:p>
        </w:tc>
      </w:tr>
      <w:tr w14:paraId="77D0E4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5ADB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229001">
            <w:pPr>
              <w:jc w:val="both"/>
            </w:pPr>
            <w:r>
              <w:rPr>
                <w:rFonts w:ascii="宋体" w:hAnsi="宋体" w:eastAsia="宋体"/>
                <w:sz w:val="16"/>
              </w:rPr>
              <w:t>根据采购麻腮风疫苗资金-洛财纪字</w:t>
            </w:r>
            <w:r>
              <w:rPr>
                <w:rFonts w:hint="eastAsia" w:ascii="宋体" w:hAnsi="宋体"/>
                <w:sz w:val="16"/>
                <w:lang w:eastAsia="zh-CN"/>
              </w:rPr>
              <w:t>〔2024〕7号</w:t>
            </w:r>
            <w:r>
              <w:rPr>
                <w:rFonts w:ascii="宋体" w:hAnsi="宋体" w:eastAsia="宋体"/>
                <w:sz w:val="16"/>
              </w:rPr>
              <w:t>实施此项目，购买698支麻腮风疫苗，更好</w:t>
            </w:r>
            <w:r>
              <w:rPr>
                <w:rFonts w:hint="eastAsia" w:ascii="宋体" w:hAnsi="宋体"/>
                <w:sz w:val="16"/>
                <w:lang w:eastAsia="zh-CN"/>
              </w:rPr>
              <w:t>地</w:t>
            </w:r>
            <w:r>
              <w:rPr>
                <w:rFonts w:ascii="宋体" w:hAnsi="宋体" w:eastAsia="宋体"/>
                <w:sz w:val="16"/>
              </w:rPr>
              <w:t>开展麻疹</w:t>
            </w:r>
            <w:r>
              <w:rPr>
                <w:rFonts w:hint="eastAsia" w:ascii="宋体" w:hAnsi="宋体"/>
                <w:sz w:val="16"/>
                <w:lang w:eastAsia="zh-CN"/>
              </w:rPr>
              <w:t>YQ</w:t>
            </w:r>
            <w:r>
              <w:rPr>
                <w:rFonts w:ascii="宋体" w:hAnsi="宋体" w:eastAsia="宋体"/>
                <w:sz w:val="16"/>
              </w:rPr>
              <w:t>防控工作，保障人民群众的身体健康。</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A8E8C5">
            <w:pPr>
              <w:jc w:val="both"/>
            </w:pPr>
            <w:r>
              <w:rPr>
                <w:rFonts w:hint="eastAsia" w:ascii="宋体" w:hAnsi="宋体"/>
                <w:sz w:val="16"/>
                <w:lang w:eastAsia="zh-CN"/>
              </w:rPr>
              <w:t>截至2024</w:t>
            </w:r>
            <w:r>
              <w:rPr>
                <w:rFonts w:ascii="宋体" w:hAnsi="宋体" w:eastAsia="宋体"/>
                <w:sz w:val="16"/>
              </w:rPr>
              <w:t>年12月31日，该项目资金主要用于购买698支麻腮风疫苗，资金使用5.3万元，通过项目的实施更好</w:t>
            </w:r>
            <w:r>
              <w:rPr>
                <w:rFonts w:hint="eastAsia" w:ascii="宋体" w:hAnsi="宋体"/>
                <w:sz w:val="16"/>
                <w:lang w:eastAsia="zh-CN"/>
              </w:rPr>
              <w:t>地</w:t>
            </w:r>
            <w:r>
              <w:rPr>
                <w:rFonts w:ascii="宋体" w:hAnsi="宋体" w:eastAsia="宋体"/>
                <w:sz w:val="16"/>
              </w:rPr>
              <w:t>开展麻疹</w:t>
            </w:r>
            <w:r>
              <w:rPr>
                <w:rFonts w:hint="eastAsia" w:ascii="宋体" w:hAnsi="宋体"/>
                <w:sz w:val="16"/>
                <w:lang w:eastAsia="zh-CN"/>
              </w:rPr>
              <w:t>YQ</w:t>
            </w:r>
            <w:r>
              <w:rPr>
                <w:rFonts w:ascii="宋体" w:hAnsi="宋体" w:eastAsia="宋体"/>
                <w:sz w:val="16"/>
              </w:rPr>
              <w:t>防控工作，保障人民群众的身体健康。</w:t>
            </w:r>
          </w:p>
        </w:tc>
      </w:tr>
      <w:tr w14:paraId="229A18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00514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7312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C234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E722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4C5C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CD45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8EF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5D7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A07CE">
            <w:pPr>
              <w:jc w:val="center"/>
            </w:pPr>
            <w:r>
              <w:rPr>
                <w:rFonts w:ascii="宋体" w:hAnsi="宋体" w:eastAsia="宋体"/>
                <w:sz w:val="16"/>
              </w:rPr>
              <w:t>偏差原因分析及改进措施</w:t>
            </w:r>
          </w:p>
        </w:tc>
      </w:tr>
      <w:tr w14:paraId="5CFB83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52E7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0691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2B90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0707E">
            <w:pPr>
              <w:jc w:val="center"/>
            </w:pPr>
            <w:r>
              <w:rPr>
                <w:rFonts w:ascii="宋体" w:hAnsi="宋体" w:eastAsia="宋体"/>
                <w:sz w:val="16"/>
              </w:rPr>
              <w:t>麻腮风疫苗数量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2B5BB">
            <w:pPr>
              <w:jc w:val="center"/>
            </w:pPr>
            <w:r>
              <w:rPr>
                <w:rFonts w:ascii="宋体" w:hAnsi="宋体" w:eastAsia="宋体"/>
                <w:sz w:val="16"/>
              </w:rPr>
              <w:t>&gt;=698支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197E3">
            <w:pPr>
              <w:jc w:val="center"/>
            </w:pPr>
            <w:r>
              <w:rPr>
                <w:rFonts w:ascii="宋体" w:hAnsi="宋体" w:eastAsia="宋体"/>
                <w:sz w:val="16"/>
              </w:rPr>
              <w:t>=698支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6B6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81F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14985">
            <w:pPr>
              <w:jc w:val="center"/>
            </w:pPr>
          </w:p>
        </w:tc>
      </w:tr>
      <w:tr w14:paraId="4784C6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F7A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7AB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E5B3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EE08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B4B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05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07B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A62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F2C97">
            <w:pPr>
              <w:jc w:val="center"/>
            </w:pPr>
          </w:p>
        </w:tc>
      </w:tr>
      <w:tr w14:paraId="4B0AAE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E2D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BCAB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56EE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1F551">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1B3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283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6AC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3C2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00D02">
            <w:pPr>
              <w:jc w:val="center"/>
            </w:pPr>
          </w:p>
        </w:tc>
      </w:tr>
      <w:tr w14:paraId="737255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0A8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73C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091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A88A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9AAE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F986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7EE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8B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781A3">
            <w:pPr>
              <w:jc w:val="center"/>
            </w:pPr>
          </w:p>
        </w:tc>
      </w:tr>
      <w:tr w14:paraId="6F7A38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DAF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F7DF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C6E0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B9D80">
            <w:pPr>
              <w:jc w:val="center"/>
            </w:pPr>
            <w:r>
              <w:rPr>
                <w:rFonts w:ascii="宋体" w:hAnsi="宋体" w:eastAsia="宋体"/>
                <w:sz w:val="16"/>
              </w:rPr>
              <w:t>麻腮风疫苗费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AE83B">
            <w:pPr>
              <w:jc w:val="center"/>
            </w:pPr>
            <w:r>
              <w:rPr>
                <w:rFonts w:ascii="宋体" w:hAnsi="宋体" w:eastAsia="宋体"/>
                <w:sz w:val="16"/>
              </w:rPr>
              <w:t>&lt;=5.3万元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E40F1">
            <w:pPr>
              <w:jc w:val="center"/>
            </w:pPr>
            <w:r>
              <w:rPr>
                <w:rFonts w:ascii="宋体" w:hAnsi="宋体" w:eastAsia="宋体"/>
                <w:sz w:val="16"/>
              </w:rPr>
              <w:t>=5.3万元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E08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47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276C8">
            <w:pPr>
              <w:jc w:val="center"/>
            </w:pPr>
          </w:p>
        </w:tc>
      </w:tr>
      <w:tr w14:paraId="1E9C01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3D2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0540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D55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1D786">
            <w:pPr>
              <w:jc w:val="center"/>
            </w:pPr>
            <w:r>
              <w:rPr>
                <w:rFonts w:ascii="宋体" w:hAnsi="宋体" w:eastAsia="宋体"/>
                <w:sz w:val="16"/>
              </w:rPr>
              <w:t>保障人民群众的身体健康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6483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2644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411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652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54E75">
            <w:pPr>
              <w:jc w:val="center"/>
            </w:pPr>
          </w:p>
        </w:tc>
      </w:tr>
      <w:tr w14:paraId="13E75C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C6B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CB3F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4A1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E559E">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8B5B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B810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80E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A2B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D32A9">
            <w:pPr>
              <w:jc w:val="center"/>
            </w:pPr>
          </w:p>
        </w:tc>
      </w:tr>
      <w:tr w14:paraId="64DB3F0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8FD18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1CAC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D4E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CB2E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C66282"/>
        </w:tc>
      </w:tr>
    </w:tbl>
    <w:p w14:paraId="101B30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7A1728">
        <w:tblPrEx>
          <w:tblCellMar>
            <w:top w:w="0" w:type="dxa"/>
            <w:left w:w="108" w:type="dxa"/>
            <w:bottom w:w="0" w:type="dxa"/>
            <w:right w:w="108" w:type="dxa"/>
          </w:tblCellMar>
        </w:tblPrEx>
        <w:tc>
          <w:tcPr>
            <w:tcW w:w="8847" w:type="dxa"/>
            <w:gridSpan w:val="9"/>
            <w:vAlign w:val="center"/>
          </w:tcPr>
          <w:p w14:paraId="163D18B6">
            <w:pPr>
              <w:jc w:val="center"/>
            </w:pPr>
            <w:r>
              <w:rPr>
                <w:rFonts w:ascii="宋体" w:hAnsi="宋体" w:eastAsia="宋体"/>
                <w:sz w:val="24"/>
              </w:rPr>
              <w:t>项目支出绩效自评表</w:t>
            </w:r>
          </w:p>
        </w:tc>
      </w:tr>
      <w:tr w14:paraId="54F909D7">
        <w:tblPrEx>
          <w:tblCellMar>
            <w:top w:w="0" w:type="dxa"/>
            <w:left w:w="108" w:type="dxa"/>
            <w:bottom w:w="0" w:type="dxa"/>
            <w:right w:w="108" w:type="dxa"/>
          </w:tblCellMar>
        </w:tblPrEx>
        <w:tc>
          <w:tcPr>
            <w:tcW w:w="8847" w:type="dxa"/>
            <w:gridSpan w:val="9"/>
            <w:vAlign w:val="center"/>
          </w:tcPr>
          <w:p w14:paraId="6083745D">
            <w:pPr>
              <w:jc w:val="center"/>
            </w:pPr>
            <w:r>
              <w:rPr>
                <w:rFonts w:ascii="宋体" w:hAnsi="宋体" w:eastAsia="宋体"/>
                <w:sz w:val="24"/>
              </w:rPr>
              <w:t>(2024年度)</w:t>
            </w:r>
          </w:p>
        </w:tc>
      </w:tr>
      <w:tr w14:paraId="23183D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A893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53DA13">
            <w:pPr>
              <w:jc w:val="center"/>
            </w:pP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YQ</w:t>
            </w:r>
            <w:r>
              <w:rPr>
                <w:rFonts w:ascii="宋体" w:hAnsi="宋体" w:eastAsia="宋体"/>
                <w:sz w:val="16"/>
              </w:rPr>
              <w:t>期间采购核酸采样设备款-洛财纪字</w:t>
            </w:r>
            <w:r>
              <w:rPr>
                <w:rFonts w:hint="eastAsia" w:ascii="宋体" w:hAnsi="宋体"/>
                <w:sz w:val="16"/>
                <w:lang w:eastAsia="zh-CN"/>
              </w:rPr>
              <w:t>〔2024〕9号</w:t>
            </w:r>
          </w:p>
        </w:tc>
      </w:tr>
      <w:tr w14:paraId="0FD0E5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4822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270086">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C65E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C31129">
            <w:pPr>
              <w:jc w:val="center"/>
            </w:pPr>
            <w:r>
              <w:rPr>
                <w:rFonts w:ascii="宋体" w:hAnsi="宋体" w:eastAsia="宋体"/>
                <w:sz w:val="16"/>
              </w:rPr>
              <w:t>洛浦县疾病预防控制中心</w:t>
            </w:r>
          </w:p>
        </w:tc>
      </w:tr>
      <w:tr w14:paraId="3DFEE0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C247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497A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97C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7D7F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053E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765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760E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B29E4">
            <w:pPr>
              <w:jc w:val="center"/>
            </w:pPr>
            <w:r>
              <w:rPr>
                <w:rFonts w:ascii="宋体" w:hAnsi="宋体" w:eastAsia="宋体"/>
                <w:sz w:val="16"/>
              </w:rPr>
              <w:t>得分</w:t>
            </w:r>
          </w:p>
        </w:tc>
      </w:tr>
      <w:tr w14:paraId="2D89A4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DBB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89F5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B430B">
            <w:pPr>
              <w:jc w:val="center"/>
              <w:rPr>
                <w:rFonts w:hint="default" w:eastAsia="宋体"/>
                <w:lang w:val="en-US" w:eastAsia="zh-CN"/>
              </w:rPr>
            </w:pPr>
            <w:r>
              <w:rPr>
                <w:rFonts w:ascii="宋体" w:hAnsi="宋体" w:eastAsia="宋体"/>
                <w:sz w:val="16"/>
              </w:rPr>
              <w:t>10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81BED">
            <w:pPr>
              <w:jc w:val="center"/>
              <w:rPr>
                <w:rFonts w:hint="default" w:eastAsia="宋体"/>
                <w:lang w:val="en-US" w:eastAsia="zh-CN"/>
              </w:rPr>
            </w:pPr>
            <w:r>
              <w:rPr>
                <w:rFonts w:ascii="宋体" w:hAnsi="宋体" w:eastAsia="宋体"/>
                <w:sz w:val="16"/>
              </w:rPr>
              <w:t>10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464FA">
            <w:pPr>
              <w:jc w:val="center"/>
              <w:rPr>
                <w:rFonts w:hint="default" w:eastAsia="宋体"/>
                <w:lang w:val="en-US" w:eastAsia="zh-CN"/>
              </w:rPr>
            </w:pPr>
            <w:r>
              <w:rPr>
                <w:rFonts w:ascii="宋体" w:hAnsi="宋体" w:eastAsia="宋体"/>
                <w:sz w:val="16"/>
              </w:rPr>
              <w:t>10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5B5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A9A0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954B3">
            <w:pPr>
              <w:jc w:val="center"/>
            </w:pPr>
            <w:r>
              <w:rPr>
                <w:rFonts w:ascii="宋体" w:hAnsi="宋体" w:eastAsia="宋体"/>
                <w:sz w:val="16"/>
              </w:rPr>
              <w:t>10.00</w:t>
            </w:r>
          </w:p>
        </w:tc>
      </w:tr>
      <w:tr w14:paraId="654320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2C0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386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73E46">
            <w:pPr>
              <w:jc w:val="center"/>
            </w:pPr>
            <w:r>
              <w:rPr>
                <w:rFonts w:ascii="宋体" w:hAnsi="宋体" w:eastAsia="宋体"/>
                <w:sz w:val="16"/>
              </w:rPr>
              <w:t>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E2D89">
            <w:pPr>
              <w:jc w:val="center"/>
            </w:pPr>
            <w:r>
              <w:rPr>
                <w:rFonts w:ascii="宋体" w:hAnsi="宋体" w:eastAsia="宋体"/>
                <w:sz w:val="16"/>
              </w:rPr>
              <w:t>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F26E6">
            <w:pPr>
              <w:jc w:val="center"/>
            </w:pPr>
            <w:r>
              <w:rPr>
                <w:rFonts w:ascii="宋体" w:hAnsi="宋体" w:eastAsia="宋体"/>
                <w:sz w:val="16"/>
              </w:rPr>
              <w:t>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8B5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E90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573CD">
            <w:pPr>
              <w:jc w:val="center"/>
            </w:pPr>
            <w:r>
              <w:rPr>
                <w:rFonts w:ascii="宋体" w:hAnsi="宋体" w:eastAsia="宋体"/>
                <w:sz w:val="16"/>
              </w:rPr>
              <w:t>—</w:t>
            </w:r>
          </w:p>
        </w:tc>
      </w:tr>
      <w:tr w14:paraId="4E74E1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419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5A5E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B185F">
            <w:pPr>
              <w:jc w:val="center"/>
              <w:rPr>
                <w:rFonts w:hint="default" w:eastAsia="宋体"/>
                <w:lang w:val="en-US" w:eastAsia="zh-CN"/>
              </w:rPr>
            </w:pPr>
            <w:r>
              <w:rPr>
                <w:rFonts w:ascii="宋体" w:hAnsi="宋体" w:eastAsia="宋体"/>
                <w:sz w:val="16"/>
              </w:rPr>
              <w:t>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2BC29">
            <w:pPr>
              <w:jc w:val="center"/>
            </w:pPr>
            <w:r>
              <w:rPr>
                <w:rFonts w:ascii="宋体" w:hAnsi="宋体" w:eastAsia="宋体"/>
                <w:sz w:val="16"/>
              </w:rPr>
              <w:t>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B2C4E">
            <w:pPr>
              <w:jc w:val="center"/>
            </w:pPr>
            <w:r>
              <w:rPr>
                <w:rFonts w:ascii="宋体" w:hAnsi="宋体" w:eastAsia="宋体"/>
                <w:sz w:val="16"/>
              </w:rPr>
              <w:t>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592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798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D2086">
            <w:pPr>
              <w:jc w:val="center"/>
            </w:pPr>
            <w:r>
              <w:rPr>
                <w:rFonts w:ascii="宋体" w:hAnsi="宋体" w:eastAsia="宋体"/>
                <w:sz w:val="16"/>
              </w:rPr>
              <w:t>—</w:t>
            </w:r>
          </w:p>
        </w:tc>
      </w:tr>
      <w:tr w14:paraId="661A07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4CB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955C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CACE1">
            <w:pPr>
              <w:jc w:val="center"/>
            </w:pPr>
            <w:r>
              <w:rPr>
                <w:rFonts w:ascii="宋体" w:hAnsi="宋体" w:eastAsia="宋体"/>
                <w:sz w:val="16"/>
              </w:rPr>
              <w:t>10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F0F2F">
            <w:pPr>
              <w:jc w:val="center"/>
            </w:pPr>
            <w:r>
              <w:rPr>
                <w:rFonts w:ascii="宋体" w:hAnsi="宋体" w:eastAsia="宋体"/>
                <w:sz w:val="16"/>
              </w:rPr>
              <w:t>10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87898">
            <w:pPr>
              <w:jc w:val="center"/>
            </w:pPr>
            <w:r>
              <w:rPr>
                <w:rFonts w:ascii="宋体" w:hAnsi="宋体" w:eastAsia="宋体"/>
                <w:sz w:val="16"/>
              </w:rPr>
              <w:t>10</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3AC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03A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63A12">
            <w:pPr>
              <w:jc w:val="center"/>
            </w:pPr>
            <w:r>
              <w:rPr>
                <w:rFonts w:ascii="宋体" w:hAnsi="宋体" w:eastAsia="宋体"/>
                <w:sz w:val="16"/>
              </w:rPr>
              <w:t>—</w:t>
            </w:r>
          </w:p>
        </w:tc>
      </w:tr>
      <w:tr w14:paraId="471801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E5F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8E6C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172F50">
            <w:pPr>
              <w:jc w:val="center"/>
            </w:pPr>
            <w:r>
              <w:rPr>
                <w:rFonts w:ascii="宋体" w:hAnsi="宋体" w:eastAsia="宋体"/>
                <w:sz w:val="16"/>
              </w:rPr>
              <w:t>实际完成情况</w:t>
            </w:r>
          </w:p>
        </w:tc>
      </w:tr>
      <w:tr w14:paraId="503810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B5E4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7F518D">
            <w:pPr>
              <w:jc w:val="both"/>
            </w:pPr>
            <w:r>
              <w:rPr>
                <w:rFonts w:ascii="宋体" w:hAnsi="宋体" w:eastAsia="宋体"/>
                <w:sz w:val="16"/>
              </w:rPr>
              <w:t>根据</w:t>
            </w: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YQ</w:t>
            </w:r>
            <w:r>
              <w:rPr>
                <w:rFonts w:ascii="宋体" w:hAnsi="宋体" w:eastAsia="宋体"/>
                <w:sz w:val="16"/>
              </w:rPr>
              <w:t>期间采购核酸采样设备款-洛财纪字</w:t>
            </w:r>
            <w:r>
              <w:rPr>
                <w:rFonts w:hint="eastAsia" w:ascii="宋体" w:hAnsi="宋体"/>
                <w:sz w:val="16"/>
                <w:lang w:eastAsia="zh-CN"/>
              </w:rPr>
              <w:t>〔2024〕9号</w:t>
            </w:r>
            <w:r>
              <w:rPr>
                <w:rFonts w:ascii="宋体" w:hAnsi="宋体" w:eastAsia="宋体"/>
                <w:sz w:val="16"/>
              </w:rPr>
              <w:t>，我中心购置一台防疫核酸采样设备，降低传染病发生率，保障检测质量，优化资源配置，</w:t>
            </w:r>
            <w:r>
              <w:rPr>
                <w:rFonts w:hint="eastAsia" w:ascii="宋体" w:hAnsi="宋体"/>
                <w:sz w:val="16"/>
                <w:lang w:eastAsia="zh-CN"/>
              </w:rPr>
              <w:t>支撑YQ</w:t>
            </w:r>
            <w:r>
              <w:rPr>
                <w:rFonts w:ascii="宋体" w:hAnsi="宋体" w:eastAsia="宋体"/>
                <w:sz w:val="16"/>
              </w:rPr>
              <w:t>防控及公共卫生应急需求核心维护。</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C8EC7">
            <w:pPr>
              <w:jc w:val="both"/>
            </w:pPr>
            <w:r>
              <w:rPr>
                <w:rFonts w:ascii="宋体" w:hAnsi="宋体" w:eastAsia="宋体"/>
                <w:sz w:val="16"/>
              </w:rPr>
              <w:t>根据</w:t>
            </w: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-YQ</w:t>
            </w:r>
            <w:r>
              <w:rPr>
                <w:rFonts w:ascii="宋体" w:hAnsi="宋体" w:eastAsia="宋体"/>
                <w:sz w:val="16"/>
              </w:rPr>
              <w:t>期间采购核酸采样设备款-洛财纪字</w:t>
            </w:r>
            <w:r>
              <w:rPr>
                <w:rFonts w:hint="eastAsia" w:ascii="宋体" w:hAnsi="宋体"/>
                <w:sz w:val="16"/>
                <w:lang w:eastAsia="zh-CN"/>
              </w:rPr>
              <w:t>〔2024〕9号</w:t>
            </w:r>
            <w:r>
              <w:rPr>
                <w:rFonts w:ascii="宋体" w:hAnsi="宋体" w:eastAsia="宋体"/>
                <w:sz w:val="16"/>
              </w:rPr>
              <w:t>，我中心购置一台防疫核酸采样设备，降低传染病发生率，保障检测质量，优化资源配置，</w:t>
            </w:r>
            <w:r>
              <w:rPr>
                <w:rFonts w:hint="eastAsia" w:ascii="宋体" w:hAnsi="宋体"/>
                <w:sz w:val="16"/>
                <w:lang w:eastAsia="zh-CN"/>
              </w:rPr>
              <w:t>支撑YQ</w:t>
            </w:r>
            <w:r>
              <w:rPr>
                <w:rFonts w:ascii="宋体" w:hAnsi="宋体" w:eastAsia="宋体"/>
                <w:sz w:val="16"/>
              </w:rPr>
              <w:t>防控及公共卫生应急需求核心维护。</w:t>
            </w:r>
          </w:p>
        </w:tc>
      </w:tr>
      <w:tr w14:paraId="0F8A9D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4D95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48E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0306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3E18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489E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228F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C85B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E6F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C46EF">
            <w:pPr>
              <w:jc w:val="center"/>
            </w:pPr>
            <w:r>
              <w:rPr>
                <w:rFonts w:ascii="宋体" w:hAnsi="宋体" w:eastAsia="宋体"/>
                <w:sz w:val="16"/>
              </w:rPr>
              <w:t>偏差原因分析及改进措施</w:t>
            </w:r>
          </w:p>
        </w:tc>
      </w:tr>
      <w:tr w14:paraId="1C2B50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9B16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3FD2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817A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D62D0">
            <w:pPr>
              <w:jc w:val="center"/>
            </w:pPr>
            <w:r>
              <w:rPr>
                <w:rFonts w:ascii="宋体" w:hAnsi="宋体" w:eastAsia="宋体"/>
                <w:sz w:val="16"/>
              </w:rPr>
              <w:t>购置防疫核酸采样设备款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519C2">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CAC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167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9AF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D4DFF">
            <w:pPr>
              <w:jc w:val="center"/>
            </w:pPr>
          </w:p>
        </w:tc>
      </w:tr>
      <w:tr w14:paraId="466760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987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D6D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6990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BC4B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683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3C8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0C8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683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AA77F">
            <w:pPr>
              <w:jc w:val="center"/>
            </w:pPr>
          </w:p>
        </w:tc>
      </w:tr>
      <w:tr w14:paraId="3FF159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BD9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1342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1593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AC51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6DD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707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7F0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3A9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CF57E">
            <w:pPr>
              <w:jc w:val="center"/>
            </w:pPr>
          </w:p>
        </w:tc>
      </w:tr>
      <w:tr w14:paraId="3D32C9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824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2FD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626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431E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30AC6">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E3B9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07E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DCE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E100D">
            <w:pPr>
              <w:jc w:val="center"/>
            </w:pPr>
          </w:p>
        </w:tc>
      </w:tr>
      <w:tr w14:paraId="77CE26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F1F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BAFF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D7A8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6B081">
            <w:pPr>
              <w:jc w:val="center"/>
            </w:pPr>
            <w:r>
              <w:rPr>
                <w:rFonts w:ascii="宋体" w:hAnsi="宋体" w:eastAsia="宋体"/>
                <w:sz w:val="16"/>
              </w:rPr>
              <w:t>购置防疫核酸采样设备款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871CA">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FC655">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C22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782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4A143">
            <w:pPr>
              <w:jc w:val="center"/>
            </w:pPr>
          </w:p>
        </w:tc>
      </w:tr>
      <w:tr w14:paraId="0362CE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478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FBE0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43D6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E99F8">
            <w:pPr>
              <w:jc w:val="center"/>
            </w:pPr>
            <w:r>
              <w:rPr>
                <w:rFonts w:ascii="宋体" w:hAnsi="宋体" w:eastAsia="宋体"/>
                <w:sz w:val="16"/>
              </w:rPr>
              <w:t>降低传染病发生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61944">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0A3B6">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7D2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32E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89B7F">
            <w:pPr>
              <w:jc w:val="center"/>
            </w:pPr>
          </w:p>
        </w:tc>
      </w:tr>
      <w:tr w14:paraId="73795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093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55B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7ACD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8ECB9">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EB46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30A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7B0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7BF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7E310">
            <w:pPr>
              <w:jc w:val="center"/>
            </w:pPr>
          </w:p>
        </w:tc>
      </w:tr>
      <w:tr w14:paraId="78AFF8C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C310C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347E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E17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85E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AF95E3"/>
        </w:tc>
      </w:tr>
    </w:tbl>
    <w:p w14:paraId="4D4DFF51">
      <w:r>
        <w:br w:type="page"/>
      </w:r>
    </w:p>
    <w:p w14:paraId="105C6E32">
      <w:pPr>
        <w:spacing w:line="640" w:lineRule="exact"/>
        <w:ind w:firstLine="640"/>
        <w:jc w:val="both"/>
        <w:outlineLvl w:val="2"/>
      </w:pPr>
      <w:r>
        <w:rPr>
          <w:rFonts w:ascii="黑体" w:hAnsi="黑体" w:eastAsia="黑体"/>
          <w:sz w:val="32"/>
        </w:rPr>
        <w:t>十二、其他需说明的事项</w:t>
      </w:r>
    </w:p>
    <w:p w14:paraId="1A546426">
      <w:pPr>
        <w:spacing w:line="580" w:lineRule="exact"/>
        <w:ind w:firstLine="640"/>
        <w:jc w:val="both"/>
      </w:pPr>
      <w:r>
        <w:rPr>
          <w:rFonts w:ascii="仿宋_GB2312" w:hAnsi="仿宋_GB2312" w:eastAsia="仿宋_GB2312"/>
          <w:b w:val="0"/>
          <w:sz w:val="32"/>
        </w:rPr>
        <w:t>本年本单位SM项目1个，全年预算数29.35万元，全年执行数29.35万元。</w:t>
      </w:r>
    </w:p>
    <w:p w14:paraId="21D7B52A">
      <w:r>
        <w:br w:type="page"/>
      </w:r>
    </w:p>
    <w:p w14:paraId="6F9ECCFD">
      <w:pPr>
        <w:spacing w:line="240" w:lineRule="auto"/>
        <w:jc w:val="center"/>
        <w:outlineLvl w:val="1"/>
      </w:pPr>
      <w:r>
        <w:rPr>
          <w:rFonts w:ascii="黑体" w:hAnsi="黑体" w:eastAsia="黑体"/>
          <w:sz w:val="32"/>
        </w:rPr>
        <w:t>第三部分 专业名词解释</w:t>
      </w:r>
    </w:p>
    <w:p w14:paraId="3E2C7AD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FFE67D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BB6D7F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68FF20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123A2B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5A94A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6E244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246EE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B345C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1D4CB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10523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82779C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A5A92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8A82D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59A086">
      <w:r>
        <w:br w:type="page"/>
      </w:r>
    </w:p>
    <w:p w14:paraId="7E69C708">
      <w:pPr>
        <w:spacing w:line="240" w:lineRule="auto"/>
        <w:jc w:val="center"/>
        <w:outlineLvl w:val="1"/>
      </w:pPr>
      <w:r>
        <w:rPr>
          <w:rFonts w:ascii="黑体" w:hAnsi="黑体" w:eastAsia="黑体"/>
          <w:sz w:val="32"/>
        </w:rPr>
        <w:t>第四部分 部门决算报表（见附表）</w:t>
      </w:r>
    </w:p>
    <w:p w14:paraId="2F87F4D3">
      <w:pPr>
        <w:spacing w:line="240" w:lineRule="auto"/>
        <w:ind w:firstLine="640"/>
        <w:jc w:val="both"/>
      </w:pPr>
      <w:r>
        <w:rPr>
          <w:rFonts w:ascii="仿宋_GB2312" w:hAnsi="仿宋_GB2312" w:eastAsia="仿宋_GB2312"/>
          <w:b w:val="0"/>
          <w:sz w:val="32"/>
        </w:rPr>
        <w:t>一、《收入支出决算总表》</w:t>
      </w:r>
    </w:p>
    <w:p w14:paraId="7F57E038">
      <w:pPr>
        <w:spacing w:line="240" w:lineRule="auto"/>
        <w:ind w:firstLine="640"/>
        <w:jc w:val="both"/>
      </w:pPr>
      <w:r>
        <w:rPr>
          <w:rFonts w:ascii="仿宋_GB2312" w:hAnsi="仿宋_GB2312" w:eastAsia="仿宋_GB2312"/>
          <w:b w:val="0"/>
          <w:sz w:val="32"/>
        </w:rPr>
        <w:t>二、《收入决算表》</w:t>
      </w:r>
    </w:p>
    <w:p w14:paraId="381956F0">
      <w:pPr>
        <w:spacing w:line="240" w:lineRule="auto"/>
        <w:ind w:firstLine="640"/>
        <w:jc w:val="both"/>
      </w:pPr>
      <w:r>
        <w:rPr>
          <w:rFonts w:ascii="仿宋_GB2312" w:hAnsi="仿宋_GB2312" w:eastAsia="仿宋_GB2312"/>
          <w:b w:val="0"/>
          <w:sz w:val="32"/>
        </w:rPr>
        <w:t>三、《支出决算表》</w:t>
      </w:r>
    </w:p>
    <w:p w14:paraId="5076681A">
      <w:pPr>
        <w:spacing w:line="240" w:lineRule="auto"/>
        <w:ind w:firstLine="640"/>
        <w:jc w:val="both"/>
      </w:pPr>
      <w:r>
        <w:rPr>
          <w:rFonts w:ascii="仿宋_GB2312" w:hAnsi="仿宋_GB2312" w:eastAsia="仿宋_GB2312"/>
          <w:b w:val="0"/>
          <w:sz w:val="32"/>
        </w:rPr>
        <w:t>四、《财政拨款收入支出决算总表》</w:t>
      </w:r>
    </w:p>
    <w:p w14:paraId="47582584">
      <w:pPr>
        <w:spacing w:line="240" w:lineRule="auto"/>
        <w:ind w:firstLine="640"/>
        <w:jc w:val="both"/>
      </w:pPr>
      <w:r>
        <w:rPr>
          <w:rFonts w:ascii="仿宋_GB2312" w:hAnsi="仿宋_GB2312" w:eastAsia="仿宋_GB2312"/>
          <w:b w:val="0"/>
          <w:sz w:val="32"/>
        </w:rPr>
        <w:t>五、《一般公共预算财政拨款支出决算表》</w:t>
      </w:r>
    </w:p>
    <w:p w14:paraId="5D6A6750">
      <w:pPr>
        <w:spacing w:line="240" w:lineRule="auto"/>
        <w:ind w:firstLine="640"/>
        <w:jc w:val="both"/>
      </w:pPr>
      <w:r>
        <w:rPr>
          <w:rFonts w:ascii="仿宋_GB2312" w:hAnsi="仿宋_GB2312" w:eastAsia="仿宋_GB2312"/>
          <w:b w:val="0"/>
          <w:sz w:val="32"/>
        </w:rPr>
        <w:t>六、《一般公共预算财政拨款基本支出决算表》</w:t>
      </w:r>
    </w:p>
    <w:p w14:paraId="3C49DB2A">
      <w:pPr>
        <w:spacing w:line="240" w:lineRule="auto"/>
        <w:ind w:firstLine="640"/>
        <w:jc w:val="both"/>
      </w:pPr>
      <w:r>
        <w:rPr>
          <w:rFonts w:ascii="仿宋_GB2312" w:hAnsi="仿宋_GB2312" w:eastAsia="仿宋_GB2312"/>
          <w:b w:val="0"/>
          <w:sz w:val="32"/>
        </w:rPr>
        <w:t>七、《政府性基金预算财政拨款收入支出决算表》</w:t>
      </w:r>
    </w:p>
    <w:p w14:paraId="5EBB6F20">
      <w:pPr>
        <w:spacing w:line="240" w:lineRule="auto"/>
        <w:ind w:firstLine="640"/>
        <w:jc w:val="both"/>
      </w:pPr>
      <w:r>
        <w:rPr>
          <w:rFonts w:ascii="仿宋_GB2312" w:hAnsi="仿宋_GB2312" w:eastAsia="仿宋_GB2312"/>
          <w:b w:val="0"/>
          <w:sz w:val="32"/>
        </w:rPr>
        <w:t>八、《国有资本经营预算财政拨款收入支出决算表》</w:t>
      </w:r>
    </w:p>
    <w:p w14:paraId="2F8D543C">
      <w:pPr>
        <w:spacing w:line="240" w:lineRule="auto"/>
        <w:ind w:firstLine="640"/>
        <w:jc w:val="both"/>
      </w:pPr>
      <w:r>
        <w:rPr>
          <w:rFonts w:ascii="仿宋_GB2312" w:hAnsi="仿宋_GB2312" w:eastAsia="仿宋_GB2312"/>
          <w:b w:val="0"/>
          <w:sz w:val="32"/>
        </w:rPr>
        <w:t>九、《财政拨款“三公”经费支出决算表》</w:t>
      </w:r>
    </w:p>
    <w:p w14:paraId="4E403759">
      <w:pPr>
        <w:spacing w:line="240" w:lineRule="auto"/>
        <w:ind w:firstLine="640"/>
        <w:jc w:val="both"/>
      </w:pPr>
    </w:p>
    <w:p w14:paraId="204E3117">
      <w:pPr>
        <w:spacing w:line="240" w:lineRule="auto"/>
        <w:ind w:firstLine="640"/>
        <w:jc w:val="both"/>
      </w:pPr>
    </w:p>
    <w:p w14:paraId="4D2676DC">
      <w:pPr>
        <w:spacing w:line="240" w:lineRule="auto"/>
        <w:ind w:firstLine="640"/>
        <w:jc w:val="both"/>
      </w:pPr>
    </w:p>
    <w:p w14:paraId="3BFBA2C6">
      <w:pPr>
        <w:spacing w:line="240" w:lineRule="auto"/>
        <w:ind w:firstLine="640"/>
        <w:jc w:val="both"/>
      </w:pPr>
    </w:p>
    <w:p w14:paraId="7AD76A5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EB96EEA"/>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C3616A"/>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5924</Words>
  <Characters>6922</Characters>
  <Lines>0</Lines>
  <Paragraphs>0</Paragraphs>
  <TotalTime>17</TotalTime>
  <ScaleCrop>false</ScaleCrop>
  <LinksUpToDate>false</LinksUpToDate>
  <CharactersWithSpaces>6930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