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洛浦县档案馆2024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7E96D0">
      <w:r>
        <w:br w:type="page"/>
      </w:r>
    </w:p>
    <w:p w14:paraId="384CEDC6">
      <w:pPr>
        <w:spacing w:line="640" w:lineRule="exact"/>
        <w:jc w:val="center"/>
        <w:outlineLvl w:val="1"/>
      </w:pPr>
      <w:r>
        <w:rPr>
          <w:rFonts w:ascii="黑体" w:hAnsi="黑体" w:eastAsia="黑体"/>
          <w:sz w:val="32"/>
        </w:rPr>
        <w:t>第一部分 单位概况</w:t>
      </w:r>
    </w:p>
    <w:p w14:paraId="442C570C">
      <w:pPr>
        <w:spacing w:line="640" w:lineRule="exact"/>
        <w:ind w:firstLine="640"/>
        <w:jc w:val="both"/>
        <w:outlineLvl w:val="2"/>
      </w:pPr>
      <w:r>
        <w:rPr>
          <w:rFonts w:ascii="黑体" w:hAnsi="黑体" w:eastAsia="黑体"/>
          <w:sz w:val="32"/>
        </w:rPr>
        <w:t>一、主要职能</w:t>
      </w:r>
    </w:p>
    <w:p w14:paraId="28646E23">
      <w:pPr>
        <w:spacing w:line="580" w:lineRule="exact"/>
        <w:ind w:firstLine="640"/>
        <w:jc w:val="both"/>
      </w:pPr>
      <w:r>
        <w:rPr>
          <w:rFonts w:ascii="仿宋_GB2312" w:hAnsi="仿宋_GB2312" w:eastAsia="仿宋_GB2312"/>
          <w:sz w:val="32"/>
        </w:rPr>
        <w:t>（1）洛浦县档案馆在县委的领导下，贯彻落实我县档案管理工作的方针、政策，研究拟定我县档案工作的发展规划，制定全县的档案事业发展计划和档案管理实施办法。</w:t>
      </w:r>
    </w:p>
    <w:p w14:paraId="543FBDC8">
      <w:pPr>
        <w:spacing w:line="580" w:lineRule="exact"/>
        <w:ind w:firstLine="640"/>
        <w:jc w:val="both"/>
      </w:pPr>
      <w:r>
        <w:rPr>
          <w:rFonts w:ascii="仿宋_GB2312" w:hAnsi="仿宋_GB2312" w:eastAsia="仿宋_GB2312"/>
          <w:sz w:val="32"/>
        </w:rPr>
        <w:t>（2）对县直机关、团体、企事业单位和其他组织的档案工作实行监督、检查、指导与协调，并开展档案目标化管理工作。</w:t>
      </w:r>
    </w:p>
    <w:p w14:paraId="1CF59163">
      <w:pPr>
        <w:spacing w:line="580" w:lineRule="exact"/>
        <w:ind w:firstLine="640"/>
        <w:jc w:val="both"/>
      </w:pPr>
      <w:r>
        <w:rPr>
          <w:rFonts w:ascii="仿宋_GB2312" w:hAnsi="仿宋_GB2312" w:eastAsia="仿宋_GB2312"/>
          <w:sz w:val="32"/>
        </w:rPr>
        <w:t>（3）组织、指导本县档案的宣传教育工作，开展档案人员的业务培训。</w:t>
      </w:r>
    </w:p>
    <w:p w14:paraId="331A55A7">
      <w:pPr>
        <w:spacing w:line="580" w:lineRule="exact"/>
        <w:ind w:firstLine="640"/>
        <w:jc w:val="both"/>
      </w:pPr>
      <w:r>
        <w:rPr>
          <w:rFonts w:ascii="仿宋_GB2312" w:hAnsi="仿宋_GB2312" w:eastAsia="仿宋_GB2312"/>
          <w:sz w:val="32"/>
        </w:rPr>
        <w:t>（4）负责接收、整理、保管、抢救、开放档案，并为社会利用档案资源提供分管范围内的档案。</w:t>
      </w:r>
    </w:p>
    <w:p w14:paraId="6B9E8906">
      <w:pPr>
        <w:spacing w:line="640" w:lineRule="exact"/>
        <w:ind w:firstLine="640"/>
        <w:jc w:val="both"/>
        <w:outlineLvl w:val="2"/>
      </w:pPr>
      <w:r>
        <w:rPr>
          <w:rFonts w:ascii="黑体" w:hAnsi="黑体" w:eastAsia="黑体"/>
          <w:sz w:val="32"/>
        </w:rPr>
        <w:t>二、机构设置及人员情况</w:t>
      </w:r>
    </w:p>
    <w:p w14:paraId="514B8FD1">
      <w:pPr>
        <w:spacing w:line="580" w:lineRule="exact"/>
        <w:ind w:firstLine="640"/>
        <w:jc w:val="both"/>
      </w:pPr>
      <w:r>
        <w:rPr>
          <w:rFonts w:ascii="仿宋_GB2312" w:hAnsi="仿宋_GB2312" w:eastAsia="仿宋_GB2312"/>
          <w:sz w:val="32"/>
        </w:rPr>
        <w:t>洛浦县档案馆2024年度，实有人数9人，其中：在职人员6人，减少1人；离休人员0人，增加0人；退休人员3人,减少1人。</w:t>
      </w:r>
    </w:p>
    <w:p w14:paraId="56BC2495">
      <w:pPr>
        <w:spacing w:line="580" w:lineRule="exact"/>
        <w:ind w:firstLine="640"/>
        <w:jc w:val="both"/>
      </w:pPr>
      <w:r>
        <w:rPr>
          <w:rFonts w:ascii="仿宋_GB2312" w:hAnsi="仿宋_GB2312" w:eastAsia="仿宋_GB2312"/>
          <w:sz w:val="32"/>
        </w:rPr>
        <w:t>洛浦县档案馆无下属预算单位，下设2个科室，分别是：办公室、财务室。</w:t>
      </w:r>
    </w:p>
    <w:p w14:paraId="14F05AE5">
      <w:r>
        <w:br w:type="page"/>
      </w:r>
    </w:p>
    <w:p w14:paraId="77E8673B">
      <w:pPr>
        <w:spacing w:line="240" w:lineRule="auto"/>
        <w:jc w:val="center"/>
        <w:outlineLvl w:val="1"/>
      </w:pPr>
      <w:r>
        <w:rPr>
          <w:rFonts w:ascii="黑体" w:hAnsi="黑体" w:eastAsia="黑体"/>
          <w:sz w:val="32"/>
        </w:rPr>
        <w:t>第二部分 部门决算情况说明</w:t>
      </w:r>
    </w:p>
    <w:p w14:paraId="1B5EA863">
      <w:pPr>
        <w:spacing w:line="640" w:lineRule="exact"/>
        <w:ind w:firstLine="640"/>
        <w:jc w:val="both"/>
        <w:outlineLvl w:val="2"/>
      </w:pPr>
      <w:r>
        <w:rPr>
          <w:rFonts w:ascii="黑体" w:hAnsi="黑体" w:eastAsia="黑体"/>
          <w:sz w:val="32"/>
        </w:rPr>
        <w:t>一、收入支出决算总体情况说明</w:t>
      </w:r>
    </w:p>
    <w:p w14:paraId="0AE177B8">
      <w:pPr>
        <w:spacing w:line="580" w:lineRule="exact"/>
        <w:ind w:firstLine="640"/>
        <w:jc w:val="both"/>
      </w:pPr>
      <w:r>
        <w:rPr>
          <w:rFonts w:ascii="仿宋_GB2312" w:hAnsi="仿宋_GB2312" w:eastAsia="仿宋_GB2312"/>
          <w:b/>
          <w:sz w:val="32"/>
        </w:rPr>
        <w:t>2024年度收入总计156.91万元，</w:t>
      </w:r>
      <w:r>
        <w:rPr>
          <w:rFonts w:ascii="仿宋_GB2312" w:hAnsi="仿宋_GB2312" w:eastAsia="仿宋_GB2312"/>
          <w:b w:val="0"/>
          <w:sz w:val="32"/>
        </w:rPr>
        <w:t>其中：本年收入合计156.91万元，使用非财政拨款结余（含专用结余）0.00万元，年初结转和结余0.00万元。</w:t>
      </w:r>
    </w:p>
    <w:p w14:paraId="345C29CD">
      <w:pPr>
        <w:spacing w:line="580" w:lineRule="exact"/>
        <w:ind w:firstLine="640"/>
        <w:jc w:val="both"/>
      </w:pPr>
      <w:r>
        <w:rPr>
          <w:rFonts w:ascii="仿宋_GB2312" w:hAnsi="仿宋_GB2312" w:eastAsia="仿宋_GB2312"/>
          <w:b/>
          <w:sz w:val="32"/>
        </w:rPr>
        <w:t>2024年度支出总计156.91万元，</w:t>
      </w:r>
      <w:r>
        <w:rPr>
          <w:rFonts w:ascii="仿宋_GB2312" w:hAnsi="仿宋_GB2312" w:eastAsia="仿宋_GB2312"/>
          <w:b w:val="0"/>
          <w:sz w:val="32"/>
        </w:rPr>
        <w:t>其中：本年支出合计156.91万元，结余分配0.00万元，年末结转和结余0.00万元。</w:t>
      </w:r>
    </w:p>
    <w:p w14:paraId="5B473254">
      <w:pPr>
        <w:spacing w:line="580" w:lineRule="exact"/>
        <w:ind w:firstLine="640"/>
        <w:jc w:val="both"/>
      </w:pPr>
      <w:r>
        <w:rPr>
          <w:rFonts w:ascii="仿宋_GB2312" w:hAnsi="仿宋_GB2312" w:eastAsia="仿宋_GB2312"/>
          <w:b w:val="0"/>
          <w:sz w:val="32"/>
        </w:rPr>
        <w:t>收入支出总体与上年相比，减少4.39万元，下降2.72%，主要原因是：本年在职人员减少，相关人员经费较上年减少；减少更新档案馆消防设备经费。</w:t>
      </w:r>
    </w:p>
    <w:p w14:paraId="266D34ED">
      <w:pPr>
        <w:spacing w:line="640" w:lineRule="exact"/>
        <w:ind w:firstLine="640"/>
        <w:jc w:val="both"/>
        <w:outlineLvl w:val="2"/>
      </w:pPr>
      <w:r>
        <w:rPr>
          <w:rFonts w:ascii="黑体" w:hAnsi="黑体" w:eastAsia="黑体"/>
          <w:sz w:val="32"/>
        </w:rPr>
        <w:t>二、收入决算情况说明</w:t>
      </w:r>
    </w:p>
    <w:p w14:paraId="044772EA">
      <w:pPr>
        <w:spacing w:line="580" w:lineRule="exact"/>
        <w:ind w:firstLine="640"/>
        <w:jc w:val="both"/>
      </w:pPr>
      <w:r>
        <w:rPr>
          <w:rFonts w:ascii="仿宋_GB2312" w:hAnsi="仿宋_GB2312" w:eastAsia="仿宋_GB2312"/>
          <w:b/>
          <w:sz w:val="32"/>
        </w:rPr>
        <w:t>本年收入156.91万元，</w:t>
      </w:r>
      <w:r>
        <w:rPr>
          <w:rFonts w:ascii="仿宋_GB2312" w:hAnsi="仿宋_GB2312" w:eastAsia="仿宋_GB2312"/>
          <w:b w:val="0"/>
          <w:sz w:val="32"/>
        </w:rPr>
        <w:t>其中：财政拨款收入151.78万元，占96.73%；上级补助收入0.00万元，占0.00%；事业收入0.00万元，占0.00%；经营收入0.00万元，占0.00%；附属单位上缴收入0.00万元，占0.00%；其他收入5.13万元，占3.27%。</w:t>
      </w:r>
    </w:p>
    <w:p w14:paraId="316C984F">
      <w:pPr>
        <w:spacing w:line="640" w:lineRule="exact"/>
        <w:ind w:firstLine="640"/>
        <w:jc w:val="both"/>
        <w:outlineLvl w:val="2"/>
      </w:pPr>
      <w:r>
        <w:rPr>
          <w:rFonts w:ascii="黑体" w:hAnsi="黑体" w:eastAsia="黑体"/>
          <w:sz w:val="32"/>
        </w:rPr>
        <w:t>三、支出决算情况说明</w:t>
      </w:r>
    </w:p>
    <w:p w14:paraId="06F4A1D7">
      <w:pPr>
        <w:spacing w:line="580" w:lineRule="exact"/>
        <w:ind w:firstLine="640"/>
        <w:jc w:val="both"/>
      </w:pPr>
      <w:r>
        <w:rPr>
          <w:rFonts w:ascii="仿宋_GB2312" w:hAnsi="仿宋_GB2312" w:eastAsia="仿宋_GB2312"/>
          <w:b/>
          <w:sz w:val="32"/>
        </w:rPr>
        <w:t>本年支出156.91万元，</w:t>
      </w:r>
      <w:r>
        <w:rPr>
          <w:rFonts w:ascii="仿宋_GB2312" w:hAnsi="仿宋_GB2312" w:eastAsia="仿宋_GB2312"/>
          <w:b w:val="0"/>
          <w:sz w:val="32"/>
        </w:rPr>
        <w:t>其中：基本支出150.88万元，占96.16%；项目支出6.03万元，占3.84%；上缴上级支出0.00万元，占0.00%；经营支出0.00万元，占0.00%；对附属单位补助支出0.00万元，占0.00%。</w:t>
      </w:r>
    </w:p>
    <w:p w14:paraId="782DAC3C">
      <w:pPr>
        <w:spacing w:line="640" w:lineRule="exact"/>
        <w:ind w:firstLine="640"/>
        <w:jc w:val="both"/>
        <w:outlineLvl w:val="2"/>
      </w:pPr>
      <w:r>
        <w:rPr>
          <w:rFonts w:ascii="黑体" w:hAnsi="黑体" w:eastAsia="黑体"/>
          <w:sz w:val="32"/>
        </w:rPr>
        <w:t>四、财政拨款收入支出决算总体情况说明</w:t>
      </w:r>
    </w:p>
    <w:p w14:paraId="3D5D4DB7">
      <w:pPr>
        <w:spacing w:line="580" w:lineRule="exact"/>
        <w:ind w:firstLine="640"/>
        <w:jc w:val="both"/>
      </w:pPr>
      <w:r>
        <w:rPr>
          <w:rFonts w:ascii="仿宋_GB2312" w:hAnsi="仿宋_GB2312" w:eastAsia="仿宋_GB2312"/>
          <w:b/>
          <w:sz w:val="32"/>
        </w:rPr>
        <w:t>2024年度财政拨款收入总计151.78万元，</w:t>
      </w:r>
      <w:r>
        <w:rPr>
          <w:rFonts w:ascii="仿宋_GB2312" w:hAnsi="仿宋_GB2312" w:eastAsia="仿宋_GB2312"/>
          <w:b w:val="0"/>
          <w:sz w:val="32"/>
        </w:rPr>
        <w:t>其中：年初财政拨款结转和结余0.00万元，本年财政拨款收入151.78万元。</w:t>
      </w:r>
      <w:r>
        <w:rPr>
          <w:rFonts w:ascii="仿宋_GB2312" w:hAnsi="仿宋_GB2312" w:eastAsia="仿宋_GB2312"/>
          <w:b/>
          <w:sz w:val="32"/>
        </w:rPr>
        <w:t>财政拨款支出总计151.78万元，</w:t>
      </w:r>
      <w:r>
        <w:rPr>
          <w:rFonts w:ascii="仿宋_GB2312" w:hAnsi="仿宋_GB2312" w:eastAsia="仿宋_GB2312"/>
          <w:b w:val="0"/>
          <w:sz w:val="32"/>
        </w:rPr>
        <w:t>其中：年末财政拨款结转和结余0.00万元，本年财政拨款支出151.78万元。</w:t>
      </w:r>
    </w:p>
    <w:p w14:paraId="28FA66B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减少9.52万元，下降5.90%，主要原因是：本年在职人员减少，相关人员经费较上年减少；减少更新档案馆消防设备经费。</w:t>
      </w:r>
      <w:r>
        <w:rPr>
          <w:rFonts w:ascii="仿宋_GB2312" w:hAnsi="仿宋_GB2312" w:eastAsia="仿宋_GB2312"/>
          <w:b/>
          <w:sz w:val="32"/>
        </w:rPr>
        <w:t>与年初预算相比，</w:t>
      </w:r>
      <w:r>
        <w:rPr>
          <w:rFonts w:ascii="仿宋_GB2312" w:hAnsi="仿宋_GB2312" w:eastAsia="仿宋_GB2312"/>
          <w:b w:val="0"/>
          <w:sz w:val="32"/>
        </w:rPr>
        <w:t>年初预算数175.58万元，决算数151.78万元，预决算差异率-13.56%，主要原因是：本年在职人员减少，年中调减人员经费，调减为民办实事工作经费，导致预决算存在差异。</w:t>
      </w:r>
    </w:p>
    <w:p w14:paraId="16589E8E">
      <w:pPr>
        <w:spacing w:line="640" w:lineRule="exact"/>
        <w:ind w:firstLine="640"/>
        <w:jc w:val="both"/>
        <w:outlineLvl w:val="2"/>
      </w:pPr>
      <w:r>
        <w:rPr>
          <w:rFonts w:ascii="黑体" w:hAnsi="黑体" w:eastAsia="黑体"/>
          <w:sz w:val="32"/>
        </w:rPr>
        <w:t>五、一般公共预算财政拨款支出决算情况说明</w:t>
      </w:r>
    </w:p>
    <w:p w14:paraId="6B45E005">
      <w:pPr>
        <w:spacing w:line="640" w:lineRule="exact"/>
        <w:ind w:firstLine="640"/>
        <w:jc w:val="both"/>
        <w:outlineLvl w:val="3"/>
      </w:pPr>
      <w:r>
        <w:rPr>
          <w:rFonts w:ascii="楷体_GB2312" w:hAnsi="楷体_GB2312" w:eastAsia="楷体_GB2312"/>
          <w:b/>
          <w:sz w:val="32"/>
        </w:rPr>
        <w:t>（一）一般公共预算财政拨款支出决算总体情况</w:t>
      </w:r>
    </w:p>
    <w:p w14:paraId="634453BA">
      <w:pPr>
        <w:spacing w:line="580" w:lineRule="exact"/>
        <w:ind w:firstLine="640"/>
        <w:jc w:val="both"/>
      </w:pPr>
      <w:r>
        <w:rPr>
          <w:rFonts w:ascii="仿宋_GB2312" w:hAnsi="仿宋_GB2312" w:eastAsia="仿宋_GB2312"/>
          <w:b/>
          <w:sz w:val="32"/>
        </w:rPr>
        <w:t>2024年度一般公共预算财政拨款支出151.78万元，</w:t>
      </w:r>
      <w:r>
        <w:rPr>
          <w:rFonts w:ascii="仿宋_GB2312" w:hAnsi="仿宋_GB2312" w:eastAsia="仿宋_GB2312"/>
          <w:b w:val="0"/>
          <w:sz w:val="32"/>
        </w:rPr>
        <w:t>占本年支出合计的96.73%。</w:t>
      </w:r>
      <w:r>
        <w:rPr>
          <w:rFonts w:ascii="仿宋_GB2312" w:hAnsi="仿宋_GB2312" w:eastAsia="仿宋_GB2312"/>
          <w:b/>
          <w:sz w:val="32"/>
        </w:rPr>
        <w:t>与上年相比，</w:t>
      </w:r>
      <w:r>
        <w:rPr>
          <w:rFonts w:ascii="仿宋_GB2312" w:hAnsi="仿宋_GB2312" w:eastAsia="仿宋_GB2312"/>
          <w:b w:val="0"/>
          <w:sz w:val="32"/>
        </w:rPr>
        <w:t>减少9.52万元，下降5.90%，主要原因是：本年在职人员减少，相关人员经费较上年减少；减少更新档案馆消防设备经费。</w:t>
      </w:r>
      <w:r>
        <w:rPr>
          <w:rFonts w:ascii="仿宋_GB2312" w:hAnsi="仿宋_GB2312" w:eastAsia="仿宋_GB2312"/>
          <w:b/>
          <w:sz w:val="32"/>
        </w:rPr>
        <w:t>与年初预算相比,</w:t>
      </w:r>
      <w:r>
        <w:rPr>
          <w:rFonts w:ascii="仿宋_GB2312" w:hAnsi="仿宋_GB2312" w:eastAsia="仿宋_GB2312"/>
          <w:b w:val="0"/>
          <w:sz w:val="32"/>
        </w:rPr>
        <w:t>年初预算数175.58万元，决算数151.78万元，预决算差异率-13.56%，主要原因是：本年在职人员减少，年中调减人员经费，调减为民办实事工作经费，导致预决算存在差异。</w:t>
      </w:r>
    </w:p>
    <w:p w14:paraId="3496CFF7">
      <w:pPr>
        <w:spacing w:line="640" w:lineRule="exact"/>
        <w:ind w:firstLine="640"/>
        <w:jc w:val="both"/>
        <w:outlineLvl w:val="3"/>
      </w:pPr>
      <w:r>
        <w:rPr>
          <w:rFonts w:ascii="楷体_GB2312" w:hAnsi="楷体_GB2312" w:eastAsia="楷体_GB2312"/>
          <w:b/>
          <w:sz w:val="32"/>
        </w:rPr>
        <w:t>（二）一般公共预算财政拨款支出决算结构情况</w:t>
      </w:r>
    </w:p>
    <w:p w14:paraId="60AC4903">
      <w:pPr>
        <w:spacing w:line="580" w:lineRule="exact"/>
        <w:ind w:firstLine="640"/>
        <w:jc w:val="both"/>
      </w:pPr>
      <w:r>
        <w:rPr>
          <w:rFonts w:ascii="仿宋_GB2312" w:hAnsi="仿宋_GB2312" w:eastAsia="仿宋_GB2312"/>
          <w:b w:val="0"/>
          <w:sz w:val="32"/>
        </w:rPr>
        <w:t>1.一般公共服务支出(类)111.56万元,占73.50%。</w:t>
      </w:r>
    </w:p>
    <w:p w14:paraId="3F2C404C">
      <w:pPr>
        <w:spacing w:line="580" w:lineRule="exact"/>
        <w:ind w:firstLine="640"/>
        <w:jc w:val="both"/>
      </w:pPr>
      <w:r>
        <w:rPr>
          <w:rFonts w:ascii="仿宋_GB2312" w:hAnsi="仿宋_GB2312" w:eastAsia="仿宋_GB2312"/>
          <w:b w:val="0"/>
          <w:sz w:val="32"/>
        </w:rPr>
        <w:t>2.社会保障和就业支出(类)17.56万元,占11.57%。</w:t>
      </w:r>
    </w:p>
    <w:p w14:paraId="602E346B">
      <w:pPr>
        <w:spacing w:line="580" w:lineRule="exact"/>
        <w:ind w:firstLine="640"/>
        <w:jc w:val="both"/>
      </w:pPr>
      <w:r>
        <w:rPr>
          <w:rFonts w:ascii="仿宋_GB2312" w:hAnsi="仿宋_GB2312" w:eastAsia="仿宋_GB2312"/>
          <w:b w:val="0"/>
          <w:sz w:val="32"/>
        </w:rPr>
        <w:t>3.卫生健康支出(类)7.17万元,占4.72%。</w:t>
      </w:r>
    </w:p>
    <w:p w14:paraId="738AC576">
      <w:pPr>
        <w:spacing w:line="580" w:lineRule="exact"/>
        <w:ind w:firstLine="640"/>
        <w:jc w:val="both"/>
      </w:pPr>
      <w:r>
        <w:rPr>
          <w:rFonts w:ascii="仿宋_GB2312" w:hAnsi="仿宋_GB2312" w:eastAsia="仿宋_GB2312"/>
          <w:b w:val="0"/>
          <w:sz w:val="32"/>
        </w:rPr>
        <w:t>4.住房保障支出(类)9.46万元,占6.23%。</w:t>
      </w:r>
    </w:p>
    <w:p w14:paraId="32116CBA">
      <w:pPr>
        <w:spacing w:line="580" w:lineRule="exact"/>
        <w:ind w:firstLine="640"/>
        <w:jc w:val="both"/>
      </w:pPr>
      <w:r>
        <w:rPr>
          <w:rFonts w:ascii="仿宋_GB2312" w:hAnsi="仿宋_GB2312" w:eastAsia="仿宋_GB2312"/>
          <w:b w:val="0"/>
          <w:sz w:val="32"/>
        </w:rPr>
        <w:t>5.其他支出(类)6.03万元,占3.97%。</w:t>
      </w:r>
    </w:p>
    <w:p w14:paraId="5CF673FC">
      <w:pPr>
        <w:spacing w:line="640" w:lineRule="exact"/>
        <w:ind w:firstLine="640"/>
        <w:jc w:val="both"/>
        <w:outlineLvl w:val="3"/>
      </w:pPr>
      <w:r>
        <w:rPr>
          <w:rFonts w:ascii="楷体_GB2312" w:hAnsi="楷体_GB2312" w:eastAsia="楷体_GB2312"/>
          <w:b/>
          <w:sz w:val="32"/>
        </w:rPr>
        <w:t>（三）一般公共预算财政拨款支出决算具体情况</w:t>
      </w:r>
    </w:p>
    <w:p w14:paraId="47975406">
      <w:pPr>
        <w:spacing w:line="580" w:lineRule="exact"/>
        <w:ind w:firstLine="640"/>
        <w:jc w:val="both"/>
      </w:pPr>
      <w:r>
        <w:rPr>
          <w:rFonts w:ascii="仿宋_GB2312" w:hAnsi="仿宋_GB2312" w:eastAsia="仿宋_GB2312"/>
          <w:b w:val="0"/>
          <w:sz w:val="32"/>
        </w:rPr>
        <w:t>1.一般公共服务支出(类)档案事务(款)行政运行(项):支出决算数为111.56万元，比上年决算减少27.52万元，下降19.79%,主要原因是：本年在职人员减少，相应人员经费较上年减少。本年功能科目调整，行政单位离退休费、行政单位医疗、公务员医疗补助、住房公积金上年度在主科目列支，本年单独列支，导致经费较上年减少。</w:t>
      </w:r>
    </w:p>
    <w:p w14:paraId="4EA6718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5.00万元，比上年决算增加5.00万元，增长100.00%,主要原因是：本年功能科目调整，行政单位离退休上年度在主科目列支，本年单独列支，导致经费较上年增加。</w:t>
      </w:r>
    </w:p>
    <w:p w14:paraId="6390B82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12.57万元，比上年决算增加0.65万元，增长5.45%,主要原因是：本年在职人员工资基数调增，养老缴费基数上涨，相应支出增加。</w:t>
      </w:r>
    </w:p>
    <w:p w14:paraId="32956C7D">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2.31万元，下降100.00%,主要原因是：本年无新增退休人员，机关事业单位职业年金缴费较上年减少。</w:t>
      </w:r>
    </w:p>
    <w:p w14:paraId="75BEB882">
      <w:pPr>
        <w:spacing w:line="580" w:lineRule="exact"/>
        <w:ind w:firstLine="640"/>
        <w:jc w:val="both"/>
      </w:pPr>
      <w:r>
        <w:rPr>
          <w:rFonts w:ascii="仿宋_GB2312" w:hAnsi="仿宋_GB2312" w:eastAsia="仿宋_GB2312"/>
          <w:b w:val="0"/>
          <w:sz w:val="32"/>
        </w:rPr>
        <w:t>5.卫生健康支出(类)行政事业单位医疗(款)行政单位医疗(项):支出决算数为5.10万元，比上年决算增加5.10万元，增长100.00%,主要原因是：本年功能科目调整，行政单位医疗上年度在主科目列支，本年单独列支，导致经费较上年增加。</w:t>
      </w:r>
    </w:p>
    <w:p w14:paraId="1199776D">
      <w:pPr>
        <w:spacing w:line="580" w:lineRule="exact"/>
        <w:ind w:firstLine="640"/>
        <w:jc w:val="both"/>
      </w:pPr>
      <w:r>
        <w:rPr>
          <w:rFonts w:ascii="仿宋_GB2312" w:hAnsi="仿宋_GB2312" w:eastAsia="仿宋_GB2312"/>
          <w:b w:val="0"/>
          <w:sz w:val="32"/>
        </w:rPr>
        <w:t>6.卫生健康支出(类)行政事业单位医疗(款)公务员医疗补助(项):支出决算数为2.06万元，比上年决算增加2.06万元，增长100.00%,主要原因是：本年功能科目调整，公务员医疗补助上年度在主科目列支，本年单独列支，导致经费较上年增加。</w:t>
      </w:r>
    </w:p>
    <w:p w14:paraId="45CF2438">
      <w:pPr>
        <w:spacing w:line="580" w:lineRule="exact"/>
        <w:ind w:firstLine="640"/>
        <w:jc w:val="both"/>
      </w:pPr>
      <w:r>
        <w:rPr>
          <w:rFonts w:ascii="仿宋_GB2312" w:hAnsi="仿宋_GB2312" w:eastAsia="仿宋_GB2312"/>
          <w:b w:val="0"/>
          <w:sz w:val="32"/>
        </w:rPr>
        <w:t>7.住房保障支出(类)住房改革支出(款)住房公积金(项):支出决算数为9.46万元，比上年决算增加9.46万元，增长100.00%,主要原因是：本年在职人员工资基数调增，公积金缴费基数上涨，相应支出增加。</w:t>
      </w:r>
    </w:p>
    <w:p w14:paraId="087BDD16">
      <w:pPr>
        <w:spacing w:line="580" w:lineRule="exact"/>
        <w:ind w:firstLine="640"/>
        <w:jc w:val="both"/>
      </w:pPr>
      <w:r>
        <w:rPr>
          <w:rFonts w:ascii="仿宋_GB2312" w:hAnsi="仿宋_GB2312" w:eastAsia="仿宋_GB2312"/>
          <w:b w:val="0"/>
          <w:sz w:val="32"/>
        </w:rPr>
        <w:t>8.灾害防治及应急管理支出(类)应急管理事务(款)应急救援(项):支出决算数为0.00万元，比上年决算减少8.00万元，下降100.00%,主要原因是：本年减少更新档案馆消防设备经费。</w:t>
      </w:r>
    </w:p>
    <w:p w14:paraId="1C62AAB3">
      <w:pPr>
        <w:spacing w:line="580" w:lineRule="exact"/>
        <w:ind w:firstLine="640"/>
        <w:jc w:val="both"/>
      </w:pPr>
      <w:r>
        <w:rPr>
          <w:rFonts w:ascii="仿宋_GB2312" w:hAnsi="仿宋_GB2312" w:eastAsia="仿宋_GB2312"/>
          <w:b w:val="0"/>
          <w:sz w:val="32"/>
        </w:rPr>
        <w:t>9.其他支出(类)其他支出(款)其他支出(项):支出决算数为6.03万元，比上年决算增加6.03万元，增长100.00%,主要原因是：本年增加自治区为民办实事工作经费。</w:t>
      </w:r>
    </w:p>
    <w:p w14:paraId="122459FC">
      <w:pPr>
        <w:spacing w:line="640" w:lineRule="exact"/>
        <w:ind w:firstLine="640"/>
        <w:jc w:val="both"/>
        <w:outlineLvl w:val="2"/>
      </w:pPr>
      <w:r>
        <w:rPr>
          <w:rFonts w:ascii="黑体" w:hAnsi="黑体" w:eastAsia="黑体"/>
          <w:sz w:val="32"/>
        </w:rPr>
        <w:t>六、一般公共预算财政拨款基本支出决算情况说明</w:t>
      </w:r>
    </w:p>
    <w:p w14:paraId="2E5AB07F">
      <w:pPr>
        <w:spacing w:line="580" w:lineRule="exact"/>
        <w:ind w:firstLine="640"/>
        <w:jc w:val="both"/>
      </w:pPr>
      <w:r>
        <w:rPr>
          <w:rFonts w:ascii="仿宋_GB2312" w:hAnsi="仿宋_GB2312" w:eastAsia="仿宋_GB2312"/>
          <w:b w:val="0"/>
          <w:sz w:val="32"/>
        </w:rPr>
        <w:t>2024年度一般公共预算财政拨款基本支出145.75万元，其中：</w:t>
      </w:r>
      <w:r>
        <w:rPr>
          <w:rFonts w:ascii="仿宋_GB2312" w:hAnsi="仿宋_GB2312" w:eastAsia="仿宋_GB2312"/>
          <w:b/>
          <w:sz w:val="32"/>
        </w:rPr>
        <w:t>人员经费139.40万元，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包括：基本工资、津贴补贴、绩效工资、机关事业单位基本养老保险缴费、职工基本医疗保险缴费、公务员医疗补助缴费、其他社会保障缴费、住房公积金、退休费、抚恤金。</w:t>
      </w:r>
    </w:p>
    <w:p w14:paraId="3AEA7362">
      <w:pPr>
        <w:spacing w:line="580" w:lineRule="exact"/>
        <w:ind w:firstLine="640"/>
        <w:jc w:val="both"/>
      </w:pPr>
      <w:r>
        <w:rPr>
          <w:rFonts w:ascii="仿宋_GB2312" w:hAnsi="仿宋_GB2312" w:eastAsia="仿宋_GB2312"/>
          <w:b/>
          <w:sz w:val="32"/>
        </w:rPr>
        <w:t>公用经费6.34万元，</w:t>
      </w:r>
      <w:r>
        <w:rPr>
          <w:rFonts w:ascii="仿宋_GB2312" w:hAnsi="仿宋_GB2312" w:eastAsia="仿宋_GB2312"/>
          <w:b w:val="0"/>
          <w:sz w:val="32"/>
        </w:rPr>
        <w:t>包括：办公费、手续费、水费、电费、邮电费、取暖费、工会经费、专用设备购置。</w:t>
      </w:r>
    </w:p>
    <w:p w14:paraId="4A65A4FA">
      <w:pPr>
        <w:spacing w:line="640" w:lineRule="exact"/>
        <w:ind w:firstLine="640"/>
        <w:jc w:val="both"/>
        <w:outlineLvl w:val="2"/>
      </w:pPr>
      <w:r>
        <w:rPr>
          <w:rFonts w:ascii="黑体" w:hAnsi="黑体" w:eastAsia="黑体"/>
          <w:sz w:val="32"/>
        </w:rPr>
        <w:t>七、政府性基金预算财政拨款收入支出决算情况说明</w:t>
      </w:r>
    </w:p>
    <w:p w14:paraId="7FC6FDB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1579B4">
      <w:pPr>
        <w:spacing w:line="640" w:lineRule="exact"/>
        <w:ind w:firstLine="640"/>
        <w:jc w:val="both"/>
        <w:outlineLvl w:val="2"/>
      </w:pPr>
      <w:r>
        <w:rPr>
          <w:rFonts w:ascii="黑体" w:hAnsi="黑体" w:eastAsia="黑体"/>
          <w:sz w:val="32"/>
        </w:rPr>
        <w:t>八、国有资本经营预算财政拨款收入支出决算情况说明</w:t>
      </w:r>
    </w:p>
    <w:p w14:paraId="67EB0A8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0E3F88">
      <w:pPr>
        <w:spacing w:line="640" w:lineRule="exact"/>
        <w:ind w:firstLine="640"/>
        <w:jc w:val="both"/>
        <w:outlineLvl w:val="2"/>
      </w:pPr>
      <w:r>
        <w:rPr>
          <w:rFonts w:ascii="黑体" w:hAnsi="黑体" w:eastAsia="黑体"/>
          <w:sz w:val="32"/>
        </w:rPr>
        <w:t>九、财政拨款“三公”经费支出决算情况说明</w:t>
      </w:r>
    </w:p>
    <w:p w14:paraId="297CEF0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D225BB6">
      <w:pPr>
        <w:spacing w:line="580" w:lineRule="exact"/>
        <w:ind w:firstLine="640"/>
        <w:jc w:val="both"/>
      </w:pPr>
      <w:r>
        <w:rPr>
          <w:rFonts w:ascii="仿宋_GB2312" w:hAnsi="仿宋_GB2312" w:eastAsia="仿宋_GB2312"/>
          <w:b/>
          <w:sz w:val="32"/>
        </w:rPr>
        <w:t>具体情况如下：</w:t>
      </w:r>
    </w:p>
    <w:p w14:paraId="3125AA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A8491A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2D38DB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64BEE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9CF9D3B">
      <w:pPr>
        <w:spacing w:line="640" w:lineRule="exact"/>
        <w:ind w:firstLine="640"/>
        <w:jc w:val="both"/>
        <w:outlineLvl w:val="2"/>
      </w:pPr>
      <w:r>
        <w:rPr>
          <w:rFonts w:ascii="黑体" w:hAnsi="黑体" w:eastAsia="黑体"/>
          <w:sz w:val="32"/>
        </w:rPr>
        <w:t>十、其他重要事项的情况说明</w:t>
      </w:r>
    </w:p>
    <w:p w14:paraId="71788D92">
      <w:pPr>
        <w:spacing w:line="640" w:lineRule="exact"/>
        <w:ind w:firstLine="640"/>
        <w:jc w:val="both"/>
        <w:outlineLvl w:val="3"/>
      </w:pPr>
      <w:r>
        <w:rPr>
          <w:rFonts w:ascii="楷体_GB2312" w:hAnsi="楷体_GB2312" w:eastAsia="楷体_GB2312"/>
          <w:b/>
          <w:sz w:val="32"/>
        </w:rPr>
        <w:t>（一）机关运行经费及公用经费支出情况</w:t>
      </w:r>
    </w:p>
    <w:p w14:paraId="4F04152A">
      <w:pPr>
        <w:spacing w:line="580" w:lineRule="exact"/>
        <w:ind w:firstLine="640"/>
        <w:jc w:val="both"/>
      </w:pPr>
      <w:r>
        <w:rPr>
          <w:rFonts w:ascii="仿宋_GB2312" w:hAnsi="仿宋_GB2312" w:eastAsia="仿宋_GB2312"/>
          <w:b w:val="0"/>
          <w:sz w:val="32"/>
        </w:rPr>
        <w:t>2024年度洛浦县档案馆（行政单位和参照公务员法管理事业单位）机关运行经费支出6.34万元，比上年增加3.18万元，增长100.63%，主要原因是：本年业务量增加，办公费增加，机关运行经费增加。</w:t>
      </w:r>
    </w:p>
    <w:p w14:paraId="4FCE4AA1">
      <w:pPr>
        <w:spacing w:line="640" w:lineRule="exact"/>
        <w:ind w:firstLine="640"/>
        <w:jc w:val="both"/>
        <w:outlineLvl w:val="3"/>
      </w:pPr>
      <w:r>
        <w:rPr>
          <w:rFonts w:ascii="楷体_GB2312" w:hAnsi="楷体_GB2312" w:eastAsia="楷体_GB2312"/>
          <w:b/>
          <w:sz w:val="32"/>
        </w:rPr>
        <w:t>（二）政府采购情况</w:t>
      </w:r>
    </w:p>
    <w:p w14:paraId="76DDBD37">
      <w:pPr>
        <w:spacing w:line="580" w:lineRule="exact"/>
        <w:ind w:firstLine="640"/>
        <w:jc w:val="both"/>
      </w:pPr>
      <w:r>
        <w:rPr>
          <w:rFonts w:ascii="仿宋_GB2312" w:hAnsi="仿宋_GB2312" w:eastAsia="仿宋_GB2312"/>
          <w:b w:val="0"/>
          <w:sz w:val="32"/>
        </w:rPr>
        <w:t>2024年度政府采购支出总额8.34万元，其中：政府采购货物支出6.36万元、政府采购工程支出0.00万元、政府采购服务支出1.99万元。</w:t>
      </w:r>
    </w:p>
    <w:p w14:paraId="0336685D">
      <w:pPr>
        <w:spacing w:line="580" w:lineRule="exact"/>
        <w:ind w:firstLine="640"/>
        <w:jc w:val="both"/>
      </w:pPr>
      <w:r>
        <w:rPr>
          <w:rFonts w:ascii="仿宋_GB2312" w:hAnsi="仿宋_GB2312" w:eastAsia="仿宋_GB2312"/>
          <w:b w:val="0"/>
          <w:sz w:val="32"/>
        </w:rPr>
        <w:t>授予中小企业合同金额4.44万元，占政府采购支出总额的53.24%，其中：授予小微企业合同金额4.35万元，占政府采购支出总额的52.16%。</w:t>
      </w:r>
    </w:p>
    <w:p w14:paraId="20D40AE3">
      <w:pPr>
        <w:spacing w:line="640" w:lineRule="exact"/>
        <w:ind w:firstLine="640"/>
        <w:jc w:val="both"/>
        <w:outlineLvl w:val="3"/>
      </w:pPr>
      <w:r>
        <w:rPr>
          <w:rFonts w:ascii="楷体_GB2312" w:hAnsi="楷体_GB2312" w:eastAsia="楷体_GB2312"/>
          <w:b/>
          <w:sz w:val="32"/>
        </w:rPr>
        <w:t>（三）国有资产占用情况说明</w:t>
      </w:r>
    </w:p>
    <w:p w14:paraId="2EA04773">
      <w:pPr>
        <w:spacing w:line="580" w:lineRule="exact"/>
        <w:ind w:firstLine="640"/>
        <w:jc w:val="both"/>
      </w:pPr>
      <w:r>
        <w:rPr>
          <w:rFonts w:ascii="仿宋_GB2312" w:hAnsi="仿宋_GB2312" w:eastAsia="仿宋_GB2312"/>
          <w:b w:val="0"/>
          <w:sz w:val="32"/>
        </w:rPr>
        <w:t>截至2024年12月31日，房屋2,127.48平方米，价值407.41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6357C69">
      <w:pPr>
        <w:spacing w:line="640" w:lineRule="exact"/>
        <w:ind w:firstLine="640"/>
        <w:jc w:val="both"/>
        <w:outlineLvl w:val="2"/>
      </w:pPr>
      <w:r>
        <w:rPr>
          <w:rFonts w:ascii="黑体" w:hAnsi="黑体" w:eastAsia="黑体"/>
          <w:sz w:val="32"/>
        </w:rPr>
        <w:t>十一、预算绩效的情况说明</w:t>
      </w:r>
    </w:p>
    <w:p w14:paraId="7D9A611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根据预算绩效管理要求，本单位2024年度预算绩效管理形成整体支出绩效自评表1个，全年预算总额156.91万元，实际执行总额156.91万元；预算绩效评价项目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10.38</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9.88</w:t>
      </w:r>
      <w:r>
        <w:rPr>
          <w:rFonts w:ascii="仿宋_GB2312" w:hAnsi="仿宋_GB2312" w:eastAsia="仿宋_GB2312"/>
          <w:b w:val="0"/>
          <w:sz w:val="32"/>
        </w:rPr>
        <w:t>万元。预算绩效管理取得的成效：一是管理制度健全，本单位为加强预算管理，规范财务行为，制定了《洛浦县委档案馆预算绩效管理工作管理制度》，有效保障了我单位</w:t>
      </w:r>
      <w:r>
        <w:rPr>
          <w:rFonts w:hint="eastAsia" w:ascii="仿宋_GB2312" w:hAnsi="仿宋_GB2312" w:eastAsia="仿宋_GB2312"/>
          <w:b w:val="0"/>
          <w:sz w:val="32"/>
          <w:lang w:eastAsia="zh-CN"/>
        </w:rPr>
        <w:t>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资金使用合法、合规，资金的使用符合国家法规和财务管理制度；三是预算资金拨付有完整的审批程序和手续，符合项目预算批复或合同规定的用途；四是规范预算资金规范运行，不存在截留、挤占、挪用、虚列支出等情况。发现的问题及原因：一是对预算执行及绩效管理认识不足，业务能力有待提高；二是由于预算绩效管理工作开展时间短，涉及面广，专业性强，加上缺乏系统的培训，单位对预算绩效管理理解不充分，对预算绩效管理业务不精通，在一定程度上影响了绩效评价工作效率和质量。下一步改进措施：一是进一步完善公共财政体制机制，强化部门支出责任，逐步建立以绩效目标实现为导向，以绩效跟踪和绩效评价为手段，以结果应用为保障，以改进预算管理、优化资源配置、控制节约成本、提高公共产品质量和公共服务水平为目的，管理科学、运转高效的全过程预算绩效管理体系；二是着力推进预算绩效管理的</w:t>
      </w:r>
      <w:r>
        <w:rPr>
          <w:rFonts w:hint="eastAsia" w:ascii="仿宋_GB2312" w:hAnsi="仿宋_GB2312" w:eastAsia="仿宋_GB2312"/>
          <w:b w:val="0"/>
          <w:sz w:val="32"/>
          <w:lang w:eastAsia="zh-CN"/>
        </w:rPr>
        <w:t>制度化、规范化</w:t>
      </w:r>
      <w:r>
        <w:rPr>
          <w:rFonts w:ascii="仿宋_GB2312" w:hAnsi="仿宋_GB2312" w:eastAsia="仿宋_GB2312"/>
          <w:b w:val="0"/>
          <w:sz w:val="32"/>
        </w:rPr>
        <w:t>。具体附整体支出绩效自评表，项目支出绩效自评表和评价报告。</w:t>
      </w:r>
    </w:p>
    <w:p w14:paraId="420C9E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55687D">
        <w:tblPrEx>
          <w:tblCellMar>
            <w:top w:w="0" w:type="dxa"/>
            <w:left w:w="108" w:type="dxa"/>
            <w:bottom w:w="0" w:type="dxa"/>
            <w:right w:w="108" w:type="dxa"/>
          </w:tblCellMar>
        </w:tblPrEx>
        <w:tc>
          <w:tcPr>
            <w:tcW w:w="8847" w:type="dxa"/>
            <w:gridSpan w:val="9"/>
            <w:vAlign w:val="center"/>
          </w:tcPr>
          <w:p w14:paraId="71B95A0E">
            <w:pPr>
              <w:jc w:val="center"/>
            </w:pPr>
            <w:r>
              <w:rPr>
                <w:rFonts w:ascii="宋体" w:hAnsi="宋体" w:eastAsia="宋体"/>
                <w:sz w:val="24"/>
              </w:rPr>
              <w:t>单位整体支出绩效自评表</w:t>
            </w:r>
          </w:p>
        </w:tc>
      </w:tr>
      <w:tr w14:paraId="48DCA492">
        <w:tblPrEx>
          <w:tblCellMar>
            <w:top w:w="0" w:type="dxa"/>
            <w:left w:w="108" w:type="dxa"/>
            <w:bottom w:w="0" w:type="dxa"/>
            <w:right w:w="108" w:type="dxa"/>
          </w:tblCellMar>
        </w:tblPrEx>
        <w:tc>
          <w:tcPr>
            <w:tcW w:w="8847" w:type="dxa"/>
            <w:gridSpan w:val="9"/>
            <w:vAlign w:val="center"/>
          </w:tcPr>
          <w:p w14:paraId="0ACF154F">
            <w:pPr>
              <w:jc w:val="center"/>
            </w:pPr>
            <w:r>
              <w:rPr>
                <w:rFonts w:ascii="宋体" w:hAnsi="宋体" w:eastAsia="宋体"/>
                <w:sz w:val="24"/>
              </w:rPr>
              <w:t>（2024年度）</w:t>
            </w:r>
          </w:p>
        </w:tc>
      </w:tr>
      <w:tr w14:paraId="224F80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719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D081D9">
            <w:pPr>
              <w:jc w:val="center"/>
            </w:pPr>
            <w:r>
              <w:rPr>
                <w:rFonts w:ascii="宋体" w:hAnsi="宋体" w:eastAsia="宋体"/>
                <w:sz w:val="16"/>
              </w:rPr>
              <w:t>洛浦县档案馆</w:t>
            </w:r>
          </w:p>
        </w:tc>
      </w:tr>
      <w:tr w14:paraId="638D0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00D0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F8E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A8E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313C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DD32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12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25D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9AAF">
            <w:pPr>
              <w:jc w:val="center"/>
            </w:pPr>
            <w:r>
              <w:rPr>
                <w:rFonts w:ascii="宋体" w:hAnsi="宋体" w:eastAsia="宋体"/>
                <w:sz w:val="16"/>
              </w:rPr>
              <w:t>得分</w:t>
            </w:r>
          </w:p>
        </w:tc>
      </w:tr>
      <w:tr w14:paraId="6565A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182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D306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533B">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530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75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E9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C1A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5D0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F0C8">
            <w:pPr>
              <w:jc w:val="center"/>
            </w:pPr>
            <w:r>
              <w:rPr>
                <w:rFonts w:ascii="宋体" w:hAnsi="宋体" w:eastAsia="宋体"/>
                <w:sz w:val="16"/>
              </w:rPr>
              <w:t>-</w:t>
            </w:r>
          </w:p>
        </w:tc>
      </w:tr>
      <w:tr w14:paraId="5F1751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88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6B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B68B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CD14">
            <w:pPr>
              <w:jc w:val="center"/>
            </w:pPr>
            <w:r>
              <w:rPr>
                <w:rFonts w:ascii="宋体" w:hAnsi="宋体" w:eastAsia="宋体"/>
                <w:sz w:val="16"/>
              </w:rPr>
              <w:t>175.58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F668">
            <w:pPr>
              <w:jc w:val="center"/>
            </w:pPr>
            <w:r>
              <w:rPr>
                <w:rFonts w:ascii="宋体" w:hAnsi="宋体" w:eastAsia="宋体"/>
                <w:sz w:val="16"/>
              </w:rPr>
              <w:t>156.91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1373">
            <w:pPr>
              <w:jc w:val="center"/>
            </w:pPr>
            <w:r>
              <w:rPr>
                <w:rFonts w:ascii="宋体" w:hAnsi="宋体" w:eastAsia="宋体"/>
                <w:sz w:val="16"/>
              </w:rPr>
              <w:t>156.91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484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43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AEAEC">
            <w:pPr>
              <w:jc w:val="center"/>
            </w:pPr>
            <w:r>
              <w:rPr>
                <w:rFonts w:ascii="宋体" w:hAnsi="宋体" w:eastAsia="宋体"/>
                <w:sz w:val="16"/>
              </w:rPr>
              <w:t>-</w:t>
            </w:r>
          </w:p>
        </w:tc>
      </w:tr>
      <w:tr w14:paraId="39EB6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626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B5C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29ED">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AC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BF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4B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68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209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1D83">
            <w:pPr>
              <w:jc w:val="center"/>
            </w:pPr>
            <w:r>
              <w:rPr>
                <w:rFonts w:ascii="宋体" w:hAnsi="宋体" w:eastAsia="宋体"/>
                <w:sz w:val="16"/>
              </w:rPr>
              <w:t>-</w:t>
            </w:r>
          </w:p>
        </w:tc>
      </w:tr>
      <w:tr w14:paraId="5C11F0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1BF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151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73F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2635">
            <w:pPr>
              <w:jc w:val="center"/>
            </w:pPr>
            <w:r>
              <w:rPr>
                <w:rFonts w:ascii="宋体" w:hAnsi="宋体" w:eastAsia="宋体"/>
                <w:sz w:val="16"/>
              </w:rPr>
              <w:t>175.58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FBFCB">
            <w:pPr>
              <w:jc w:val="center"/>
            </w:pPr>
            <w:r>
              <w:rPr>
                <w:rFonts w:ascii="宋体" w:hAnsi="宋体" w:eastAsia="宋体"/>
                <w:sz w:val="16"/>
              </w:rPr>
              <w:t>156.91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84D8">
            <w:pPr>
              <w:jc w:val="center"/>
            </w:pPr>
            <w:r>
              <w:rPr>
                <w:rFonts w:ascii="宋体" w:hAnsi="宋体" w:eastAsia="宋体"/>
                <w:sz w:val="16"/>
              </w:rPr>
              <w:t>156.91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14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8AA7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C732F">
            <w:pPr>
              <w:jc w:val="center"/>
            </w:pPr>
            <w:r>
              <w:rPr>
                <w:rFonts w:ascii="宋体" w:hAnsi="宋体" w:eastAsia="宋体"/>
                <w:sz w:val="16"/>
              </w:rPr>
              <w:t>10</w:t>
            </w:r>
          </w:p>
        </w:tc>
      </w:tr>
      <w:tr w14:paraId="2A5979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4EDC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30B5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4CE79">
            <w:pPr>
              <w:jc w:val="center"/>
            </w:pPr>
            <w:r>
              <w:rPr>
                <w:rFonts w:ascii="宋体" w:hAnsi="宋体" w:eastAsia="宋体"/>
                <w:sz w:val="16"/>
              </w:rPr>
              <w:t>实际完成情况</w:t>
            </w:r>
          </w:p>
        </w:tc>
      </w:tr>
      <w:tr w14:paraId="48BEDF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2D09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71EAB2">
            <w:pPr>
              <w:jc w:val="both"/>
            </w:pPr>
            <w:r>
              <w:rPr>
                <w:rFonts w:ascii="宋体" w:hAnsi="宋体" w:eastAsia="宋体"/>
                <w:sz w:val="16"/>
              </w:rPr>
              <w:t xml:space="preserve">1.压实责任，加强档案安全管理：成立档案安全工作领导小组，确保馆库档案有人管， 管到位；严格按照档案馆“九防”要求，积极做好档案馆 馆库的安全措施，定期巡查，及时发现和处理安全隐患，确保档案物理安全；落实档案馆经费保障，确保档案馆人员经 费、办公经费、消防运营经费能够满足基本运转，部门年初预算执行应达到100%。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2.多样化接收，进一步丰富馆藏档案：积极推进到期档案移交进馆工作，我馆馆藏量目前在161561卷，今后，我馆馆藏档案应以每年800卷(件)的标准逐年递增。                                                                                                              3.提升服务质量，开展档案数字化工作：我馆预计对县委、县政府2个全宗自2000年以来的所有文书档案约1200卷(件)进行数字化扫描，并对全县40家单位的 到期档案进行接收，接收的档案必须全部进行数字化。此外本年度接收的主题教育专题档案数字化成果约4000件。                 4.主动作为，提升档案利用服务质量：县档案馆计划接待社会各界档案利用至少20次以上，创新档案查阅利用手段，加强查阅场所设施建设，做好档案查阅利用。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5.加强档案业务评估，提高档案人员整体素质：以档案业务评价促进档案业务人员能力的有效提升。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F4068">
            <w:pPr>
              <w:jc w:val="both"/>
            </w:pPr>
            <w:r>
              <w:rPr>
                <w:rFonts w:hint="eastAsia" w:ascii="宋体" w:hAnsi="宋体"/>
                <w:sz w:val="16"/>
                <w:lang w:eastAsia="zh-CN"/>
              </w:rPr>
              <w:t>截至</w:t>
            </w:r>
            <w:r>
              <w:rPr>
                <w:rFonts w:ascii="宋体" w:hAnsi="宋体" w:eastAsia="宋体"/>
                <w:sz w:val="16"/>
              </w:rPr>
              <w:t>2024年12月，我单位已完成档案保存201398卷，年档案数字化成果5700（卷）件，库房档案利用61次，馆藏档案递增标准16828卷（件）。通过这些业务的实施，有效提高档案人员整体素质：以档案业务评价促进档案业务人员能力的有效提升。压实责任，加强档案安全管理：成立档案安全工作领导小组，确保馆库档案有人管， 管到位；严格按照档案馆“九防”要求，积极做好档案馆 馆库的安全措施，定期巡查，及时发现和处理安全隐患，确保档案物理安全；落实档案馆经费保障，确保档案馆人员经 费、办公经费、消防运营经费能够满足基本运转。多样化接收，进一步丰富馆藏档案：积极推进到期档案移交进馆工作，提升服务质量，开展档案数字化工作，主动作为，提升档案利用服务质量：创新档案查阅利用手段，加强查阅场所设施建设，做好档案查阅利用。</w:t>
            </w:r>
          </w:p>
        </w:tc>
      </w:tr>
      <w:tr w14:paraId="52A470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48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7F3E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1B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847C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2192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F85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B65E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34160">
            <w:pPr>
              <w:jc w:val="center"/>
            </w:pPr>
            <w:r>
              <w:rPr>
                <w:rFonts w:ascii="宋体" w:hAnsi="宋体" w:eastAsia="宋体"/>
                <w:sz w:val="16"/>
              </w:rPr>
              <w:t>得分</w:t>
            </w:r>
          </w:p>
        </w:tc>
      </w:tr>
      <w:tr w14:paraId="7850C2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87F8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D5A2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59DB">
            <w:pPr>
              <w:jc w:val="center"/>
            </w:pPr>
            <w:r>
              <w:rPr>
                <w:rFonts w:ascii="宋体" w:hAnsi="宋体" w:eastAsia="宋体"/>
                <w:sz w:val="16"/>
              </w:rPr>
              <w:t>档案馆档案保存数量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FEB8">
            <w:pPr>
              <w:jc w:val="center"/>
            </w:pPr>
            <w:r>
              <w:rPr>
                <w:rFonts w:ascii="宋体" w:hAnsi="宋体" w:eastAsia="宋体"/>
                <w:sz w:val="16"/>
              </w:rPr>
              <w:t>&gt;=161561卷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65AA">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76F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E092F">
            <w:pPr>
              <w:jc w:val="center"/>
            </w:pPr>
            <w:r>
              <w:rPr>
                <w:rFonts w:ascii="宋体" w:hAnsi="宋体" w:eastAsia="宋体"/>
                <w:sz w:val="16"/>
              </w:rPr>
              <w:t>201398卷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D57C5">
            <w:pPr>
              <w:jc w:val="center"/>
            </w:pPr>
            <w:r>
              <w:rPr>
                <w:rFonts w:ascii="宋体" w:hAnsi="宋体" w:eastAsia="宋体"/>
                <w:sz w:val="16"/>
              </w:rPr>
              <w:t>15</w:t>
            </w:r>
          </w:p>
        </w:tc>
      </w:tr>
      <w:tr w14:paraId="2899C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5F7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41D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A475">
            <w:pPr>
              <w:jc w:val="center"/>
            </w:pPr>
            <w:r>
              <w:rPr>
                <w:rFonts w:ascii="宋体" w:hAnsi="宋体" w:eastAsia="宋体"/>
                <w:sz w:val="16"/>
              </w:rPr>
              <w:t>年档案数字化成果数量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C192">
            <w:pPr>
              <w:jc w:val="center"/>
            </w:pPr>
            <w:r>
              <w:rPr>
                <w:rFonts w:ascii="宋体" w:hAnsi="宋体" w:eastAsia="宋体"/>
                <w:sz w:val="16"/>
              </w:rPr>
              <w:t>&gt;=5200卷（件）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7310">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C9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EC2D9">
            <w:pPr>
              <w:jc w:val="center"/>
            </w:pPr>
            <w:r>
              <w:rPr>
                <w:rFonts w:ascii="宋体" w:hAnsi="宋体" w:eastAsia="宋体"/>
                <w:sz w:val="16"/>
              </w:rPr>
              <w:t>5700（卷）件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8AA89">
            <w:pPr>
              <w:jc w:val="center"/>
            </w:pPr>
            <w:r>
              <w:rPr>
                <w:rFonts w:ascii="宋体" w:hAnsi="宋体" w:eastAsia="宋体"/>
                <w:sz w:val="16"/>
              </w:rPr>
              <w:t>15</w:t>
            </w:r>
          </w:p>
        </w:tc>
      </w:tr>
      <w:tr w14:paraId="20313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999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466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F45B">
            <w:pPr>
              <w:jc w:val="center"/>
            </w:pPr>
            <w:r>
              <w:rPr>
                <w:rFonts w:ascii="宋体" w:hAnsi="宋体" w:eastAsia="宋体"/>
                <w:sz w:val="16"/>
              </w:rPr>
              <w:t>库房档案利用次数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70DD2">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667D">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EA0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39BBF">
            <w:pPr>
              <w:jc w:val="center"/>
            </w:pPr>
            <w:r>
              <w:rPr>
                <w:rFonts w:ascii="宋体" w:hAnsi="宋体" w:eastAsia="宋体"/>
                <w:sz w:val="16"/>
              </w:rPr>
              <w:t>61次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C6FE">
            <w:pPr>
              <w:jc w:val="center"/>
            </w:pPr>
            <w:r>
              <w:rPr>
                <w:rFonts w:ascii="宋体" w:hAnsi="宋体" w:eastAsia="宋体"/>
                <w:sz w:val="16"/>
              </w:rPr>
              <w:t>15</w:t>
            </w:r>
          </w:p>
        </w:tc>
      </w:tr>
      <w:tr w14:paraId="46DA05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9A3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DDC5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54D9A">
            <w:pPr>
              <w:jc w:val="center"/>
            </w:pPr>
            <w:r>
              <w:rPr>
                <w:rFonts w:ascii="宋体" w:hAnsi="宋体" w:eastAsia="宋体"/>
                <w:sz w:val="16"/>
              </w:rPr>
              <w:t>预算执行率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9F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66597">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79C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24A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A27B1">
            <w:pPr>
              <w:jc w:val="center"/>
            </w:pPr>
            <w:r>
              <w:rPr>
                <w:rFonts w:ascii="宋体" w:hAnsi="宋体" w:eastAsia="宋体"/>
                <w:sz w:val="16"/>
              </w:rPr>
              <w:t>15</w:t>
            </w:r>
          </w:p>
        </w:tc>
      </w:tr>
      <w:tr w14:paraId="5A0631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060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282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A4F4">
            <w:pPr>
              <w:jc w:val="center"/>
            </w:pPr>
            <w:r>
              <w:rPr>
                <w:rFonts w:ascii="宋体" w:hAnsi="宋体" w:eastAsia="宋体"/>
                <w:sz w:val="16"/>
              </w:rPr>
              <w:t>档案数字化覆盖率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004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008E">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683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98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FD3E">
            <w:pPr>
              <w:jc w:val="center"/>
            </w:pPr>
            <w:r>
              <w:rPr>
                <w:rFonts w:ascii="宋体" w:hAnsi="宋体" w:eastAsia="宋体"/>
                <w:sz w:val="16"/>
              </w:rPr>
              <w:t>15</w:t>
            </w:r>
          </w:p>
        </w:tc>
      </w:tr>
      <w:tr w14:paraId="294A3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775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93B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56ED6">
            <w:pPr>
              <w:jc w:val="center"/>
            </w:pPr>
            <w:r>
              <w:rPr>
                <w:rFonts w:ascii="宋体" w:hAnsi="宋体" w:eastAsia="宋体"/>
                <w:sz w:val="16"/>
              </w:rPr>
              <w:t>馆藏档案递增标准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60F7">
            <w:pPr>
              <w:jc w:val="center"/>
            </w:pPr>
            <w:r>
              <w:rPr>
                <w:rFonts w:ascii="宋体" w:hAnsi="宋体" w:eastAsia="宋体"/>
                <w:sz w:val="16"/>
              </w:rPr>
              <w:t>&gt;=800卷（件）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B286">
            <w:pPr>
              <w:jc w:val="center"/>
            </w:pPr>
            <w:r>
              <w:rPr>
                <w:rFonts w:ascii="宋体" w:hAnsi="宋体" w:eastAsia="宋体"/>
                <w:sz w:val="16"/>
              </w:rPr>
              <w:t>洛浦县档案馆2024年工作计划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380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11CD">
            <w:pPr>
              <w:jc w:val="center"/>
            </w:pPr>
            <w:r>
              <w:rPr>
                <w:rFonts w:ascii="宋体" w:hAnsi="宋体" w:eastAsia="宋体"/>
                <w:sz w:val="16"/>
              </w:rPr>
              <w:t>16828卷（件）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69934">
            <w:pPr>
              <w:jc w:val="center"/>
            </w:pPr>
            <w:r>
              <w:rPr>
                <w:rFonts w:ascii="宋体" w:hAnsi="宋体" w:eastAsia="宋体"/>
                <w:sz w:val="16"/>
              </w:rPr>
              <w:t>15</w:t>
            </w:r>
          </w:p>
        </w:tc>
      </w:tr>
    </w:tbl>
    <w:p w14:paraId="01D7BB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8EC59C">
        <w:tblPrEx>
          <w:tblCellMar>
            <w:top w:w="0" w:type="dxa"/>
            <w:left w:w="108" w:type="dxa"/>
            <w:bottom w:w="0" w:type="dxa"/>
            <w:right w:w="108" w:type="dxa"/>
          </w:tblCellMar>
        </w:tblPrEx>
        <w:tc>
          <w:tcPr>
            <w:tcW w:w="8847" w:type="dxa"/>
            <w:gridSpan w:val="9"/>
            <w:vAlign w:val="center"/>
          </w:tcPr>
          <w:p w14:paraId="5119B36A">
            <w:pPr>
              <w:jc w:val="center"/>
            </w:pPr>
            <w:r>
              <w:rPr>
                <w:rFonts w:ascii="宋体" w:hAnsi="宋体" w:eastAsia="宋体"/>
                <w:sz w:val="24"/>
              </w:rPr>
              <w:t>项目支出绩效自评表</w:t>
            </w:r>
          </w:p>
        </w:tc>
      </w:tr>
      <w:tr w14:paraId="2C40D4AF">
        <w:tblPrEx>
          <w:tblCellMar>
            <w:top w:w="0" w:type="dxa"/>
            <w:left w:w="108" w:type="dxa"/>
            <w:bottom w:w="0" w:type="dxa"/>
            <w:right w:w="108" w:type="dxa"/>
          </w:tblCellMar>
        </w:tblPrEx>
        <w:tc>
          <w:tcPr>
            <w:tcW w:w="8847" w:type="dxa"/>
            <w:gridSpan w:val="9"/>
            <w:vAlign w:val="center"/>
          </w:tcPr>
          <w:p w14:paraId="2BC48411">
            <w:pPr>
              <w:jc w:val="center"/>
            </w:pPr>
            <w:r>
              <w:rPr>
                <w:rFonts w:ascii="宋体" w:hAnsi="宋体" w:eastAsia="宋体"/>
                <w:sz w:val="24"/>
              </w:rPr>
              <w:t>(2024年度)</w:t>
            </w:r>
          </w:p>
        </w:tc>
      </w:tr>
      <w:tr w14:paraId="40668C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E28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8CCA4C">
            <w:pPr>
              <w:jc w:val="center"/>
            </w:pPr>
            <w:r>
              <w:rPr>
                <w:rFonts w:ascii="宋体" w:hAnsi="宋体" w:eastAsia="宋体"/>
                <w:sz w:val="16"/>
              </w:rPr>
              <w:t>档案事业费</w:t>
            </w:r>
            <w:r>
              <w:rPr>
                <w:rFonts w:hint="eastAsia" w:ascii="宋体" w:hAnsi="宋体"/>
                <w:sz w:val="16"/>
                <w:lang w:eastAsia="zh-CN"/>
              </w:rPr>
              <w:t>－</w:t>
            </w:r>
            <w:r>
              <w:rPr>
                <w:rFonts w:ascii="宋体" w:hAnsi="宋体" w:eastAsia="宋体"/>
                <w:sz w:val="16"/>
              </w:rPr>
              <w:t>档案数字化相关设备</w:t>
            </w:r>
          </w:p>
        </w:tc>
      </w:tr>
      <w:tr w14:paraId="61B015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A23F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355A90">
            <w:pPr>
              <w:jc w:val="center"/>
            </w:pPr>
            <w:r>
              <w:rPr>
                <w:rFonts w:ascii="宋体" w:hAnsi="宋体" w:eastAsia="宋体"/>
                <w:sz w:val="16"/>
              </w:rPr>
              <w:t>洛浦县档案馆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AEE2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9D432F">
            <w:pPr>
              <w:jc w:val="center"/>
            </w:pPr>
            <w:r>
              <w:rPr>
                <w:rFonts w:ascii="宋体" w:hAnsi="宋体" w:eastAsia="宋体"/>
                <w:sz w:val="16"/>
              </w:rPr>
              <w:t>洛浦县档案馆</w:t>
            </w:r>
          </w:p>
        </w:tc>
      </w:tr>
      <w:tr w14:paraId="74A6B4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9373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C93F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16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E6E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A6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1A3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B2E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419A8">
            <w:pPr>
              <w:jc w:val="center"/>
            </w:pPr>
            <w:r>
              <w:rPr>
                <w:rFonts w:ascii="宋体" w:hAnsi="宋体" w:eastAsia="宋体"/>
                <w:sz w:val="16"/>
              </w:rPr>
              <w:t>得分</w:t>
            </w:r>
          </w:p>
        </w:tc>
      </w:tr>
      <w:tr w14:paraId="4CF44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15E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A97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339C">
            <w:pPr>
              <w:jc w:val="center"/>
            </w:pPr>
            <w:r>
              <w:rPr>
                <w:rFonts w:ascii="宋体" w:hAnsi="宋体" w:eastAsia="宋体"/>
                <w:sz w:val="16"/>
              </w:rPr>
              <w:t>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9449">
            <w:pPr>
              <w:jc w:val="center"/>
            </w:pPr>
            <w:r>
              <w:rPr>
                <w:rFonts w:ascii="宋体" w:hAnsi="宋体" w:eastAsia="宋体"/>
                <w:sz w:val="16"/>
              </w:rPr>
              <w:t>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5326">
            <w:pPr>
              <w:jc w:val="center"/>
            </w:pPr>
            <w:r>
              <w:rPr>
                <w:rFonts w:ascii="宋体" w:hAnsi="宋体" w:eastAsia="宋体"/>
                <w:sz w:val="16"/>
              </w:rPr>
              <w:t>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7AD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0A76">
            <w:pPr>
              <w:jc w:val="center"/>
            </w:pPr>
            <w:r>
              <w:rPr>
                <w:rFonts w:ascii="宋体" w:hAnsi="宋体" w:eastAsia="宋体"/>
                <w:sz w:val="16"/>
              </w:rPr>
              <w:t>88.51%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DE44">
            <w:pPr>
              <w:jc w:val="center"/>
            </w:pPr>
            <w:r>
              <w:rPr>
                <w:rFonts w:ascii="宋体" w:hAnsi="宋体" w:eastAsia="宋体"/>
                <w:sz w:val="16"/>
              </w:rPr>
              <w:t>8.85</w:t>
            </w:r>
          </w:p>
        </w:tc>
      </w:tr>
      <w:tr w14:paraId="674D1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99D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D3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C24C">
            <w:pPr>
              <w:jc w:val="center"/>
            </w:pPr>
            <w:r>
              <w:rPr>
                <w:rFonts w:ascii="宋体" w:hAnsi="宋体" w:eastAsia="宋体"/>
                <w:sz w:val="16"/>
              </w:rPr>
              <w:t>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758A">
            <w:pPr>
              <w:jc w:val="center"/>
            </w:pPr>
            <w:r>
              <w:rPr>
                <w:rFonts w:ascii="宋体" w:hAnsi="宋体" w:eastAsia="宋体"/>
                <w:sz w:val="16"/>
              </w:rPr>
              <w:t>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25364">
            <w:pPr>
              <w:jc w:val="center"/>
            </w:pPr>
            <w:r>
              <w:rPr>
                <w:rFonts w:ascii="宋体" w:hAnsi="宋体" w:eastAsia="宋体"/>
                <w:sz w:val="16"/>
              </w:rPr>
              <w:t>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65D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CBA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409C">
            <w:pPr>
              <w:jc w:val="center"/>
            </w:pPr>
            <w:r>
              <w:rPr>
                <w:rFonts w:ascii="宋体" w:hAnsi="宋体" w:eastAsia="宋体"/>
                <w:sz w:val="16"/>
              </w:rPr>
              <w:t>—</w:t>
            </w:r>
          </w:p>
        </w:tc>
      </w:tr>
      <w:tr w14:paraId="3705E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368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3539">
            <w:pPr>
              <w:jc w:val="center"/>
            </w:pPr>
            <w:r>
              <w:rPr>
                <w:rFonts w:ascii="宋体" w:hAnsi="宋体" w:eastAsia="宋体"/>
                <w:sz w:val="16"/>
              </w:rPr>
              <w:t>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2705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29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A7D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86F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584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06285">
            <w:pPr>
              <w:jc w:val="center"/>
            </w:pPr>
            <w:r>
              <w:rPr>
                <w:rFonts w:ascii="宋体" w:hAnsi="宋体" w:eastAsia="宋体"/>
                <w:sz w:val="16"/>
              </w:rPr>
              <w:t>—</w:t>
            </w:r>
          </w:p>
        </w:tc>
      </w:tr>
      <w:tr w14:paraId="3B9A0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90D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5F2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79A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02D2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83A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91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DA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B620">
            <w:pPr>
              <w:jc w:val="center"/>
            </w:pPr>
            <w:r>
              <w:rPr>
                <w:rFonts w:ascii="宋体" w:hAnsi="宋体" w:eastAsia="宋体"/>
                <w:sz w:val="16"/>
              </w:rPr>
              <w:t>—</w:t>
            </w:r>
          </w:p>
        </w:tc>
      </w:tr>
      <w:tr w14:paraId="030ACE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786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230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7F33E">
            <w:pPr>
              <w:jc w:val="center"/>
            </w:pPr>
            <w:r>
              <w:rPr>
                <w:rFonts w:ascii="宋体" w:hAnsi="宋体" w:eastAsia="宋体"/>
                <w:sz w:val="16"/>
              </w:rPr>
              <w:t>实际完成情况</w:t>
            </w:r>
          </w:p>
        </w:tc>
      </w:tr>
      <w:tr w14:paraId="7713B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220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2EDF41">
            <w:pPr>
              <w:jc w:val="both"/>
            </w:pPr>
            <w:r>
              <w:rPr>
                <w:rFonts w:ascii="宋体" w:hAnsi="宋体" w:eastAsia="宋体"/>
                <w:sz w:val="16"/>
              </w:rPr>
              <w:t>根据档案</w:t>
            </w:r>
            <w:r>
              <w:rPr>
                <w:rFonts w:hint="eastAsia" w:ascii="宋体" w:hAnsi="宋体"/>
                <w:sz w:val="16"/>
                <w:lang w:eastAsia="zh-CN"/>
              </w:rPr>
              <w:t>“十四五”发展规划</w:t>
            </w:r>
            <w:r>
              <w:rPr>
                <w:rFonts w:ascii="宋体" w:hAnsi="宋体" w:eastAsia="宋体"/>
                <w:sz w:val="16"/>
              </w:rPr>
              <w:t>，全面推行档案数字化，我馆档案事业费</w:t>
            </w:r>
            <w:r>
              <w:rPr>
                <w:rFonts w:hint="eastAsia" w:ascii="宋体" w:hAnsi="宋体"/>
                <w:sz w:val="16"/>
                <w:lang w:eastAsia="zh-CN"/>
              </w:rPr>
              <w:t>－</w:t>
            </w:r>
            <w:r>
              <w:rPr>
                <w:rFonts w:ascii="宋体" w:hAnsi="宋体" w:eastAsia="宋体"/>
                <w:sz w:val="16"/>
              </w:rPr>
              <w:t>档案数字化相关设备年度预算4.35万元，拟采购档案存储器1台，价值3.85万元扫描仪1台，价值0.5万元，以满足档案数字化存储需求，确保档案数据存储安全，实现档案信息的交互和有效利用。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B9ACF">
            <w:pPr>
              <w:jc w:val="both"/>
            </w:pPr>
            <w:r>
              <w:rPr>
                <w:rFonts w:hint="eastAsia" w:ascii="宋体" w:hAnsi="宋体"/>
                <w:sz w:val="16"/>
                <w:lang w:eastAsia="zh-CN"/>
              </w:rPr>
              <w:t>截至</w:t>
            </w:r>
            <w:r>
              <w:rPr>
                <w:rFonts w:ascii="宋体" w:hAnsi="宋体" w:eastAsia="宋体"/>
                <w:sz w:val="16"/>
              </w:rPr>
              <w:t>2024年12月31日，我馆档案事业费</w:t>
            </w:r>
            <w:r>
              <w:rPr>
                <w:rFonts w:hint="eastAsia" w:ascii="宋体" w:hAnsi="宋体"/>
                <w:sz w:val="16"/>
                <w:lang w:eastAsia="zh-CN"/>
              </w:rPr>
              <w:t>－</w:t>
            </w:r>
            <w:r>
              <w:rPr>
                <w:rFonts w:ascii="宋体" w:hAnsi="宋体" w:eastAsia="宋体"/>
                <w:sz w:val="16"/>
              </w:rPr>
              <w:t>档案数字化相关设备年度预算4.35万元，实际执行3.85万元，项目剩余0.5万元结转至2025年使用。该项目计划拟采购档案存储器1台，价值3.85万元；资金扫描仪1台，价值0.5万元；截至目前档案扫描仪因超出配额标准限额，未予通过采购审批。该项目实施满足档案数字化存储需求，确保档案数据存储安全，实现档案信息的交互和有效利用。</w:t>
            </w:r>
          </w:p>
        </w:tc>
      </w:tr>
      <w:tr w14:paraId="035009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508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3C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02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487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0BF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CD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AA1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6201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81A1C">
            <w:pPr>
              <w:jc w:val="center"/>
            </w:pPr>
            <w:r>
              <w:rPr>
                <w:rFonts w:ascii="宋体" w:hAnsi="宋体" w:eastAsia="宋体"/>
                <w:sz w:val="16"/>
              </w:rPr>
              <w:t>偏差原因分析及改进措施</w:t>
            </w:r>
          </w:p>
        </w:tc>
      </w:tr>
      <w:tr w14:paraId="635443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273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8FED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109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3FF68">
            <w:pPr>
              <w:jc w:val="center"/>
            </w:pPr>
            <w:r>
              <w:rPr>
                <w:rFonts w:ascii="宋体" w:hAnsi="宋体" w:eastAsia="宋体"/>
                <w:sz w:val="16"/>
              </w:rPr>
              <w:t>存储服务器数量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1D9F">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1A54A">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01F4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0DE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7F3E">
            <w:pPr>
              <w:jc w:val="center"/>
            </w:pPr>
          </w:p>
        </w:tc>
      </w:tr>
      <w:tr w14:paraId="46A5B7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905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6C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55F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965A">
            <w:pPr>
              <w:jc w:val="center"/>
            </w:pPr>
            <w:r>
              <w:rPr>
                <w:rFonts w:ascii="宋体" w:hAnsi="宋体" w:eastAsia="宋体"/>
                <w:sz w:val="16"/>
              </w:rPr>
              <w:t>档案扫描仪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B3C70">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D93EC">
            <w:pPr>
              <w:jc w:val="center"/>
            </w:pPr>
            <w:r>
              <w:rPr>
                <w:rFonts w:ascii="宋体" w:hAnsi="宋体" w:eastAsia="宋体"/>
                <w:sz w:val="16"/>
              </w:rPr>
              <w:t>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960D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7374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886F">
            <w:pPr>
              <w:jc w:val="center"/>
            </w:pPr>
            <w:r>
              <w:rPr>
                <w:rFonts w:ascii="宋体" w:hAnsi="宋体" w:eastAsia="宋体"/>
                <w:sz w:val="16"/>
              </w:rPr>
              <w:t>原因：超出配额标准限额，未予通过采购审批</w:t>
            </w:r>
            <w:r>
              <w:rPr>
                <w:rFonts w:ascii="宋体" w:hAnsi="宋体" w:eastAsia="宋体"/>
                <w:sz w:val="16"/>
              </w:rPr>
              <w:br w:type="textWrapping"/>
            </w:r>
            <w:r>
              <w:rPr>
                <w:rFonts w:ascii="宋体" w:hAnsi="宋体" w:eastAsia="宋体"/>
                <w:sz w:val="16"/>
              </w:rPr>
              <w:t>改进措施：调整采购产品型号，严格按照采购标准进行采购</w:t>
            </w:r>
          </w:p>
        </w:tc>
      </w:tr>
      <w:tr w14:paraId="179E14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5B8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9B2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DEE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5D0B">
            <w:pPr>
              <w:jc w:val="center"/>
            </w:pPr>
            <w:r>
              <w:rPr>
                <w:rFonts w:ascii="宋体" w:hAnsi="宋体" w:eastAsia="宋体"/>
                <w:sz w:val="16"/>
              </w:rPr>
              <w:t>购置产品验收合格率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E07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F85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939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F16A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E42BF">
            <w:pPr>
              <w:jc w:val="center"/>
            </w:pPr>
          </w:p>
        </w:tc>
      </w:tr>
      <w:tr w14:paraId="228450A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FFB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5A5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AE5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9BA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77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C2D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5FCC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581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4FCD">
            <w:pPr>
              <w:jc w:val="center"/>
            </w:pPr>
          </w:p>
        </w:tc>
      </w:tr>
      <w:tr w14:paraId="74F29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8FB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1E6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CD3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2D48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769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A31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2E4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2F8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83DD3">
            <w:pPr>
              <w:jc w:val="center"/>
            </w:pPr>
          </w:p>
        </w:tc>
      </w:tr>
      <w:tr w14:paraId="093E3A6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2C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0C7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16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E754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609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EA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72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5D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CB2A2">
            <w:pPr>
              <w:jc w:val="center"/>
            </w:pPr>
          </w:p>
        </w:tc>
      </w:tr>
      <w:tr w14:paraId="3E11BC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7F9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9DA8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FDFA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7210">
            <w:pPr>
              <w:jc w:val="center"/>
            </w:pPr>
            <w:r>
              <w:rPr>
                <w:rFonts w:ascii="宋体" w:hAnsi="宋体" w:eastAsia="宋体"/>
                <w:sz w:val="16"/>
              </w:rPr>
              <w:t>档案存储服务器及安装成本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393E">
            <w:pPr>
              <w:jc w:val="center"/>
            </w:pPr>
            <w:r>
              <w:rPr>
                <w:rFonts w:ascii="宋体" w:hAnsi="宋体" w:eastAsia="宋体"/>
                <w:sz w:val="16"/>
              </w:rPr>
              <w:t>≤3.85万元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27F00">
            <w:pPr>
              <w:jc w:val="center"/>
            </w:pPr>
            <w:r>
              <w:rPr>
                <w:rFonts w:ascii="宋体" w:hAnsi="宋体" w:eastAsia="宋体"/>
                <w:sz w:val="16"/>
              </w:rPr>
              <w:t>3.85万元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61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C1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26486">
            <w:pPr>
              <w:jc w:val="center"/>
            </w:pPr>
          </w:p>
        </w:tc>
      </w:tr>
      <w:tr w14:paraId="3C940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423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3BF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222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33D75">
            <w:pPr>
              <w:jc w:val="center"/>
            </w:pPr>
            <w:r>
              <w:rPr>
                <w:rFonts w:ascii="宋体" w:hAnsi="宋体" w:eastAsia="宋体"/>
                <w:sz w:val="16"/>
              </w:rPr>
              <w:t>档案扫描仪成本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6328">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A1D9D">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A3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985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79EB3">
            <w:pPr>
              <w:jc w:val="center"/>
            </w:pPr>
          </w:p>
        </w:tc>
      </w:tr>
      <w:tr w14:paraId="23733E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209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9E5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76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9D409">
            <w:pPr>
              <w:jc w:val="center"/>
            </w:pPr>
            <w:r>
              <w:rPr>
                <w:rFonts w:ascii="宋体" w:hAnsi="宋体" w:eastAsia="宋体"/>
                <w:sz w:val="16"/>
              </w:rPr>
              <w:t>确保档案数据存储安全，实现档案信息的交互和有效利用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BAA3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F192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27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4C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447AA">
            <w:pPr>
              <w:jc w:val="center"/>
            </w:pPr>
          </w:p>
        </w:tc>
      </w:tr>
      <w:tr w14:paraId="0C0B10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0F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71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73D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CF2D">
            <w:pPr>
              <w:jc w:val="center"/>
            </w:pPr>
            <w:r>
              <w:rPr>
                <w:rFonts w:ascii="宋体" w:hAnsi="宋体" w:eastAsia="宋体"/>
                <w:sz w:val="16"/>
              </w:rPr>
              <w:t>受益工作人员满意度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A6D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C8B36">
            <w:pPr>
              <w:jc w:val="center"/>
            </w:pPr>
            <w:r>
              <w:rPr>
                <w:rFonts w:ascii="宋体" w:hAnsi="宋体" w:eastAsia="宋体"/>
                <w:sz w:val="16"/>
              </w:rPr>
              <w:t>96.67%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12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7A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2C7A">
            <w:pPr>
              <w:jc w:val="center"/>
            </w:pPr>
          </w:p>
        </w:tc>
      </w:tr>
      <w:tr w14:paraId="425D468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1A27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25B3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48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55D9">
            <w:pPr>
              <w:jc w:val="center"/>
            </w:pPr>
            <w:r>
              <w:rPr>
                <w:rFonts w:ascii="宋体" w:hAnsi="宋体" w:eastAsia="宋体"/>
                <w:sz w:val="16"/>
              </w:rPr>
              <w:t xml:space="preserve">91.85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7EF985"/>
        </w:tc>
      </w:tr>
    </w:tbl>
    <w:p w14:paraId="54631C72">
      <w:r>
        <w:br w:type="page"/>
      </w:r>
    </w:p>
    <w:p w14:paraId="0092159F">
      <w:pPr>
        <w:spacing w:line="640" w:lineRule="exact"/>
        <w:ind w:firstLine="640"/>
        <w:jc w:val="both"/>
        <w:outlineLvl w:val="2"/>
      </w:pPr>
      <w:r>
        <w:rPr>
          <w:rFonts w:ascii="黑体" w:hAnsi="黑体" w:eastAsia="黑体"/>
          <w:sz w:val="32"/>
        </w:rPr>
        <w:t>十二、其他需说明的事项</w:t>
      </w:r>
    </w:p>
    <w:p w14:paraId="1D7A89B0">
      <w:pPr>
        <w:spacing w:line="580" w:lineRule="exact"/>
        <w:ind w:firstLine="640"/>
        <w:jc w:val="both"/>
      </w:pPr>
      <w:r>
        <w:rPr>
          <w:rFonts w:ascii="仿宋_GB2312" w:hAnsi="仿宋_GB2312" w:eastAsia="仿宋_GB2312"/>
          <w:b w:val="0"/>
          <w:sz w:val="32"/>
        </w:rPr>
        <w:t>本年本单位SM项目1个，全年预算数6.03万元，全年执行数6.03万元。</w:t>
      </w:r>
    </w:p>
    <w:p w14:paraId="441CB5B2">
      <w:r>
        <w:br w:type="page"/>
      </w:r>
    </w:p>
    <w:p w14:paraId="6A8707A3">
      <w:pPr>
        <w:spacing w:line="240" w:lineRule="auto"/>
        <w:jc w:val="center"/>
        <w:outlineLvl w:val="1"/>
      </w:pPr>
      <w:r>
        <w:rPr>
          <w:rFonts w:ascii="黑体" w:hAnsi="黑体" w:eastAsia="黑体"/>
          <w:sz w:val="32"/>
        </w:rPr>
        <w:t>第三部分 专业名词解释</w:t>
      </w:r>
    </w:p>
    <w:p w14:paraId="2B9749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5E747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07653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F3047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8A6A7E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864C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428C169">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41D4D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A56F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CB25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0BB84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7E8B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4EBBA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C4EE4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028094">
      <w:r>
        <w:br w:type="page"/>
      </w:r>
    </w:p>
    <w:p w14:paraId="02585F94">
      <w:pPr>
        <w:spacing w:line="240" w:lineRule="auto"/>
        <w:jc w:val="center"/>
        <w:outlineLvl w:val="1"/>
      </w:pPr>
      <w:r>
        <w:rPr>
          <w:rFonts w:ascii="黑体" w:hAnsi="黑体" w:eastAsia="黑体"/>
          <w:sz w:val="32"/>
        </w:rPr>
        <w:t>第四部分 部门决算报表（见附表）</w:t>
      </w:r>
    </w:p>
    <w:p w14:paraId="7C59C694">
      <w:pPr>
        <w:spacing w:line="240" w:lineRule="auto"/>
        <w:ind w:firstLine="640"/>
        <w:jc w:val="both"/>
      </w:pPr>
      <w:r>
        <w:rPr>
          <w:rFonts w:ascii="仿宋_GB2312" w:hAnsi="仿宋_GB2312" w:eastAsia="仿宋_GB2312"/>
          <w:b w:val="0"/>
          <w:sz w:val="32"/>
        </w:rPr>
        <w:t>一、《收入支出决算总表》</w:t>
      </w:r>
    </w:p>
    <w:p w14:paraId="1F29DB4B">
      <w:pPr>
        <w:spacing w:line="240" w:lineRule="auto"/>
        <w:ind w:firstLine="640"/>
        <w:jc w:val="both"/>
      </w:pPr>
      <w:r>
        <w:rPr>
          <w:rFonts w:ascii="仿宋_GB2312" w:hAnsi="仿宋_GB2312" w:eastAsia="仿宋_GB2312"/>
          <w:b w:val="0"/>
          <w:sz w:val="32"/>
        </w:rPr>
        <w:t>二、《收入决算表》</w:t>
      </w:r>
    </w:p>
    <w:p w14:paraId="30C2D79D">
      <w:pPr>
        <w:spacing w:line="240" w:lineRule="auto"/>
        <w:ind w:firstLine="640"/>
        <w:jc w:val="both"/>
      </w:pPr>
      <w:r>
        <w:rPr>
          <w:rFonts w:ascii="仿宋_GB2312" w:hAnsi="仿宋_GB2312" w:eastAsia="仿宋_GB2312"/>
          <w:b w:val="0"/>
          <w:sz w:val="32"/>
        </w:rPr>
        <w:t>三、《支出决算表》</w:t>
      </w:r>
    </w:p>
    <w:p w14:paraId="6A0AF078">
      <w:pPr>
        <w:spacing w:line="240" w:lineRule="auto"/>
        <w:ind w:firstLine="640"/>
        <w:jc w:val="both"/>
      </w:pPr>
      <w:r>
        <w:rPr>
          <w:rFonts w:ascii="仿宋_GB2312" w:hAnsi="仿宋_GB2312" w:eastAsia="仿宋_GB2312"/>
          <w:b w:val="0"/>
          <w:sz w:val="32"/>
        </w:rPr>
        <w:t>四、《财政拨款收入支出决算总表》</w:t>
      </w:r>
    </w:p>
    <w:p w14:paraId="1D64B470">
      <w:pPr>
        <w:spacing w:line="240" w:lineRule="auto"/>
        <w:ind w:firstLine="640"/>
        <w:jc w:val="both"/>
      </w:pPr>
      <w:r>
        <w:rPr>
          <w:rFonts w:ascii="仿宋_GB2312" w:hAnsi="仿宋_GB2312" w:eastAsia="仿宋_GB2312"/>
          <w:b w:val="0"/>
          <w:sz w:val="32"/>
        </w:rPr>
        <w:t>五、《一般公共预算财政拨款支出决算表》</w:t>
      </w:r>
    </w:p>
    <w:p w14:paraId="0170775B">
      <w:pPr>
        <w:spacing w:line="240" w:lineRule="auto"/>
        <w:ind w:firstLine="640"/>
        <w:jc w:val="both"/>
      </w:pPr>
      <w:r>
        <w:rPr>
          <w:rFonts w:ascii="仿宋_GB2312" w:hAnsi="仿宋_GB2312" w:eastAsia="仿宋_GB2312"/>
          <w:b w:val="0"/>
          <w:sz w:val="32"/>
        </w:rPr>
        <w:t>六、《一般公共预算财政拨款基本支出决算表》</w:t>
      </w:r>
    </w:p>
    <w:p w14:paraId="533C75B8">
      <w:pPr>
        <w:spacing w:line="240" w:lineRule="auto"/>
        <w:ind w:firstLine="640"/>
        <w:jc w:val="both"/>
      </w:pPr>
      <w:r>
        <w:rPr>
          <w:rFonts w:ascii="仿宋_GB2312" w:hAnsi="仿宋_GB2312" w:eastAsia="仿宋_GB2312"/>
          <w:b w:val="0"/>
          <w:sz w:val="32"/>
        </w:rPr>
        <w:t>七、《政府性基金预算财政拨款收入支出决算表》</w:t>
      </w:r>
    </w:p>
    <w:p w14:paraId="1DD62F36">
      <w:pPr>
        <w:spacing w:line="240" w:lineRule="auto"/>
        <w:ind w:firstLine="640"/>
        <w:jc w:val="both"/>
      </w:pPr>
      <w:r>
        <w:rPr>
          <w:rFonts w:ascii="仿宋_GB2312" w:hAnsi="仿宋_GB2312" w:eastAsia="仿宋_GB2312"/>
          <w:b w:val="0"/>
          <w:sz w:val="32"/>
        </w:rPr>
        <w:t>八、《国有资本经营预算财政拨款收入支出决算表》</w:t>
      </w:r>
    </w:p>
    <w:p w14:paraId="2BE3731B">
      <w:pPr>
        <w:spacing w:line="240" w:lineRule="auto"/>
        <w:ind w:firstLine="640"/>
        <w:jc w:val="both"/>
      </w:pPr>
      <w:r>
        <w:rPr>
          <w:rFonts w:ascii="仿宋_GB2312" w:hAnsi="仿宋_GB2312" w:eastAsia="仿宋_GB2312"/>
          <w:b w:val="0"/>
          <w:sz w:val="32"/>
        </w:rPr>
        <w:t>九、《财政拨款“三公”经费支出决算表》</w:t>
      </w:r>
    </w:p>
    <w:p w14:paraId="31DF2201">
      <w:pPr>
        <w:spacing w:line="240" w:lineRule="auto"/>
        <w:ind w:firstLine="640"/>
        <w:jc w:val="both"/>
      </w:pPr>
    </w:p>
    <w:p w14:paraId="19E13289">
      <w:pPr>
        <w:spacing w:line="240" w:lineRule="auto"/>
        <w:ind w:firstLine="640"/>
        <w:jc w:val="both"/>
      </w:pPr>
    </w:p>
    <w:p w14:paraId="1F528BBC">
      <w:pPr>
        <w:spacing w:line="240" w:lineRule="auto"/>
        <w:ind w:firstLine="640"/>
        <w:jc w:val="both"/>
      </w:pPr>
    </w:p>
    <w:p w14:paraId="0AA6F03D">
      <w:pPr>
        <w:spacing w:line="240" w:lineRule="auto"/>
        <w:ind w:firstLine="640"/>
        <w:jc w:val="both"/>
      </w:pPr>
    </w:p>
    <w:p w14:paraId="4E3B344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E01DEC"/>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CF129D"/>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4806</Words>
  <Characters>5475</Characters>
  <Lines>0</Lines>
  <Paragraphs>0</Paragraphs>
  <TotalTime>7</TotalTime>
  <ScaleCrop>false</ScaleCrop>
  <LinksUpToDate>false</LinksUpToDate>
  <CharactersWithSpaces>5483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