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08FC6C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洛浦县杭桂镇第二一贯制学校</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165B106">
      <w:r>
        <w:br w:type="page"/>
      </w:r>
    </w:p>
    <w:p w14:paraId="77538BAB">
      <w:pPr>
        <w:spacing w:line="640" w:lineRule="exact"/>
        <w:jc w:val="center"/>
        <w:outlineLvl w:val="1"/>
      </w:pPr>
      <w:r>
        <w:rPr>
          <w:rFonts w:ascii="黑体" w:hAnsi="黑体" w:eastAsia="黑体"/>
          <w:sz w:val="32"/>
        </w:rPr>
        <w:t>第一部分 单位概况</w:t>
      </w:r>
    </w:p>
    <w:p w14:paraId="45A40A38">
      <w:pPr>
        <w:spacing w:line="640" w:lineRule="exact"/>
        <w:ind w:firstLine="640"/>
        <w:jc w:val="both"/>
        <w:outlineLvl w:val="2"/>
      </w:pPr>
      <w:r>
        <w:rPr>
          <w:rFonts w:ascii="黑体" w:hAnsi="黑体" w:eastAsia="黑体"/>
          <w:sz w:val="32"/>
        </w:rPr>
        <w:t>一、主要职能</w:t>
      </w:r>
    </w:p>
    <w:p w14:paraId="3C35EB2A">
      <w:pPr>
        <w:spacing w:line="580" w:lineRule="exact"/>
        <w:ind w:firstLine="640"/>
        <w:jc w:val="both"/>
      </w:pPr>
      <w:r>
        <w:rPr>
          <w:rFonts w:ascii="仿宋_GB2312" w:hAnsi="仿宋_GB2312" w:eastAsia="仿宋_GB2312"/>
          <w:sz w:val="32"/>
        </w:rPr>
        <w:t>1.开展教育教学，传授知识与技能，培养学生良好品德。</w:t>
      </w:r>
    </w:p>
    <w:p w14:paraId="15BBAD98">
      <w:pPr>
        <w:spacing w:line="580" w:lineRule="exact"/>
        <w:ind w:firstLine="640"/>
        <w:jc w:val="both"/>
      </w:pPr>
      <w:r>
        <w:rPr>
          <w:rFonts w:ascii="仿宋_GB2312" w:hAnsi="仿宋_GB2312" w:eastAsia="仿宋_GB2312"/>
          <w:sz w:val="32"/>
        </w:rPr>
        <w:t>2.进行学生管理，包括日常考勤、学业指导和心理辅导。</w:t>
      </w:r>
    </w:p>
    <w:p w14:paraId="0CA385FB">
      <w:pPr>
        <w:spacing w:line="580" w:lineRule="exact"/>
        <w:ind w:firstLine="640"/>
        <w:jc w:val="both"/>
      </w:pPr>
      <w:r>
        <w:rPr>
          <w:rFonts w:ascii="仿宋_GB2312" w:hAnsi="仿宋_GB2312" w:eastAsia="仿宋_GB2312"/>
          <w:sz w:val="32"/>
        </w:rPr>
        <w:t>3.加强师资建设，组织教师培训和教学研究。</w:t>
      </w:r>
    </w:p>
    <w:p w14:paraId="4805F9CB">
      <w:pPr>
        <w:spacing w:line="580" w:lineRule="exact"/>
        <w:ind w:firstLine="640"/>
        <w:jc w:val="both"/>
      </w:pPr>
      <w:r>
        <w:rPr>
          <w:rFonts w:ascii="仿宋_GB2312" w:hAnsi="仿宋_GB2312" w:eastAsia="仿宋_GB2312"/>
          <w:sz w:val="32"/>
        </w:rPr>
        <w:t>4.促进家校合作，搭建沟通桥梁，共同育人。</w:t>
      </w:r>
    </w:p>
    <w:p w14:paraId="2DAB3E5F">
      <w:pPr>
        <w:spacing w:line="640" w:lineRule="exact"/>
        <w:ind w:firstLine="640"/>
        <w:jc w:val="both"/>
        <w:outlineLvl w:val="2"/>
      </w:pPr>
      <w:r>
        <w:rPr>
          <w:rFonts w:ascii="黑体" w:hAnsi="黑体" w:eastAsia="黑体"/>
          <w:sz w:val="32"/>
        </w:rPr>
        <w:t>二、机构设置及人员情况</w:t>
      </w:r>
    </w:p>
    <w:p w14:paraId="0D857273">
      <w:pPr>
        <w:spacing w:line="580" w:lineRule="exact"/>
        <w:ind w:firstLine="640"/>
        <w:jc w:val="both"/>
      </w:pPr>
      <w:r>
        <w:rPr>
          <w:rFonts w:ascii="仿宋_GB2312" w:hAnsi="仿宋_GB2312" w:eastAsia="仿宋_GB2312"/>
          <w:sz w:val="32"/>
        </w:rPr>
        <w:t>洛浦县杭桂镇第二一贯制学校2024年度，实有人数10人，其中：在职人员10人，增加0人；离休人员0人，增加0人；退休人员0人,增加0人。</w:t>
      </w:r>
    </w:p>
    <w:p w14:paraId="67D785FE">
      <w:pPr>
        <w:spacing w:line="580" w:lineRule="exact"/>
        <w:ind w:firstLine="640"/>
        <w:jc w:val="both"/>
      </w:pPr>
      <w:r>
        <w:rPr>
          <w:rFonts w:ascii="仿宋_GB2312" w:hAnsi="仿宋_GB2312" w:eastAsia="仿宋_GB2312"/>
          <w:sz w:val="32"/>
        </w:rPr>
        <w:t>洛浦县杭桂镇第二一贯制学校无下属预算单位，下设1个科室，分别是：总务室。</w:t>
      </w:r>
    </w:p>
    <w:p w14:paraId="3F3C7369">
      <w:r>
        <w:br w:type="page"/>
      </w:r>
    </w:p>
    <w:p w14:paraId="7648C2CB">
      <w:pPr>
        <w:spacing w:line="240" w:lineRule="auto"/>
        <w:jc w:val="center"/>
        <w:outlineLvl w:val="1"/>
      </w:pPr>
      <w:r>
        <w:rPr>
          <w:rFonts w:ascii="黑体" w:hAnsi="黑体" w:eastAsia="黑体"/>
          <w:sz w:val="32"/>
        </w:rPr>
        <w:t>第二部分 部门决算情况说明</w:t>
      </w:r>
    </w:p>
    <w:p w14:paraId="7F0F9F2E">
      <w:pPr>
        <w:spacing w:line="640" w:lineRule="exact"/>
        <w:ind w:firstLine="640"/>
        <w:jc w:val="both"/>
        <w:outlineLvl w:val="2"/>
      </w:pPr>
      <w:r>
        <w:rPr>
          <w:rFonts w:ascii="黑体" w:hAnsi="黑体" w:eastAsia="黑体"/>
          <w:sz w:val="32"/>
        </w:rPr>
        <w:t>一、收入支出决算总体情况说明</w:t>
      </w:r>
    </w:p>
    <w:p w14:paraId="0110C2FF">
      <w:pPr>
        <w:spacing w:line="580" w:lineRule="exact"/>
        <w:ind w:firstLine="640"/>
        <w:jc w:val="both"/>
      </w:pPr>
      <w:r>
        <w:rPr>
          <w:rFonts w:ascii="仿宋_GB2312" w:hAnsi="仿宋_GB2312" w:eastAsia="仿宋_GB2312"/>
          <w:b/>
          <w:sz w:val="32"/>
        </w:rPr>
        <w:t>2024年度收入总计203.52万元，</w:t>
      </w:r>
      <w:r>
        <w:rPr>
          <w:rFonts w:ascii="仿宋_GB2312" w:hAnsi="仿宋_GB2312" w:eastAsia="仿宋_GB2312"/>
          <w:b w:val="0"/>
          <w:sz w:val="32"/>
        </w:rPr>
        <w:t>其中：本年收入合计203.52万元，使用非财政拨款结余（含专用结余）0.00万元，年初结转和结余0.00万元。</w:t>
      </w:r>
    </w:p>
    <w:p w14:paraId="009D6FE7">
      <w:pPr>
        <w:spacing w:line="580" w:lineRule="exact"/>
        <w:ind w:firstLine="640"/>
        <w:jc w:val="both"/>
      </w:pPr>
      <w:r>
        <w:rPr>
          <w:rFonts w:ascii="仿宋_GB2312" w:hAnsi="仿宋_GB2312" w:eastAsia="仿宋_GB2312"/>
          <w:b/>
          <w:sz w:val="32"/>
        </w:rPr>
        <w:t>2024年度支出总计203.52万元，</w:t>
      </w:r>
      <w:r>
        <w:rPr>
          <w:rFonts w:ascii="仿宋_GB2312" w:hAnsi="仿宋_GB2312" w:eastAsia="仿宋_GB2312"/>
          <w:b w:val="0"/>
          <w:sz w:val="32"/>
        </w:rPr>
        <w:t>其中：本年支出合计203.52万元，结余分配0.00万元，年末结转和结余0.00万元。</w:t>
      </w:r>
    </w:p>
    <w:p w14:paraId="6486CD8E">
      <w:pPr>
        <w:spacing w:line="580" w:lineRule="exact"/>
        <w:ind w:firstLine="640"/>
        <w:jc w:val="both"/>
      </w:pPr>
      <w:r>
        <w:rPr>
          <w:rFonts w:ascii="仿宋_GB2312" w:hAnsi="仿宋_GB2312" w:eastAsia="仿宋_GB2312"/>
          <w:b w:val="0"/>
          <w:sz w:val="32"/>
        </w:rPr>
        <w:t>收入支出总体与上年相比，增加3.71万元，增长1.86%，主要原因是：本年在职人员工资调增，社保、公积金基数调增，人员经费增加。</w:t>
      </w:r>
    </w:p>
    <w:p w14:paraId="3B844379">
      <w:pPr>
        <w:spacing w:line="640" w:lineRule="exact"/>
        <w:ind w:firstLine="640"/>
        <w:jc w:val="both"/>
        <w:outlineLvl w:val="2"/>
      </w:pPr>
      <w:r>
        <w:rPr>
          <w:rFonts w:ascii="黑体" w:hAnsi="黑体" w:eastAsia="黑体"/>
          <w:sz w:val="32"/>
        </w:rPr>
        <w:t>二、收入决算情况说明</w:t>
      </w:r>
    </w:p>
    <w:p w14:paraId="3204B101">
      <w:pPr>
        <w:spacing w:line="580" w:lineRule="exact"/>
        <w:ind w:firstLine="640"/>
        <w:jc w:val="both"/>
      </w:pPr>
      <w:r>
        <w:rPr>
          <w:rFonts w:ascii="仿宋_GB2312" w:hAnsi="仿宋_GB2312" w:eastAsia="仿宋_GB2312"/>
          <w:b/>
          <w:sz w:val="32"/>
        </w:rPr>
        <w:t>本年收入203.52万元，</w:t>
      </w:r>
      <w:r>
        <w:rPr>
          <w:rFonts w:ascii="仿宋_GB2312" w:hAnsi="仿宋_GB2312" w:eastAsia="仿宋_GB2312"/>
          <w:b w:val="0"/>
          <w:sz w:val="32"/>
        </w:rPr>
        <w:t>其中：财政拨款收入203.52万元，占100.00%；上级补助收入0.00万元，占0.00%；事业收入0.00万元，占0.00%；经营收入0.00万元，占0.00%；附属单位上缴收入0.00万元，占0.00%；其他收入0.00万元，占0.00%。</w:t>
      </w:r>
    </w:p>
    <w:p w14:paraId="674D00C3">
      <w:pPr>
        <w:spacing w:line="640" w:lineRule="exact"/>
        <w:ind w:firstLine="640"/>
        <w:jc w:val="both"/>
        <w:outlineLvl w:val="2"/>
      </w:pPr>
      <w:r>
        <w:rPr>
          <w:rFonts w:ascii="黑体" w:hAnsi="黑体" w:eastAsia="黑体"/>
          <w:sz w:val="32"/>
        </w:rPr>
        <w:t>三、支出决算情况说明</w:t>
      </w:r>
    </w:p>
    <w:p w14:paraId="61CE4190">
      <w:pPr>
        <w:spacing w:line="580" w:lineRule="exact"/>
        <w:ind w:firstLine="640"/>
        <w:jc w:val="both"/>
      </w:pPr>
      <w:r>
        <w:rPr>
          <w:rFonts w:ascii="仿宋_GB2312" w:hAnsi="仿宋_GB2312" w:eastAsia="仿宋_GB2312"/>
          <w:b/>
          <w:sz w:val="32"/>
        </w:rPr>
        <w:t>本年支出203.52万元，</w:t>
      </w:r>
      <w:r>
        <w:rPr>
          <w:rFonts w:ascii="仿宋_GB2312" w:hAnsi="仿宋_GB2312" w:eastAsia="仿宋_GB2312"/>
          <w:b w:val="0"/>
          <w:sz w:val="32"/>
        </w:rPr>
        <w:t>其中：基本支出203.52万元，占100.00%；项目支出0.00万元，占0.00%；上缴上级支出0.00万元，占0.00%；经营支出0.00万元，占0.00%；对附属单位补助支出0.00万元，占0.00%。</w:t>
      </w:r>
    </w:p>
    <w:p w14:paraId="6622C9CA">
      <w:pPr>
        <w:spacing w:line="640" w:lineRule="exact"/>
        <w:ind w:firstLine="640"/>
        <w:jc w:val="both"/>
        <w:outlineLvl w:val="2"/>
      </w:pPr>
      <w:r>
        <w:rPr>
          <w:rFonts w:ascii="黑体" w:hAnsi="黑体" w:eastAsia="黑体"/>
          <w:sz w:val="32"/>
        </w:rPr>
        <w:t>四、财政拨款收入支出决算总体情况说明</w:t>
      </w:r>
    </w:p>
    <w:p w14:paraId="03D84473">
      <w:pPr>
        <w:spacing w:line="580" w:lineRule="exact"/>
        <w:ind w:firstLine="640"/>
        <w:jc w:val="both"/>
      </w:pPr>
      <w:r>
        <w:rPr>
          <w:rFonts w:ascii="仿宋_GB2312" w:hAnsi="仿宋_GB2312" w:eastAsia="仿宋_GB2312"/>
          <w:b/>
          <w:sz w:val="32"/>
        </w:rPr>
        <w:t>2024年度财政拨款收入总计203.52万元，</w:t>
      </w:r>
      <w:r>
        <w:rPr>
          <w:rFonts w:ascii="仿宋_GB2312" w:hAnsi="仿宋_GB2312" w:eastAsia="仿宋_GB2312"/>
          <w:b w:val="0"/>
          <w:sz w:val="32"/>
        </w:rPr>
        <w:t>其中：年初财政拨款结转和结余0.00万元，本年财政拨款收入203.52万元。</w:t>
      </w:r>
      <w:r>
        <w:rPr>
          <w:rFonts w:ascii="仿宋_GB2312" w:hAnsi="仿宋_GB2312" w:eastAsia="仿宋_GB2312"/>
          <w:b/>
          <w:sz w:val="32"/>
        </w:rPr>
        <w:t>财政拨款支出总计203.52万元，</w:t>
      </w:r>
      <w:r>
        <w:rPr>
          <w:rFonts w:ascii="仿宋_GB2312" w:hAnsi="仿宋_GB2312" w:eastAsia="仿宋_GB2312"/>
          <w:b w:val="0"/>
          <w:sz w:val="32"/>
        </w:rPr>
        <w:t>其中：年末财政拨款结转和结余0.00万元，本年财政拨款支出203.52万元。</w:t>
      </w:r>
    </w:p>
    <w:p w14:paraId="7E84022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增加3.71万元，增长1.86%，主要原因是：本年在职人员工资调增，社保、公积金基数调增，人员经费增加。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年初预算数201.71万元，决算数203.52万元，预决算差异率0.90%，主要原因是：年中追加人员工资、社保、公积金基数调增部分资金，导致预决算存在差异。</w:t>
      </w:r>
    </w:p>
    <w:p w14:paraId="601F9CC8">
      <w:pPr>
        <w:spacing w:line="640" w:lineRule="exact"/>
        <w:ind w:firstLine="640"/>
        <w:jc w:val="both"/>
        <w:outlineLvl w:val="2"/>
      </w:pPr>
      <w:r>
        <w:rPr>
          <w:rFonts w:ascii="黑体" w:hAnsi="黑体" w:eastAsia="黑体"/>
          <w:sz w:val="32"/>
        </w:rPr>
        <w:t>五、一般公共预算财政拨款支出决算情况说明</w:t>
      </w:r>
    </w:p>
    <w:p w14:paraId="3A14B22E">
      <w:pPr>
        <w:spacing w:line="640" w:lineRule="exact"/>
        <w:ind w:firstLine="640"/>
        <w:jc w:val="both"/>
        <w:outlineLvl w:val="3"/>
      </w:pPr>
      <w:r>
        <w:rPr>
          <w:rFonts w:ascii="楷体_GB2312" w:hAnsi="楷体_GB2312" w:eastAsia="楷体_GB2312"/>
          <w:b/>
          <w:sz w:val="32"/>
        </w:rPr>
        <w:t>（一）一般公共预算财政拨款支出决算总体情况</w:t>
      </w:r>
    </w:p>
    <w:p w14:paraId="0CF48058">
      <w:pPr>
        <w:spacing w:line="580" w:lineRule="exact"/>
        <w:ind w:firstLine="640"/>
        <w:jc w:val="both"/>
      </w:pPr>
      <w:r>
        <w:rPr>
          <w:rFonts w:ascii="仿宋_GB2312" w:hAnsi="仿宋_GB2312" w:eastAsia="仿宋_GB2312"/>
          <w:b/>
          <w:sz w:val="32"/>
        </w:rPr>
        <w:t>2024年度一般公共预算财政拨款支出203.52万元，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增加3.71万元，增长1.86%，主要原因是：本年在职人员工资调增，社保、公积金基数调增，人员经费增加。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年初预算数201.71万元，决算数203.52万元，预决算差异率0.90%，主要原因是：年中追加人员工资、社保、公积金基数调增部分资金，导致预决算存在差异。</w:t>
      </w:r>
    </w:p>
    <w:p w14:paraId="6BCDBC89">
      <w:pPr>
        <w:spacing w:line="640" w:lineRule="exact"/>
        <w:ind w:firstLine="640"/>
        <w:jc w:val="both"/>
        <w:outlineLvl w:val="3"/>
      </w:pPr>
      <w:r>
        <w:rPr>
          <w:rFonts w:ascii="楷体_GB2312" w:hAnsi="楷体_GB2312" w:eastAsia="楷体_GB2312"/>
          <w:b/>
          <w:sz w:val="32"/>
        </w:rPr>
        <w:t>（二）一般公共预算财政拨款支出决算结构情况</w:t>
      </w:r>
    </w:p>
    <w:p w14:paraId="2F469B69">
      <w:pPr>
        <w:spacing w:line="580" w:lineRule="exact"/>
        <w:ind w:firstLine="640"/>
        <w:jc w:val="both"/>
      </w:pPr>
      <w:r>
        <w:rPr>
          <w:rFonts w:ascii="仿宋_GB2312" w:hAnsi="仿宋_GB2312" w:eastAsia="仿宋_GB2312"/>
          <w:b w:val="0"/>
          <w:sz w:val="32"/>
        </w:rPr>
        <w:t>1.教育支出(类)203.52万元,占100.00%。</w:t>
      </w:r>
    </w:p>
    <w:p w14:paraId="51940309">
      <w:pPr>
        <w:spacing w:line="640" w:lineRule="exact"/>
        <w:ind w:firstLine="640"/>
        <w:jc w:val="both"/>
        <w:outlineLvl w:val="3"/>
      </w:pPr>
      <w:r>
        <w:rPr>
          <w:rFonts w:ascii="楷体_GB2312" w:hAnsi="楷体_GB2312" w:eastAsia="楷体_GB2312"/>
          <w:b/>
          <w:sz w:val="32"/>
        </w:rPr>
        <w:t>（三）一般公共预算财政拨款支出决算具体情况</w:t>
      </w:r>
    </w:p>
    <w:p w14:paraId="7250E590">
      <w:pPr>
        <w:spacing w:line="580" w:lineRule="exact"/>
        <w:ind w:firstLine="640"/>
        <w:jc w:val="both"/>
      </w:pPr>
      <w:r>
        <w:rPr>
          <w:rFonts w:ascii="仿宋_GB2312" w:hAnsi="仿宋_GB2312" w:eastAsia="仿宋_GB2312"/>
          <w:b w:val="0"/>
          <w:sz w:val="32"/>
        </w:rPr>
        <w:t>1.教育支出(类)普通教育(款)小学教育(项):支出决算数为203.52万元，比上年决算增加5.26万元，增长2.65%,主要原因是：本年在职人员工资调增，社保、公积金基数调增，人员经费增加。本年功能科目调整，养老保险缴费上年度单独列支，本年调整至主科目列支，导致经费较上年增加。</w:t>
      </w:r>
    </w:p>
    <w:p w14:paraId="7A9D335C">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0.00万元，比上年决算减少1.55万元，下降100.00%,主要原因是：本年功能科目调整，养老保险缴费上年度单独列支，本年调整至主科目列支，导致经费较上年减少。</w:t>
      </w:r>
    </w:p>
    <w:p w14:paraId="41A4ACCB">
      <w:pPr>
        <w:spacing w:line="640" w:lineRule="exact"/>
        <w:ind w:firstLine="640"/>
        <w:jc w:val="both"/>
        <w:outlineLvl w:val="2"/>
      </w:pPr>
      <w:r>
        <w:rPr>
          <w:rFonts w:ascii="黑体" w:hAnsi="黑体" w:eastAsia="黑体"/>
          <w:sz w:val="32"/>
        </w:rPr>
        <w:t>六、一般公共预算财政拨款基本支出决算情况说明</w:t>
      </w:r>
    </w:p>
    <w:p w14:paraId="527146F8">
      <w:pPr>
        <w:spacing w:line="580" w:lineRule="exact"/>
        <w:ind w:firstLine="640"/>
        <w:jc w:val="both"/>
      </w:pPr>
      <w:r>
        <w:rPr>
          <w:rFonts w:ascii="仿宋_GB2312" w:hAnsi="仿宋_GB2312" w:eastAsia="仿宋_GB2312"/>
          <w:b w:val="0"/>
          <w:sz w:val="32"/>
        </w:rPr>
        <w:t>2024年度一般公共预算财政拨款基本支出203.52万元，其中：</w:t>
      </w:r>
      <w:r>
        <w:rPr>
          <w:rFonts w:ascii="仿宋_GB2312" w:hAnsi="仿宋_GB2312" w:eastAsia="仿宋_GB2312"/>
          <w:b/>
          <w:sz w:val="32"/>
        </w:rPr>
        <w:t>人员经费203.52万元，</w:t>
      </w:r>
      <w:r>
        <w:rPr>
          <w:rFonts w:ascii="仿宋_GB2312" w:hAnsi="仿宋_GB2312" w:eastAsia="仿宋_GB2312"/>
          <w:b w:val="0"/>
          <w:sz w:val="32"/>
        </w:rPr>
        <w:t>包括：基本工资、津贴补贴、绩效工资、机关事业单位基本养老保险缴费、职工基本医疗保险缴费、其他社会保障缴费、住房公积金。</w:t>
      </w:r>
    </w:p>
    <w:p w14:paraId="549C26E3">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EC89F93">
      <w:pPr>
        <w:spacing w:line="640" w:lineRule="exact"/>
        <w:ind w:firstLine="640"/>
        <w:jc w:val="both"/>
        <w:outlineLvl w:val="2"/>
      </w:pPr>
      <w:r>
        <w:rPr>
          <w:rFonts w:ascii="黑体" w:hAnsi="黑体" w:eastAsia="黑体"/>
          <w:sz w:val="32"/>
        </w:rPr>
        <w:t>七、政府性基金预算财政拨款收入支出决算情况说明</w:t>
      </w:r>
    </w:p>
    <w:p w14:paraId="1631B98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85CAE4E">
      <w:pPr>
        <w:spacing w:line="640" w:lineRule="exact"/>
        <w:ind w:firstLine="640"/>
        <w:jc w:val="both"/>
        <w:outlineLvl w:val="2"/>
      </w:pPr>
      <w:r>
        <w:rPr>
          <w:rFonts w:ascii="黑体" w:hAnsi="黑体" w:eastAsia="黑体"/>
          <w:sz w:val="32"/>
        </w:rPr>
        <w:t>八、国有资本经营预算财政拨款收入支出决算情况说明</w:t>
      </w:r>
    </w:p>
    <w:p w14:paraId="79CF901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13DFDBB">
      <w:pPr>
        <w:spacing w:line="640" w:lineRule="exact"/>
        <w:ind w:firstLine="640"/>
        <w:jc w:val="both"/>
        <w:outlineLvl w:val="2"/>
      </w:pPr>
      <w:r>
        <w:rPr>
          <w:rFonts w:ascii="黑体" w:hAnsi="黑体" w:eastAsia="黑体"/>
          <w:sz w:val="32"/>
        </w:rPr>
        <w:t>九、财政拨款“三公”经费支出决算情况说明</w:t>
      </w:r>
    </w:p>
    <w:p w14:paraId="0BA3D230">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D3DEBB0">
      <w:pPr>
        <w:spacing w:line="580" w:lineRule="exact"/>
        <w:ind w:firstLine="640"/>
        <w:jc w:val="both"/>
      </w:pPr>
      <w:r>
        <w:rPr>
          <w:rFonts w:ascii="仿宋_GB2312" w:hAnsi="仿宋_GB2312" w:eastAsia="仿宋_GB2312"/>
          <w:b/>
          <w:sz w:val="32"/>
        </w:rPr>
        <w:t>具体情况如下：</w:t>
      </w:r>
    </w:p>
    <w:p w14:paraId="03CF65B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256B45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C098CD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53D3DE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14BBDCC">
      <w:pPr>
        <w:spacing w:line="640" w:lineRule="exact"/>
        <w:ind w:firstLine="640"/>
        <w:jc w:val="both"/>
        <w:outlineLvl w:val="2"/>
      </w:pPr>
      <w:r>
        <w:rPr>
          <w:rFonts w:ascii="黑体" w:hAnsi="黑体" w:eastAsia="黑体"/>
          <w:sz w:val="32"/>
        </w:rPr>
        <w:t>十、其他重要事项的情况说明</w:t>
      </w:r>
    </w:p>
    <w:p w14:paraId="67FBEEC0">
      <w:pPr>
        <w:spacing w:line="640" w:lineRule="exact"/>
        <w:ind w:firstLine="640"/>
        <w:jc w:val="both"/>
        <w:outlineLvl w:val="3"/>
      </w:pPr>
      <w:r>
        <w:rPr>
          <w:rFonts w:ascii="楷体_GB2312" w:hAnsi="楷体_GB2312" w:eastAsia="楷体_GB2312"/>
          <w:b/>
          <w:sz w:val="32"/>
        </w:rPr>
        <w:t>（一）机关运行经费及公用经费支出情况</w:t>
      </w:r>
    </w:p>
    <w:p w14:paraId="405A9271">
      <w:pPr>
        <w:spacing w:line="580" w:lineRule="exact"/>
        <w:ind w:firstLine="640"/>
        <w:jc w:val="both"/>
      </w:pPr>
      <w:r>
        <w:rPr>
          <w:rFonts w:ascii="仿宋_GB2312" w:hAnsi="仿宋_GB2312" w:eastAsia="仿宋_GB2312"/>
          <w:b w:val="0"/>
          <w:sz w:val="32"/>
        </w:rPr>
        <w:t>2024年度洛浦县杭桂镇第二一贯制学校（事业单位）公用经费支出0.00万元，比上年增加0.00万元，增长0.00%，主要原因是：2023年与2024年均未安排公用经费支出。</w:t>
      </w:r>
    </w:p>
    <w:p w14:paraId="02DFB1FA">
      <w:pPr>
        <w:spacing w:line="640" w:lineRule="exact"/>
        <w:ind w:firstLine="640"/>
        <w:jc w:val="both"/>
        <w:outlineLvl w:val="3"/>
      </w:pPr>
      <w:r>
        <w:rPr>
          <w:rFonts w:ascii="楷体_GB2312" w:hAnsi="楷体_GB2312" w:eastAsia="楷体_GB2312"/>
          <w:b/>
          <w:sz w:val="32"/>
        </w:rPr>
        <w:t>（二）政府采购情况</w:t>
      </w:r>
    </w:p>
    <w:p w14:paraId="181E1003">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B4EDA58">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587187B">
      <w:pPr>
        <w:spacing w:line="640" w:lineRule="exact"/>
        <w:ind w:firstLine="640"/>
        <w:jc w:val="both"/>
        <w:outlineLvl w:val="3"/>
      </w:pPr>
      <w:r>
        <w:rPr>
          <w:rFonts w:ascii="楷体_GB2312" w:hAnsi="楷体_GB2312" w:eastAsia="楷体_GB2312"/>
          <w:b/>
          <w:sz w:val="32"/>
        </w:rPr>
        <w:t>（三）国有资产占用情况说明</w:t>
      </w:r>
    </w:p>
    <w:p w14:paraId="37C2B2E2">
      <w:pPr>
        <w:spacing w:line="580" w:lineRule="exact"/>
        <w:ind w:firstLine="640"/>
        <w:jc w:val="both"/>
      </w:pPr>
      <w:r>
        <w:rPr>
          <w:rFonts w:ascii="仿宋_GB2312" w:hAnsi="仿宋_GB2312" w:eastAsia="仿宋_GB2312"/>
          <w:b w:val="0"/>
          <w:sz w:val="32"/>
        </w:rPr>
        <w:t>截至2024年12月31日，房屋1,188.00平方米，价值68.06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482045B">
      <w:pPr>
        <w:spacing w:line="640" w:lineRule="exact"/>
        <w:ind w:firstLine="640"/>
        <w:jc w:val="both"/>
        <w:outlineLvl w:val="2"/>
      </w:pPr>
      <w:r>
        <w:rPr>
          <w:rFonts w:ascii="黑体" w:hAnsi="黑体" w:eastAsia="黑体"/>
          <w:sz w:val="32"/>
        </w:rPr>
        <w:t>十一、预算绩效的情况说明</w:t>
      </w:r>
    </w:p>
    <w:p w14:paraId="4C129F5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203.52万元，实际执行总额203.52万元；预算绩效评价项目0个，全年预算数0.00万元，全年执行数0.00万元。预算绩效管理取得的成效：本年本单位无绩效自评项目。发现的问题及原因：本年本单位无绩效自评项目。下一步改进措施：本年本单位无绩效自评项目。具体附整体支出绩效自评表。</w:t>
      </w:r>
    </w:p>
    <w:p w14:paraId="2A49BEF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3B77692">
        <w:tblPrEx>
          <w:tblCellMar>
            <w:top w:w="0" w:type="dxa"/>
            <w:left w:w="108" w:type="dxa"/>
            <w:bottom w:w="0" w:type="dxa"/>
            <w:right w:w="108" w:type="dxa"/>
          </w:tblCellMar>
        </w:tblPrEx>
        <w:tc>
          <w:tcPr>
            <w:tcW w:w="8847" w:type="dxa"/>
            <w:gridSpan w:val="9"/>
            <w:vAlign w:val="center"/>
          </w:tcPr>
          <w:p w14:paraId="5D28D2A6">
            <w:pPr>
              <w:jc w:val="center"/>
            </w:pPr>
            <w:r>
              <w:rPr>
                <w:rFonts w:ascii="宋体" w:hAnsi="宋体" w:eastAsia="宋体"/>
                <w:sz w:val="24"/>
              </w:rPr>
              <w:t>单位整体支出绩效自评表</w:t>
            </w:r>
          </w:p>
        </w:tc>
      </w:tr>
      <w:tr w14:paraId="65864B5F">
        <w:tblPrEx>
          <w:tblCellMar>
            <w:top w:w="0" w:type="dxa"/>
            <w:left w:w="108" w:type="dxa"/>
            <w:bottom w:w="0" w:type="dxa"/>
            <w:right w:w="108" w:type="dxa"/>
          </w:tblCellMar>
        </w:tblPrEx>
        <w:tc>
          <w:tcPr>
            <w:tcW w:w="8847" w:type="dxa"/>
            <w:gridSpan w:val="9"/>
            <w:vAlign w:val="center"/>
          </w:tcPr>
          <w:p w14:paraId="37DA8E21">
            <w:pPr>
              <w:jc w:val="center"/>
            </w:pPr>
            <w:r>
              <w:rPr>
                <w:rFonts w:ascii="宋体" w:hAnsi="宋体" w:eastAsia="宋体"/>
                <w:sz w:val="24"/>
              </w:rPr>
              <w:t>（2024年度）</w:t>
            </w:r>
          </w:p>
        </w:tc>
      </w:tr>
      <w:tr w14:paraId="220C38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E631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272F97">
            <w:pPr>
              <w:jc w:val="center"/>
            </w:pPr>
            <w:r>
              <w:rPr>
                <w:rFonts w:ascii="宋体" w:hAnsi="宋体" w:eastAsia="宋体"/>
                <w:sz w:val="16"/>
              </w:rPr>
              <w:t>洛浦县杭桂镇第二一贯制学校</w:t>
            </w:r>
          </w:p>
        </w:tc>
      </w:tr>
      <w:tr w14:paraId="770910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813D3">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1566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697F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AB08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30C0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8501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BC61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671F7">
            <w:pPr>
              <w:jc w:val="center"/>
            </w:pPr>
            <w:r>
              <w:rPr>
                <w:rFonts w:ascii="宋体" w:hAnsi="宋体" w:eastAsia="宋体"/>
                <w:sz w:val="16"/>
              </w:rPr>
              <w:t>得分</w:t>
            </w:r>
          </w:p>
        </w:tc>
      </w:tr>
      <w:tr w14:paraId="42159C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EAF4D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95832">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C6D5F">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A02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1CD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F14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5E5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817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74A5C">
            <w:pPr>
              <w:jc w:val="center"/>
            </w:pPr>
            <w:r>
              <w:rPr>
                <w:rFonts w:ascii="宋体" w:hAnsi="宋体" w:eastAsia="宋体"/>
                <w:sz w:val="16"/>
              </w:rPr>
              <w:t>-</w:t>
            </w:r>
          </w:p>
        </w:tc>
      </w:tr>
      <w:tr w14:paraId="00DCA3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6CB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1BCF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E1E94">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FC93C">
            <w:pPr>
              <w:jc w:val="center"/>
            </w:pPr>
            <w:r>
              <w:rPr>
                <w:rFonts w:ascii="宋体" w:hAnsi="宋体" w:eastAsia="宋体"/>
                <w:sz w:val="16"/>
              </w:rPr>
              <w:t>201.71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CF6F2">
            <w:pPr>
              <w:jc w:val="center"/>
            </w:pPr>
            <w:r>
              <w:rPr>
                <w:rFonts w:ascii="宋体" w:hAnsi="宋体" w:eastAsia="宋体"/>
                <w:sz w:val="16"/>
              </w:rPr>
              <w:t>203.52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C7A70">
            <w:pPr>
              <w:jc w:val="center"/>
            </w:pPr>
            <w:r>
              <w:rPr>
                <w:rFonts w:ascii="宋体" w:hAnsi="宋体" w:eastAsia="宋体"/>
                <w:sz w:val="16"/>
              </w:rPr>
              <w:t>203.52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A37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4CC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7B4DB">
            <w:pPr>
              <w:jc w:val="center"/>
            </w:pPr>
            <w:r>
              <w:rPr>
                <w:rFonts w:ascii="宋体" w:hAnsi="宋体" w:eastAsia="宋体"/>
                <w:sz w:val="16"/>
              </w:rPr>
              <w:t>-</w:t>
            </w:r>
          </w:p>
        </w:tc>
      </w:tr>
      <w:tr w14:paraId="6425D5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53D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C64D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C8969">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BCF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980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E9C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F1D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6AD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568D3">
            <w:pPr>
              <w:jc w:val="center"/>
            </w:pPr>
            <w:r>
              <w:rPr>
                <w:rFonts w:ascii="宋体" w:hAnsi="宋体" w:eastAsia="宋体"/>
                <w:sz w:val="16"/>
              </w:rPr>
              <w:t>-</w:t>
            </w:r>
          </w:p>
        </w:tc>
      </w:tr>
      <w:tr w14:paraId="6A9F13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C8DB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E65FA">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7E1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ED10F">
            <w:pPr>
              <w:jc w:val="center"/>
            </w:pPr>
            <w:r>
              <w:rPr>
                <w:rFonts w:ascii="宋体" w:hAnsi="宋体" w:eastAsia="宋体"/>
                <w:sz w:val="16"/>
              </w:rPr>
              <w:t>201.71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F5A5F">
            <w:pPr>
              <w:jc w:val="center"/>
            </w:pPr>
            <w:r>
              <w:rPr>
                <w:rFonts w:ascii="宋体" w:hAnsi="宋体" w:eastAsia="宋体"/>
                <w:sz w:val="16"/>
              </w:rPr>
              <w:t>203.52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CF03B">
            <w:pPr>
              <w:jc w:val="center"/>
            </w:pPr>
            <w:r>
              <w:rPr>
                <w:rFonts w:ascii="宋体" w:hAnsi="宋体" w:eastAsia="宋体"/>
                <w:sz w:val="16"/>
              </w:rPr>
              <w:t>203.52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8A6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96668">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54BAC">
            <w:pPr>
              <w:jc w:val="center"/>
            </w:pPr>
            <w:r>
              <w:rPr>
                <w:rFonts w:ascii="宋体" w:hAnsi="宋体" w:eastAsia="宋体"/>
                <w:sz w:val="16"/>
              </w:rPr>
              <w:t>10</w:t>
            </w:r>
          </w:p>
        </w:tc>
      </w:tr>
      <w:tr w14:paraId="639BF2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01341">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4CF764">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F6EAF8">
            <w:pPr>
              <w:jc w:val="center"/>
            </w:pPr>
            <w:r>
              <w:rPr>
                <w:rFonts w:ascii="宋体" w:hAnsi="宋体" w:eastAsia="宋体"/>
                <w:sz w:val="16"/>
              </w:rPr>
              <w:t>实际完成情况</w:t>
            </w:r>
          </w:p>
        </w:tc>
      </w:tr>
      <w:tr w14:paraId="53D6A9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58FC1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8F4A63">
            <w:pPr>
              <w:jc w:val="both"/>
            </w:pPr>
            <w:bookmarkStart w:id="0" w:name="_GoBack"/>
            <w:r>
              <w:rPr>
                <w:rFonts w:hint="eastAsia" w:ascii="宋体" w:hAnsi="宋体"/>
                <w:sz w:val="16"/>
                <w:lang w:eastAsia="zh-CN"/>
              </w:rPr>
              <w:t>1.</w:t>
            </w:r>
            <w:bookmarkEnd w:id="0"/>
            <w:r>
              <w:rPr>
                <w:rFonts w:ascii="宋体" w:hAnsi="宋体" w:eastAsia="宋体"/>
                <w:sz w:val="16"/>
              </w:rPr>
              <w:t>计划保障学生数量35人，保障在职人员数量10人，其中人员经费支出201.714252万元，公用经费支出0万元。通过保障部门正常运转，有效提升学校的教育教学能力，持续推行素质教育，争取受益学生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FD9185">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教职工数量10人，开展教师培训工作10次，开展德育党建工作20次，开展应急演练工作4次。部门整体资金已使用203.51万元。通过这些工作的实施，全面推进素质教育，全面提高教育教学质量，组织开展本镇中小学的教育教学科研和教育教学改革，以科学的发展观和以人为本的管理理念注重学生的全面发展。</w:t>
            </w:r>
          </w:p>
        </w:tc>
      </w:tr>
      <w:tr w14:paraId="0A21EC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81C4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685C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A53B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B305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E612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84F7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73CAF">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B5013">
            <w:pPr>
              <w:jc w:val="center"/>
            </w:pPr>
            <w:r>
              <w:rPr>
                <w:rFonts w:ascii="宋体" w:hAnsi="宋体" w:eastAsia="宋体"/>
                <w:sz w:val="16"/>
              </w:rPr>
              <w:t>得分</w:t>
            </w:r>
          </w:p>
        </w:tc>
      </w:tr>
      <w:tr w14:paraId="272402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1672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FDC8E">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AEF1D">
            <w:pPr>
              <w:jc w:val="center"/>
            </w:pPr>
            <w:r>
              <w:rPr>
                <w:rFonts w:ascii="宋体" w:hAnsi="宋体" w:eastAsia="宋体"/>
                <w:sz w:val="16"/>
              </w:rPr>
              <w:t>保障教职工数量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F9BD5">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37AE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DC3C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A0245">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D23C9">
            <w:pPr>
              <w:jc w:val="center"/>
            </w:pPr>
            <w:r>
              <w:rPr>
                <w:rFonts w:ascii="宋体" w:hAnsi="宋体" w:eastAsia="宋体"/>
                <w:sz w:val="16"/>
              </w:rPr>
              <w:t>20</w:t>
            </w:r>
          </w:p>
        </w:tc>
      </w:tr>
      <w:tr w14:paraId="26A441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AF3A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DE4E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DF9D2">
            <w:pPr>
              <w:jc w:val="center"/>
            </w:pPr>
            <w:r>
              <w:rPr>
                <w:rFonts w:ascii="宋体" w:hAnsi="宋体" w:eastAsia="宋体"/>
                <w:sz w:val="16"/>
              </w:rPr>
              <w:t>开展教师培训工作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9F5B2">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634F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4D6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F26B0">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C83E8">
            <w:pPr>
              <w:jc w:val="center"/>
            </w:pPr>
            <w:r>
              <w:rPr>
                <w:rFonts w:ascii="宋体" w:hAnsi="宋体" w:eastAsia="宋体"/>
                <w:sz w:val="16"/>
              </w:rPr>
              <w:t>20</w:t>
            </w:r>
          </w:p>
        </w:tc>
      </w:tr>
      <w:tr w14:paraId="339AF3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095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23B4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3EE81">
            <w:pPr>
              <w:jc w:val="center"/>
            </w:pPr>
            <w:r>
              <w:rPr>
                <w:rFonts w:ascii="宋体" w:hAnsi="宋体" w:eastAsia="宋体"/>
                <w:sz w:val="16"/>
              </w:rPr>
              <w:t>开展德育党建工作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65197">
            <w:pPr>
              <w:jc w:val="center"/>
            </w:pPr>
            <w:r>
              <w:rPr>
                <w:rFonts w:ascii="宋体" w:hAnsi="宋体" w:eastAsia="宋体"/>
                <w:sz w:val="16"/>
              </w:rPr>
              <w:t>&gt;=24次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4C9B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BA60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50FAE">
            <w:pPr>
              <w:jc w:val="center"/>
            </w:pPr>
            <w:r>
              <w:rPr>
                <w:rFonts w:ascii="宋体" w:hAnsi="宋体" w:eastAsia="宋体"/>
                <w:sz w:val="16"/>
              </w:rPr>
              <w: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9C7BC">
            <w:pPr>
              <w:jc w:val="center"/>
            </w:pPr>
            <w:r>
              <w:rPr>
                <w:rFonts w:ascii="宋体" w:hAnsi="宋体" w:eastAsia="宋体"/>
                <w:sz w:val="16"/>
              </w:rPr>
              <w:t>20</w:t>
            </w:r>
          </w:p>
        </w:tc>
      </w:tr>
      <w:tr w14:paraId="1F7170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B0A4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C108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1AD87">
            <w:pPr>
              <w:jc w:val="center"/>
            </w:pPr>
            <w:r>
              <w:rPr>
                <w:rFonts w:ascii="宋体" w:hAnsi="宋体" w:eastAsia="宋体"/>
                <w:sz w:val="16"/>
              </w:rPr>
              <w:t>开展应急演练工作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68A50">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2F80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A3943">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3407F">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6E5C1">
            <w:pPr>
              <w:jc w:val="center"/>
            </w:pPr>
            <w:r>
              <w:rPr>
                <w:rFonts w:ascii="宋体" w:hAnsi="宋体" w:eastAsia="宋体"/>
                <w:sz w:val="16"/>
              </w:rPr>
              <w:t>30</w:t>
            </w:r>
          </w:p>
        </w:tc>
      </w:tr>
    </w:tbl>
    <w:p w14:paraId="773EC0C4">
      <w:r>
        <w:br w:type="page"/>
      </w:r>
    </w:p>
    <w:p w14:paraId="6D17C2FB">
      <w:pPr>
        <w:spacing w:line="640" w:lineRule="exact"/>
        <w:ind w:firstLine="640"/>
        <w:jc w:val="both"/>
        <w:outlineLvl w:val="2"/>
      </w:pPr>
      <w:r>
        <w:rPr>
          <w:rFonts w:ascii="黑体" w:hAnsi="黑体" w:eastAsia="黑体"/>
          <w:sz w:val="32"/>
        </w:rPr>
        <w:t>十二、其他需说明的事项</w:t>
      </w:r>
    </w:p>
    <w:p w14:paraId="6021DDF6">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3C38A850">
      <w:r>
        <w:br w:type="page"/>
      </w:r>
    </w:p>
    <w:p w14:paraId="6C3FB4CB">
      <w:pPr>
        <w:spacing w:line="240" w:lineRule="auto"/>
        <w:jc w:val="center"/>
        <w:outlineLvl w:val="1"/>
      </w:pPr>
      <w:r>
        <w:rPr>
          <w:rFonts w:ascii="黑体" w:hAnsi="黑体" w:eastAsia="黑体"/>
          <w:sz w:val="32"/>
        </w:rPr>
        <w:t>第三部分 专业名词解释</w:t>
      </w:r>
    </w:p>
    <w:p w14:paraId="306CC19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057734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1A9713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E8A502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405539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690596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7C2E30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2CFD55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212C6E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3D861C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C17427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A23A1D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ADEBBF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84F049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22BE807">
      <w:r>
        <w:br w:type="page"/>
      </w:r>
    </w:p>
    <w:p w14:paraId="0954CC51">
      <w:pPr>
        <w:spacing w:line="240" w:lineRule="auto"/>
        <w:jc w:val="center"/>
        <w:outlineLvl w:val="1"/>
      </w:pPr>
      <w:r>
        <w:rPr>
          <w:rFonts w:ascii="黑体" w:hAnsi="黑体" w:eastAsia="黑体"/>
          <w:sz w:val="32"/>
        </w:rPr>
        <w:t>第四部分 部门决算报表（见附表）</w:t>
      </w:r>
    </w:p>
    <w:p w14:paraId="27401072">
      <w:pPr>
        <w:spacing w:line="240" w:lineRule="auto"/>
        <w:ind w:firstLine="640"/>
        <w:jc w:val="both"/>
      </w:pPr>
      <w:r>
        <w:rPr>
          <w:rFonts w:ascii="仿宋_GB2312" w:hAnsi="仿宋_GB2312" w:eastAsia="仿宋_GB2312"/>
          <w:b w:val="0"/>
          <w:sz w:val="32"/>
        </w:rPr>
        <w:t>一、《收入支出决算总表》</w:t>
      </w:r>
    </w:p>
    <w:p w14:paraId="2DEC38F0">
      <w:pPr>
        <w:spacing w:line="240" w:lineRule="auto"/>
        <w:ind w:firstLine="640"/>
        <w:jc w:val="both"/>
      </w:pPr>
      <w:r>
        <w:rPr>
          <w:rFonts w:ascii="仿宋_GB2312" w:hAnsi="仿宋_GB2312" w:eastAsia="仿宋_GB2312"/>
          <w:b w:val="0"/>
          <w:sz w:val="32"/>
        </w:rPr>
        <w:t>二、《收入决算表》</w:t>
      </w:r>
    </w:p>
    <w:p w14:paraId="463E11A2">
      <w:pPr>
        <w:spacing w:line="240" w:lineRule="auto"/>
        <w:ind w:firstLine="640"/>
        <w:jc w:val="both"/>
      </w:pPr>
      <w:r>
        <w:rPr>
          <w:rFonts w:ascii="仿宋_GB2312" w:hAnsi="仿宋_GB2312" w:eastAsia="仿宋_GB2312"/>
          <w:b w:val="0"/>
          <w:sz w:val="32"/>
        </w:rPr>
        <w:t>三、《支出决算表》</w:t>
      </w:r>
    </w:p>
    <w:p w14:paraId="637865A4">
      <w:pPr>
        <w:spacing w:line="240" w:lineRule="auto"/>
        <w:ind w:firstLine="640"/>
        <w:jc w:val="both"/>
      </w:pPr>
      <w:r>
        <w:rPr>
          <w:rFonts w:ascii="仿宋_GB2312" w:hAnsi="仿宋_GB2312" w:eastAsia="仿宋_GB2312"/>
          <w:b w:val="0"/>
          <w:sz w:val="32"/>
        </w:rPr>
        <w:t>四、《财政拨款收入支出决算总表》</w:t>
      </w:r>
    </w:p>
    <w:p w14:paraId="0F32C5EB">
      <w:pPr>
        <w:spacing w:line="240" w:lineRule="auto"/>
        <w:ind w:firstLine="640"/>
        <w:jc w:val="both"/>
      </w:pPr>
      <w:r>
        <w:rPr>
          <w:rFonts w:ascii="仿宋_GB2312" w:hAnsi="仿宋_GB2312" w:eastAsia="仿宋_GB2312"/>
          <w:b w:val="0"/>
          <w:sz w:val="32"/>
        </w:rPr>
        <w:t>五、《一般公共预算财政拨款支出决算表》</w:t>
      </w:r>
    </w:p>
    <w:p w14:paraId="607AAE26">
      <w:pPr>
        <w:spacing w:line="240" w:lineRule="auto"/>
        <w:ind w:firstLine="640"/>
        <w:jc w:val="both"/>
      </w:pPr>
      <w:r>
        <w:rPr>
          <w:rFonts w:ascii="仿宋_GB2312" w:hAnsi="仿宋_GB2312" w:eastAsia="仿宋_GB2312"/>
          <w:b w:val="0"/>
          <w:sz w:val="32"/>
        </w:rPr>
        <w:t>六、《一般公共预算财政拨款基本支出决算表》</w:t>
      </w:r>
    </w:p>
    <w:p w14:paraId="48963383">
      <w:pPr>
        <w:spacing w:line="240" w:lineRule="auto"/>
        <w:ind w:firstLine="640"/>
        <w:jc w:val="both"/>
      </w:pPr>
      <w:r>
        <w:rPr>
          <w:rFonts w:ascii="仿宋_GB2312" w:hAnsi="仿宋_GB2312" w:eastAsia="仿宋_GB2312"/>
          <w:b w:val="0"/>
          <w:sz w:val="32"/>
        </w:rPr>
        <w:t>七、《政府性基金预算财政拨款收入支出决算表》</w:t>
      </w:r>
    </w:p>
    <w:p w14:paraId="05AB8ADC">
      <w:pPr>
        <w:spacing w:line="240" w:lineRule="auto"/>
        <w:ind w:firstLine="640"/>
        <w:jc w:val="both"/>
      </w:pPr>
      <w:r>
        <w:rPr>
          <w:rFonts w:ascii="仿宋_GB2312" w:hAnsi="仿宋_GB2312" w:eastAsia="仿宋_GB2312"/>
          <w:b w:val="0"/>
          <w:sz w:val="32"/>
        </w:rPr>
        <w:t>八、《国有资本经营预算财政拨款收入支出决算表》</w:t>
      </w:r>
    </w:p>
    <w:p w14:paraId="7A2E49FA">
      <w:pPr>
        <w:spacing w:line="240" w:lineRule="auto"/>
        <w:ind w:firstLine="640"/>
        <w:jc w:val="both"/>
      </w:pPr>
      <w:r>
        <w:rPr>
          <w:rFonts w:ascii="仿宋_GB2312" w:hAnsi="仿宋_GB2312" w:eastAsia="仿宋_GB2312"/>
          <w:b w:val="0"/>
          <w:sz w:val="32"/>
        </w:rPr>
        <w:t>九、《财政拨款“三公”经费支出决算表》</w:t>
      </w:r>
    </w:p>
    <w:p w14:paraId="45B4B655">
      <w:pPr>
        <w:spacing w:line="240" w:lineRule="auto"/>
        <w:ind w:firstLine="640"/>
        <w:jc w:val="both"/>
      </w:pPr>
    </w:p>
    <w:p w14:paraId="4FD317A9">
      <w:pPr>
        <w:spacing w:line="240" w:lineRule="auto"/>
        <w:ind w:firstLine="640"/>
        <w:jc w:val="both"/>
      </w:pPr>
    </w:p>
    <w:p w14:paraId="020517D0">
      <w:pPr>
        <w:spacing w:line="240" w:lineRule="auto"/>
        <w:ind w:firstLine="640"/>
        <w:jc w:val="both"/>
      </w:pPr>
    </w:p>
    <w:p w14:paraId="2A2938D7">
      <w:pPr>
        <w:spacing w:line="240" w:lineRule="auto"/>
        <w:ind w:firstLine="640"/>
        <w:jc w:val="both"/>
      </w:pPr>
    </w:p>
    <w:p w14:paraId="2BDB2D6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638D736-A3FD-470C-9983-C373E13DB66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ACFB8FA-D317-475C-B883-2AF433B71DC0}"/>
  </w:font>
  <w:font w:name="仿宋_GB2312">
    <w:panose1 w:val="02010609030101010101"/>
    <w:charset w:val="86"/>
    <w:family w:val="modern"/>
    <w:pitch w:val="default"/>
    <w:sig w:usb0="00000001" w:usb1="080E0000" w:usb2="00000000" w:usb3="00000000" w:csb0="00040000" w:csb1="00000000"/>
    <w:embedRegular r:id="rId3" w:fontKey="{68CAF25C-87B6-4E06-BA16-A748447AAC09}"/>
  </w:font>
  <w:font w:name="楷体_GB2312">
    <w:panose1 w:val="02010609030101010101"/>
    <w:charset w:val="86"/>
    <w:family w:val="auto"/>
    <w:pitch w:val="default"/>
    <w:sig w:usb0="00000001" w:usb1="080E0000" w:usb2="00000000" w:usb3="00000000" w:csb0="00040000" w:csb1="00000000"/>
    <w:embedRegular r:id="rId4" w:fontKey="{1C493369-573E-4F16-8372-4D8488A06539}"/>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186818"/>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240B8A"/>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1349</Words>
  <Characters>1551</Characters>
  <Lines>0</Lines>
  <Paragraphs>0</Paragraphs>
  <TotalTime>2</TotalTime>
  <ScaleCrop>false</ScaleCrop>
  <LinksUpToDate>false</LinksUpToDate>
  <CharactersWithSpaces>1559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2025-09-17T07:52:15Z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