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洛浦县教育考试中心2024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4A2EAF">
      <w:r>
        <w:br w:type="page"/>
      </w:r>
    </w:p>
    <w:p w14:paraId="089FBC70">
      <w:pPr>
        <w:spacing w:line="640" w:lineRule="exact"/>
        <w:jc w:val="center"/>
        <w:outlineLvl w:val="1"/>
      </w:pPr>
      <w:r>
        <w:rPr>
          <w:rFonts w:ascii="黑体" w:hAnsi="黑体" w:eastAsia="黑体"/>
          <w:sz w:val="32"/>
        </w:rPr>
        <w:t>第一部分 单位概况</w:t>
      </w:r>
    </w:p>
    <w:p w14:paraId="4910357F">
      <w:pPr>
        <w:spacing w:line="640" w:lineRule="exact"/>
        <w:ind w:firstLine="640"/>
        <w:jc w:val="both"/>
        <w:outlineLvl w:val="2"/>
      </w:pPr>
      <w:r>
        <w:rPr>
          <w:rFonts w:ascii="黑体" w:hAnsi="黑体" w:eastAsia="黑体"/>
          <w:sz w:val="32"/>
        </w:rPr>
        <w:t>一、主要职能</w:t>
      </w:r>
    </w:p>
    <w:p w14:paraId="4CD552DC">
      <w:pPr>
        <w:spacing w:line="580" w:lineRule="exact"/>
        <w:ind w:firstLine="640"/>
        <w:jc w:val="both"/>
      </w:pPr>
      <w:r>
        <w:rPr>
          <w:rFonts w:ascii="仿宋_GB2312" w:hAnsi="仿宋_GB2312" w:eastAsia="仿宋_GB2312"/>
          <w:sz w:val="32"/>
        </w:rPr>
        <w:t>1.统筹规划，组织实施教育督导工作，制定教育督导工作制度并开展工作。</w:t>
      </w:r>
    </w:p>
    <w:p w14:paraId="19CDA02B">
      <w:pPr>
        <w:spacing w:line="580" w:lineRule="exact"/>
        <w:ind w:firstLine="640"/>
        <w:jc w:val="both"/>
      </w:pPr>
      <w:r>
        <w:rPr>
          <w:rFonts w:ascii="仿宋_GB2312" w:hAnsi="仿宋_GB2312" w:eastAsia="仿宋_GB2312"/>
          <w:sz w:val="32"/>
        </w:rPr>
        <w:t>2.对本级人民政府的有关和下级人民政府及其教育行政部门执行教育法律法规的情况进行指导，监督和检查。</w:t>
      </w:r>
    </w:p>
    <w:p w14:paraId="45AF55E8">
      <w:pPr>
        <w:spacing w:line="580" w:lineRule="exact"/>
        <w:ind w:firstLine="640"/>
        <w:jc w:val="both"/>
      </w:pPr>
      <w:r>
        <w:rPr>
          <w:rFonts w:ascii="仿宋_GB2312" w:hAnsi="仿宋_GB2312" w:eastAsia="仿宋_GB2312"/>
          <w:sz w:val="32"/>
        </w:rPr>
        <w:t>3.对本行政区域内各级各类学校和其他教育机构的办学方向，办学效益和教育教学质量进行评估。</w:t>
      </w:r>
    </w:p>
    <w:p w14:paraId="49CB8C08">
      <w:pPr>
        <w:spacing w:line="580" w:lineRule="exact"/>
        <w:ind w:firstLine="640"/>
        <w:jc w:val="both"/>
      </w:pPr>
      <w:r>
        <w:rPr>
          <w:rFonts w:ascii="仿宋_GB2312" w:hAnsi="仿宋_GB2312" w:eastAsia="仿宋_GB2312"/>
          <w:sz w:val="32"/>
        </w:rPr>
        <w:t>4.对义务教育、成人教育、素质教育工作进行监督、检查和评估。</w:t>
      </w:r>
    </w:p>
    <w:p w14:paraId="230F4139">
      <w:pPr>
        <w:spacing w:line="580" w:lineRule="exact"/>
        <w:ind w:firstLine="640"/>
        <w:jc w:val="both"/>
      </w:pPr>
      <w:r>
        <w:rPr>
          <w:rFonts w:ascii="仿宋_GB2312" w:hAnsi="仿宋_GB2312" w:eastAsia="仿宋_GB2312"/>
          <w:sz w:val="32"/>
        </w:rPr>
        <w:t>5.对教育工作中的重大问题进行调查研究，向本级人民政府报告情况，向教育行政部门提出建议。</w:t>
      </w:r>
    </w:p>
    <w:p w14:paraId="686FA63F">
      <w:pPr>
        <w:spacing w:line="640" w:lineRule="exact"/>
        <w:ind w:firstLine="640"/>
        <w:jc w:val="both"/>
        <w:outlineLvl w:val="2"/>
      </w:pPr>
      <w:r>
        <w:rPr>
          <w:rFonts w:ascii="黑体" w:hAnsi="黑体" w:eastAsia="黑体"/>
          <w:sz w:val="32"/>
        </w:rPr>
        <w:t>二、机构设置及人员情况</w:t>
      </w:r>
    </w:p>
    <w:p w14:paraId="3EBDD3BB">
      <w:pPr>
        <w:spacing w:line="580" w:lineRule="exact"/>
        <w:ind w:firstLine="640"/>
        <w:jc w:val="both"/>
      </w:pPr>
      <w:r>
        <w:rPr>
          <w:rFonts w:ascii="仿宋_GB2312" w:hAnsi="仿宋_GB2312" w:eastAsia="仿宋_GB2312"/>
          <w:sz w:val="32"/>
        </w:rPr>
        <w:t>洛浦县教育考试中心2024年度，实有人数5人，其中：在职人员5人，增加0人；离休人员0人，增加0人；退休人员0人,增加0人。</w:t>
      </w:r>
    </w:p>
    <w:p w14:paraId="058FB997">
      <w:pPr>
        <w:spacing w:line="580" w:lineRule="exact"/>
        <w:ind w:firstLine="640"/>
        <w:jc w:val="both"/>
      </w:pPr>
      <w:r>
        <w:rPr>
          <w:rFonts w:ascii="仿宋_GB2312" w:hAnsi="仿宋_GB2312" w:eastAsia="仿宋_GB2312"/>
          <w:sz w:val="32"/>
        </w:rPr>
        <w:t>洛浦县教育考试中心无下属预算单位，下设1个科室，分别是：办公室。</w:t>
      </w:r>
    </w:p>
    <w:p w14:paraId="3F80478E">
      <w:r>
        <w:br w:type="page"/>
      </w:r>
    </w:p>
    <w:p w14:paraId="08A22315">
      <w:pPr>
        <w:spacing w:line="240" w:lineRule="auto"/>
        <w:jc w:val="center"/>
        <w:outlineLvl w:val="1"/>
      </w:pPr>
      <w:r>
        <w:rPr>
          <w:rFonts w:ascii="黑体" w:hAnsi="黑体" w:eastAsia="黑体"/>
          <w:sz w:val="32"/>
        </w:rPr>
        <w:t>第二部分 部门决算情况说明</w:t>
      </w:r>
    </w:p>
    <w:p w14:paraId="2576897D">
      <w:pPr>
        <w:spacing w:line="640" w:lineRule="exact"/>
        <w:ind w:firstLine="640"/>
        <w:jc w:val="both"/>
        <w:outlineLvl w:val="2"/>
      </w:pPr>
      <w:r>
        <w:rPr>
          <w:rFonts w:ascii="黑体" w:hAnsi="黑体" w:eastAsia="黑体"/>
          <w:sz w:val="32"/>
        </w:rPr>
        <w:t>一、收入支出决算总体情况说明</w:t>
      </w:r>
    </w:p>
    <w:p w14:paraId="088834C2">
      <w:pPr>
        <w:spacing w:line="580" w:lineRule="exact"/>
        <w:ind w:firstLine="640"/>
        <w:jc w:val="both"/>
      </w:pPr>
      <w:r>
        <w:rPr>
          <w:rFonts w:ascii="仿宋_GB2312" w:hAnsi="仿宋_GB2312" w:eastAsia="仿宋_GB2312"/>
          <w:b/>
          <w:sz w:val="32"/>
        </w:rPr>
        <w:t>2024年度收入总计95.76万元，</w:t>
      </w:r>
      <w:r>
        <w:rPr>
          <w:rFonts w:ascii="仿宋_GB2312" w:hAnsi="仿宋_GB2312" w:eastAsia="仿宋_GB2312"/>
          <w:b w:val="0"/>
          <w:sz w:val="32"/>
        </w:rPr>
        <w:t>其中：本年收入合计95.76万元，使用非财政拨款结余（含专用结余）0.00万元，年初结转和结余0.00万元。</w:t>
      </w:r>
    </w:p>
    <w:p w14:paraId="699A3D88">
      <w:pPr>
        <w:spacing w:line="580" w:lineRule="exact"/>
        <w:ind w:firstLine="640"/>
        <w:jc w:val="both"/>
      </w:pPr>
      <w:r>
        <w:rPr>
          <w:rFonts w:ascii="仿宋_GB2312" w:hAnsi="仿宋_GB2312" w:eastAsia="仿宋_GB2312"/>
          <w:b/>
          <w:sz w:val="32"/>
        </w:rPr>
        <w:t>2024年度支出总计95.76万元，</w:t>
      </w:r>
      <w:r>
        <w:rPr>
          <w:rFonts w:ascii="仿宋_GB2312" w:hAnsi="仿宋_GB2312" w:eastAsia="仿宋_GB2312"/>
          <w:b w:val="0"/>
          <w:sz w:val="32"/>
        </w:rPr>
        <w:t>其中：本年支出合计95.76万元，结余分配0.00万元，年末结转和结余0.00万元。</w:t>
      </w:r>
    </w:p>
    <w:p w14:paraId="563EE5CF">
      <w:pPr>
        <w:spacing w:line="580" w:lineRule="exact"/>
        <w:ind w:firstLine="640"/>
        <w:jc w:val="both"/>
      </w:pPr>
      <w:r>
        <w:rPr>
          <w:rFonts w:ascii="仿宋_GB2312" w:hAnsi="仿宋_GB2312" w:eastAsia="仿宋_GB2312"/>
          <w:b w:val="0"/>
          <w:sz w:val="32"/>
        </w:rPr>
        <w:t>收入支出总体与上年相比，增加1.10万元，增长1.16%，主要原因是：本年在职人员工资调增、社保、公积金基数调增，人员经费增加。</w:t>
      </w:r>
    </w:p>
    <w:p w14:paraId="249F1E3E">
      <w:pPr>
        <w:spacing w:line="640" w:lineRule="exact"/>
        <w:ind w:firstLine="640"/>
        <w:jc w:val="both"/>
        <w:outlineLvl w:val="2"/>
      </w:pPr>
      <w:r>
        <w:rPr>
          <w:rFonts w:ascii="黑体" w:hAnsi="黑体" w:eastAsia="黑体"/>
          <w:sz w:val="32"/>
        </w:rPr>
        <w:t>二、收入决算情况说明</w:t>
      </w:r>
    </w:p>
    <w:p w14:paraId="1A003B53">
      <w:pPr>
        <w:spacing w:line="580" w:lineRule="exact"/>
        <w:ind w:firstLine="640"/>
        <w:jc w:val="both"/>
      </w:pPr>
      <w:r>
        <w:rPr>
          <w:rFonts w:ascii="仿宋_GB2312" w:hAnsi="仿宋_GB2312" w:eastAsia="仿宋_GB2312"/>
          <w:b/>
          <w:sz w:val="32"/>
        </w:rPr>
        <w:t>本年收入95.76万元，</w:t>
      </w:r>
      <w:r>
        <w:rPr>
          <w:rFonts w:ascii="仿宋_GB2312" w:hAnsi="仿宋_GB2312" w:eastAsia="仿宋_GB2312"/>
          <w:b w:val="0"/>
          <w:sz w:val="32"/>
        </w:rPr>
        <w:t>其中：财政拨款收入95.76万元，占100.00%；上级补助收入0.00万元，占0.00%；事业收入0.00万元，占0.00%；经营收入0.00万元，占0.00%；附属单位上缴收入0.00万元，占0.00%；其他收入0.00万元，占0.00%。</w:t>
      </w:r>
    </w:p>
    <w:p w14:paraId="3C70FFF9">
      <w:pPr>
        <w:spacing w:line="640" w:lineRule="exact"/>
        <w:ind w:firstLine="640"/>
        <w:jc w:val="both"/>
        <w:outlineLvl w:val="2"/>
      </w:pPr>
      <w:r>
        <w:rPr>
          <w:rFonts w:ascii="黑体" w:hAnsi="黑体" w:eastAsia="黑体"/>
          <w:sz w:val="32"/>
        </w:rPr>
        <w:t>三、支出决算情况说明</w:t>
      </w:r>
    </w:p>
    <w:p w14:paraId="0B762054">
      <w:pPr>
        <w:spacing w:line="580" w:lineRule="exact"/>
        <w:ind w:firstLine="640"/>
        <w:jc w:val="both"/>
      </w:pPr>
      <w:r>
        <w:rPr>
          <w:rFonts w:ascii="仿宋_GB2312" w:hAnsi="仿宋_GB2312" w:eastAsia="仿宋_GB2312"/>
          <w:b/>
          <w:sz w:val="32"/>
        </w:rPr>
        <w:t>本年支出95.76万元，</w:t>
      </w:r>
      <w:r>
        <w:rPr>
          <w:rFonts w:ascii="仿宋_GB2312" w:hAnsi="仿宋_GB2312" w:eastAsia="仿宋_GB2312"/>
          <w:b w:val="0"/>
          <w:sz w:val="32"/>
        </w:rPr>
        <w:t>其中：基本支出95.76万元，占100.00%；项目支出0.00万元，占0.00%；上缴上级支出0.00万元，占0.00%；经营支出0.00万元，占0.00%；对附属单位补助支出0.00万元，占0.00%。</w:t>
      </w:r>
    </w:p>
    <w:p w14:paraId="1603CBC3">
      <w:pPr>
        <w:spacing w:line="640" w:lineRule="exact"/>
        <w:ind w:firstLine="640"/>
        <w:jc w:val="both"/>
        <w:outlineLvl w:val="2"/>
      </w:pPr>
      <w:r>
        <w:rPr>
          <w:rFonts w:ascii="黑体" w:hAnsi="黑体" w:eastAsia="黑体"/>
          <w:sz w:val="32"/>
        </w:rPr>
        <w:t>四、财政拨款收入支出决算总体情况说明</w:t>
      </w:r>
    </w:p>
    <w:p w14:paraId="2E64EC30">
      <w:pPr>
        <w:spacing w:line="580" w:lineRule="exact"/>
        <w:ind w:firstLine="640"/>
        <w:jc w:val="both"/>
      </w:pPr>
      <w:r>
        <w:rPr>
          <w:rFonts w:ascii="仿宋_GB2312" w:hAnsi="仿宋_GB2312" w:eastAsia="仿宋_GB2312"/>
          <w:b/>
          <w:sz w:val="32"/>
        </w:rPr>
        <w:t>2024年度财政拨款收入总计95.76万元，</w:t>
      </w:r>
      <w:r>
        <w:rPr>
          <w:rFonts w:ascii="仿宋_GB2312" w:hAnsi="仿宋_GB2312" w:eastAsia="仿宋_GB2312"/>
          <w:b w:val="0"/>
          <w:sz w:val="32"/>
        </w:rPr>
        <w:t>其中：年初财政拨款结转和结余0.00万元，本年财政拨款收入95.76万元。</w:t>
      </w:r>
      <w:r>
        <w:rPr>
          <w:rFonts w:ascii="仿宋_GB2312" w:hAnsi="仿宋_GB2312" w:eastAsia="仿宋_GB2312"/>
          <w:b/>
          <w:sz w:val="32"/>
        </w:rPr>
        <w:t>财政拨款支出总计95.76万元，</w:t>
      </w:r>
      <w:r>
        <w:rPr>
          <w:rFonts w:ascii="仿宋_GB2312" w:hAnsi="仿宋_GB2312" w:eastAsia="仿宋_GB2312"/>
          <w:b w:val="0"/>
          <w:sz w:val="32"/>
        </w:rPr>
        <w:t>其中：年末财政拨款结转和结余0.00万元，本年财政拨款支出95.76万元。</w:t>
      </w:r>
    </w:p>
    <w:p w14:paraId="2D4DEF2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增加1.10万元，增长1.16%，主要原因是：本年在职人员工资调增、社保、公积金基数调增，人员经费增加。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年初预算数97.94万元，决算数95.76万元，预决算差异率-2.23%，主要原因是：严格落实中央八项规定精神，厉行节约，减少不必要的开支。</w:t>
      </w:r>
    </w:p>
    <w:p w14:paraId="0FA4DCE7">
      <w:pPr>
        <w:spacing w:line="640" w:lineRule="exact"/>
        <w:ind w:firstLine="640"/>
        <w:jc w:val="both"/>
        <w:outlineLvl w:val="2"/>
      </w:pPr>
      <w:r>
        <w:rPr>
          <w:rFonts w:ascii="黑体" w:hAnsi="黑体" w:eastAsia="黑体"/>
          <w:sz w:val="32"/>
        </w:rPr>
        <w:t>五、一般公共预算财政拨款支出决算情况说明</w:t>
      </w:r>
    </w:p>
    <w:p w14:paraId="46847C73">
      <w:pPr>
        <w:spacing w:line="640" w:lineRule="exact"/>
        <w:ind w:firstLine="640"/>
        <w:jc w:val="both"/>
        <w:outlineLvl w:val="3"/>
      </w:pPr>
      <w:r>
        <w:rPr>
          <w:rFonts w:ascii="楷体_GB2312" w:hAnsi="楷体_GB2312" w:eastAsia="楷体_GB2312"/>
          <w:b/>
          <w:sz w:val="32"/>
        </w:rPr>
        <w:t>（一）一般公共预算财政拨款支出决算总体情况</w:t>
      </w:r>
    </w:p>
    <w:p w14:paraId="13113561">
      <w:pPr>
        <w:spacing w:line="580" w:lineRule="exact"/>
        <w:ind w:firstLine="640"/>
        <w:jc w:val="both"/>
      </w:pPr>
      <w:r>
        <w:rPr>
          <w:rFonts w:ascii="仿宋_GB2312" w:hAnsi="仿宋_GB2312" w:eastAsia="仿宋_GB2312"/>
          <w:b/>
          <w:sz w:val="32"/>
        </w:rPr>
        <w:t>2024年度一般公共预算财政拨款支出95.76万元，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增加1.10万元，增长1.16%，主要原因是：本年在职人员工资调增、社保、公积金基数调增，人员经费增加。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年初预算数97.94万元，决算数95.76万元，预决算差异率-2.23%，主要原因是：严格落实中央八项规定精神，厉行节约，减少不必要的开支。</w:t>
      </w:r>
    </w:p>
    <w:p w14:paraId="4C23037C">
      <w:pPr>
        <w:spacing w:line="640" w:lineRule="exact"/>
        <w:ind w:firstLine="640"/>
        <w:jc w:val="both"/>
        <w:outlineLvl w:val="3"/>
      </w:pPr>
      <w:r>
        <w:rPr>
          <w:rFonts w:ascii="楷体_GB2312" w:hAnsi="楷体_GB2312" w:eastAsia="楷体_GB2312"/>
          <w:b/>
          <w:sz w:val="32"/>
        </w:rPr>
        <w:t>（二）一般公共预算财政拨款支出决算结构情况</w:t>
      </w:r>
    </w:p>
    <w:p w14:paraId="59C5F912">
      <w:pPr>
        <w:spacing w:line="580" w:lineRule="exact"/>
        <w:ind w:firstLine="640"/>
        <w:jc w:val="both"/>
      </w:pPr>
      <w:r>
        <w:rPr>
          <w:rFonts w:ascii="仿宋_GB2312" w:hAnsi="仿宋_GB2312" w:eastAsia="仿宋_GB2312"/>
          <w:b w:val="0"/>
          <w:sz w:val="32"/>
        </w:rPr>
        <w:t>1.教育支出(类)94.43万元,占98.61%。</w:t>
      </w:r>
    </w:p>
    <w:p w14:paraId="0669F44C">
      <w:pPr>
        <w:spacing w:line="580" w:lineRule="exact"/>
        <w:ind w:firstLine="640"/>
        <w:jc w:val="both"/>
      </w:pPr>
      <w:r>
        <w:rPr>
          <w:rFonts w:ascii="仿宋_GB2312" w:hAnsi="仿宋_GB2312" w:eastAsia="仿宋_GB2312"/>
          <w:b w:val="0"/>
          <w:sz w:val="32"/>
        </w:rPr>
        <w:t>2.社会保障和就业支出(类)0.72万元,占0.75%。</w:t>
      </w:r>
    </w:p>
    <w:p w14:paraId="131BFDCA">
      <w:pPr>
        <w:spacing w:line="580" w:lineRule="exact"/>
        <w:ind w:firstLine="640"/>
        <w:jc w:val="both"/>
      </w:pPr>
      <w:r>
        <w:rPr>
          <w:rFonts w:ascii="仿宋_GB2312" w:hAnsi="仿宋_GB2312" w:eastAsia="仿宋_GB2312"/>
          <w:b w:val="0"/>
          <w:sz w:val="32"/>
        </w:rPr>
        <w:t>3.住房保障支出(类)0.61万元,占0.64%。</w:t>
      </w:r>
    </w:p>
    <w:p w14:paraId="0C53835A">
      <w:pPr>
        <w:spacing w:line="640" w:lineRule="exact"/>
        <w:ind w:firstLine="640"/>
        <w:jc w:val="both"/>
        <w:outlineLvl w:val="3"/>
      </w:pPr>
      <w:r>
        <w:rPr>
          <w:rFonts w:ascii="楷体_GB2312" w:hAnsi="楷体_GB2312" w:eastAsia="楷体_GB2312"/>
          <w:b/>
          <w:sz w:val="32"/>
        </w:rPr>
        <w:t>（三）一般公共预算财政拨款支出决算具体情况</w:t>
      </w:r>
    </w:p>
    <w:p w14:paraId="0973C92B">
      <w:pPr>
        <w:spacing w:line="580" w:lineRule="exact"/>
        <w:ind w:firstLine="640"/>
        <w:jc w:val="both"/>
      </w:pPr>
      <w:r>
        <w:rPr>
          <w:rFonts w:ascii="仿宋_GB2312" w:hAnsi="仿宋_GB2312" w:eastAsia="仿宋_GB2312"/>
          <w:b w:val="0"/>
          <w:sz w:val="32"/>
        </w:rPr>
        <w:t>1.教育支出(类)教育管理事务(款)行政运行(项):支出决算数为94.43万元，比上年决算增加8.38万元，增长9.74%,主要原因是：本年在职人员工资调增，导致相关人员经费较上年有所增加。本年部分基本养老保险缴费调整至本科目，导致经费增加。</w:t>
      </w:r>
    </w:p>
    <w:p w14:paraId="08D153E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0.72万元，比上年决算减少7.90万元，下降91.65%,主要原因是：本年功能科目调整，养老保险缴费上年度全部单独列支，本年部分调整至主科目列支，导致经费较上年减少。</w:t>
      </w:r>
    </w:p>
    <w:p w14:paraId="3A763A6B">
      <w:pPr>
        <w:spacing w:line="580" w:lineRule="exact"/>
        <w:ind w:firstLine="640"/>
        <w:jc w:val="both"/>
      </w:pPr>
      <w:r>
        <w:rPr>
          <w:rFonts w:ascii="仿宋_GB2312" w:hAnsi="仿宋_GB2312" w:eastAsia="仿宋_GB2312"/>
          <w:b w:val="0"/>
          <w:sz w:val="32"/>
        </w:rPr>
        <w:t>3.住房保障支出(类)住房改革支出(款)住房公积金(项):支出决算数为0.61万元，比上年决算增加0.61万元，增长100.00%,主要原因是：本年功能科目调整，住房公积金上年度在主科目列支，本年单独列支，导致经费较上年增加。</w:t>
      </w:r>
    </w:p>
    <w:p w14:paraId="0DD40FBD">
      <w:pPr>
        <w:spacing w:line="640" w:lineRule="exact"/>
        <w:ind w:firstLine="640"/>
        <w:jc w:val="both"/>
        <w:outlineLvl w:val="2"/>
      </w:pPr>
      <w:r>
        <w:rPr>
          <w:rFonts w:ascii="黑体" w:hAnsi="黑体" w:eastAsia="黑体"/>
          <w:sz w:val="32"/>
        </w:rPr>
        <w:t>六、一般公共预算财政拨款基本支出决算情况说明</w:t>
      </w:r>
    </w:p>
    <w:p w14:paraId="187E9E47">
      <w:pPr>
        <w:spacing w:line="580" w:lineRule="exact"/>
        <w:ind w:firstLine="640"/>
        <w:jc w:val="both"/>
      </w:pPr>
      <w:r>
        <w:rPr>
          <w:rFonts w:ascii="仿宋_GB2312" w:hAnsi="仿宋_GB2312" w:eastAsia="仿宋_GB2312"/>
          <w:b w:val="0"/>
          <w:sz w:val="32"/>
        </w:rPr>
        <w:t>2024年度一般公共预算财政拨款基本支出95.76万元，其中：</w:t>
      </w:r>
      <w:r>
        <w:rPr>
          <w:rFonts w:ascii="仿宋_GB2312" w:hAnsi="仿宋_GB2312" w:eastAsia="仿宋_GB2312"/>
          <w:b/>
          <w:sz w:val="32"/>
        </w:rPr>
        <w:t>人员经费95.51万元，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w:t>
      </w:r>
    </w:p>
    <w:p w14:paraId="429EB3E3">
      <w:pPr>
        <w:spacing w:line="580" w:lineRule="exact"/>
        <w:ind w:firstLine="640"/>
        <w:jc w:val="both"/>
      </w:pPr>
      <w:r>
        <w:rPr>
          <w:rFonts w:ascii="仿宋_GB2312" w:hAnsi="仿宋_GB2312" w:eastAsia="仿宋_GB2312"/>
          <w:b/>
          <w:sz w:val="32"/>
        </w:rPr>
        <w:t>公用经费0.25万元，</w:t>
      </w:r>
      <w:r>
        <w:rPr>
          <w:rFonts w:ascii="仿宋_GB2312" w:hAnsi="仿宋_GB2312" w:eastAsia="仿宋_GB2312"/>
          <w:b w:val="0"/>
          <w:sz w:val="32"/>
        </w:rPr>
        <w:t>包括：办公费、邮电费。</w:t>
      </w:r>
    </w:p>
    <w:p w14:paraId="157D339D">
      <w:pPr>
        <w:spacing w:line="640" w:lineRule="exact"/>
        <w:ind w:firstLine="640"/>
        <w:jc w:val="both"/>
        <w:outlineLvl w:val="2"/>
      </w:pPr>
      <w:r>
        <w:rPr>
          <w:rFonts w:ascii="黑体" w:hAnsi="黑体" w:eastAsia="黑体"/>
          <w:sz w:val="32"/>
        </w:rPr>
        <w:t>七、政府性基金预算财政拨款收入支出决算情况说明</w:t>
      </w:r>
    </w:p>
    <w:p w14:paraId="7835A13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BD2A60A">
      <w:pPr>
        <w:spacing w:line="640" w:lineRule="exact"/>
        <w:ind w:firstLine="640"/>
        <w:jc w:val="both"/>
        <w:outlineLvl w:val="2"/>
      </w:pPr>
      <w:r>
        <w:rPr>
          <w:rFonts w:ascii="黑体" w:hAnsi="黑体" w:eastAsia="黑体"/>
          <w:sz w:val="32"/>
        </w:rPr>
        <w:t>八、国有资本经营预算财政拨款收入支出决算情况说明</w:t>
      </w:r>
    </w:p>
    <w:p w14:paraId="2C6924B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D48FD3">
      <w:pPr>
        <w:spacing w:line="640" w:lineRule="exact"/>
        <w:ind w:firstLine="640"/>
        <w:jc w:val="both"/>
        <w:outlineLvl w:val="2"/>
      </w:pPr>
      <w:r>
        <w:rPr>
          <w:rFonts w:ascii="黑体" w:hAnsi="黑体" w:eastAsia="黑体"/>
          <w:sz w:val="32"/>
        </w:rPr>
        <w:t>九、财政拨款“三公”经费支出决算情况说明</w:t>
      </w:r>
    </w:p>
    <w:p w14:paraId="154F770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FF2DF3">
      <w:pPr>
        <w:spacing w:line="580" w:lineRule="exact"/>
        <w:ind w:firstLine="640"/>
        <w:jc w:val="both"/>
      </w:pPr>
      <w:r>
        <w:rPr>
          <w:rFonts w:ascii="仿宋_GB2312" w:hAnsi="仿宋_GB2312" w:eastAsia="仿宋_GB2312"/>
          <w:b/>
          <w:sz w:val="32"/>
        </w:rPr>
        <w:t>具体情况如下：</w:t>
      </w:r>
    </w:p>
    <w:p w14:paraId="2D80B6D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F2B83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624224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039602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9E153C6">
      <w:pPr>
        <w:spacing w:line="640" w:lineRule="exact"/>
        <w:ind w:firstLine="640"/>
        <w:jc w:val="both"/>
        <w:outlineLvl w:val="2"/>
      </w:pPr>
      <w:r>
        <w:rPr>
          <w:rFonts w:ascii="黑体" w:hAnsi="黑体" w:eastAsia="黑体"/>
          <w:sz w:val="32"/>
        </w:rPr>
        <w:t>十、其他重要事项的情况说明</w:t>
      </w:r>
    </w:p>
    <w:p w14:paraId="3AC97BD0">
      <w:pPr>
        <w:spacing w:line="640" w:lineRule="exact"/>
        <w:ind w:firstLine="640"/>
        <w:jc w:val="both"/>
        <w:outlineLvl w:val="3"/>
      </w:pPr>
      <w:r>
        <w:rPr>
          <w:rFonts w:ascii="楷体_GB2312" w:hAnsi="楷体_GB2312" w:eastAsia="楷体_GB2312"/>
          <w:b/>
          <w:sz w:val="32"/>
        </w:rPr>
        <w:t>（一）机关运行经费及公用经费支出情况</w:t>
      </w:r>
    </w:p>
    <w:p w14:paraId="3EDE06AE">
      <w:pPr>
        <w:spacing w:line="580" w:lineRule="exact"/>
        <w:ind w:firstLine="640"/>
        <w:jc w:val="both"/>
      </w:pPr>
      <w:r>
        <w:rPr>
          <w:rFonts w:ascii="仿宋_GB2312" w:hAnsi="仿宋_GB2312" w:eastAsia="仿宋_GB2312"/>
          <w:b w:val="0"/>
          <w:sz w:val="32"/>
        </w:rPr>
        <w:t>2024年度洛浦县教育考试中心（事业单位）公用经费支出0.25万元，比上年减少0.26万元，下降50.98%，主要原因是：严控经费支出，厉行节约，减少经费支出。</w:t>
      </w:r>
    </w:p>
    <w:p w14:paraId="4A339CF3">
      <w:pPr>
        <w:spacing w:line="640" w:lineRule="exact"/>
        <w:ind w:firstLine="640"/>
        <w:jc w:val="both"/>
        <w:outlineLvl w:val="3"/>
      </w:pPr>
      <w:r>
        <w:rPr>
          <w:rFonts w:ascii="楷体_GB2312" w:hAnsi="楷体_GB2312" w:eastAsia="楷体_GB2312"/>
          <w:b/>
          <w:sz w:val="32"/>
        </w:rPr>
        <w:t>（二）政府采购情况</w:t>
      </w:r>
    </w:p>
    <w:p w14:paraId="1FB60DAC">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6EA73E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25F5812">
      <w:pPr>
        <w:spacing w:line="640" w:lineRule="exact"/>
        <w:ind w:firstLine="640"/>
        <w:jc w:val="both"/>
        <w:outlineLvl w:val="3"/>
      </w:pPr>
      <w:r>
        <w:rPr>
          <w:rFonts w:ascii="楷体_GB2312" w:hAnsi="楷体_GB2312" w:eastAsia="楷体_GB2312"/>
          <w:b/>
          <w:sz w:val="32"/>
        </w:rPr>
        <w:t>（三）国有资产占用情况说明</w:t>
      </w:r>
    </w:p>
    <w:p w14:paraId="0D0AF363">
      <w:pPr>
        <w:spacing w:line="580" w:lineRule="exact"/>
        <w:ind w:firstLine="640"/>
        <w:jc w:val="both"/>
      </w:pPr>
      <w:r>
        <w:rPr>
          <w:rFonts w:ascii="仿宋_GB2312" w:hAnsi="仿宋_GB2312" w:eastAsia="仿宋_GB2312"/>
          <w:b w:val="0"/>
          <w:sz w:val="32"/>
        </w:rPr>
        <w:t>截至2024年12月31日，房屋0.00平方米，价值0.00万元。车辆1辆，价值4.00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56D6B40">
      <w:pPr>
        <w:spacing w:line="640" w:lineRule="exact"/>
        <w:ind w:firstLine="640"/>
        <w:jc w:val="both"/>
        <w:outlineLvl w:val="2"/>
      </w:pPr>
      <w:r>
        <w:rPr>
          <w:rFonts w:ascii="黑体" w:hAnsi="黑体" w:eastAsia="黑体"/>
          <w:sz w:val="32"/>
        </w:rPr>
        <w:t>十一、预算绩效的情况说明</w:t>
      </w:r>
    </w:p>
    <w:p w14:paraId="075D876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95.76万元，实际执行总额95.76万元；预算绩效评价项目0个，全年预算数0.00万元，全年执行数0.00万元。预算绩效管理取得的成效：一是实事求是，真实反映情况，项目管理部门对当年项目绩效进行自评，实事求是地分析评价项目完成情况，客观真实反映绩效情况，分析工作亮点，查找不足，倾听意见，改进措施；二是加强绩效目标管理，在项目完成的动态过程中，把目标任务层层分解，建立量化考评机制，强化职能监督，抓好末端工作落实；三是规范预算编制流程，先定绩效目标，后编制预算，增强预算编制的控制力和执行力。发现的问题及原因：一是目标设定科学性及评价存在难度。对于目标设定需要分科室单位分解,汇总后制定整体目标，如何科学整合全单位绩效目标比较困难；二是财务管理方面，会计核算还不够细致,对于有些能够细分的工作,未能详细分类核算,绩效评价基础数据不够精准。下一步改进措施：一是加强新行政单位会计制度和新预算法学习培训，规范账务处理，加强新《中华人民共和国预算法》《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完善管理制度,进一步加强资产管理严格按照《固定资产管理办法》的规定加强固定资产管理,及时登记、更新台账，加强资产卡片管理,对各类实物资产进行全面盘点,确保账账、账实相符。具体附整体支出绩效自评表。</w:t>
      </w:r>
    </w:p>
    <w:p w14:paraId="0B4552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05C485">
        <w:tblPrEx>
          <w:tblCellMar>
            <w:top w:w="0" w:type="dxa"/>
            <w:left w:w="108" w:type="dxa"/>
            <w:bottom w:w="0" w:type="dxa"/>
            <w:right w:w="108" w:type="dxa"/>
          </w:tblCellMar>
        </w:tblPrEx>
        <w:tc>
          <w:tcPr>
            <w:tcW w:w="8847" w:type="dxa"/>
            <w:gridSpan w:val="9"/>
            <w:vAlign w:val="center"/>
          </w:tcPr>
          <w:p w14:paraId="5AE3BD6F">
            <w:pPr>
              <w:jc w:val="center"/>
            </w:pPr>
            <w:r>
              <w:rPr>
                <w:rFonts w:ascii="宋体" w:hAnsi="宋体" w:eastAsia="宋体"/>
                <w:sz w:val="24"/>
              </w:rPr>
              <w:t>单位整体支出绩效自评表</w:t>
            </w:r>
          </w:p>
        </w:tc>
      </w:tr>
      <w:tr w14:paraId="2B13CB37">
        <w:tblPrEx>
          <w:tblCellMar>
            <w:top w:w="0" w:type="dxa"/>
            <w:left w:w="108" w:type="dxa"/>
            <w:bottom w:w="0" w:type="dxa"/>
            <w:right w:w="108" w:type="dxa"/>
          </w:tblCellMar>
        </w:tblPrEx>
        <w:tc>
          <w:tcPr>
            <w:tcW w:w="8847" w:type="dxa"/>
            <w:gridSpan w:val="9"/>
            <w:vAlign w:val="center"/>
          </w:tcPr>
          <w:p w14:paraId="41EF27B1">
            <w:pPr>
              <w:jc w:val="center"/>
            </w:pPr>
            <w:r>
              <w:rPr>
                <w:rFonts w:ascii="宋体" w:hAnsi="宋体" w:eastAsia="宋体"/>
                <w:sz w:val="24"/>
              </w:rPr>
              <w:t>（2024年度）</w:t>
            </w:r>
          </w:p>
        </w:tc>
      </w:tr>
      <w:tr w14:paraId="04E3C8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AE94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16483E">
            <w:pPr>
              <w:jc w:val="center"/>
            </w:pPr>
            <w:r>
              <w:rPr>
                <w:rFonts w:ascii="宋体" w:hAnsi="宋体" w:eastAsia="宋体"/>
                <w:sz w:val="16"/>
              </w:rPr>
              <w:t>洛浦县教育考试中心</w:t>
            </w:r>
          </w:p>
        </w:tc>
      </w:tr>
      <w:tr w14:paraId="64D92D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FC4F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C88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271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1BBD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518C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784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9028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0A4C">
            <w:pPr>
              <w:jc w:val="center"/>
            </w:pPr>
            <w:r>
              <w:rPr>
                <w:rFonts w:ascii="宋体" w:hAnsi="宋体" w:eastAsia="宋体"/>
                <w:sz w:val="16"/>
              </w:rPr>
              <w:t>得分</w:t>
            </w:r>
          </w:p>
        </w:tc>
      </w:tr>
      <w:tr w14:paraId="62A06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6E7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FC55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C172">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ACA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CDB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E4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98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F44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3FA7">
            <w:pPr>
              <w:jc w:val="center"/>
            </w:pPr>
            <w:r>
              <w:rPr>
                <w:rFonts w:ascii="宋体" w:hAnsi="宋体" w:eastAsia="宋体"/>
                <w:sz w:val="16"/>
              </w:rPr>
              <w:t>-</w:t>
            </w:r>
          </w:p>
        </w:tc>
      </w:tr>
      <w:tr w14:paraId="35EFB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C28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D93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BFA1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6AADD">
            <w:pPr>
              <w:jc w:val="center"/>
            </w:pPr>
            <w:r>
              <w:rPr>
                <w:rFonts w:ascii="宋体" w:hAnsi="宋体" w:eastAsia="宋体"/>
                <w:sz w:val="16"/>
              </w:rPr>
              <w:t>97.94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82DE0">
            <w:pPr>
              <w:jc w:val="center"/>
            </w:pPr>
            <w:r>
              <w:rPr>
                <w:rFonts w:ascii="宋体" w:hAnsi="宋体" w:eastAsia="宋体"/>
                <w:sz w:val="16"/>
              </w:rPr>
              <w:t>95.76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ADC0">
            <w:pPr>
              <w:jc w:val="center"/>
            </w:pPr>
            <w:r>
              <w:rPr>
                <w:rFonts w:ascii="宋体" w:hAnsi="宋体" w:eastAsia="宋体"/>
                <w:sz w:val="16"/>
              </w:rPr>
              <w:t>95.76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09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7D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9A3F">
            <w:pPr>
              <w:jc w:val="center"/>
            </w:pPr>
            <w:r>
              <w:rPr>
                <w:rFonts w:ascii="宋体" w:hAnsi="宋体" w:eastAsia="宋体"/>
                <w:sz w:val="16"/>
              </w:rPr>
              <w:t>-</w:t>
            </w:r>
          </w:p>
        </w:tc>
      </w:tr>
      <w:tr w14:paraId="37CE15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BEC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A1B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390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64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C8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96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87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C4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B681A">
            <w:pPr>
              <w:jc w:val="center"/>
            </w:pPr>
            <w:r>
              <w:rPr>
                <w:rFonts w:ascii="宋体" w:hAnsi="宋体" w:eastAsia="宋体"/>
                <w:sz w:val="16"/>
              </w:rPr>
              <w:t>-</w:t>
            </w:r>
          </w:p>
        </w:tc>
      </w:tr>
      <w:tr w14:paraId="407AF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7F9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5070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60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E67C4">
            <w:pPr>
              <w:jc w:val="center"/>
            </w:pPr>
            <w:r>
              <w:rPr>
                <w:rFonts w:ascii="宋体" w:hAnsi="宋体" w:eastAsia="宋体"/>
                <w:sz w:val="16"/>
              </w:rPr>
              <w:t>97.94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6D93">
            <w:pPr>
              <w:jc w:val="center"/>
            </w:pPr>
            <w:r>
              <w:rPr>
                <w:rFonts w:ascii="宋体" w:hAnsi="宋体" w:eastAsia="宋体"/>
                <w:sz w:val="16"/>
              </w:rPr>
              <w:t>95.76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D575">
            <w:pPr>
              <w:jc w:val="center"/>
            </w:pPr>
            <w:r>
              <w:rPr>
                <w:rFonts w:ascii="宋体" w:hAnsi="宋体" w:eastAsia="宋体"/>
                <w:sz w:val="16"/>
              </w:rPr>
              <w:t>95.76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76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AFC8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075D9">
            <w:pPr>
              <w:jc w:val="center"/>
            </w:pPr>
            <w:r>
              <w:rPr>
                <w:rFonts w:ascii="宋体" w:hAnsi="宋体" w:eastAsia="宋体"/>
                <w:sz w:val="16"/>
              </w:rPr>
              <w:t>10</w:t>
            </w:r>
          </w:p>
        </w:tc>
      </w:tr>
      <w:tr w14:paraId="7DC12F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080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004D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D7E89">
            <w:pPr>
              <w:jc w:val="center"/>
            </w:pPr>
            <w:r>
              <w:rPr>
                <w:rFonts w:ascii="宋体" w:hAnsi="宋体" w:eastAsia="宋体"/>
                <w:sz w:val="16"/>
              </w:rPr>
              <w:t>实际完成情况</w:t>
            </w:r>
          </w:p>
        </w:tc>
      </w:tr>
      <w:tr w14:paraId="0EE1E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8C3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AFC207">
            <w:pPr>
              <w:jc w:val="both"/>
            </w:pPr>
            <w:r>
              <w:rPr>
                <w:rFonts w:ascii="宋体" w:hAnsi="宋体" w:eastAsia="宋体"/>
                <w:sz w:val="16"/>
              </w:rPr>
              <w:t>单位基本职能：贯彻执行国家和自治区、地区各类考试、高等教育自学考试、普通高中毕业会考等政策，贯彻执行上级教育部门学业水平测试、普通话测试等各类考试政策</w:t>
            </w:r>
            <w:bookmarkStart w:id="0" w:name="_GoBack"/>
            <w:r>
              <w:rPr>
                <w:rFonts w:ascii="宋体" w:hAnsi="宋体" w:eastAsia="宋体"/>
                <w:sz w:val="16"/>
              </w:rPr>
              <w:t>并且</w:t>
            </w:r>
            <w:bookmarkEnd w:id="0"/>
            <w:r>
              <w:rPr>
                <w:rFonts w:ascii="宋体" w:hAnsi="宋体" w:eastAsia="宋体"/>
                <w:sz w:val="16"/>
              </w:rPr>
              <w:t>组织实施；承担各类考试信息的发布、咨询和服务等工作；完成上级主管部门交办的其他工作。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机构设置及人员配置：无下属预算单位，下设办公室，编制数5人，实有人数5人，退休人员0人。                                             中长期规划：宣传、组织和培训完成全县各类教育考试任务，提升教育高质量发展，使全县教师及社会人员受益，推进各项考试平安有序顺利开展。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目标1：保障单位在职5人的工资福利及各项补助正常发放及部门正常运转。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7D7E37">
            <w:pPr>
              <w:jc w:val="both"/>
            </w:pPr>
            <w:r>
              <w:rPr>
                <w:rFonts w:hint="eastAsia" w:ascii="宋体" w:hAnsi="宋体"/>
                <w:sz w:val="16"/>
                <w:lang w:eastAsia="zh-CN"/>
              </w:rPr>
              <w:t>截至2024</w:t>
            </w:r>
            <w:r>
              <w:rPr>
                <w:rFonts w:ascii="宋体" w:hAnsi="宋体" w:eastAsia="宋体"/>
                <w:sz w:val="16"/>
              </w:rPr>
              <w:t>年12月31日，我单位积极宣传、组织和培训完成全县各类教育考试任务，提升教育高质量发展，使全县教师及社会人员受益，推进各项考试平安有序顺利开展，同时，保障单位在职5人的工资福利及各项补助正常发放及部门正常运转。</w:t>
            </w:r>
          </w:p>
        </w:tc>
      </w:tr>
      <w:tr w14:paraId="6CC7BC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A543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7DD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FB1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CCC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C8E6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F84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BF9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3A774">
            <w:pPr>
              <w:jc w:val="center"/>
            </w:pPr>
            <w:r>
              <w:rPr>
                <w:rFonts w:ascii="宋体" w:hAnsi="宋体" w:eastAsia="宋体"/>
                <w:sz w:val="16"/>
              </w:rPr>
              <w:t>得分</w:t>
            </w:r>
          </w:p>
        </w:tc>
      </w:tr>
      <w:tr w14:paraId="788E6B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4F44B">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47C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1DED0">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A89C6">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574B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48D3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12A55">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F488">
            <w:pPr>
              <w:jc w:val="center"/>
            </w:pPr>
            <w:r>
              <w:rPr>
                <w:rFonts w:ascii="宋体" w:hAnsi="宋体" w:eastAsia="宋体"/>
                <w:sz w:val="16"/>
              </w:rPr>
              <w:t>30</w:t>
            </w:r>
          </w:p>
        </w:tc>
      </w:tr>
      <w:tr w14:paraId="7F2C2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D0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0A728">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8682">
            <w:pPr>
              <w:jc w:val="center"/>
            </w:pPr>
            <w:r>
              <w:rPr>
                <w:rFonts w:ascii="宋体" w:hAnsi="宋体" w:eastAsia="宋体"/>
                <w:sz w:val="16"/>
              </w:rPr>
              <w:t>工资发放准确率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50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A47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3A0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7ED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7B56">
            <w:pPr>
              <w:jc w:val="center"/>
            </w:pPr>
            <w:r>
              <w:rPr>
                <w:rFonts w:ascii="宋体" w:hAnsi="宋体" w:eastAsia="宋体"/>
                <w:sz w:val="16"/>
              </w:rPr>
              <w:t>30</w:t>
            </w:r>
          </w:p>
        </w:tc>
      </w:tr>
      <w:tr w14:paraId="71EBF2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212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9D860">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C384">
            <w:pPr>
              <w:jc w:val="center"/>
            </w:pPr>
            <w:r>
              <w:rPr>
                <w:rFonts w:ascii="宋体" w:hAnsi="宋体" w:eastAsia="宋体"/>
                <w:sz w:val="16"/>
              </w:rPr>
              <w:t>工资发放及时率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F9F3">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82FD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6063D">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D16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002E0">
            <w:pPr>
              <w:jc w:val="center"/>
            </w:pPr>
            <w:r>
              <w:rPr>
                <w:rFonts w:ascii="宋体" w:hAnsi="宋体" w:eastAsia="宋体"/>
                <w:sz w:val="16"/>
              </w:rPr>
              <w:t>30</w:t>
            </w:r>
          </w:p>
        </w:tc>
      </w:tr>
    </w:tbl>
    <w:p w14:paraId="443900ED">
      <w:r>
        <w:br w:type="page"/>
      </w:r>
    </w:p>
    <w:p w14:paraId="137AC203">
      <w:pPr>
        <w:spacing w:line="640" w:lineRule="exact"/>
        <w:ind w:firstLine="640"/>
        <w:jc w:val="both"/>
        <w:outlineLvl w:val="2"/>
      </w:pPr>
      <w:r>
        <w:rPr>
          <w:rFonts w:ascii="黑体" w:hAnsi="黑体" w:eastAsia="黑体"/>
          <w:sz w:val="32"/>
        </w:rPr>
        <w:t>十二、其他需说明的事项</w:t>
      </w:r>
    </w:p>
    <w:p w14:paraId="756A5523">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85AE32C">
      <w:r>
        <w:br w:type="page"/>
      </w:r>
    </w:p>
    <w:p w14:paraId="0E1C1197">
      <w:pPr>
        <w:spacing w:line="240" w:lineRule="auto"/>
        <w:jc w:val="center"/>
        <w:outlineLvl w:val="1"/>
      </w:pPr>
      <w:r>
        <w:rPr>
          <w:rFonts w:ascii="黑体" w:hAnsi="黑体" w:eastAsia="黑体"/>
          <w:sz w:val="32"/>
        </w:rPr>
        <w:t>第三部分 专业名词解释</w:t>
      </w:r>
    </w:p>
    <w:p w14:paraId="4A1B1CC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66234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29CB1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6F29B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2C0D7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119CC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C302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E121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1B1E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15463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2CB22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BD61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4160B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D52C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9258F5">
      <w:r>
        <w:br w:type="page"/>
      </w:r>
    </w:p>
    <w:p w14:paraId="35E8C272">
      <w:pPr>
        <w:spacing w:line="240" w:lineRule="auto"/>
        <w:jc w:val="center"/>
        <w:outlineLvl w:val="1"/>
      </w:pPr>
      <w:r>
        <w:rPr>
          <w:rFonts w:ascii="黑体" w:hAnsi="黑体" w:eastAsia="黑体"/>
          <w:sz w:val="32"/>
        </w:rPr>
        <w:t>第四部分 部门决算报表（见附表）</w:t>
      </w:r>
    </w:p>
    <w:p w14:paraId="66A60370">
      <w:pPr>
        <w:spacing w:line="240" w:lineRule="auto"/>
        <w:ind w:firstLine="640"/>
        <w:jc w:val="both"/>
      </w:pPr>
      <w:r>
        <w:rPr>
          <w:rFonts w:ascii="仿宋_GB2312" w:hAnsi="仿宋_GB2312" w:eastAsia="仿宋_GB2312"/>
          <w:b w:val="0"/>
          <w:sz w:val="32"/>
        </w:rPr>
        <w:t>一、《收入支出决算总表》</w:t>
      </w:r>
    </w:p>
    <w:p w14:paraId="3EC2186D">
      <w:pPr>
        <w:spacing w:line="240" w:lineRule="auto"/>
        <w:ind w:firstLine="640"/>
        <w:jc w:val="both"/>
      </w:pPr>
      <w:r>
        <w:rPr>
          <w:rFonts w:ascii="仿宋_GB2312" w:hAnsi="仿宋_GB2312" w:eastAsia="仿宋_GB2312"/>
          <w:b w:val="0"/>
          <w:sz w:val="32"/>
        </w:rPr>
        <w:t>二、《收入决算表》</w:t>
      </w:r>
    </w:p>
    <w:p w14:paraId="15BCE272">
      <w:pPr>
        <w:spacing w:line="240" w:lineRule="auto"/>
        <w:ind w:firstLine="640"/>
        <w:jc w:val="both"/>
      </w:pPr>
      <w:r>
        <w:rPr>
          <w:rFonts w:ascii="仿宋_GB2312" w:hAnsi="仿宋_GB2312" w:eastAsia="仿宋_GB2312"/>
          <w:b w:val="0"/>
          <w:sz w:val="32"/>
        </w:rPr>
        <w:t>三、《支出决算表》</w:t>
      </w:r>
    </w:p>
    <w:p w14:paraId="516D9246">
      <w:pPr>
        <w:spacing w:line="240" w:lineRule="auto"/>
        <w:ind w:firstLine="640"/>
        <w:jc w:val="both"/>
      </w:pPr>
      <w:r>
        <w:rPr>
          <w:rFonts w:ascii="仿宋_GB2312" w:hAnsi="仿宋_GB2312" w:eastAsia="仿宋_GB2312"/>
          <w:b w:val="0"/>
          <w:sz w:val="32"/>
        </w:rPr>
        <w:t>四、《财政拨款收入支出决算总表》</w:t>
      </w:r>
    </w:p>
    <w:p w14:paraId="19571E62">
      <w:pPr>
        <w:spacing w:line="240" w:lineRule="auto"/>
        <w:ind w:firstLine="640"/>
        <w:jc w:val="both"/>
      </w:pPr>
      <w:r>
        <w:rPr>
          <w:rFonts w:ascii="仿宋_GB2312" w:hAnsi="仿宋_GB2312" w:eastAsia="仿宋_GB2312"/>
          <w:b w:val="0"/>
          <w:sz w:val="32"/>
        </w:rPr>
        <w:t>五、《一般公共预算财政拨款支出决算表》</w:t>
      </w:r>
    </w:p>
    <w:p w14:paraId="5CA3C89A">
      <w:pPr>
        <w:spacing w:line="240" w:lineRule="auto"/>
        <w:ind w:firstLine="640"/>
        <w:jc w:val="both"/>
      </w:pPr>
      <w:r>
        <w:rPr>
          <w:rFonts w:ascii="仿宋_GB2312" w:hAnsi="仿宋_GB2312" w:eastAsia="仿宋_GB2312"/>
          <w:b w:val="0"/>
          <w:sz w:val="32"/>
        </w:rPr>
        <w:t>六、《一般公共预算财政拨款基本支出决算表》</w:t>
      </w:r>
    </w:p>
    <w:p w14:paraId="524A06C0">
      <w:pPr>
        <w:spacing w:line="240" w:lineRule="auto"/>
        <w:ind w:firstLine="640"/>
        <w:jc w:val="both"/>
      </w:pPr>
      <w:r>
        <w:rPr>
          <w:rFonts w:ascii="仿宋_GB2312" w:hAnsi="仿宋_GB2312" w:eastAsia="仿宋_GB2312"/>
          <w:b w:val="0"/>
          <w:sz w:val="32"/>
        </w:rPr>
        <w:t>七、《政府性基金预算财政拨款收入支出决算表》</w:t>
      </w:r>
    </w:p>
    <w:p w14:paraId="08292A7D">
      <w:pPr>
        <w:spacing w:line="240" w:lineRule="auto"/>
        <w:ind w:firstLine="640"/>
        <w:jc w:val="both"/>
      </w:pPr>
      <w:r>
        <w:rPr>
          <w:rFonts w:ascii="仿宋_GB2312" w:hAnsi="仿宋_GB2312" w:eastAsia="仿宋_GB2312"/>
          <w:b w:val="0"/>
          <w:sz w:val="32"/>
        </w:rPr>
        <w:t>八、《国有资本经营预算财政拨款收入支出决算表》</w:t>
      </w:r>
    </w:p>
    <w:p w14:paraId="28A15006">
      <w:pPr>
        <w:spacing w:line="240" w:lineRule="auto"/>
        <w:ind w:firstLine="640"/>
        <w:jc w:val="both"/>
      </w:pPr>
      <w:r>
        <w:rPr>
          <w:rFonts w:ascii="仿宋_GB2312" w:hAnsi="仿宋_GB2312" w:eastAsia="仿宋_GB2312"/>
          <w:b w:val="0"/>
          <w:sz w:val="32"/>
        </w:rPr>
        <w:t>九、《财政拨款“三公”经费支出决算表》</w:t>
      </w:r>
    </w:p>
    <w:p w14:paraId="2414282A">
      <w:pPr>
        <w:spacing w:line="240" w:lineRule="auto"/>
        <w:ind w:firstLine="640"/>
        <w:jc w:val="both"/>
      </w:pPr>
    </w:p>
    <w:p w14:paraId="028F67FD">
      <w:pPr>
        <w:spacing w:line="240" w:lineRule="auto"/>
        <w:ind w:firstLine="640"/>
        <w:jc w:val="both"/>
      </w:pPr>
    </w:p>
    <w:p w14:paraId="258A3265">
      <w:pPr>
        <w:spacing w:line="240" w:lineRule="auto"/>
        <w:ind w:firstLine="640"/>
        <w:jc w:val="both"/>
      </w:pPr>
    </w:p>
    <w:p w14:paraId="235E3524">
      <w:pPr>
        <w:spacing w:line="240" w:lineRule="auto"/>
        <w:ind w:firstLine="640"/>
        <w:jc w:val="both"/>
      </w:pPr>
    </w:p>
    <w:p w14:paraId="2A9EF0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ED7192"/>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6D4E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4251</Words>
  <Characters>4781</Characters>
  <Lines>0</Lines>
  <Paragraphs>0</Paragraphs>
  <TotalTime>1</TotalTime>
  <ScaleCrop>false</ScaleCrop>
  <LinksUpToDate>false</LinksUpToDate>
  <CharactersWithSpaces>4791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