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洛浦县拜什托格拉克乡卫生院2024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49975D">
      <w:r>
        <w:br w:type="page"/>
      </w:r>
    </w:p>
    <w:p w14:paraId="6BE10908">
      <w:pPr>
        <w:spacing w:line="640" w:lineRule="exact"/>
        <w:jc w:val="center"/>
        <w:outlineLvl w:val="1"/>
      </w:pPr>
      <w:r>
        <w:rPr>
          <w:rFonts w:ascii="黑体" w:hAnsi="黑体" w:eastAsia="黑体"/>
          <w:sz w:val="32"/>
        </w:rPr>
        <w:t>第一部分 单位概况</w:t>
      </w:r>
    </w:p>
    <w:p w14:paraId="351988C5">
      <w:pPr>
        <w:spacing w:line="640" w:lineRule="exact"/>
        <w:ind w:firstLine="640"/>
        <w:jc w:val="both"/>
        <w:outlineLvl w:val="2"/>
      </w:pPr>
      <w:r>
        <w:rPr>
          <w:rFonts w:ascii="黑体" w:hAnsi="黑体" w:eastAsia="黑体"/>
          <w:sz w:val="32"/>
        </w:rPr>
        <w:t>一、主要职能</w:t>
      </w:r>
    </w:p>
    <w:p w14:paraId="1772A03B">
      <w:pPr>
        <w:spacing w:line="580" w:lineRule="exact"/>
        <w:ind w:firstLine="640"/>
        <w:jc w:val="both"/>
      </w:pPr>
      <w:r>
        <w:rPr>
          <w:rFonts w:ascii="仿宋_GB2312" w:hAnsi="仿宋_GB2312" w:eastAsia="仿宋_GB2312"/>
          <w:sz w:val="32"/>
        </w:rPr>
        <w:t>洛浦县拜什托格拉克乡卫生院是一个实行独立核算的基层医疗卫生事业单位，</w:t>
      </w:r>
      <w:r>
        <w:rPr>
          <w:rFonts w:hint="eastAsia" w:ascii="仿宋_GB2312" w:hAnsi="仿宋_GB2312" w:eastAsia="仿宋_GB2312"/>
          <w:sz w:val="32"/>
          <w:lang w:val="en-US" w:eastAsia="zh-CN"/>
        </w:rPr>
        <w:t>以</w:t>
      </w:r>
      <w:r>
        <w:rPr>
          <w:rFonts w:ascii="仿宋_GB2312" w:hAnsi="仿宋_GB2312" w:eastAsia="仿宋_GB2312"/>
          <w:sz w:val="32"/>
        </w:rPr>
        <w:t>公共卫生服务为主，综合提供预防疾病，妇幼保健和基层基本医疗服务等。</w:t>
      </w:r>
    </w:p>
    <w:p w14:paraId="70B0C5B7">
      <w:pPr>
        <w:spacing w:line="640" w:lineRule="exact"/>
        <w:ind w:firstLine="640"/>
        <w:jc w:val="both"/>
        <w:outlineLvl w:val="2"/>
      </w:pPr>
      <w:r>
        <w:rPr>
          <w:rFonts w:ascii="黑体" w:hAnsi="黑体" w:eastAsia="黑体"/>
          <w:sz w:val="32"/>
        </w:rPr>
        <w:t>二、机构设置及人员情况</w:t>
      </w:r>
    </w:p>
    <w:p w14:paraId="20EE9357">
      <w:pPr>
        <w:spacing w:line="580" w:lineRule="exact"/>
        <w:ind w:firstLine="640"/>
        <w:jc w:val="both"/>
      </w:pPr>
      <w:r>
        <w:rPr>
          <w:rFonts w:ascii="仿宋_GB2312" w:hAnsi="仿宋_GB2312" w:eastAsia="仿宋_GB2312"/>
          <w:sz w:val="32"/>
        </w:rPr>
        <w:t>洛浦县拜什托格拉克乡卫生院2024年度，实有人数28人，其中：在职人员25人，增加3人；离休人员0人，增加0人；退休人员3人</w:t>
      </w:r>
      <w:r>
        <w:rPr>
          <w:rFonts w:hint="eastAsia" w:ascii="仿宋_GB2312" w:hAnsi="仿宋_GB2312" w:eastAsia="仿宋_GB2312"/>
          <w:sz w:val="32"/>
          <w:lang w:eastAsia="zh-CN"/>
        </w:rPr>
        <w:t>，</w:t>
      </w:r>
      <w:r>
        <w:rPr>
          <w:rFonts w:ascii="仿宋_GB2312" w:hAnsi="仿宋_GB2312" w:eastAsia="仿宋_GB2312"/>
          <w:sz w:val="32"/>
        </w:rPr>
        <w:t>增加0人。</w:t>
      </w:r>
    </w:p>
    <w:p w14:paraId="58055F6F">
      <w:pPr>
        <w:spacing w:line="580" w:lineRule="exact"/>
        <w:ind w:firstLine="640"/>
        <w:jc w:val="both"/>
      </w:pPr>
      <w:r>
        <w:rPr>
          <w:rFonts w:ascii="仿宋_GB2312" w:hAnsi="仿宋_GB2312" w:eastAsia="仿宋_GB2312"/>
          <w:sz w:val="32"/>
        </w:rPr>
        <w:t>洛浦县拜什托格拉克乡卫生院无下属预算单位，下设6个科室，分别是：公共卫生科、住院部、中医科、办公室、辅助科、财务科。</w:t>
      </w:r>
    </w:p>
    <w:p w14:paraId="75F3E50E">
      <w:r>
        <w:br w:type="page"/>
      </w:r>
    </w:p>
    <w:p w14:paraId="08DE176C">
      <w:pPr>
        <w:spacing w:line="240" w:lineRule="auto"/>
        <w:jc w:val="center"/>
        <w:outlineLvl w:val="1"/>
      </w:pPr>
      <w:r>
        <w:rPr>
          <w:rFonts w:ascii="黑体" w:hAnsi="黑体" w:eastAsia="黑体"/>
          <w:sz w:val="32"/>
        </w:rPr>
        <w:t>第二部分 部门决算情况说明</w:t>
      </w:r>
    </w:p>
    <w:p w14:paraId="2E607B97">
      <w:pPr>
        <w:spacing w:line="640" w:lineRule="exact"/>
        <w:ind w:firstLine="640"/>
        <w:jc w:val="both"/>
        <w:outlineLvl w:val="2"/>
      </w:pPr>
      <w:r>
        <w:rPr>
          <w:rFonts w:ascii="黑体" w:hAnsi="黑体" w:eastAsia="黑体"/>
          <w:sz w:val="32"/>
        </w:rPr>
        <w:t>一、收入支出决算总体情况说明</w:t>
      </w:r>
    </w:p>
    <w:p w14:paraId="6D3ADB6E">
      <w:pPr>
        <w:spacing w:line="580" w:lineRule="exact"/>
        <w:ind w:firstLine="640"/>
        <w:jc w:val="both"/>
      </w:pPr>
      <w:r>
        <w:rPr>
          <w:rFonts w:ascii="仿宋_GB2312" w:hAnsi="仿宋_GB2312" w:eastAsia="仿宋_GB2312"/>
          <w:b/>
          <w:sz w:val="32"/>
        </w:rPr>
        <w:t>2024年度收入总计896.83万元，</w:t>
      </w:r>
      <w:r>
        <w:rPr>
          <w:rFonts w:ascii="仿宋_GB2312" w:hAnsi="仿宋_GB2312" w:eastAsia="仿宋_GB2312"/>
          <w:b w:val="0"/>
          <w:sz w:val="32"/>
        </w:rPr>
        <w:t>其中：本年收入合计896.83万元，使用非财政拨款</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（含专用结余）0.00万元，年初结转和结余0.00万元。</w:t>
      </w:r>
    </w:p>
    <w:p w14:paraId="3A56A546">
      <w:pPr>
        <w:spacing w:line="580" w:lineRule="exact"/>
        <w:ind w:firstLine="640"/>
        <w:jc w:val="both"/>
      </w:pPr>
      <w:r>
        <w:rPr>
          <w:rFonts w:ascii="仿宋_GB2312" w:hAnsi="仿宋_GB2312" w:eastAsia="仿宋_GB2312"/>
          <w:b/>
          <w:sz w:val="32"/>
        </w:rPr>
        <w:t>2024年度支出总计896.83万元，</w:t>
      </w:r>
      <w:r>
        <w:rPr>
          <w:rFonts w:ascii="仿宋_GB2312" w:hAnsi="仿宋_GB2312" w:eastAsia="仿宋_GB2312"/>
          <w:b w:val="0"/>
          <w:sz w:val="32"/>
        </w:rPr>
        <w:t>其中：本年支出合计896.83万元，结余分配0.00万元，年末结转和结余0.00万元。</w:t>
      </w:r>
    </w:p>
    <w:p w14:paraId="4DC37A32">
      <w:pPr>
        <w:spacing w:line="580" w:lineRule="exact"/>
        <w:ind w:firstLine="640"/>
        <w:jc w:val="both"/>
      </w:pPr>
      <w:r>
        <w:rPr>
          <w:rFonts w:ascii="仿宋_GB2312" w:hAnsi="仿宋_GB2312" w:eastAsia="仿宋_GB2312"/>
          <w:b w:val="0"/>
          <w:sz w:val="32"/>
        </w:rPr>
        <w:t>收入支出总体与上年相比，减少117.35万元，下降11.57%，主要原因是：因医保政策调整原因，本年事业收入大量减少。</w:t>
      </w:r>
    </w:p>
    <w:p w14:paraId="3F0C03CE">
      <w:pPr>
        <w:spacing w:line="640" w:lineRule="exact"/>
        <w:ind w:firstLine="640"/>
        <w:jc w:val="both"/>
        <w:outlineLvl w:val="2"/>
      </w:pPr>
      <w:r>
        <w:rPr>
          <w:rFonts w:ascii="黑体" w:hAnsi="黑体" w:eastAsia="黑体"/>
          <w:sz w:val="32"/>
        </w:rPr>
        <w:t>二、收入决算情况说明</w:t>
      </w:r>
    </w:p>
    <w:p w14:paraId="0408A81E">
      <w:pPr>
        <w:spacing w:line="580" w:lineRule="exact"/>
        <w:ind w:firstLine="640"/>
        <w:jc w:val="both"/>
      </w:pPr>
      <w:r>
        <w:rPr>
          <w:rFonts w:ascii="仿宋_GB2312" w:hAnsi="仿宋_GB2312" w:eastAsia="仿宋_GB2312"/>
          <w:b/>
          <w:sz w:val="32"/>
        </w:rPr>
        <w:t>本年收入896.83万元，</w:t>
      </w:r>
      <w:r>
        <w:rPr>
          <w:rFonts w:ascii="仿宋_GB2312" w:hAnsi="仿宋_GB2312" w:eastAsia="仿宋_GB2312"/>
          <w:b w:val="0"/>
          <w:sz w:val="32"/>
        </w:rPr>
        <w:t>其中：财政拨款收入571.66万元，占63.74%；上级补助收入0.00万元，占0.00%；事业收入325.17万元，占36.26%；经营收入0.00万元，占0.00%；附属单位上缴收入0.00万元，占0.00%；其他收入0.00万元，占0.00%。</w:t>
      </w:r>
    </w:p>
    <w:p w14:paraId="18C44F1C">
      <w:pPr>
        <w:spacing w:line="640" w:lineRule="exact"/>
        <w:ind w:firstLine="640"/>
        <w:jc w:val="both"/>
        <w:outlineLvl w:val="2"/>
      </w:pPr>
      <w:r>
        <w:rPr>
          <w:rFonts w:ascii="黑体" w:hAnsi="黑体" w:eastAsia="黑体"/>
          <w:sz w:val="32"/>
        </w:rPr>
        <w:t>三、支出决算情况说明</w:t>
      </w:r>
    </w:p>
    <w:p w14:paraId="33E48A59">
      <w:pPr>
        <w:spacing w:line="580" w:lineRule="exact"/>
        <w:ind w:firstLine="640"/>
        <w:jc w:val="both"/>
      </w:pPr>
      <w:r>
        <w:rPr>
          <w:rFonts w:ascii="仿宋_GB2312" w:hAnsi="仿宋_GB2312" w:eastAsia="仿宋_GB2312"/>
          <w:b/>
          <w:sz w:val="32"/>
        </w:rPr>
        <w:t>本年支出896.83万元，</w:t>
      </w:r>
      <w:r>
        <w:rPr>
          <w:rFonts w:ascii="仿宋_GB2312" w:hAnsi="仿宋_GB2312" w:eastAsia="仿宋_GB2312"/>
          <w:b w:val="0"/>
          <w:sz w:val="32"/>
        </w:rPr>
        <w:t>其中：基本支出758.18万元，占84.54%；项目支出138.65万元，占15.46%；上缴上级支出0.00万元，占0.00%；经营支出0.00万元，占0.00%；对附属单位补助支出0.00万元，占0.00%。</w:t>
      </w:r>
    </w:p>
    <w:p w14:paraId="4097E4BA">
      <w:pPr>
        <w:spacing w:line="640" w:lineRule="exact"/>
        <w:ind w:firstLine="640"/>
        <w:jc w:val="both"/>
        <w:outlineLvl w:val="2"/>
      </w:pPr>
      <w:r>
        <w:rPr>
          <w:rFonts w:ascii="黑体" w:hAnsi="黑体" w:eastAsia="黑体"/>
          <w:sz w:val="32"/>
        </w:rPr>
        <w:t>四、财政拨款收入支出决算总体情况说明</w:t>
      </w:r>
    </w:p>
    <w:p w14:paraId="24E38456">
      <w:pPr>
        <w:spacing w:line="580" w:lineRule="exact"/>
        <w:ind w:firstLine="640"/>
        <w:jc w:val="both"/>
      </w:pPr>
      <w:r>
        <w:rPr>
          <w:rFonts w:ascii="仿宋_GB2312" w:hAnsi="仿宋_GB2312" w:eastAsia="仿宋_GB2312"/>
          <w:b/>
          <w:sz w:val="32"/>
        </w:rPr>
        <w:t>2024年度财政拨款收入总计571.66万元，</w:t>
      </w:r>
      <w:r>
        <w:rPr>
          <w:rFonts w:ascii="仿宋_GB2312" w:hAnsi="仿宋_GB2312" w:eastAsia="仿宋_GB2312"/>
          <w:b w:val="0"/>
          <w:sz w:val="32"/>
        </w:rPr>
        <w:t>其中：年初财政拨款结转和结余0.00万元，本年财政拨款收入571.66万元。</w:t>
      </w:r>
      <w:r>
        <w:rPr>
          <w:rFonts w:ascii="仿宋_GB2312" w:hAnsi="仿宋_GB2312" w:eastAsia="仿宋_GB2312"/>
          <w:b/>
          <w:sz w:val="32"/>
        </w:rPr>
        <w:t>财政拨款支出总计571.66万元，</w:t>
      </w:r>
      <w:r>
        <w:rPr>
          <w:rFonts w:ascii="仿宋_GB2312" w:hAnsi="仿宋_GB2312" w:eastAsia="仿宋_GB2312"/>
          <w:b w:val="0"/>
          <w:sz w:val="32"/>
        </w:rPr>
        <w:t>其中：年末财政拨款结转和结余0.00万元，本年财政拨款支出571.66万元。</w:t>
      </w:r>
    </w:p>
    <w:p w14:paraId="057A74B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增加28.14万元，增长5.18%，主要原因是：一是本年在职人员增加，在职人员工资调增、社保、公积金基数调增，人员经费增加；二是基本公共卫生服务补助资金</w:t>
      </w:r>
      <w:r>
        <w:rPr>
          <w:rFonts w:hint="eastAsia" w:ascii="仿宋_GB2312" w:hAnsi="仿宋_GB2312" w:eastAsia="仿宋_GB2312"/>
          <w:b w:val="0"/>
          <w:sz w:val="32"/>
          <w:lang w:eastAsia="zh-CN"/>
        </w:rPr>
        <w:t>、</w:t>
      </w:r>
      <w:r>
        <w:rPr>
          <w:rFonts w:ascii="仿宋_GB2312" w:hAnsi="仿宋_GB2312" w:eastAsia="仿宋_GB2312"/>
          <w:b w:val="0"/>
          <w:sz w:val="32"/>
        </w:rPr>
        <w:t>地方公共卫生服务（全民健康体检）项目资金较上年度增加。</w:t>
      </w:r>
      <w:r>
        <w:rPr>
          <w:rFonts w:ascii="仿宋_GB2312" w:hAnsi="仿宋_GB2312" w:eastAsia="仿宋_GB2312"/>
          <w:b/>
          <w:sz w:val="32"/>
        </w:rPr>
        <w:t>与年初预算相比，</w:t>
      </w:r>
      <w:r>
        <w:rPr>
          <w:rFonts w:ascii="仿宋_GB2312" w:hAnsi="仿宋_GB2312" w:eastAsia="仿宋_GB2312"/>
          <w:b w:val="0"/>
          <w:sz w:val="32"/>
        </w:rPr>
        <w:t>年初预算数374.38万元，决算数571.66万元，预决算差异率52.70%，主要原因是：年中追加人员工资、社保、公积金基数调增部分资金，追加基本公共卫生补助资金、基本药物制度补助资金，导致预决算存在差异。</w:t>
      </w:r>
    </w:p>
    <w:p w14:paraId="1165AA9B">
      <w:pPr>
        <w:spacing w:line="640" w:lineRule="exact"/>
        <w:ind w:firstLine="640"/>
        <w:jc w:val="both"/>
        <w:outlineLvl w:val="2"/>
      </w:pPr>
      <w:r>
        <w:rPr>
          <w:rFonts w:ascii="黑体" w:hAnsi="黑体" w:eastAsia="黑体"/>
          <w:sz w:val="32"/>
        </w:rPr>
        <w:t>五、一般公共预算财政拨款支出决算情况说明</w:t>
      </w:r>
    </w:p>
    <w:p w14:paraId="122F4845">
      <w:pPr>
        <w:spacing w:line="640" w:lineRule="exact"/>
        <w:ind w:firstLine="640"/>
        <w:jc w:val="both"/>
        <w:outlineLvl w:val="3"/>
      </w:pPr>
      <w:r>
        <w:rPr>
          <w:rFonts w:ascii="楷体_GB2312" w:hAnsi="楷体_GB2312" w:eastAsia="楷体_GB2312"/>
          <w:b/>
          <w:sz w:val="32"/>
        </w:rPr>
        <w:t>（一）一般公共预算财政拨款支出决算总体情况</w:t>
      </w:r>
    </w:p>
    <w:p w14:paraId="50413483">
      <w:pPr>
        <w:spacing w:line="580" w:lineRule="exact"/>
        <w:ind w:firstLine="640"/>
        <w:jc w:val="both"/>
      </w:pPr>
      <w:r>
        <w:rPr>
          <w:rFonts w:ascii="仿宋_GB2312" w:hAnsi="仿宋_GB2312" w:eastAsia="仿宋_GB2312"/>
          <w:b/>
          <w:sz w:val="32"/>
        </w:rPr>
        <w:t>2024年度一般公共预算财政拨款支出571.66万元，</w:t>
      </w:r>
      <w:r>
        <w:rPr>
          <w:rFonts w:ascii="仿宋_GB2312" w:hAnsi="仿宋_GB2312" w:eastAsia="仿宋_GB2312"/>
          <w:b w:val="0"/>
          <w:sz w:val="32"/>
        </w:rPr>
        <w:t>占本年支出合计的63.74%。</w:t>
      </w:r>
      <w:r>
        <w:rPr>
          <w:rFonts w:ascii="仿宋_GB2312" w:hAnsi="仿宋_GB2312" w:eastAsia="仿宋_GB2312"/>
          <w:b/>
          <w:sz w:val="32"/>
        </w:rPr>
        <w:t>与上年相比，</w:t>
      </w:r>
      <w:r>
        <w:rPr>
          <w:rFonts w:ascii="仿宋_GB2312" w:hAnsi="仿宋_GB2312" w:eastAsia="仿宋_GB2312"/>
          <w:b w:val="0"/>
          <w:sz w:val="32"/>
        </w:rPr>
        <w:t>增加28.14万元，增长5.18%，主要原因是：一是本年在职人员增加，在职人员工资调增、社保、公积金基数调增，人员经费增加；二是基本公共卫生服务补助资金</w:t>
      </w:r>
      <w:r>
        <w:rPr>
          <w:rFonts w:hint="eastAsia" w:ascii="仿宋_GB2312" w:hAnsi="仿宋_GB2312" w:eastAsia="仿宋_GB2312"/>
          <w:b w:val="0"/>
          <w:sz w:val="32"/>
          <w:lang w:eastAsia="zh-CN"/>
        </w:rPr>
        <w:t>、</w:t>
      </w:r>
      <w:r>
        <w:rPr>
          <w:rFonts w:ascii="仿宋_GB2312" w:hAnsi="仿宋_GB2312" w:eastAsia="仿宋_GB2312"/>
          <w:b w:val="0"/>
          <w:sz w:val="32"/>
        </w:rPr>
        <w:t>地方公共卫生服务（全民健康体检）项目资金较上年度增加。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年初预算数374.38万元，决算数571.66万元，预决算差异率52.70%，主要原因是：年中追加人员工资、社保、公积金基数调增部分资金，追加基本公共卫生补助资金、基本药物制度补助资金，导致预决算存在差异。</w:t>
      </w:r>
    </w:p>
    <w:p w14:paraId="6C8C3555">
      <w:pPr>
        <w:spacing w:line="640" w:lineRule="exact"/>
        <w:ind w:firstLine="640"/>
        <w:jc w:val="both"/>
        <w:outlineLvl w:val="3"/>
      </w:pPr>
      <w:r>
        <w:rPr>
          <w:rFonts w:ascii="楷体_GB2312" w:hAnsi="楷体_GB2312" w:eastAsia="楷体_GB2312"/>
          <w:b/>
          <w:sz w:val="32"/>
        </w:rPr>
        <w:t>（二）一般公共预算财政拨款支出决算结构情况</w:t>
      </w:r>
    </w:p>
    <w:p w14:paraId="28397D81">
      <w:pPr>
        <w:spacing w:line="580" w:lineRule="exact"/>
        <w:ind w:firstLine="640"/>
        <w:jc w:val="both"/>
      </w:pPr>
      <w:r>
        <w:rPr>
          <w:rFonts w:ascii="仿宋_GB2312" w:hAnsi="仿宋_GB2312" w:eastAsia="仿宋_GB2312"/>
          <w:b w:val="0"/>
          <w:sz w:val="32"/>
        </w:rPr>
        <w:t>1.社会保障和就业支出(类)47.72万元</w:t>
      </w:r>
      <w:r>
        <w:rPr>
          <w:rFonts w:hint="eastAsia" w:ascii="仿宋_GB2312" w:hAnsi="仿宋_GB2312" w:eastAsia="仿宋_GB2312"/>
          <w:b w:val="0"/>
          <w:sz w:val="32"/>
          <w:lang w:eastAsia="zh-CN"/>
        </w:rPr>
        <w:t>，</w:t>
      </w:r>
      <w:r>
        <w:rPr>
          <w:rFonts w:ascii="仿宋_GB2312" w:hAnsi="仿宋_GB2312" w:eastAsia="仿宋_GB2312"/>
          <w:b w:val="0"/>
          <w:sz w:val="32"/>
        </w:rPr>
        <w:t>占8.35%。</w:t>
      </w:r>
    </w:p>
    <w:p w14:paraId="2D9AFC9D">
      <w:pPr>
        <w:spacing w:line="580" w:lineRule="exact"/>
        <w:ind w:firstLine="640"/>
        <w:jc w:val="both"/>
      </w:pPr>
      <w:r>
        <w:rPr>
          <w:rFonts w:ascii="仿宋_GB2312" w:hAnsi="仿宋_GB2312" w:eastAsia="仿宋_GB2312"/>
          <w:b w:val="0"/>
          <w:sz w:val="32"/>
        </w:rPr>
        <w:t>2.卫生健康支出(类)490.12万元</w:t>
      </w:r>
      <w:r>
        <w:rPr>
          <w:rFonts w:hint="eastAsia" w:ascii="仿宋_GB2312" w:hAnsi="仿宋_GB2312" w:eastAsia="仿宋_GB2312"/>
          <w:b w:val="0"/>
          <w:sz w:val="32"/>
          <w:lang w:eastAsia="zh-CN"/>
        </w:rPr>
        <w:t>，</w:t>
      </w:r>
      <w:r>
        <w:rPr>
          <w:rFonts w:ascii="仿宋_GB2312" w:hAnsi="仿宋_GB2312" w:eastAsia="仿宋_GB2312"/>
          <w:b w:val="0"/>
          <w:sz w:val="32"/>
        </w:rPr>
        <w:t>占85.74%。</w:t>
      </w:r>
    </w:p>
    <w:p w14:paraId="73A8C0B4">
      <w:pPr>
        <w:spacing w:line="580" w:lineRule="exact"/>
        <w:ind w:firstLine="640"/>
        <w:jc w:val="both"/>
      </w:pPr>
      <w:r>
        <w:rPr>
          <w:rFonts w:ascii="仿宋_GB2312" w:hAnsi="仿宋_GB2312" w:eastAsia="仿宋_GB2312"/>
          <w:b w:val="0"/>
          <w:sz w:val="32"/>
        </w:rPr>
        <w:t>3.住房保障支出(类)33.83万元</w:t>
      </w:r>
      <w:r>
        <w:rPr>
          <w:rFonts w:hint="eastAsia" w:ascii="仿宋_GB2312" w:hAnsi="仿宋_GB2312" w:eastAsia="仿宋_GB2312"/>
          <w:b w:val="0"/>
          <w:sz w:val="32"/>
          <w:lang w:eastAsia="zh-CN"/>
        </w:rPr>
        <w:t>，</w:t>
      </w:r>
      <w:r>
        <w:rPr>
          <w:rFonts w:ascii="仿宋_GB2312" w:hAnsi="仿宋_GB2312" w:eastAsia="仿宋_GB2312"/>
          <w:b w:val="0"/>
          <w:sz w:val="32"/>
        </w:rPr>
        <w:t>占5.92%。</w:t>
      </w:r>
    </w:p>
    <w:p w14:paraId="6B90C303">
      <w:pPr>
        <w:spacing w:line="640" w:lineRule="exact"/>
        <w:ind w:firstLine="640"/>
        <w:jc w:val="both"/>
        <w:outlineLvl w:val="3"/>
      </w:pPr>
      <w:r>
        <w:rPr>
          <w:rFonts w:ascii="楷体_GB2312" w:hAnsi="楷体_GB2312" w:eastAsia="楷体_GB2312"/>
          <w:b/>
          <w:sz w:val="32"/>
        </w:rPr>
        <w:t>（三）一般公共预算财政拨款支出决算具体情况</w:t>
      </w:r>
    </w:p>
    <w:p w14:paraId="5075291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1.社会保障和就业支出(类)行政事业单位养老支出(款)事业单位离退休(项):支出决算数为4.03万元，比上年决算增加4.03万元，增长100.00%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14:paraId="699EE77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2.社会保障和就业支出(类)行政事业单位养老支出(款)机关事业单位基本养老保险缴费支出(项):支出决算数为43.68万元，比上年决算增加10.17万元，增长30.35%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5A79C26C">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3.卫生健康支出(类)卫生健康管理事务(款)其他卫生健康管理事务支出(项):支出决算数为6.00万元，比上年决算减少10.23万元，下降63.03%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主要原因是：本年医疗服务能力提升人才队伍建设（支援团队补助）项目资金较上年减少。</w:t>
      </w:r>
    </w:p>
    <w:p w14:paraId="48235E09">
      <w:pPr>
        <w:spacing w:line="580" w:lineRule="exact"/>
        <w:ind w:firstLine="640"/>
        <w:jc w:val="both"/>
      </w:pPr>
      <w:r>
        <w:rPr>
          <w:rFonts w:ascii="仿宋_GB2312" w:hAnsi="仿宋_GB2312" w:eastAsia="仿宋_GB2312"/>
          <w:b w:val="0"/>
          <w:sz w:val="32"/>
        </w:rPr>
        <w:t>4.卫生健康支出(类)公立医院(款)综合医院(项):支出决算数为0.00万元，比上年决算减少2.62万元，下降100.00%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主要原因是：本年减少对口支援人员巡回医疗服务项目资金。</w:t>
      </w:r>
    </w:p>
    <w:p w14:paraId="1C7D149F">
      <w:pPr>
        <w:spacing w:line="580" w:lineRule="exact"/>
        <w:ind w:firstLine="640"/>
        <w:jc w:val="both"/>
      </w:pPr>
      <w:r>
        <w:rPr>
          <w:rFonts w:ascii="仿宋_GB2312" w:hAnsi="仿宋_GB2312" w:eastAsia="仿宋_GB2312"/>
          <w:b w:val="0"/>
          <w:sz w:val="32"/>
        </w:rPr>
        <w:t>5.卫生健康支出(类)基层医疗卫生机构(款)乡镇卫生院(项):支出决算数为333.73万元，比上年决算减少12.96万元，下降3.74%</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主要原因是：上年度退休人员经费，在职人员医疗缴费、住房公积金上年度在主科目列支，本年单独列支，导致本科目减少。</w:t>
      </w:r>
    </w:p>
    <w:p w14:paraId="6A5AE7D9">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6.卫生健康支出(类)基层医疗卫生机构(款)其他基层医疗卫生机构支出(项):支出决算数为11.68万元，比上年决算增加0.94万元，增长8.75%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主要原因是：本年基本药物补助项目资金较上年增加。</w:t>
      </w:r>
    </w:p>
    <w:p w14:paraId="22A57C32">
      <w:pPr>
        <w:spacing w:line="580" w:lineRule="exact"/>
        <w:ind w:firstLine="640"/>
        <w:jc w:val="both"/>
      </w:pPr>
      <w:r>
        <w:rPr>
          <w:rFonts w:ascii="仿宋_GB2312" w:hAnsi="仿宋_GB2312" w:eastAsia="仿宋_GB2312"/>
          <w:b w:val="0"/>
          <w:sz w:val="32"/>
        </w:rPr>
        <w:t>7.卫生健康支出(类)公共卫生(款)基本公共卫生服务(项):支出决算数为66.25万元，比上年决算减少20.23万元，下降23.39%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主要原因是：本年减少基本公共卫生服务补助资金。</w:t>
      </w:r>
    </w:p>
    <w:p w14:paraId="67B22032">
      <w:pPr>
        <w:spacing w:line="580" w:lineRule="exact"/>
        <w:ind w:firstLine="640"/>
        <w:jc w:val="both"/>
      </w:pPr>
      <w:r>
        <w:rPr>
          <w:rFonts w:ascii="仿宋_GB2312" w:hAnsi="仿宋_GB2312" w:eastAsia="仿宋_GB2312"/>
          <w:b w:val="0"/>
          <w:sz w:val="32"/>
        </w:rPr>
        <w:t>8.卫生健康支出(类)公共卫生(款)重大公共卫生服务(项):支出决算数为0.50万元，比上年决算减少2.45万元，下降83.05%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主要原因是：本年重大公共卫生（传染病防治，精神病管理服务，癫痫服务管理）项目资金减少。</w:t>
      </w:r>
    </w:p>
    <w:p w14:paraId="289EA0FE">
      <w:pPr>
        <w:spacing w:line="580" w:lineRule="exact"/>
        <w:ind w:firstLine="640"/>
        <w:jc w:val="both"/>
      </w:pPr>
      <w:r>
        <w:rPr>
          <w:rFonts w:ascii="仿宋_GB2312" w:hAnsi="仿宋_GB2312" w:eastAsia="仿宋_GB2312"/>
          <w:b w:val="0"/>
          <w:sz w:val="32"/>
        </w:rPr>
        <w:t>9.卫生健康支出(类)公共卫生(款)其他公共卫生支出(项):支出决算数为54.21万元，比上年决算增加9.90万元，增长22.34%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主要原因是：本年地方公共卫生服务（全民健康体检）项目资金较上年度增加。</w:t>
      </w:r>
    </w:p>
    <w:p w14:paraId="115CD622">
      <w:pPr>
        <w:spacing w:line="580" w:lineRule="exact"/>
        <w:ind w:firstLine="640"/>
        <w:jc w:val="both"/>
      </w:pPr>
      <w:r>
        <w:rPr>
          <w:rFonts w:ascii="仿宋_GB2312" w:hAnsi="仿宋_GB2312" w:eastAsia="仿宋_GB2312"/>
          <w:b w:val="0"/>
          <w:sz w:val="32"/>
        </w:rPr>
        <w:t>10.卫生健康支出(类)行政事业单位医疗(款)事业单位医疗(项):支出决算数为17.74万元，比上年决算增加17.74万元，增长100.00%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主要原因是：本年度科目调整，事业单位医疗支出上年度在主科目列支，本年度单独列支，导致经费较上年度增长100%。</w:t>
      </w:r>
    </w:p>
    <w:p w14:paraId="0C4CAE6B">
      <w:pPr>
        <w:spacing w:line="580" w:lineRule="exact"/>
        <w:ind w:firstLine="640"/>
        <w:jc w:val="both"/>
      </w:pPr>
      <w:r>
        <w:rPr>
          <w:rFonts w:ascii="仿宋_GB2312" w:hAnsi="仿宋_GB2312" w:eastAsia="仿宋_GB2312"/>
          <w:b w:val="0"/>
          <w:sz w:val="32"/>
        </w:rPr>
        <w:t>11.住房保障支出(类)住房改革支出(款)住房公积金(项):支出决算数为33.83万元，比上年决算增加33.83万元，增长100.00%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主要原因是：本年功能科目调整，住房公积金支出上年度在主科目列支，本年单独列支，导致经费较上年增长100%。</w:t>
      </w:r>
    </w:p>
    <w:p w14:paraId="7A206C83">
      <w:pPr>
        <w:spacing w:line="640" w:lineRule="exact"/>
        <w:ind w:firstLine="640"/>
        <w:jc w:val="both"/>
        <w:outlineLvl w:val="2"/>
      </w:pPr>
      <w:r>
        <w:rPr>
          <w:rFonts w:ascii="黑体" w:hAnsi="黑体" w:eastAsia="黑体"/>
          <w:sz w:val="32"/>
        </w:rPr>
        <w:t>六、一般公共预算财政拨款基本支出决算情况说明</w:t>
      </w:r>
    </w:p>
    <w:p w14:paraId="36429D1A">
      <w:pPr>
        <w:spacing w:line="580" w:lineRule="exact"/>
        <w:ind w:firstLine="640"/>
        <w:jc w:val="both"/>
      </w:pPr>
      <w:r>
        <w:rPr>
          <w:rFonts w:ascii="仿宋_GB2312" w:hAnsi="仿宋_GB2312" w:eastAsia="仿宋_GB2312"/>
          <w:b w:val="0"/>
          <w:sz w:val="32"/>
        </w:rPr>
        <w:t>2024年度一般公共预算财政拨款基本支出433.01万元，其中：</w:t>
      </w:r>
      <w:r>
        <w:rPr>
          <w:rFonts w:ascii="仿宋_GB2312" w:hAnsi="仿宋_GB2312" w:eastAsia="仿宋_GB2312"/>
          <w:b/>
          <w:sz w:val="32"/>
        </w:rPr>
        <w:t>人员经费433.01万元，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31CE8C05">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C8F6259">
      <w:pPr>
        <w:spacing w:line="640" w:lineRule="exact"/>
        <w:ind w:firstLine="640"/>
        <w:jc w:val="both"/>
        <w:outlineLvl w:val="2"/>
      </w:pPr>
      <w:r>
        <w:rPr>
          <w:rFonts w:ascii="黑体" w:hAnsi="黑体" w:eastAsia="黑体"/>
          <w:sz w:val="32"/>
        </w:rPr>
        <w:t>七、政府性基金预算财政拨款收入支出决算情况说明</w:t>
      </w:r>
    </w:p>
    <w:p w14:paraId="4C91AF1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FA39874">
      <w:pPr>
        <w:spacing w:line="640" w:lineRule="exact"/>
        <w:ind w:firstLine="640"/>
        <w:jc w:val="both"/>
        <w:outlineLvl w:val="2"/>
      </w:pPr>
      <w:r>
        <w:rPr>
          <w:rFonts w:ascii="黑体" w:hAnsi="黑体" w:eastAsia="黑体"/>
          <w:sz w:val="32"/>
        </w:rPr>
        <w:t>八、国有资本经营预算财政拨款收入支出决算情况说明</w:t>
      </w:r>
    </w:p>
    <w:p w14:paraId="5263010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097ECD">
      <w:pPr>
        <w:spacing w:line="640" w:lineRule="exact"/>
        <w:ind w:firstLine="640"/>
        <w:jc w:val="both"/>
        <w:outlineLvl w:val="2"/>
      </w:pPr>
      <w:r>
        <w:rPr>
          <w:rFonts w:ascii="黑体" w:hAnsi="黑体" w:eastAsia="黑体"/>
          <w:sz w:val="32"/>
        </w:rPr>
        <w:t>九、财政拨款“三公”经费支出决算情况说明</w:t>
      </w:r>
    </w:p>
    <w:p w14:paraId="459EE9C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4EAE34A">
      <w:pPr>
        <w:spacing w:line="580" w:lineRule="exact"/>
        <w:ind w:firstLine="640"/>
        <w:jc w:val="both"/>
      </w:pPr>
      <w:r>
        <w:rPr>
          <w:rFonts w:ascii="仿宋_GB2312" w:hAnsi="仿宋_GB2312" w:eastAsia="仿宋_GB2312"/>
          <w:b/>
          <w:sz w:val="32"/>
        </w:rPr>
        <w:t>具体情况如下：</w:t>
      </w:r>
    </w:p>
    <w:p w14:paraId="0524D80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A48EB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4C938AF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AB496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DDA9A5B">
      <w:pPr>
        <w:spacing w:line="640" w:lineRule="exact"/>
        <w:ind w:firstLine="640"/>
        <w:jc w:val="both"/>
        <w:outlineLvl w:val="2"/>
      </w:pPr>
      <w:r>
        <w:rPr>
          <w:rFonts w:ascii="黑体" w:hAnsi="黑体" w:eastAsia="黑体"/>
          <w:sz w:val="32"/>
        </w:rPr>
        <w:t>十、其他重要事项的情况说明</w:t>
      </w:r>
    </w:p>
    <w:p w14:paraId="67E0AD8C">
      <w:pPr>
        <w:spacing w:line="640" w:lineRule="exact"/>
        <w:ind w:firstLine="640"/>
        <w:jc w:val="both"/>
        <w:outlineLvl w:val="3"/>
      </w:pPr>
      <w:r>
        <w:rPr>
          <w:rFonts w:ascii="楷体_GB2312" w:hAnsi="楷体_GB2312" w:eastAsia="楷体_GB2312"/>
          <w:b/>
          <w:sz w:val="32"/>
        </w:rPr>
        <w:t>（一）机关运行经费及公用经费支出情况</w:t>
      </w:r>
    </w:p>
    <w:p w14:paraId="5EAFDA36">
      <w:pPr>
        <w:spacing w:line="580" w:lineRule="exact"/>
        <w:ind w:firstLine="640"/>
        <w:jc w:val="both"/>
      </w:pPr>
      <w:r>
        <w:rPr>
          <w:rFonts w:ascii="仿宋_GB2312" w:hAnsi="仿宋_GB2312" w:eastAsia="仿宋_GB2312"/>
          <w:b w:val="0"/>
          <w:sz w:val="32"/>
        </w:rPr>
        <w:t>2024年度洛浦县拜什托格拉克乡卫生院（事业单位）公用经费支出0.00万元，比上年增加0.00万元，增长0.00%，主要原因是：2023年与2024年均未安排公用经费支出。</w:t>
      </w:r>
    </w:p>
    <w:p w14:paraId="40F2DAD1">
      <w:pPr>
        <w:spacing w:line="640" w:lineRule="exact"/>
        <w:ind w:firstLine="640"/>
        <w:jc w:val="both"/>
        <w:outlineLvl w:val="3"/>
      </w:pPr>
      <w:r>
        <w:rPr>
          <w:rFonts w:ascii="楷体_GB2312" w:hAnsi="楷体_GB2312" w:eastAsia="楷体_GB2312"/>
          <w:b/>
          <w:sz w:val="32"/>
        </w:rPr>
        <w:t>（二）政府采购情况</w:t>
      </w:r>
    </w:p>
    <w:p w14:paraId="40508CB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3940F4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C619346">
      <w:pPr>
        <w:spacing w:line="640" w:lineRule="exact"/>
        <w:ind w:firstLine="640"/>
        <w:jc w:val="both"/>
        <w:outlineLvl w:val="3"/>
      </w:pPr>
      <w:r>
        <w:rPr>
          <w:rFonts w:ascii="楷体_GB2312" w:hAnsi="楷体_GB2312" w:eastAsia="楷体_GB2312"/>
          <w:b/>
          <w:sz w:val="32"/>
        </w:rPr>
        <w:t>（三）国有资产占用情况说明</w:t>
      </w:r>
    </w:p>
    <w:p w14:paraId="6CF54C48">
      <w:pPr>
        <w:spacing w:line="580" w:lineRule="exact"/>
        <w:ind w:firstLine="640"/>
        <w:jc w:val="both"/>
      </w:pPr>
      <w:r>
        <w:rPr>
          <w:rFonts w:ascii="仿宋_GB2312" w:hAnsi="仿宋_GB2312" w:eastAsia="仿宋_GB2312"/>
          <w:b w:val="0"/>
          <w:sz w:val="32"/>
        </w:rPr>
        <w:t>截至2024年12月31日，房屋1,731.99平方米，价值180.02万元。车辆1辆，价值3.00万元，其中：副部（省）级及以上领导用车0辆、主要负责人用车0辆、机要通信用车0辆、应急保障用车0辆、执法执勤用车0辆、特种专业技术用车0辆、离退休干部服务用车0辆、其他用车1辆，其他用车主要是：医疗专用救护车。单价100万元（含）以上设备（不含车辆）0台（套）。</w:t>
      </w:r>
    </w:p>
    <w:p w14:paraId="273B6A7D">
      <w:pPr>
        <w:spacing w:line="640" w:lineRule="exact"/>
        <w:ind w:firstLine="640"/>
        <w:jc w:val="both"/>
        <w:outlineLvl w:val="2"/>
      </w:pPr>
      <w:r>
        <w:rPr>
          <w:rFonts w:ascii="黑体" w:hAnsi="黑体" w:eastAsia="黑体"/>
          <w:sz w:val="32"/>
        </w:rPr>
        <w:t>十一、预算绩效的情况说明</w:t>
      </w:r>
    </w:p>
    <w:p w14:paraId="114F5EB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896.83万元，实际执行总额896.83万元；预算绩效评价项目1个，全年预算数1.50万元，全年执行数1.50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拜什托格拉克乡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53DCB52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3C6C34">
        <w:tblPrEx>
          <w:tblCellMar>
            <w:top w:w="0" w:type="dxa"/>
            <w:left w:w="108" w:type="dxa"/>
            <w:bottom w:w="0" w:type="dxa"/>
            <w:right w:w="108" w:type="dxa"/>
          </w:tblCellMar>
        </w:tblPrEx>
        <w:tc>
          <w:tcPr>
            <w:tcW w:w="8847" w:type="dxa"/>
            <w:gridSpan w:val="9"/>
            <w:vAlign w:val="center"/>
          </w:tcPr>
          <w:p w14:paraId="472538FF">
            <w:pPr>
              <w:jc w:val="center"/>
            </w:pPr>
            <w:r>
              <w:rPr>
                <w:rFonts w:ascii="宋体" w:hAnsi="宋体" w:eastAsia="宋体"/>
                <w:sz w:val="24"/>
              </w:rPr>
              <w:t>单位整体支出绩效自评表</w:t>
            </w:r>
          </w:p>
        </w:tc>
      </w:tr>
      <w:tr w14:paraId="51B89B5A">
        <w:tblPrEx>
          <w:tblCellMar>
            <w:top w:w="0" w:type="dxa"/>
            <w:left w:w="108" w:type="dxa"/>
            <w:bottom w:w="0" w:type="dxa"/>
            <w:right w:w="108" w:type="dxa"/>
          </w:tblCellMar>
        </w:tblPrEx>
        <w:tc>
          <w:tcPr>
            <w:tcW w:w="8847" w:type="dxa"/>
            <w:gridSpan w:val="9"/>
            <w:vAlign w:val="center"/>
          </w:tcPr>
          <w:p w14:paraId="7BBFBC98">
            <w:pPr>
              <w:jc w:val="center"/>
            </w:pPr>
            <w:r>
              <w:rPr>
                <w:rFonts w:ascii="宋体" w:hAnsi="宋体" w:eastAsia="宋体"/>
                <w:sz w:val="24"/>
              </w:rPr>
              <w:t>（2024年度）</w:t>
            </w:r>
          </w:p>
        </w:tc>
      </w:tr>
      <w:tr w14:paraId="63C0FC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5B07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44CCC1">
            <w:pPr>
              <w:jc w:val="center"/>
            </w:pPr>
            <w:r>
              <w:rPr>
                <w:rFonts w:ascii="宋体" w:hAnsi="宋体" w:eastAsia="宋体"/>
                <w:sz w:val="16"/>
              </w:rPr>
              <w:t>洛浦县拜什托格拉克乡卫生院</w:t>
            </w:r>
          </w:p>
        </w:tc>
      </w:tr>
      <w:tr w14:paraId="7DF4F5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AD0DF">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8AB2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D97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61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2466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D95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F4B6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477D7">
            <w:pPr>
              <w:jc w:val="center"/>
            </w:pPr>
            <w:r>
              <w:rPr>
                <w:rFonts w:ascii="宋体" w:hAnsi="宋体" w:eastAsia="宋体"/>
                <w:sz w:val="16"/>
              </w:rPr>
              <w:t>得分</w:t>
            </w:r>
          </w:p>
        </w:tc>
      </w:tr>
      <w:tr w14:paraId="20F706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194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621B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F60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5237">
            <w:pPr>
              <w:jc w:val="center"/>
            </w:pPr>
            <w:r>
              <w:rPr>
                <w:rFonts w:ascii="宋体" w:hAnsi="宋体" w:eastAsia="宋体"/>
                <w:sz w:val="16"/>
              </w:rPr>
              <w:t>374.38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79767">
            <w:pPr>
              <w:jc w:val="center"/>
            </w:pPr>
            <w:r>
              <w:rPr>
                <w:rFonts w:ascii="宋体" w:hAnsi="宋体" w:eastAsia="宋体"/>
                <w:sz w:val="16"/>
              </w:rPr>
              <w:t>758.18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1046">
            <w:pPr>
              <w:jc w:val="center"/>
            </w:pPr>
            <w:r>
              <w:rPr>
                <w:rFonts w:ascii="宋体" w:hAnsi="宋体" w:eastAsia="宋体"/>
                <w:sz w:val="16"/>
              </w:rPr>
              <w:t>758.18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171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2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8A438">
            <w:pPr>
              <w:jc w:val="center"/>
            </w:pPr>
            <w:r>
              <w:rPr>
                <w:rFonts w:ascii="宋体" w:hAnsi="宋体" w:eastAsia="宋体"/>
                <w:sz w:val="16"/>
              </w:rPr>
              <w:t>-</w:t>
            </w:r>
          </w:p>
        </w:tc>
      </w:tr>
      <w:tr w14:paraId="7184D2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8B2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CDB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2996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0338">
            <w:pPr>
              <w:jc w:val="center"/>
            </w:pPr>
            <w:r>
              <w:rPr>
                <w:rFonts w:ascii="宋体" w:hAnsi="宋体" w:eastAsia="宋体"/>
                <w:sz w:val="16"/>
              </w:rPr>
              <w:t>1,652.40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002F">
            <w:pPr>
              <w:jc w:val="center"/>
            </w:pPr>
            <w:r>
              <w:rPr>
                <w:rFonts w:ascii="宋体" w:hAnsi="宋体" w:eastAsia="宋体"/>
                <w:sz w:val="16"/>
              </w:rPr>
              <w:t>138.65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E5CB">
            <w:pPr>
              <w:jc w:val="center"/>
            </w:pPr>
            <w:r>
              <w:rPr>
                <w:rFonts w:ascii="宋体" w:hAnsi="宋体" w:eastAsia="宋体"/>
                <w:sz w:val="16"/>
              </w:rPr>
              <w:t>138.65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9D7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1CA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C6594">
            <w:pPr>
              <w:jc w:val="center"/>
            </w:pPr>
            <w:r>
              <w:rPr>
                <w:rFonts w:ascii="宋体" w:hAnsi="宋体" w:eastAsia="宋体"/>
                <w:sz w:val="16"/>
              </w:rPr>
              <w:t>-</w:t>
            </w:r>
          </w:p>
        </w:tc>
      </w:tr>
      <w:tr w14:paraId="056BC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E39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5B6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75F09">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5A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C11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BBF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F0C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92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FBC33">
            <w:pPr>
              <w:jc w:val="center"/>
            </w:pPr>
            <w:r>
              <w:rPr>
                <w:rFonts w:ascii="宋体" w:hAnsi="宋体" w:eastAsia="宋体"/>
                <w:sz w:val="16"/>
              </w:rPr>
              <w:t>-</w:t>
            </w:r>
          </w:p>
        </w:tc>
      </w:tr>
      <w:tr w14:paraId="2D4F3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A90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A1FD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457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A3D9">
            <w:pPr>
              <w:jc w:val="center"/>
            </w:pPr>
            <w:r>
              <w:rPr>
                <w:rFonts w:ascii="宋体" w:hAnsi="宋体" w:eastAsia="宋体"/>
                <w:sz w:val="16"/>
              </w:rPr>
              <w:t>2,026.78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9F994">
            <w:pPr>
              <w:jc w:val="center"/>
            </w:pPr>
            <w:r>
              <w:rPr>
                <w:rFonts w:ascii="宋体" w:hAnsi="宋体" w:eastAsia="宋体"/>
                <w:sz w:val="16"/>
              </w:rPr>
              <w:t>896.83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43B04">
            <w:pPr>
              <w:jc w:val="center"/>
            </w:pPr>
            <w:r>
              <w:rPr>
                <w:rFonts w:ascii="宋体" w:hAnsi="宋体" w:eastAsia="宋体"/>
                <w:sz w:val="16"/>
              </w:rPr>
              <w:t>896.83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690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D113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BF1D">
            <w:pPr>
              <w:jc w:val="center"/>
            </w:pPr>
            <w:r>
              <w:rPr>
                <w:rFonts w:ascii="宋体" w:hAnsi="宋体" w:eastAsia="宋体"/>
                <w:sz w:val="16"/>
              </w:rPr>
              <w:t>10</w:t>
            </w:r>
          </w:p>
        </w:tc>
      </w:tr>
      <w:tr w14:paraId="3875ED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369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5558C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294426">
            <w:pPr>
              <w:jc w:val="center"/>
            </w:pPr>
            <w:r>
              <w:rPr>
                <w:rFonts w:ascii="宋体" w:hAnsi="宋体" w:eastAsia="宋体"/>
                <w:sz w:val="16"/>
              </w:rPr>
              <w:t>实际完成情况</w:t>
            </w:r>
          </w:p>
        </w:tc>
      </w:tr>
      <w:tr w14:paraId="541C0E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0634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157133">
            <w:pPr>
              <w:jc w:val="both"/>
            </w:pPr>
            <w:r>
              <w:rPr>
                <w:rFonts w:ascii="宋体" w:hAnsi="宋体" w:eastAsia="宋体"/>
                <w:sz w:val="16"/>
              </w:rPr>
              <w:t>1.保障人员经费正常发放及提高村医和聘用人员的业务能力。2.2024年搞好基本公共卫生服务工作及提高全民健康体检工作的合格率。3.进一步加强基本药物制度，提高药品的合格率。4.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119600">
            <w:pPr>
              <w:jc w:val="both"/>
            </w:pPr>
            <w:r>
              <w:rPr>
                <w:rFonts w:hint="eastAsia" w:ascii="宋体" w:hAnsi="宋体"/>
                <w:sz w:val="16"/>
                <w:lang w:eastAsia="zh-CN"/>
              </w:rPr>
              <w:t>截至</w:t>
            </w:r>
            <w:r>
              <w:rPr>
                <w:rFonts w:ascii="宋体" w:hAnsi="宋体" w:eastAsia="宋体"/>
                <w:sz w:val="16"/>
              </w:rPr>
              <w:t>2024年12月31日，我单位已完成政治理论学习44次，支部能力建设93次，居民健康档案管理8995人，党员专题学习36次。通过实施这些任务，提高全民健康体检工作的合格率。进一步加强基本药物制度，提高药品的合格率。保障卫生院及村卫生室的各种工作的正常运行。</w:t>
            </w:r>
          </w:p>
        </w:tc>
      </w:tr>
      <w:tr w14:paraId="498287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C6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9EE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FE08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F963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193E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E4B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7A8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752DD">
            <w:pPr>
              <w:jc w:val="center"/>
            </w:pPr>
            <w:r>
              <w:rPr>
                <w:rFonts w:ascii="宋体" w:hAnsi="宋体" w:eastAsia="宋体"/>
                <w:sz w:val="16"/>
              </w:rPr>
              <w:t>得分</w:t>
            </w:r>
          </w:p>
        </w:tc>
      </w:tr>
      <w:tr w14:paraId="09DB11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ADB4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B8DF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F5EF">
            <w:pPr>
              <w:jc w:val="center"/>
            </w:pPr>
            <w:r>
              <w:rPr>
                <w:rFonts w:ascii="宋体" w:hAnsi="宋体" w:eastAsia="宋体"/>
                <w:sz w:val="16"/>
              </w:rPr>
              <w:t>政治理论学习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C57DB">
            <w:pPr>
              <w:jc w:val="center"/>
            </w:pPr>
            <w:r>
              <w:rPr>
                <w:rFonts w:ascii="宋体" w:hAnsi="宋体" w:eastAsia="宋体"/>
                <w:sz w:val="16"/>
              </w:rPr>
              <w:t>&gt;=44次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DD3A9">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93FB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C54E0">
            <w:pPr>
              <w:jc w:val="center"/>
            </w:pPr>
            <w:r>
              <w:rPr>
                <w:rFonts w:ascii="宋体" w:hAnsi="宋体" w:eastAsia="宋体"/>
                <w:sz w:val="16"/>
              </w:rPr>
              <w:t>44次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925B">
            <w:pPr>
              <w:jc w:val="center"/>
            </w:pPr>
            <w:r>
              <w:rPr>
                <w:rFonts w:ascii="宋体" w:hAnsi="宋体" w:eastAsia="宋体"/>
                <w:sz w:val="16"/>
              </w:rPr>
              <w:t>18</w:t>
            </w:r>
          </w:p>
        </w:tc>
      </w:tr>
      <w:tr w14:paraId="369DD6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0DB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FF5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9C58">
            <w:pPr>
              <w:jc w:val="center"/>
            </w:pPr>
            <w:r>
              <w:rPr>
                <w:rFonts w:ascii="宋体" w:hAnsi="宋体" w:eastAsia="宋体"/>
                <w:sz w:val="16"/>
              </w:rPr>
              <w:t>支部能力建设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7779F">
            <w:pPr>
              <w:jc w:val="center"/>
            </w:pPr>
            <w:r>
              <w:rPr>
                <w:rFonts w:ascii="宋体" w:hAnsi="宋体" w:eastAsia="宋体"/>
                <w:sz w:val="16"/>
              </w:rPr>
              <w:t>&gt;=93次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8024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2D6C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6551E">
            <w:pPr>
              <w:jc w:val="center"/>
            </w:pPr>
            <w:r>
              <w:rPr>
                <w:rFonts w:ascii="宋体" w:hAnsi="宋体" w:eastAsia="宋体"/>
                <w:sz w:val="16"/>
              </w:rPr>
              <w:t>93次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240CD">
            <w:pPr>
              <w:jc w:val="center"/>
            </w:pPr>
            <w:r>
              <w:rPr>
                <w:rFonts w:ascii="宋体" w:hAnsi="宋体" w:eastAsia="宋体"/>
                <w:sz w:val="16"/>
              </w:rPr>
              <w:t>18</w:t>
            </w:r>
          </w:p>
        </w:tc>
      </w:tr>
      <w:tr w14:paraId="273585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F9F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5A6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B7D0">
            <w:pPr>
              <w:jc w:val="center"/>
            </w:pPr>
            <w:r>
              <w:rPr>
                <w:rFonts w:ascii="宋体" w:hAnsi="宋体" w:eastAsia="宋体"/>
                <w:sz w:val="16"/>
              </w:rPr>
              <w:t>居民健康档案管理人数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2C4C5">
            <w:pPr>
              <w:jc w:val="center"/>
            </w:pPr>
            <w:r>
              <w:rPr>
                <w:rFonts w:ascii="宋体" w:hAnsi="宋体" w:eastAsia="宋体"/>
                <w:sz w:val="16"/>
              </w:rPr>
              <w:t>&gt;=8995人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F7E6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019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80A3B">
            <w:pPr>
              <w:jc w:val="center"/>
            </w:pPr>
            <w:r>
              <w:rPr>
                <w:rFonts w:ascii="宋体" w:hAnsi="宋体" w:eastAsia="宋体"/>
                <w:sz w:val="16"/>
              </w:rPr>
              <w:t>8995人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F87B">
            <w:pPr>
              <w:jc w:val="center"/>
            </w:pPr>
            <w:r>
              <w:rPr>
                <w:rFonts w:ascii="宋体" w:hAnsi="宋体" w:eastAsia="宋体"/>
                <w:sz w:val="16"/>
              </w:rPr>
              <w:t>18</w:t>
            </w:r>
          </w:p>
        </w:tc>
      </w:tr>
      <w:tr w14:paraId="38175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A62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774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CC2A3">
            <w:pPr>
              <w:jc w:val="center"/>
            </w:pPr>
            <w:r>
              <w:rPr>
                <w:rFonts w:ascii="宋体" w:hAnsi="宋体" w:eastAsia="宋体"/>
                <w:sz w:val="16"/>
              </w:rPr>
              <w:t>党员专题学习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3D05">
            <w:pPr>
              <w:jc w:val="center"/>
            </w:pPr>
            <w:r>
              <w:rPr>
                <w:rFonts w:ascii="宋体" w:hAnsi="宋体" w:eastAsia="宋体"/>
                <w:sz w:val="16"/>
              </w:rPr>
              <w:t>&gt;=36次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47C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DEBF">
            <w:pPr>
              <w:jc w:val="center"/>
            </w:pPr>
            <w:r>
              <w:rPr>
                <w:rFonts w:ascii="宋体" w:hAnsi="宋体" w:eastAsia="宋体"/>
                <w:sz w:val="16"/>
              </w:rPr>
              <w:t>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60603">
            <w:pPr>
              <w:jc w:val="center"/>
            </w:pPr>
            <w:r>
              <w:rPr>
                <w:rFonts w:ascii="宋体" w:hAnsi="宋体" w:eastAsia="宋体"/>
                <w:sz w:val="16"/>
              </w:rPr>
              <w: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436A">
            <w:pPr>
              <w:jc w:val="center"/>
            </w:pPr>
            <w:r>
              <w:rPr>
                <w:rFonts w:ascii="宋体" w:hAnsi="宋体" w:eastAsia="宋体"/>
                <w:sz w:val="16"/>
              </w:rPr>
              <w:t>36</w:t>
            </w:r>
          </w:p>
        </w:tc>
      </w:tr>
    </w:tbl>
    <w:p w14:paraId="6133B3D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3C6286">
        <w:tblPrEx>
          <w:tblCellMar>
            <w:top w:w="0" w:type="dxa"/>
            <w:left w:w="108" w:type="dxa"/>
            <w:bottom w:w="0" w:type="dxa"/>
            <w:right w:w="108" w:type="dxa"/>
          </w:tblCellMar>
        </w:tblPrEx>
        <w:tc>
          <w:tcPr>
            <w:tcW w:w="8847" w:type="dxa"/>
            <w:gridSpan w:val="9"/>
            <w:vAlign w:val="center"/>
          </w:tcPr>
          <w:p w14:paraId="645AEB4A">
            <w:pPr>
              <w:jc w:val="center"/>
            </w:pPr>
            <w:r>
              <w:rPr>
                <w:rFonts w:ascii="宋体" w:hAnsi="宋体" w:eastAsia="宋体"/>
                <w:sz w:val="24"/>
              </w:rPr>
              <w:t>项目支出绩效自评表</w:t>
            </w:r>
          </w:p>
        </w:tc>
      </w:tr>
      <w:tr w14:paraId="4B2F6712">
        <w:tblPrEx>
          <w:tblCellMar>
            <w:top w:w="0" w:type="dxa"/>
            <w:left w:w="108" w:type="dxa"/>
            <w:bottom w:w="0" w:type="dxa"/>
            <w:right w:w="108" w:type="dxa"/>
          </w:tblCellMar>
        </w:tblPrEx>
        <w:tc>
          <w:tcPr>
            <w:tcW w:w="8847" w:type="dxa"/>
            <w:gridSpan w:val="9"/>
            <w:vAlign w:val="center"/>
          </w:tcPr>
          <w:p w14:paraId="4B96559E">
            <w:pPr>
              <w:jc w:val="center"/>
            </w:pPr>
            <w:r>
              <w:rPr>
                <w:rFonts w:ascii="宋体" w:hAnsi="宋体" w:eastAsia="宋体"/>
                <w:sz w:val="24"/>
              </w:rPr>
              <w:t>(2024年度)</w:t>
            </w:r>
          </w:p>
        </w:tc>
      </w:tr>
      <w:tr w14:paraId="12EE89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0A11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57CA69">
            <w:pPr>
              <w:jc w:val="center"/>
            </w:pPr>
            <w:r>
              <w:rPr>
                <w:rFonts w:ascii="宋体" w:hAnsi="宋体" w:eastAsia="宋体"/>
                <w:sz w:val="16"/>
              </w:rPr>
              <w:t>2023年自治区医疗服务与保障能力提升[卫生健康人才培养]补助资金</w:t>
            </w:r>
            <w:r>
              <w:rPr>
                <w:rFonts w:hint="eastAsia" w:ascii="宋体" w:hAnsi="宋体"/>
                <w:sz w:val="16"/>
                <w:lang w:eastAsia="zh-CN"/>
              </w:rPr>
              <w:t>－</w:t>
            </w:r>
            <w:r>
              <w:rPr>
                <w:rFonts w:ascii="宋体" w:hAnsi="宋体" w:eastAsia="宋体"/>
                <w:sz w:val="16"/>
              </w:rPr>
              <w:t>支援团队</w:t>
            </w:r>
          </w:p>
        </w:tc>
      </w:tr>
      <w:tr w14:paraId="3A5810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04C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A3CFAF">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14FF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ACCBA2">
            <w:pPr>
              <w:jc w:val="center"/>
            </w:pPr>
            <w:r>
              <w:rPr>
                <w:rFonts w:ascii="宋体" w:hAnsi="宋体" w:eastAsia="宋体"/>
                <w:sz w:val="16"/>
              </w:rPr>
              <w:t>洛浦县拜什托格拉克乡卫生院</w:t>
            </w:r>
          </w:p>
        </w:tc>
      </w:tr>
      <w:tr w14:paraId="3651F5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7C7B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83D6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CBC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8E0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8413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437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BDD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B4899">
            <w:pPr>
              <w:jc w:val="center"/>
            </w:pPr>
            <w:r>
              <w:rPr>
                <w:rFonts w:ascii="宋体" w:hAnsi="宋体" w:eastAsia="宋体"/>
                <w:sz w:val="16"/>
              </w:rPr>
              <w:t>得分</w:t>
            </w:r>
          </w:p>
        </w:tc>
      </w:tr>
      <w:tr w14:paraId="58F2CE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3B3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F4B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6717">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6EB2">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955C8">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4CE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77F9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9A2C7">
            <w:pPr>
              <w:jc w:val="center"/>
            </w:pPr>
            <w:r>
              <w:rPr>
                <w:rFonts w:ascii="宋体" w:hAnsi="宋体" w:eastAsia="宋体"/>
                <w:sz w:val="16"/>
              </w:rPr>
              <w:t>10.00</w:t>
            </w:r>
          </w:p>
        </w:tc>
      </w:tr>
      <w:tr w14:paraId="5D9D0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1F6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873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270E3">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86EA7">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35A7">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C5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B9E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4DD42">
            <w:pPr>
              <w:jc w:val="center"/>
            </w:pPr>
            <w:r>
              <w:rPr>
                <w:rFonts w:ascii="宋体" w:hAnsi="宋体" w:eastAsia="宋体"/>
                <w:sz w:val="16"/>
              </w:rPr>
              <w:t>—</w:t>
            </w:r>
          </w:p>
        </w:tc>
      </w:tr>
      <w:tr w14:paraId="08D793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D3B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50A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231F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02BC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38C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F38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1D4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7A6E">
            <w:pPr>
              <w:jc w:val="center"/>
            </w:pPr>
            <w:r>
              <w:rPr>
                <w:rFonts w:ascii="宋体" w:hAnsi="宋体" w:eastAsia="宋体"/>
                <w:sz w:val="16"/>
              </w:rPr>
              <w:t>—</w:t>
            </w:r>
          </w:p>
        </w:tc>
      </w:tr>
      <w:tr w14:paraId="4F3F97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7EF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49F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813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A81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9D5B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33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A87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9151">
            <w:pPr>
              <w:jc w:val="center"/>
            </w:pPr>
            <w:r>
              <w:rPr>
                <w:rFonts w:ascii="宋体" w:hAnsi="宋体" w:eastAsia="宋体"/>
                <w:sz w:val="16"/>
              </w:rPr>
              <w:t>—</w:t>
            </w:r>
          </w:p>
        </w:tc>
      </w:tr>
      <w:tr w14:paraId="547AFC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8FD4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4F0B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BDC75">
            <w:pPr>
              <w:jc w:val="center"/>
            </w:pPr>
            <w:r>
              <w:rPr>
                <w:rFonts w:ascii="宋体" w:hAnsi="宋体" w:eastAsia="宋体"/>
                <w:sz w:val="16"/>
              </w:rPr>
              <w:t>实际完成情况</w:t>
            </w:r>
          </w:p>
        </w:tc>
      </w:tr>
      <w:tr w14:paraId="3B984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EE4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CBEDCF">
            <w:pPr>
              <w:jc w:val="both"/>
            </w:pPr>
            <w:r>
              <w:rPr>
                <w:rFonts w:ascii="宋体" w:hAnsi="宋体" w:eastAsia="宋体"/>
                <w:sz w:val="16"/>
              </w:rPr>
              <w:t>根据2023年结转2024年专项资金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对口支援工作效率，项目总投资为1.5万元，项目完成时间为2024年12月；通过本项目实施，保障3个对口支援的补助按时发放，提高业务能力，争取使受益干部满意度达到95%以上。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73DE6">
            <w:pPr>
              <w:jc w:val="both"/>
            </w:pPr>
            <w:r>
              <w:rPr>
                <w:rFonts w:hint="eastAsia" w:ascii="宋体" w:hAnsi="宋体"/>
                <w:sz w:val="16"/>
                <w:lang w:eastAsia="zh-CN"/>
              </w:rPr>
              <w:t>截至</w:t>
            </w:r>
            <w:r>
              <w:rPr>
                <w:rFonts w:ascii="宋体" w:hAnsi="宋体" w:eastAsia="宋体"/>
                <w:sz w:val="16"/>
              </w:rPr>
              <w:t>2024年12月31日，该项目已保障3个对口支援的补助按时发放。通过本项目实施，提高业务能力。</w:t>
            </w:r>
          </w:p>
        </w:tc>
      </w:tr>
      <w:tr w14:paraId="339E64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A400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E32B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52D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693C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3853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B036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BD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F81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D7EA8">
            <w:pPr>
              <w:jc w:val="center"/>
            </w:pPr>
            <w:r>
              <w:rPr>
                <w:rFonts w:ascii="宋体" w:hAnsi="宋体" w:eastAsia="宋体"/>
                <w:sz w:val="16"/>
              </w:rPr>
              <w:t>偏差原因分析及改进措施</w:t>
            </w:r>
          </w:p>
        </w:tc>
      </w:tr>
      <w:tr w14:paraId="42CDAE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375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C587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B31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1911">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9EC5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58D5">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942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51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1B649">
            <w:pPr>
              <w:jc w:val="center"/>
            </w:pPr>
          </w:p>
        </w:tc>
      </w:tr>
      <w:tr w14:paraId="46C937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1AB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6DF2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556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D717">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D05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8F4E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ADD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1E1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A6547">
            <w:pPr>
              <w:jc w:val="center"/>
            </w:pPr>
          </w:p>
        </w:tc>
      </w:tr>
      <w:tr w14:paraId="2B8B50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A8B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87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484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601CD">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4C8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6840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F99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9FE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7BA7F">
            <w:pPr>
              <w:jc w:val="center"/>
            </w:pPr>
          </w:p>
        </w:tc>
      </w:tr>
      <w:tr w14:paraId="4E13C2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484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74B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6F1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1BD9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ABC6E">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91A9E">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13F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DC4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BC18">
            <w:pPr>
              <w:jc w:val="center"/>
            </w:pPr>
          </w:p>
        </w:tc>
      </w:tr>
      <w:tr w14:paraId="0926B3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3D8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9B6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723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7AC7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C1A07">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AF5E2">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C8D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1E5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BB3FA">
            <w:pPr>
              <w:jc w:val="center"/>
            </w:pPr>
          </w:p>
        </w:tc>
      </w:tr>
      <w:tr w14:paraId="3CF36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358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895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5BD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1D6AF">
            <w:pPr>
              <w:jc w:val="center"/>
            </w:pPr>
            <w:r>
              <w:rPr>
                <w:rFonts w:ascii="宋体" w:hAnsi="宋体" w:eastAsia="宋体"/>
                <w:sz w:val="16"/>
              </w:rPr>
              <w:t>拜什托格拉克乡卫生院对口支援经费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EF8D">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5B1FF">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491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B57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6BE05">
            <w:pPr>
              <w:jc w:val="center"/>
            </w:pPr>
          </w:p>
        </w:tc>
      </w:tr>
      <w:tr w14:paraId="045DD9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B2C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BB91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541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191D1">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7BA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6A1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6BA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2A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329D9">
            <w:pPr>
              <w:jc w:val="center"/>
            </w:pPr>
          </w:p>
        </w:tc>
      </w:tr>
      <w:tr w14:paraId="29C7C2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E3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C99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920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62CF4">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E244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AE47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8C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8F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4350E">
            <w:pPr>
              <w:jc w:val="center"/>
            </w:pPr>
          </w:p>
        </w:tc>
      </w:tr>
      <w:tr w14:paraId="44C522A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844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2B9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AC8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942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C4D39C"/>
        </w:tc>
      </w:tr>
    </w:tbl>
    <w:p w14:paraId="0E676FC4">
      <w:r>
        <w:br w:type="page"/>
      </w:r>
    </w:p>
    <w:p w14:paraId="5E1607C8">
      <w:pPr>
        <w:spacing w:line="640" w:lineRule="exact"/>
        <w:ind w:firstLine="640"/>
        <w:jc w:val="both"/>
        <w:outlineLvl w:val="2"/>
      </w:pPr>
      <w:r>
        <w:rPr>
          <w:rFonts w:ascii="黑体" w:hAnsi="黑体" w:eastAsia="黑体"/>
          <w:sz w:val="32"/>
        </w:rPr>
        <w:t>十二、其他需说明的事项</w:t>
      </w:r>
    </w:p>
    <w:p w14:paraId="3D6E16A2">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C12B11B">
      <w:r>
        <w:br w:type="page"/>
      </w:r>
    </w:p>
    <w:p w14:paraId="6CA0CC85">
      <w:pPr>
        <w:spacing w:line="240" w:lineRule="auto"/>
        <w:jc w:val="center"/>
        <w:outlineLvl w:val="1"/>
      </w:pPr>
      <w:r>
        <w:rPr>
          <w:rFonts w:ascii="黑体" w:hAnsi="黑体" w:eastAsia="黑体"/>
          <w:sz w:val="32"/>
        </w:rPr>
        <w:t>第三部分 专业名词解释</w:t>
      </w:r>
    </w:p>
    <w:p w14:paraId="2FCE986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0888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2743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3A5A7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3BEAF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0389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5C3F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195F9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AF6A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5BF7F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8C239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F68F1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242E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92D26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FDA8973">
      <w:r>
        <w:br w:type="page"/>
      </w:r>
    </w:p>
    <w:p w14:paraId="12BB9CCE">
      <w:pPr>
        <w:spacing w:line="240" w:lineRule="auto"/>
        <w:jc w:val="center"/>
        <w:outlineLvl w:val="1"/>
      </w:pPr>
      <w:r>
        <w:rPr>
          <w:rFonts w:ascii="黑体" w:hAnsi="黑体" w:eastAsia="黑体"/>
          <w:sz w:val="32"/>
        </w:rPr>
        <w:t>第四部分 部门决算报表（见附表）</w:t>
      </w:r>
    </w:p>
    <w:p w14:paraId="3945AAC3">
      <w:pPr>
        <w:spacing w:line="240" w:lineRule="auto"/>
        <w:ind w:firstLine="640"/>
        <w:jc w:val="both"/>
      </w:pPr>
      <w:r>
        <w:rPr>
          <w:rFonts w:ascii="仿宋_GB2312" w:hAnsi="仿宋_GB2312" w:eastAsia="仿宋_GB2312"/>
          <w:b w:val="0"/>
          <w:sz w:val="32"/>
        </w:rPr>
        <w:t>一、《收入支出决算总表》</w:t>
      </w:r>
    </w:p>
    <w:p w14:paraId="31EE62D3">
      <w:pPr>
        <w:spacing w:line="240" w:lineRule="auto"/>
        <w:ind w:firstLine="640"/>
        <w:jc w:val="both"/>
      </w:pPr>
      <w:r>
        <w:rPr>
          <w:rFonts w:ascii="仿宋_GB2312" w:hAnsi="仿宋_GB2312" w:eastAsia="仿宋_GB2312"/>
          <w:b w:val="0"/>
          <w:sz w:val="32"/>
        </w:rPr>
        <w:t>二、《收入决算表》</w:t>
      </w:r>
    </w:p>
    <w:p w14:paraId="3FE4771C">
      <w:pPr>
        <w:spacing w:line="240" w:lineRule="auto"/>
        <w:ind w:firstLine="640"/>
        <w:jc w:val="both"/>
      </w:pPr>
      <w:r>
        <w:rPr>
          <w:rFonts w:ascii="仿宋_GB2312" w:hAnsi="仿宋_GB2312" w:eastAsia="仿宋_GB2312"/>
          <w:b w:val="0"/>
          <w:sz w:val="32"/>
        </w:rPr>
        <w:t>三、《支出决算表》</w:t>
      </w:r>
    </w:p>
    <w:p w14:paraId="16A34B29">
      <w:pPr>
        <w:spacing w:line="240" w:lineRule="auto"/>
        <w:ind w:firstLine="640"/>
        <w:jc w:val="both"/>
      </w:pPr>
      <w:r>
        <w:rPr>
          <w:rFonts w:ascii="仿宋_GB2312" w:hAnsi="仿宋_GB2312" w:eastAsia="仿宋_GB2312"/>
          <w:b w:val="0"/>
          <w:sz w:val="32"/>
        </w:rPr>
        <w:t>四、《财政拨款收入支出决算总表》</w:t>
      </w:r>
    </w:p>
    <w:p w14:paraId="747E474C">
      <w:pPr>
        <w:spacing w:line="240" w:lineRule="auto"/>
        <w:ind w:firstLine="640"/>
        <w:jc w:val="both"/>
      </w:pPr>
      <w:r>
        <w:rPr>
          <w:rFonts w:ascii="仿宋_GB2312" w:hAnsi="仿宋_GB2312" w:eastAsia="仿宋_GB2312"/>
          <w:b w:val="0"/>
          <w:sz w:val="32"/>
        </w:rPr>
        <w:t>五、《一般公共预算财政拨款支出决算表》</w:t>
      </w:r>
    </w:p>
    <w:p w14:paraId="38C564E0">
      <w:pPr>
        <w:spacing w:line="240" w:lineRule="auto"/>
        <w:ind w:firstLine="640"/>
        <w:jc w:val="both"/>
      </w:pPr>
      <w:r>
        <w:rPr>
          <w:rFonts w:ascii="仿宋_GB2312" w:hAnsi="仿宋_GB2312" w:eastAsia="仿宋_GB2312"/>
          <w:b w:val="0"/>
          <w:sz w:val="32"/>
        </w:rPr>
        <w:t>六、《一般公共预算财政拨款基本支出决算表》</w:t>
      </w:r>
    </w:p>
    <w:p w14:paraId="3DB7DFCF">
      <w:pPr>
        <w:spacing w:line="240" w:lineRule="auto"/>
        <w:ind w:firstLine="640"/>
        <w:jc w:val="both"/>
      </w:pPr>
      <w:r>
        <w:rPr>
          <w:rFonts w:ascii="仿宋_GB2312" w:hAnsi="仿宋_GB2312" w:eastAsia="仿宋_GB2312"/>
          <w:b w:val="0"/>
          <w:sz w:val="32"/>
        </w:rPr>
        <w:t>七、《政府性基金预算财政拨款收入支出决算表》</w:t>
      </w:r>
    </w:p>
    <w:p w14:paraId="7D5FCE2D">
      <w:pPr>
        <w:spacing w:line="240" w:lineRule="auto"/>
        <w:ind w:firstLine="640"/>
        <w:jc w:val="both"/>
      </w:pPr>
      <w:r>
        <w:rPr>
          <w:rFonts w:ascii="仿宋_GB2312" w:hAnsi="仿宋_GB2312" w:eastAsia="仿宋_GB2312"/>
          <w:b w:val="0"/>
          <w:sz w:val="32"/>
        </w:rPr>
        <w:t>八、《国有资本经营预算财政拨款收入支出决算表》</w:t>
      </w:r>
    </w:p>
    <w:p w14:paraId="7446C5DF">
      <w:pPr>
        <w:spacing w:line="240" w:lineRule="auto"/>
        <w:ind w:firstLine="640"/>
        <w:jc w:val="both"/>
      </w:pPr>
      <w:r>
        <w:rPr>
          <w:rFonts w:ascii="仿宋_GB2312" w:hAnsi="仿宋_GB2312" w:eastAsia="仿宋_GB2312"/>
          <w:b w:val="0"/>
          <w:sz w:val="32"/>
        </w:rPr>
        <w:t>九、《财政拨款“三公”经费支出决算表》</w:t>
      </w:r>
    </w:p>
    <w:p w14:paraId="23A66817">
      <w:pPr>
        <w:spacing w:line="240" w:lineRule="auto"/>
        <w:ind w:firstLine="640"/>
        <w:jc w:val="both"/>
      </w:pPr>
    </w:p>
    <w:p w14:paraId="3DA9863D">
      <w:pPr>
        <w:spacing w:line="240" w:lineRule="auto"/>
        <w:ind w:firstLine="640"/>
        <w:jc w:val="both"/>
      </w:pPr>
    </w:p>
    <w:p w14:paraId="528CA50F">
      <w:pPr>
        <w:spacing w:line="240" w:lineRule="auto"/>
        <w:ind w:firstLine="640"/>
        <w:jc w:val="both"/>
      </w:pPr>
    </w:p>
    <w:p w14:paraId="04C5D55D">
      <w:pPr>
        <w:spacing w:line="240" w:lineRule="auto"/>
        <w:ind w:firstLine="640"/>
        <w:jc w:val="both"/>
      </w:pPr>
    </w:p>
    <w:p w14:paraId="6941AA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3E5667"/>
    <w:rsid w:val="09A729D8"/>
    <w:rsid w:val="0A3C58E8"/>
    <w:rsid w:val="0A7B4867"/>
    <w:rsid w:val="0AB91B42"/>
    <w:rsid w:val="0B8C3ECC"/>
    <w:rsid w:val="0C3613A3"/>
    <w:rsid w:val="0C7227A7"/>
    <w:rsid w:val="0DCA6EF7"/>
    <w:rsid w:val="0E4B1576"/>
    <w:rsid w:val="0EA04331"/>
    <w:rsid w:val="0F9811B3"/>
    <w:rsid w:val="11E15093"/>
    <w:rsid w:val="120E0809"/>
    <w:rsid w:val="15042A5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5260</Words>
  <Characters>6080</Characters>
  <Lines>0</Lines>
  <Paragraphs>0</Paragraphs>
  <TotalTime>3</TotalTime>
  <ScaleCrop>false</ScaleCrop>
  <LinksUpToDate>false</LinksUpToDate>
  <CharactersWithSpaces>6088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