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洛浦县布亚乡中学2024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152B0B">
      <w:r>
        <w:br w:type="page"/>
      </w:r>
    </w:p>
    <w:p w14:paraId="2B44CD5B">
      <w:pPr>
        <w:spacing w:line="640" w:lineRule="exact"/>
        <w:jc w:val="center"/>
        <w:outlineLvl w:val="1"/>
      </w:pPr>
      <w:r>
        <w:rPr>
          <w:rFonts w:ascii="黑体" w:hAnsi="黑体" w:eastAsia="黑体"/>
          <w:sz w:val="32"/>
        </w:rPr>
        <w:t>第一部分 单位概况</w:t>
      </w:r>
    </w:p>
    <w:p w14:paraId="146F60D7">
      <w:pPr>
        <w:spacing w:line="640" w:lineRule="exact"/>
        <w:ind w:firstLine="640"/>
        <w:jc w:val="both"/>
        <w:outlineLvl w:val="2"/>
      </w:pPr>
      <w:r>
        <w:rPr>
          <w:rFonts w:ascii="黑体" w:hAnsi="黑体" w:eastAsia="黑体"/>
          <w:sz w:val="32"/>
        </w:rPr>
        <w:t>一、主要职能</w:t>
      </w:r>
    </w:p>
    <w:p w14:paraId="27DF3786">
      <w:pPr>
        <w:spacing w:line="580" w:lineRule="exact"/>
        <w:ind w:firstLine="640"/>
        <w:jc w:val="both"/>
      </w:pPr>
      <w:r>
        <w:rPr>
          <w:rFonts w:ascii="仿宋_GB2312" w:hAnsi="仿宋_GB2312" w:eastAsia="仿宋_GB2312"/>
          <w:sz w:val="32"/>
        </w:rPr>
        <w:t>1.开展教育教学，传授知识与技能，培养学生良好品德。</w:t>
      </w:r>
    </w:p>
    <w:p w14:paraId="40B5CE59">
      <w:pPr>
        <w:spacing w:line="580" w:lineRule="exact"/>
        <w:ind w:firstLine="640"/>
        <w:jc w:val="both"/>
      </w:pPr>
      <w:r>
        <w:rPr>
          <w:rFonts w:ascii="仿宋_GB2312" w:hAnsi="仿宋_GB2312" w:eastAsia="仿宋_GB2312"/>
          <w:sz w:val="32"/>
        </w:rPr>
        <w:t>2.进行学生管理，包括日常考勤、学业指导和心理辅导。</w:t>
      </w:r>
    </w:p>
    <w:p w14:paraId="482A9458">
      <w:pPr>
        <w:spacing w:line="580" w:lineRule="exact"/>
        <w:ind w:firstLine="640"/>
        <w:jc w:val="both"/>
      </w:pPr>
      <w:r>
        <w:rPr>
          <w:rFonts w:ascii="仿宋_GB2312" w:hAnsi="仿宋_GB2312" w:eastAsia="仿宋_GB2312"/>
          <w:sz w:val="32"/>
        </w:rPr>
        <w:t>3.加强师资建设，组织教师培训和教学研究。</w:t>
      </w:r>
    </w:p>
    <w:p w14:paraId="1BF8240B">
      <w:pPr>
        <w:spacing w:line="580" w:lineRule="exact"/>
        <w:ind w:firstLine="640"/>
        <w:jc w:val="both"/>
      </w:pPr>
      <w:r>
        <w:rPr>
          <w:rFonts w:ascii="仿宋_GB2312" w:hAnsi="仿宋_GB2312" w:eastAsia="仿宋_GB2312"/>
          <w:sz w:val="32"/>
        </w:rPr>
        <w:t>4.促进家校合作，搭建沟通桥梁，共同育人。</w:t>
      </w:r>
    </w:p>
    <w:p w14:paraId="0E576937">
      <w:pPr>
        <w:spacing w:line="640" w:lineRule="exact"/>
        <w:ind w:firstLine="640"/>
        <w:jc w:val="both"/>
        <w:outlineLvl w:val="2"/>
      </w:pPr>
      <w:r>
        <w:rPr>
          <w:rFonts w:ascii="黑体" w:hAnsi="黑体" w:eastAsia="黑体"/>
          <w:sz w:val="32"/>
        </w:rPr>
        <w:t>二、机构设置及人员情况</w:t>
      </w:r>
    </w:p>
    <w:p w14:paraId="0FA94B2C">
      <w:pPr>
        <w:spacing w:line="580" w:lineRule="exact"/>
        <w:ind w:firstLine="640"/>
        <w:jc w:val="both"/>
      </w:pPr>
      <w:r>
        <w:rPr>
          <w:rFonts w:ascii="仿宋_GB2312" w:hAnsi="仿宋_GB2312" w:eastAsia="仿宋_GB2312"/>
          <w:sz w:val="32"/>
        </w:rPr>
        <w:t>洛浦县布亚乡中学2024年度，实有人数187人，其中：在职人员166人，增加3人；离休人员0人，增加0人；退休人员21人,增加0人。</w:t>
      </w:r>
    </w:p>
    <w:p w14:paraId="1B7088FB">
      <w:pPr>
        <w:spacing w:line="580" w:lineRule="exact"/>
        <w:ind w:firstLine="640"/>
        <w:jc w:val="both"/>
      </w:pPr>
      <w:r>
        <w:rPr>
          <w:rFonts w:ascii="仿宋_GB2312" w:hAnsi="仿宋_GB2312" w:eastAsia="仿宋_GB2312"/>
          <w:sz w:val="32"/>
        </w:rPr>
        <w:t>洛浦县布亚乡中学无下属预算单位，下设5个科室，分别是：校办、德育办、党建办、教务科、总务科。</w:t>
      </w:r>
    </w:p>
    <w:p w14:paraId="0FC1C22E">
      <w:r>
        <w:br w:type="page"/>
      </w:r>
    </w:p>
    <w:p w14:paraId="7D0929E4">
      <w:pPr>
        <w:spacing w:line="240" w:lineRule="auto"/>
        <w:jc w:val="center"/>
        <w:outlineLvl w:val="1"/>
      </w:pPr>
      <w:r>
        <w:rPr>
          <w:rFonts w:ascii="黑体" w:hAnsi="黑体" w:eastAsia="黑体"/>
          <w:sz w:val="32"/>
        </w:rPr>
        <w:t>第二部分 部门决算情况说明</w:t>
      </w:r>
    </w:p>
    <w:p w14:paraId="5BAB650D">
      <w:pPr>
        <w:spacing w:line="640" w:lineRule="exact"/>
        <w:ind w:firstLine="640"/>
        <w:jc w:val="both"/>
        <w:outlineLvl w:val="2"/>
      </w:pPr>
      <w:r>
        <w:rPr>
          <w:rFonts w:ascii="黑体" w:hAnsi="黑体" w:eastAsia="黑体"/>
          <w:sz w:val="32"/>
        </w:rPr>
        <w:t>一、收入支出决算总体情况说明</w:t>
      </w:r>
    </w:p>
    <w:p w14:paraId="002F1CCA">
      <w:pPr>
        <w:spacing w:line="580" w:lineRule="exact"/>
        <w:ind w:firstLine="640"/>
        <w:jc w:val="both"/>
      </w:pPr>
      <w:r>
        <w:rPr>
          <w:rFonts w:ascii="仿宋_GB2312" w:hAnsi="仿宋_GB2312" w:eastAsia="仿宋_GB2312"/>
          <w:b/>
          <w:sz w:val="32"/>
        </w:rPr>
        <w:t>2024年度收入总计3,253.85万元，</w:t>
      </w:r>
      <w:r>
        <w:rPr>
          <w:rFonts w:ascii="仿宋_GB2312" w:hAnsi="仿宋_GB2312" w:eastAsia="仿宋_GB2312"/>
          <w:b w:val="0"/>
          <w:sz w:val="32"/>
        </w:rPr>
        <w:t>其中：本年收入合计3,253.85万元，使用非财政拨款结余（含专用结余）0.00万元，年初结转和结余0.00万元。</w:t>
      </w:r>
    </w:p>
    <w:p w14:paraId="22A4689D">
      <w:pPr>
        <w:spacing w:line="580" w:lineRule="exact"/>
        <w:ind w:firstLine="640"/>
        <w:jc w:val="both"/>
      </w:pPr>
      <w:r>
        <w:rPr>
          <w:rFonts w:ascii="仿宋_GB2312" w:hAnsi="仿宋_GB2312" w:eastAsia="仿宋_GB2312"/>
          <w:b/>
          <w:sz w:val="32"/>
        </w:rPr>
        <w:t>2024年度支出总计3,253.85万元，</w:t>
      </w:r>
      <w:r>
        <w:rPr>
          <w:rFonts w:ascii="仿宋_GB2312" w:hAnsi="仿宋_GB2312" w:eastAsia="仿宋_GB2312"/>
          <w:b w:val="0"/>
          <w:sz w:val="32"/>
        </w:rPr>
        <w:t>其中：本年支出合计3,253.85万元，结余分配0.00万元，年末结转和结余0.00万元。</w:t>
      </w:r>
    </w:p>
    <w:p w14:paraId="0B31D4E6">
      <w:pPr>
        <w:spacing w:line="580" w:lineRule="exact"/>
        <w:ind w:firstLine="640"/>
        <w:jc w:val="both"/>
      </w:pPr>
      <w:r>
        <w:rPr>
          <w:rFonts w:ascii="仿宋_GB2312" w:hAnsi="仿宋_GB2312" w:eastAsia="仿宋_GB2312"/>
          <w:b w:val="0"/>
          <w:sz w:val="32"/>
        </w:rPr>
        <w:t>收入支出总体与上年相比，减少15.66万元，下降0.48%，主要原因是：本年减少家庭经济困难寄宿生生活补助、营养改善资金。</w:t>
      </w:r>
    </w:p>
    <w:p w14:paraId="438893F6">
      <w:pPr>
        <w:spacing w:line="640" w:lineRule="exact"/>
        <w:ind w:firstLine="640"/>
        <w:jc w:val="both"/>
        <w:outlineLvl w:val="2"/>
      </w:pPr>
      <w:r>
        <w:rPr>
          <w:rFonts w:ascii="黑体" w:hAnsi="黑体" w:eastAsia="黑体"/>
          <w:sz w:val="32"/>
        </w:rPr>
        <w:t>二、收入决算情况说明</w:t>
      </w:r>
    </w:p>
    <w:p w14:paraId="5D30181C">
      <w:pPr>
        <w:spacing w:line="580" w:lineRule="exact"/>
        <w:ind w:firstLine="640"/>
        <w:jc w:val="both"/>
      </w:pPr>
      <w:r>
        <w:rPr>
          <w:rFonts w:ascii="仿宋_GB2312" w:hAnsi="仿宋_GB2312" w:eastAsia="仿宋_GB2312"/>
          <w:b/>
          <w:sz w:val="32"/>
        </w:rPr>
        <w:t>本年收入3,253.85万元，</w:t>
      </w:r>
      <w:r>
        <w:rPr>
          <w:rFonts w:ascii="仿宋_GB2312" w:hAnsi="仿宋_GB2312" w:eastAsia="仿宋_GB2312"/>
          <w:b w:val="0"/>
          <w:sz w:val="32"/>
        </w:rPr>
        <w:t>其中：财政拨款收入3,253.85万元，占100.00%；上级补助收入0.00万元，占0.00%；事业收入0.00万元，占0.00%；经营收入0.00万元，占0.00%；附属单位上缴收入0.00万元，占0.00%；其他收入0.00万元，占0.00%。</w:t>
      </w:r>
    </w:p>
    <w:p w14:paraId="60713132">
      <w:pPr>
        <w:spacing w:line="640" w:lineRule="exact"/>
        <w:ind w:firstLine="640"/>
        <w:jc w:val="both"/>
        <w:outlineLvl w:val="2"/>
      </w:pPr>
      <w:r>
        <w:rPr>
          <w:rFonts w:ascii="黑体" w:hAnsi="黑体" w:eastAsia="黑体"/>
          <w:sz w:val="32"/>
        </w:rPr>
        <w:t>三、支出决算情况说明</w:t>
      </w:r>
    </w:p>
    <w:p w14:paraId="484E13AA">
      <w:pPr>
        <w:spacing w:line="580" w:lineRule="exact"/>
        <w:ind w:firstLine="640"/>
        <w:jc w:val="both"/>
      </w:pPr>
      <w:r>
        <w:rPr>
          <w:rFonts w:ascii="仿宋_GB2312" w:hAnsi="仿宋_GB2312" w:eastAsia="仿宋_GB2312"/>
          <w:b/>
          <w:sz w:val="32"/>
        </w:rPr>
        <w:t>本年支出3,253.85万元，</w:t>
      </w:r>
      <w:r>
        <w:rPr>
          <w:rFonts w:ascii="仿宋_GB2312" w:hAnsi="仿宋_GB2312" w:eastAsia="仿宋_GB2312"/>
          <w:b w:val="0"/>
          <w:sz w:val="32"/>
        </w:rPr>
        <w:t>其中：基本支出3,253.85万元，占100.00%；项目支出0.00万元，占0.00%；上缴上级支出0.00万元，占0.00%；经营支出0.00万元，占0.00%；对附属单位补助支出0.00万元，占0.00%。</w:t>
      </w:r>
    </w:p>
    <w:p w14:paraId="600F1729">
      <w:pPr>
        <w:spacing w:line="640" w:lineRule="exact"/>
        <w:ind w:firstLine="640"/>
        <w:jc w:val="both"/>
        <w:outlineLvl w:val="2"/>
      </w:pPr>
      <w:r>
        <w:rPr>
          <w:rFonts w:ascii="黑体" w:hAnsi="黑体" w:eastAsia="黑体"/>
          <w:sz w:val="32"/>
        </w:rPr>
        <w:t>四、财政拨款收入支出决算总体情况说明</w:t>
      </w:r>
    </w:p>
    <w:p w14:paraId="1161E7BF">
      <w:pPr>
        <w:spacing w:line="580" w:lineRule="exact"/>
        <w:ind w:firstLine="640"/>
        <w:jc w:val="both"/>
      </w:pPr>
      <w:r>
        <w:rPr>
          <w:rFonts w:ascii="仿宋_GB2312" w:hAnsi="仿宋_GB2312" w:eastAsia="仿宋_GB2312"/>
          <w:b/>
          <w:sz w:val="32"/>
        </w:rPr>
        <w:t>2024年度财政拨款收入总计3,253.85万元，</w:t>
      </w:r>
      <w:r>
        <w:rPr>
          <w:rFonts w:ascii="仿宋_GB2312" w:hAnsi="仿宋_GB2312" w:eastAsia="仿宋_GB2312"/>
          <w:b w:val="0"/>
          <w:sz w:val="32"/>
        </w:rPr>
        <w:t>其中：年初财政拨款结转和结余0.00万元，本年财政拨款收入3,253.85万元。</w:t>
      </w:r>
      <w:r>
        <w:rPr>
          <w:rFonts w:ascii="仿宋_GB2312" w:hAnsi="仿宋_GB2312" w:eastAsia="仿宋_GB2312"/>
          <w:b/>
          <w:sz w:val="32"/>
        </w:rPr>
        <w:t>财政拨款支出总计3,253.85万元，</w:t>
      </w:r>
      <w:r>
        <w:rPr>
          <w:rFonts w:ascii="仿宋_GB2312" w:hAnsi="仿宋_GB2312" w:eastAsia="仿宋_GB2312"/>
          <w:b w:val="0"/>
          <w:sz w:val="32"/>
        </w:rPr>
        <w:t>其中：年末财政拨款结转和结余0.00万元，本年财政拨款支出3,253.85万元。</w:t>
      </w:r>
    </w:p>
    <w:p w14:paraId="44889D1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减少15.19万元，下降0.46%，主要原因是：本年减少家庭经济困难寄宿生生活补助、营养改善资金。</w:t>
      </w:r>
      <w:r>
        <w:rPr>
          <w:rFonts w:ascii="仿宋_GB2312" w:hAnsi="仿宋_GB2312" w:eastAsia="仿宋_GB2312"/>
          <w:b/>
          <w:sz w:val="32"/>
        </w:rPr>
        <w:t>与年初预算相比，</w:t>
      </w:r>
      <w:r>
        <w:rPr>
          <w:rFonts w:ascii="仿宋_GB2312" w:hAnsi="仿宋_GB2312" w:eastAsia="仿宋_GB2312"/>
          <w:b w:val="0"/>
          <w:sz w:val="32"/>
        </w:rPr>
        <w:t>年初预算数3,389.98万元，决算数3,253.85万元，预决算差异率-4.02%，主要原因是：年中调减家庭经济困难寄宿生生活补助、营养改善资金。</w:t>
      </w:r>
    </w:p>
    <w:p w14:paraId="23587A9D">
      <w:pPr>
        <w:spacing w:line="640" w:lineRule="exact"/>
        <w:ind w:firstLine="640"/>
        <w:jc w:val="both"/>
        <w:outlineLvl w:val="2"/>
      </w:pPr>
      <w:r>
        <w:rPr>
          <w:rFonts w:ascii="黑体" w:hAnsi="黑体" w:eastAsia="黑体"/>
          <w:sz w:val="32"/>
        </w:rPr>
        <w:t>五、一般公共预算财政拨款支出决算情况说明</w:t>
      </w:r>
    </w:p>
    <w:p w14:paraId="7CBB0CAA">
      <w:pPr>
        <w:spacing w:line="640" w:lineRule="exact"/>
        <w:ind w:firstLine="640"/>
        <w:jc w:val="both"/>
        <w:outlineLvl w:val="3"/>
      </w:pPr>
      <w:r>
        <w:rPr>
          <w:rFonts w:ascii="楷体_GB2312" w:hAnsi="楷体_GB2312" w:eastAsia="楷体_GB2312"/>
          <w:b/>
          <w:sz w:val="32"/>
        </w:rPr>
        <w:t>（一）一般公共预算财政拨款支出决算总体情况</w:t>
      </w:r>
    </w:p>
    <w:p w14:paraId="5893AE9B">
      <w:pPr>
        <w:spacing w:line="580" w:lineRule="exact"/>
        <w:ind w:firstLine="640"/>
        <w:jc w:val="both"/>
      </w:pPr>
      <w:r>
        <w:rPr>
          <w:rFonts w:ascii="仿宋_GB2312" w:hAnsi="仿宋_GB2312" w:eastAsia="仿宋_GB2312"/>
          <w:b/>
          <w:sz w:val="32"/>
        </w:rPr>
        <w:t>2024年度一般公共预算财政拨款支出3,253.85万元，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减少15.19万元，下降0.46%，主要原因是：本年减少家庭经济困难寄宿生生活补助、营养改善资金。</w:t>
      </w:r>
      <w:r>
        <w:rPr>
          <w:rFonts w:ascii="仿宋_GB2312" w:hAnsi="仿宋_GB2312" w:eastAsia="仿宋_GB2312"/>
          <w:b/>
          <w:sz w:val="32"/>
        </w:rPr>
        <w:t>与年初预算相比,</w:t>
      </w:r>
      <w:r>
        <w:rPr>
          <w:rFonts w:ascii="仿宋_GB2312" w:hAnsi="仿宋_GB2312" w:eastAsia="仿宋_GB2312"/>
          <w:b w:val="0"/>
          <w:sz w:val="32"/>
        </w:rPr>
        <w:t>年初预算数3,389.98万元，决算数3,253.85万元，预决算差异率-4.02%，主要原因是：年中调减家庭经济困难寄宿生生活补助、营养改善资金。</w:t>
      </w:r>
    </w:p>
    <w:p w14:paraId="7784B744">
      <w:pPr>
        <w:spacing w:line="640" w:lineRule="exact"/>
        <w:ind w:firstLine="640"/>
        <w:jc w:val="both"/>
        <w:outlineLvl w:val="3"/>
      </w:pPr>
      <w:r>
        <w:rPr>
          <w:rFonts w:ascii="楷体_GB2312" w:hAnsi="楷体_GB2312" w:eastAsia="楷体_GB2312"/>
          <w:b/>
          <w:sz w:val="32"/>
        </w:rPr>
        <w:t>（二）一般公共预算财政拨款支出决算结构情况</w:t>
      </w:r>
    </w:p>
    <w:p w14:paraId="38DDD51F">
      <w:pPr>
        <w:spacing w:line="580" w:lineRule="exact"/>
        <w:ind w:firstLine="640"/>
        <w:jc w:val="both"/>
      </w:pPr>
      <w:r>
        <w:rPr>
          <w:rFonts w:ascii="仿宋_GB2312" w:hAnsi="仿宋_GB2312" w:eastAsia="仿宋_GB2312"/>
          <w:b w:val="0"/>
          <w:sz w:val="32"/>
        </w:rPr>
        <w:t>1.教育支出(类)3,253.85万元,占100.00%。</w:t>
      </w:r>
    </w:p>
    <w:p w14:paraId="742C0781">
      <w:pPr>
        <w:spacing w:line="640" w:lineRule="exact"/>
        <w:ind w:firstLine="640"/>
        <w:jc w:val="both"/>
        <w:outlineLvl w:val="3"/>
      </w:pPr>
      <w:r>
        <w:rPr>
          <w:rFonts w:ascii="楷体_GB2312" w:hAnsi="楷体_GB2312" w:eastAsia="楷体_GB2312"/>
          <w:b/>
          <w:sz w:val="32"/>
        </w:rPr>
        <w:t>（三）一般公共预算财政拨款支出决算具体情况</w:t>
      </w:r>
    </w:p>
    <w:p w14:paraId="772A2210">
      <w:pPr>
        <w:spacing w:line="580" w:lineRule="exact"/>
        <w:ind w:firstLine="640"/>
        <w:jc w:val="both"/>
      </w:pPr>
      <w:r>
        <w:rPr>
          <w:rFonts w:ascii="仿宋_GB2312" w:hAnsi="仿宋_GB2312" w:eastAsia="仿宋_GB2312"/>
          <w:b w:val="0"/>
          <w:sz w:val="32"/>
        </w:rPr>
        <w:t>1.教育支出(类)普通教育(款)初中教育(项):支出决算数为3,253.85万元，比上年决算增加58.42万元，增长1.83%,主要原因是：本年养老保险及职业年金在本科目列支，相应费用增加。</w:t>
      </w:r>
    </w:p>
    <w:p w14:paraId="1E323B5E">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2.教育支出(类)普通教育(款)其他普通教育支出(项):支出决算数为0.00万元，比上年决算减少28.50万元，下降100.00%,主要原因是：本年本科目减少家庭经济困难寄宿生生活补助、营养改善资金。</w:t>
      </w:r>
    </w:p>
    <w:p w14:paraId="494DD33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26.87万元，下降100.00%,主要原因是：本年功能科目调整，养老保险缴费上年度单独列支，本年调整至主科目列支，导致经费较上年减少。</w:t>
      </w:r>
    </w:p>
    <w:p w14:paraId="417B763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18.25万元，下降100.00%,主要原因是：本年功能科目调整，机关事业单位职业年金缴费上年度单独列支，本年调整至主科目列支，导致经费较上年减少。</w:t>
      </w:r>
    </w:p>
    <w:p w14:paraId="3247DF7D">
      <w:pPr>
        <w:spacing w:line="640" w:lineRule="exact"/>
        <w:ind w:firstLine="640"/>
        <w:jc w:val="both"/>
        <w:outlineLvl w:val="2"/>
      </w:pPr>
      <w:r>
        <w:rPr>
          <w:rFonts w:ascii="黑体" w:hAnsi="黑体" w:eastAsia="黑体"/>
          <w:sz w:val="32"/>
        </w:rPr>
        <w:t>六、一般公共预算财政拨款基本支出决算情况说明</w:t>
      </w:r>
    </w:p>
    <w:p w14:paraId="20A6E3D0">
      <w:pPr>
        <w:spacing w:line="580" w:lineRule="exact"/>
        <w:ind w:firstLine="640"/>
        <w:jc w:val="both"/>
      </w:pPr>
      <w:r>
        <w:rPr>
          <w:rFonts w:ascii="仿宋_GB2312" w:hAnsi="仿宋_GB2312" w:eastAsia="仿宋_GB2312"/>
          <w:b w:val="0"/>
          <w:sz w:val="32"/>
        </w:rPr>
        <w:t>2024年度一般公共预算财政拨款基本支出3,253.85万元，其中：</w:t>
      </w:r>
      <w:r>
        <w:rPr>
          <w:rFonts w:ascii="仿宋_GB2312" w:hAnsi="仿宋_GB2312" w:eastAsia="仿宋_GB2312"/>
          <w:b/>
          <w:sz w:val="32"/>
        </w:rPr>
        <w:t>人员经费3,253.85万元，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包括：基本工资、津贴补贴、绩效工资、机关事业单位基本养老保险缴费、职业年金缴费、职工基本医疗保险缴费、其他社会保障缴费、住房公积金、退休费、生活补助、医疗费补助。</w:t>
      </w:r>
    </w:p>
    <w:p w14:paraId="52ACED6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7202D53">
      <w:pPr>
        <w:spacing w:line="640" w:lineRule="exact"/>
        <w:ind w:firstLine="640"/>
        <w:jc w:val="both"/>
        <w:outlineLvl w:val="2"/>
      </w:pPr>
      <w:r>
        <w:rPr>
          <w:rFonts w:ascii="黑体" w:hAnsi="黑体" w:eastAsia="黑体"/>
          <w:sz w:val="32"/>
        </w:rPr>
        <w:t>七、政府性基金预算财政拨款收入支出决算情况说明</w:t>
      </w:r>
    </w:p>
    <w:p w14:paraId="3EE364C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48119C6">
      <w:pPr>
        <w:spacing w:line="640" w:lineRule="exact"/>
        <w:ind w:firstLine="640"/>
        <w:jc w:val="both"/>
        <w:outlineLvl w:val="2"/>
      </w:pPr>
      <w:r>
        <w:rPr>
          <w:rFonts w:ascii="黑体" w:hAnsi="黑体" w:eastAsia="黑体"/>
          <w:sz w:val="32"/>
        </w:rPr>
        <w:t>八、国有资本经营预算财政拨款收入支出决算情况说明</w:t>
      </w:r>
    </w:p>
    <w:p w14:paraId="10E0D54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B68BE78">
      <w:pPr>
        <w:spacing w:line="640" w:lineRule="exact"/>
        <w:ind w:firstLine="640"/>
        <w:jc w:val="both"/>
        <w:outlineLvl w:val="2"/>
      </w:pPr>
      <w:r>
        <w:rPr>
          <w:rFonts w:ascii="黑体" w:hAnsi="黑体" w:eastAsia="黑体"/>
          <w:sz w:val="32"/>
        </w:rPr>
        <w:t>九、财政拨款“三公”经费支出决算情况说明</w:t>
      </w:r>
    </w:p>
    <w:p w14:paraId="1A35B71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BAD4B8E">
      <w:pPr>
        <w:spacing w:line="580" w:lineRule="exact"/>
        <w:ind w:firstLine="640"/>
        <w:jc w:val="both"/>
      </w:pPr>
      <w:r>
        <w:rPr>
          <w:rFonts w:ascii="仿宋_GB2312" w:hAnsi="仿宋_GB2312" w:eastAsia="仿宋_GB2312"/>
          <w:b/>
          <w:sz w:val="32"/>
        </w:rPr>
        <w:t>具体情况如下：</w:t>
      </w:r>
    </w:p>
    <w:p w14:paraId="7849647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E4001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83768B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680716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0CBC167">
      <w:pPr>
        <w:spacing w:line="640" w:lineRule="exact"/>
        <w:ind w:firstLine="640"/>
        <w:jc w:val="both"/>
        <w:outlineLvl w:val="2"/>
      </w:pPr>
      <w:r>
        <w:rPr>
          <w:rFonts w:ascii="黑体" w:hAnsi="黑体" w:eastAsia="黑体"/>
          <w:sz w:val="32"/>
        </w:rPr>
        <w:t>十、其他重要事项的情况说明</w:t>
      </w:r>
    </w:p>
    <w:p w14:paraId="26AE181C">
      <w:pPr>
        <w:spacing w:line="640" w:lineRule="exact"/>
        <w:ind w:firstLine="640"/>
        <w:jc w:val="both"/>
        <w:outlineLvl w:val="3"/>
      </w:pPr>
      <w:r>
        <w:rPr>
          <w:rFonts w:ascii="楷体_GB2312" w:hAnsi="楷体_GB2312" w:eastAsia="楷体_GB2312"/>
          <w:b/>
          <w:sz w:val="32"/>
        </w:rPr>
        <w:t>（一）机关运行经费及公用经费支出情况</w:t>
      </w:r>
    </w:p>
    <w:p w14:paraId="3FD6A346">
      <w:pPr>
        <w:spacing w:line="580" w:lineRule="exact"/>
        <w:ind w:firstLine="640"/>
        <w:jc w:val="both"/>
      </w:pPr>
      <w:r>
        <w:rPr>
          <w:rFonts w:ascii="仿宋_GB2312" w:hAnsi="仿宋_GB2312" w:eastAsia="仿宋_GB2312"/>
          <w:b w:val="0"/>
          <w:sz w:val="32"/>
        </w:rPr>
        <w:t>2024年度洛浦县布亚乡中学（事业单位）公用经费支出0.00万元，比上年减少12.48万元，下降100.00%，主要原因是：2024年未安排公用经费支出。</w:t>
      </w:r>
    </w:p>
    <w:p w14:paraId="614EF021">
      <w:pPr>
        <w:spacing w:line="640" w:lineRule="exact"/>
        <w:ind w:firstLine="640"/>
        <w:jc w:val="both"/>
        <w:outlineLvl w:val="3"/>
      </w:pPr>
      <w:r>
        <w:rPr>
          <w:rFonts w:ascii="楷体_GB2312" w:hAnsi="楷体_GB2312" w:eastAsia="楷体_GB2312"/>
          <w:b/>
          <w:sz w:val="32"/>
        </w:rPr>
        <w:t>（二）政府采购情况</w:t>
      </w:r>
    </w:p>
    <w:p w14:paraId="70046D72">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4A1798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18DAC75">
      <w:pPr>
        <w:spacing w:line="640" w:lineRule="exact"/>
        <w:ind w:firstLine="640"/>
        <w:jc w:val="both"/>
        <w:outlineLvl w:val="3"/>
      </w:pPr>
      <w:r>
        <w:rPr>
          <w:rFonts w:ascii="楷体_GB2312" w:hAnsi="楷体_GB2312" w:eastAsia="楷体_GB2312"/>
          <w:b/>
          <w:sz w:val="32"/>
        </w:rPr>
        <w:t>（三）国有资产占用情况说明</w:t>
      </w:r>
    </w:p>
    <w:p w14:paraId="0F08E67A">
      <w:pPr>
        <w:spacing w:line="580" w:lineRule="exact"/>
        <w:ind w:firstLine="640"/>
        <w:jc w:val="both"/>
      </w:pPr>
      <w:r>
        <w:rPr>
          <w:rFonts w:ascii="仿宋_GB2312" w:hAnsi="仿宋_GB2312" w:eastAsia="仿宋_GB2312"/>
          <w:b w:val="0"/>
          <w:sz w:val="32"/>
        </w:rPr>
        <w:t>截至2024年12月31日，房屋5,292.60平方米，价值751.29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20E7515">
      <w:pPr>
        <w:spacing w:line="640" w:lineRule="exact"/>
        <w:ind w:firstLine="640"/>
        <w:jc w:val="both"/>
        <w:outlineLvl w:val="2"/>
      </w:pPr>
      <w:r>
        <w:rPr>
          <w:rFonts w:ascii="黑体" w:hAnsi="黑体" w:eastAsia="黑体"/>
          <w:sz w:val="32"/>
        </w:rPr>
        <w:t>十一、预算绩效的情况说明</w:t>
      </w:r>
    </w:p>
    <w:p w14:paraId="2445648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3,253.85万元，实际执行总额3,253.85万元；预算绩效评价项目0个，全年预算数0.00万元，全年执行数0.00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效果；二是严格按照工作职责和相关文件依据，确保专款专用。发现的问题及原因：年初预算不精准，实际执行偏差较大。下一步改进措施</w:t>
      </w:r>
      <w:r>
        <w:rPr>
          <w:rFonts w:hint="eastAsia" w:ascii="仿宋_GB2312" w:hAnsi="仿宋_GB2312" w:eastAsia="仿宋_GB2312"/>
          <w:b w:val="0"/>
          <w:sz w:val="32"/>
          <w:lang w:eastAsia="zh-CN"/>
        </w:rPr>
        <w:t>：预</w:t>
      </w:r>
      <w:r>
        <w:rPr>
          <w:rFonts w:ascii="仿宋_GB2312" w:hAnsi="仿宋_GB2312" w:eastAsia="仿宋_GB2312"/>
          <w:b w:val="0"/>
          <w:sz w:val="32"/>
        </w:rPr>
        <w:t>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w:t>
      </w:r>
    </w:p>
    <w:p w14:paraId="2255AA2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820AA3">
        <w:tblPrEx>
          <w:tblCellMar>
            <w:top w:w="0" w:type="dxa"/>
            <w:left w:w="108" w:type="dxa"/>
            <w:bottom w:w="0" w:type="dxa"/>
            <w:right w:w="108" w:type="dxa"/>
          </w:tblCellMar>
        </w:tblPrEx>
        <w:tc>
          <w:tcPr>
            <w:tcW w:w="8847" w:type="dxa"/>
            <w:gridSpan w:val="9"/>
            <w:vAlign w:val="center"/>
          </w:tcPr>
          <w:p w14:paraId="62BA8C9B">
            <w:pPr>
              <w:jc w:val="center"/>
            </w:pPr>
            <w:r>
              <w:rPr>
                <w:rFonts w:ascii="宋体" w:hAnsi="宋体" w:eastAsia="宋体"/>
                <w:sz w:val="24"/>
              </w:rPr>
              <w:t>单位整体支出绩效自评表</w:t>
            </w:r>
          </w:p>
        </w:tc>
      </w:tr>
      <w:tr w14:paraId="248448C6">
        <w:tblPrEx>
          <w:tblCellMar>
            <w:top w:w="0" w:type="dxa"/>
            <w:left w:w="108" w:type="dxa"/>
            <w:bottom w:w="0" w:type="dxa"/>
            <w:right w:w="108" w:type="dxa"/>
          </w:tblCellMar>
        </w:tblPrEx>
        <w:tc>
          <w:tcPr>
            <w:tcW w:w="8847" w:type="dxa"/>
            <w:gridSpan w:val="9"/>
            <w:vAlign w:val="center"/>
          </w:tcPr>
          <w:p w14:paraId="0EC4C33D">
            <w:pPr>
              <w:jc w:val="center"/>
            </w:pPr>
            <w:r>
              <w:rPr>
                <w:rFonts w:ascii="宋体" w:hAnsi="宋体" w:eastAsia="宋体"/>
                <w:sz w:val="24"/>
              </w:rPr>
              <w:t>（2024年度）</w:t>
            </w:r>
          </w:p>
        </w:tc>
      </w:tr>
      <w:tr w14:paraId="3400F3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4C39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35DF6B">
            <w:pPr>
              <w:jc w:val="center"/>
            </w:pPr>
            <w:r>
              <w:rPr>
                <w:rFonts w:ascii="宋体" w:hAnsi="宋体" w:eastAsia="宋体"/>
                <w:sz w:val="16"/>
              </w:rPr>
              <w:t>洛浦县布亚乡中学</w:t>
            </w:r>
          </w:p>
        </w:tc>
      </w:tr>
      <w:tr w14:paraId="419222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B37CC">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5286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868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846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F36A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A6EA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EF7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EE652">
            <w:pPr>
              <w:jc w:val="center"/>
            </w:pPr>
            <w:r>
              <w:rPr>
                <w:rFonts w:ascii="宋体" w:hAnsi="宋体" w:eastAsia="宋体"/>
                <w:sz w:val="16"/>
              </w:rPr>
              <w:t>得分</w:t>
            </w:r>
          </w:p>
        </w:tc>
      </w:tr>
      <w:tr w14:paraId="2B22F3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5E20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81190">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122E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6D4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13E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DA6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AB1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DE2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87379">
            <w:pPr>
              <w:jc w:val="center"/>
            </w:pPr>
            <w:r>
              <w:rPr>
                <w:rFonts w:ascii="宋体" w:hAnsi="宋体" w:eastAsia="宋体"/>
                <w:sz w:val="16"/>
              </w:rPr>
              <w:t>-</w:t>
            </w:r>
          </w:p>
        </w:tc>
      </w:tr>
      <w:tr w14:paraId="4DBE9D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7F2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3C9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3092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13F3">
            <w:pPr>
              <w:jc w:val="center"/>
            </w:pPr>
            <w:r>
              <w:rPr>
                <w:rFonts w:ascii="宋体" w:hAnsi="宋体" w:eastAsia="宋体"/>
                <w:sz w:val="16"/>
              </w:rPr>
              <w:t>3,389.98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851F">
            <w:pPr>
              <w:jc w:val="center"/>
            </w:pPr>
            <w:r>
              <w:rPr>
                <w:rFonts w:ascii="宋体" w:hAnsi="宋体" w:eastAsia="宋体"/>
                <w:sz w:val="16"/>
              </w:rPr>
              <w:t>3,253.85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9612E">
            <w:pPr>
              <w:jc w:val="center"/>
            </w:pPr>
            <w:r>
              <w:rPr>
                <w:rFonts w:ascii="宋体" w:hAnsi="宋体" w:eastAsia="宋体"/>
                <w:sz w:val="16"/>
              </w:rPr>
              <w:t>3,253.85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BD2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BEF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B23FB">
            <w:pPr>
              <w:jc w:val="center"/>
            </w:pPr>
            <w:r>
              <w:rPr>
                <w:rFonts w:ascii="宋体" w:hAnsi="宋体" w:eastAsia="宋体"/>
                <w:sz w:val="16"/>
              </w:rPr>
              <w:t>-</w:t>
            </w:r>
          </w:p>
        </w:tc>
      </w:tr>
      <w:tr w14:paraId="2CAD54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6D2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5D2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1275A">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912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ABC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D5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843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F7C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D7B3F">
            <w:pPr>
              <w:jc w:val="center"/>
            </w:pPr>
            <w:r>
              <w:rPr>
                <w:rFonts w:ascii="宋体" w:hAnsi="宋体" w:eastAsia="宋体"/>
                <w:sz w:val="16"/>
              </w:rPr>
              <w:t>-</w:t>
            </w:r>
          </w:p>
        </w:tc>
      </w:tr>
      <w:tr w14:paraId="2722E2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C9F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D3B9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64E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CA4F">
            <w:pPr>
              <w:jc w:val="center"/>
            </w:pPr>
            <w:r>
              <w:rPr>
                <w:rFonts w:ascii="宋体" w:hAnsi="宋体" w:eastAsia="宋体"/>
                <w:sz w:val="16"/>
              </w:rPr>
              <w:t>3,389.98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F38C3">
            <w:pPr>
              <w:jc w:val="center"/>
            </w:pPr>
            <w:r>
              <w:rPr>
                <w:rFonts w:ascii="宋体" w:hAnsi="宋体" w:eastAsia="宋体"/>
                <w:sz w:val="16"/>
              </w:rPr>
              <w:t>3,253.85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81865">
            <w:pPr>
              <w:jc w:val="center"/>
            </w:pPr>
            <w:r>
              <w:rPr>
                <w:rFonts w:ascii="宋体" w:hAnsi="宋体" w:eastAsia="宋体"/>
                <w:sz w:val="16"/>
              </w:rPr>
              <w:t>3,253.85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4B2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5E81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B3F67">
            <w:pPr>
              <w:jc w:val="center"/>
            </w:pPr>
            <w:r>
              <w:rPr>
                <w:rFonts w:ascii="宋体" w:hAnsi="宋体" w:eastAsia="宋体"/>
                <w:sz w:val="16"/>
              </w:rPr>
              <w:t>10</w:t>
            </w:r>
          </w:p>
        </w:tc>
      </w:tr>
      <w:tr w14:paraId="6C586D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6C3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F6FFE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8FF62B">
            <w:pPr>
              <w:jc w:val="center"/>
            </w:pPr>
            <w:r>
              <w:rPr>
                <w:rFonts w:ascii="宋体" w:hAnsi="宋体" w:eastAsia="宋体"/>
                <w:sz w:val="16"/>
              </w:rPr>
              <w:t>实际完成情况</w:t>
            </w:r>
          </w:p>
        </w:tc>
      </w:tr>
      <w:tr w14:paraId="31A23B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0024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FA23FD">
            <w:pPr>
              <w:jc w:val="both"/>
            </w:pPr>
            <w:r>
              <w:rPr>
                <w:rFonts w:hint="eastAsia" w:ascii="宋体" w:hAnsi="宋体"/>
                <w:sz w:val="16"/>
                <w:lang w:eastAsia="zh-CN"/>
              </w:rPr>
              <w:t>1.</w:t>
            </w:r>
            <w:r>
              <w:rPr>
                <w:rFonts w:ascii="宋体" w:hAnsi="宋体" w:eastAsia="宋体"/>
                <w:sz w:val="16"/>
              </w:rPr>
              <w:t>开展党建工作，保障学校各项工作正常运转，有效提升学校的教育教学质量。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2、按照义务教育课程计划，开展德育、教育教学工作，开齐课程，开足课时，认真实施初中的教育教学管理，全面提高教育教学质量，保证学生毕业率及升高率。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3、开展安全教育、制定教师队伍建设规划，不断提高他们的政治素质、文化业务水平和科研水平。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4、全面实施素质教育，培养德、智、体、美等方面全面发展的社会主义事业的建设者和接班人。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CA8466">
            <w:pPr>
              <w:jc w:val="both"/>
            </w:pPr>
            <w:r>
              <w:rPr>
                <w:rFonts w:hint="eastAsia" w:ascii="宋体" w:hAnsi="宋体"/>
                <w:sz w:val="16"/>
                <w:lang w:eastAsia="zh-CN"/>
              </w:rPr>
              <w:t>截至</w:t>
            </w:r>
            <w:r>
              <w:rPr>
                <w:rFonts w:ascii="宋体" w:hAnsi="宋体" w:eastAsia="宋体"/>
                <w:sz w:val="16"/>
              </w:rPr>
              <w:t>2024年12月31日，我单位已完成保障学生数量1543人，开展德育工作教育4项，组织教职工参加线上线下学习60次，线上专题学习30次，开展各类宣传22次，提高教师专业水平90%，提升学生升学率100%。部门整体资金支出3253.85万元。通过这些业务的实施，有效提升学校的教育教学质量，全面提高教育教学质量，保证学生毕业率及升高率。 不断提高他们的政治素质、文化业务水平和科研水平。</w:t>
            </w:r>
          </w:p>
        </w:tc>
      </w:tr>
      <w:tr w14:paraId="1BF7F6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FF2B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A454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3630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5405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452D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1625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72E5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DA64C">
            <w:pPr>
              <w:jc w:val="center"/>
            </w:pPr>
            <w:r>
              <w:rPr>
                <w:rFonts w:ascii="宋体" w:hAnsi="宋体" w:eastAsia="宋体"/>
                <w:sz w:val="16"/>
              </w:rPr>
              <w:t>得分</w:t>
            </w:r>
          </w:p>
        </w:tc>
      </w:tr>
      <w:tr w14:paraId="3E73FE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4976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F351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768E5">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BDC2B">
            <w:pPr>
              <w:jc w:val="center"/>
            </w:pPr>
            <w:r>
              <w:rPr>
                <w:rFonts w:ascii="宋体" w:hAnsi="宋体" w:eastAsia="宋体"/>
                <w:sz w:val="16"/>
              </w:rPr>
              <w:t>=1543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692B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27C4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8968D">
            <w:pPr>
              <w:jc w:val="center"/>
            </w:pPr>
            <w:r>
              <w:rPr>
                <w:rFonts w:ascii="宋体" w:hAnsi="宋体" w:eastAsia="宋体"/>
                <w:sz w:val="16"/>
              </w:rPr>
              <w:t>1543人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79F07">
            <w:pPr>
              <w:jc w:val="center"/>
            </w:pPr>
            <w:r>
              <w:rPr>
                <w:rFonts w:ascii="宋体" w:hAnsi="宋体" w:eastAsia="宋体"/>
                <w:sz w:val="16"/>
              </w:rPr>
              <w:t>15</w:t>
            </w:r>
          </w:p>
        </w:tc>
      </w:tr>
      <w:tr w14:paraId="2CD77A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B32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8BD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0187E">
            <w:pPr>
              <w:jc w:val="center"/>
            </w:pPr>
            <w:r>
              <w:rPr>
                <w:rFonts w:ascii="宋体" w:hAnsi="宋体" w:eastAsia="宋体"/>
                <w:sz w:val="16"/>
              </w:rPr>
              <w:t>开展德育工作教育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7E55">
            <w:pPr>
              <w:jc w:val="center"/>
            </w:pPr>
            <w:r>
              <w:rPr>
                <w:rFonts w:ascii="宋体" w:hAnsi="宋体" w:eastAsia="宋体"/>
                <w:sz w:val="16"/>
              </w:rPr>
              <w:t>≥4项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45C46">
            <w:pPr>
              <w:jc w:val="center"/>
            </w:pPr>
            <w:r>
              <w:rPr>
                <w:rFonts w:hint="eastAsia" w:ascii="宋体" w:hAnsi="宋体"/>
                <w:sz w:val="16"/>
                <w:lang w:eastAsia="zh-CN"/>
              </w:rPr>
              <w:t>年度</w:t>
            </w: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6B4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8BB51">
            <w:pPr>
              <w:jc w:val="center"/>
            </w:pPr>
            <w:r>
              <w:rPr>
                <w:rFonts w:ascii="宋体" w:hAnsi="宋体" w:eastAsia="宋体"/>
                <w:sz w:val="16"/>
              </w:rPr>
              <w:t>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A4E59">
            <w:pPr>
              <w:jc w:val="center"/>
            </w:pPr>
            <w:r>
              <w:rPr>
                <w:rFonts w:ascii="宋体" w:hAnsi="宋体" w:eastAsia="宋体"/>
                <w:sz w:val="16"/>
              </w:rPr>
              <w:t>15</w:t>
            </w:r>
          </w:p>
        </w:tc>
      </w:tr>
      <w:tr w14:paraId="7E91BC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376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030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E1A4B">
            <w:pPr>
              <w:jc w:val="center"/>
            </w:pPr>
            <w:r>
              <w:rPr>
                <w:rFonts w:ascii="宋体" w:hAnsi="宋体" w:eastAsia="宋体"/>
                <w:sz w:val="16"/>
              </w:rPr>
              <w:t>组织教职工参加线上线下学习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1DFCC">
            <w:pPr>
              <w:jc w:val="center"/>
            </w:pPr>
            <w:r>
              <w:rPr>
                <w:rFonts w:ascii="宋体" w:hAnsi="宋体" w:eastAsia="宋体"/>
                <w:sz w:val="16"/>
              </w:rPr>
              <w: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C1FA4">
            <w:pPr>
              <w:jc w:val="center"/>
            </w:pPr>
            <w:r>
              <w:rPr>
                <w:rFonts w:hint="eastAsia" w:ascii="宋体" w:hAnsi="宋体"/>
                <w:sz w:val="16"/>
                <w:lang w:eastAsia="zh-CN"/>
              </w:rPr>
              <w:t>年度</w:t>
            </w: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0913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436C">
            <w:pPr>
              <w:jc w:val="center"/>
            </w:pPr>
            <w:r>
              <w:rPr>
                <w:rFonts w:ascii="宋体" w:hAnsi="宋体" w:eastAsia="宋体"/>
                <w:sz w:val="16"/>
              </w:rPr>
              <w: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15F07">
            <w:pPr>
              <w:jc w:val="center"/>
            </w:pPr>
            <w:r>
              <w:rPr>
                <w:rFonts w:ascii="宋体" w:hAnsi="宋体" w:eastAsia="宋体"/>
                <w:sz w:val="16"/>
              </w:rPr>
              <w:t>15</w:t>
            </w:r>
          </w:p>
        </w:tc>
      </w:tr>
      <w:tr w14:paraId="3FCE2C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42E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3B9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5DFA">
            <w:pPr>
              <w:jc w:val="center"/>
            </w:pPr>
            <w:r>
              <w:rPr>
                <w:rFonts w:ascii="宋体" w:hAnsi="宋体" w:eastAsia="宋体"/>
                <w:sz w:val="16"/>
              </w:rPr>
              <w:t>线上专题学习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F57B3">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C1306">
            <w:pPr>
              <w:jc w:val="center"/>
            </w:pPr>
            <w:r>
              <w:rPr>
                <w:rFonts w:hint="eastAsia" w:ascii="宋体" w:hAnsi="宋体"/>
                <w:sz w:val="16"/>
                <w:lang w:eastAsia="zh-CN"/>
              </w:rPr>
              <w:t>年度</w:t>
            </w: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2B8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B073F">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074AB">
            <w:pPr>
              <w:jc w:val="center"/>
            </w:pPr>
            <w:r>
              <w:rPr>
                <w:rFonts w:ascii="宋体" w:hAnsi="宋体" w:eastAsia="宋体"/>
                <w:sz w:val="16"/>
              </w:rPr>
              <w:t>10</w:t>
            </w:r>
          </w:p>
        </w:tc>
      </w:tr>
      <w:tr w14:paraId="09B8EA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AA5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353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2A8A6">
            <w:pPr>
              <w:jc w:val="center"/>
            </w:pPr>
            <w:r>
              <w:rPr>
                <w:rFonts w:ascii="宋体" w:hAnsi="宋体" w:eastAsia="宋体"/>
                <w:sz w:val="16"/>
              </w:rPr>
              <w:t>开展各类宣传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10689">
            <w:pPr>
              <w:jc w:val="center"/>
            </w:pPr>
            <w:r>
              <w:rPr>
                <w:rFonts w:ascii="宋体" w:hAnsi="宋体" w:eastAsia="宋体"/>
                <w:sz w:val="16"/>
              </w:rPr>
              <w:t>≥22次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345D7">
            <w:pPr>
              <w:jc w:val="center"/>
            </w:pPr>
            <w:r>
              <w:rPr>
                <w:rFonts w:hint="eastAsia" w:ascii="宋体" w:hAnsi="宋体"/>
                <w:sz w:val="16"/>
                <w:lang w:eastAsia="zh-CN"/>
              </w:rPr>
              <w:t>年度</w:t>
            </w: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6FD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4E85B">
            <w:pPr>
              <w:jc w:val="center"/>
            </w:pPr>
            <w:r>
              <w:rPr>
                <w:rFonts w:ascii="宋体" w:hAnsi="宋体" w:eastAsia="宋体"/>
                <w:sz w:val="16"/>
              </w:rPr>
              <w:t>22次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B7727">
            <w:pPr>
              <w:jc w:val="center"/>
            </w:pPr>
            <w:r>
              <w:rPr>
                <w:rFonts w:ascii="宋体" w:hAnsi="宋体" w:eastAsia="宋体"/>
                <w:sz w:val="16"/>
              </w:rPr>
              <w:t>15</w:t>
            </w:r>
          </w:p>
        </w:tc>
      </w:tr>
      <w:tr w14:paraId="20899D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F9A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ED1AB">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A44A">
            <w:pPr>
              <w:jc w:val="center"/>
            </w:pPr>
            <w:r>
              <w:rPr>
                <w:rFonts w:ascii="宋体" w:hAnsi="宋体" w:eastAsia="宋体"/>
                <w:sz w:val="16"/>
              </w:rPr>
              <w:t>提高教师专业水平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568F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D5369">
            <w:pPr>
              <w:jc w:val="center"/>
            </w:pPr>
            <w:r>
              <w:rPr>
                <w:rFonts w:hint="eastAsia" w:ascii="宋体" w:hAnsi="宋体"/>
                <w:sz w:val="16"/>
                <w:lang w:eastAsia="zh-CN"/>
              </w:rPr>
              <w:t>年度</w:t>
            </w: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4F7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A275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8924E">
            <w:pPr>
              <w:jc w:val="center"/>
            </w:pPr>
            <w:r>
              <w:rPr>
                <w:rFonts w:ascii="宋体" w:hAnsi="宋体" w:eastAsia="宋体"/>
                <w:sz w:val="16"/>
              </w:rPr>
              <w:t>10</w:t>
            </w:r>
          </w:p>
        </w:tc>
      </w:tr>
      <w:tr w14:paraId="1CDDF1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D64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6BB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A7238">
            <w:pPr>
              <w:jc w:val="center"/>
            </w:pPr>
            <w:r>
              <w:rPr>
                <w:rFonts w:ascii="宋体" w:hAnsi="宋体" w:eastAsia="宋体"/>
                <w:sz w:val="16"/>
              </w:rPr>
              <w:t>提升学生升学率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142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866AB">
            <w:pPr>
              <w:jc w:val="center"/>
            </w:pPr>
            <w:r>
              <w:rPr>
                <w:rFonts w:hint="eastAsia" w:ascii="宋体" w:hAnsi="宋体"/>
                <w:sz w:val="16"/>
                <w:lang w:eastAsia="zh-CN"/>
              </w:rPr>
              <w:t>年度</w:t>
            </w: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D8E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223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D30E9">
            <w:pPr>
              <w:jc w:val="center"/>
            </w:pPr>
            <w:r>
              <w:rPr>
                <w:rFonts w:ascii="宋体" w:hAnsi="宋体" w:eastAsia="宋体"/>
                <w:sz w:val="16"/>
              </w:rPr>
              <w:t>10</w:t>
            </w:r>
          </w:p>
        </w:tc>
      </w:tr>
    </w:tbl>
    <w:p w14:paraId="766AF07B">
      <w:r>
        <w:br w:type="page"/>
      </w:r>
    </w:p>
    <w:p w14:paraId="5993A434">
      <w:pPr>
        <w:spacing w:line="640" w:lineRule="exact"/>
        <w:ind w:firstLine="640"/>
        <w:jc w:val="both"/>
        <w:outlineLvl w:val="2"/>
      </w:pPr>
      <w:r>
        <w:rPr>
          <w:rFonts w:ascii="黑体" w:hAnsi="黑体" w:eastAsia="黑体"/>
          <w:sz w:val="32"/>
        </w:rPr>
        <w:t>十二、其他需说明的事项</w:t>
      </w:r>
    </w:p>
    <w:p w14:paraId="7D40AC63">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E22AA5A">
      <w:r>
        <w:br w:type="page"/>
      </w:r>
    </w:p>
    <w:p w14:paraId="6F3DEEFA">
      <w:pPr>
        <w:spacing w:line="240" w:lineRule="auto"/>
        <w:jc w:val="center"/>
        <w:outlineLvl w:val="1"/>
      </w:pPr>
      <w:r>
        <w:rPr>
          <w:rFonts w:ascii="黑体" w:hAnsi="黑体" w:eastAsia="黑体"/>
          <w:sz w:val="32"/>
        </w:rPr>
        <w:t>第三部分 专业名词解释</w:t>
      </w:r>
    </w:p>
    <w:p w14:paraId="69C8013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B4739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897B7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C85B52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9F5542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44E80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5F50B9">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E8D0DF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8C708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EB573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9CA3DD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B0AA4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71215F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770B2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2F99B6D">
      <w:r>
        <w:br w:type="page"/>
      </w:r>
    </w:p>
    <w:p w14:paraId="37DC2169">
      <w:pPr>
        <w:spacing w:line="240" w:lineRule="auto"/>
        <w:jc w:val="center"/>
        <w:outlineLvl w:val="1"/>
      </w:pPr>
      <w:r>
        <w:rPr>
          <w:rFonts w:ascii="黑体" w:hAnsi="黑体" w:eastAsia="黑体"/>
          <w:sz w:val="32"/>
        </w:rPr>
        <w:t>第四部分 部门决算报表（见附表）</w:t>
      </w:r>
    </w:p>
    <w:p w14:paraId="2AC05A9C">
      <w:pPr>
        <w:spacing w:line="240" w:lineRule="auto"/>
        <w:ind w:firstLine="640"/>
        <w:jc w:val="both"/>
      </w:pPr>
      <w:r>
        <w:rPr>
          <w:rFonts w:ascii="仿宋_GB2312" w:hAnsi="仿宋_GB2312" w:eastAsia="仿宋_GB2312"/>
          <w:b w:val="0"/>
          <w:sz w:val="32"/>
        </w:rPr>
        <w:t>一、《收入支出决算总表》</w:t>
      </w:r>
    </w:p>
    <w:p w14:paraId="7C1564B0">
      <w:pPr>
        <w:spacing w:line="240" w:lineRule="auto"/>
        <w:ind w:firstLine="640"/>
        <w:jc w:val="both"/>
      </w:pPr>
      <w:r>
        <w:rPr>
          <w:rFonts w:ascii="仿宋_GB2312" w:hAnsi="仿宋_GB2312" w:eastAsia="仿宋_GB2312"/>
          <w:b w:val="0"/>
          <w:sz w:val="32"/>
        </w:rPr>
        <w:t>二、《收入决算表》</w:t>
      </w:r>
    </w:p>
    <w:p w14:paraId="77C36455">
      <w:pPr>
        <w:spacing w:line="240" w:lineRule="auto"/>
        <w:ind w:firstLine="640"/>
        <w:jc w:val="both"/>
      </w:pPr>
      <w:r>
        <w:rPr>
          <w:rFonts w:ascii="仿宋_GB2312" w:hAnsi="仿宋_GB2312" w:eastAsia="仿宋_GB2312"/>
          <w:b w:val="0"/>
          <w:sz w:val="32"/>
        </w:rPr>
        <w:t>三、《支出决算表》</w:t>
      </w:r>
    </w:p>
    <w:p w14:paraId="315EAAB9">
      <w:pPr>
        <w:spacing w:line="240" w:lineRule="auto"/>
        <w:ind w:firstLine="640"/>
        <w:jc w:val="both"/>
      </w:pPr>
      <w:r>
        <w:rPr>
          <w:rFonts w:ascii="仿宋_GB2312" w:hAnsi="仿宋_GB2312" w:eastAsia="仿宋_GB2312"/>
          <w:b w:val="0"/>
          <w:sz w:val="32"/>
        </w:rPr>
        <w:t>四、《财政拨款收入支出决算总表》</w:t>
      </w:r>
    </w:p>
    <w:p w14:paraId="24D42599">
      <w:pPr>
        <w:spacing w:line="240" w:lineRule="auto"/>
        <w:ind w:firstLine="640"/>
        <w:jc w:val="both"/>
      </w:pPr>
      <w:r>
        <w:rPr>
          <w:rFonts w:ascii="仿宋_GB2312" w:hAnsi="仿宋_GB2312" w:eastAsia="仿宋_GB2312"/>
          <w:b w:val="0"/>
          <w:sz w:val="32"/>
        </w:rPr>
        <w:t>五、《一般公共预算财政拨款支出决算表》</w:t>
      </w:r>
    </w:p>
    <w:p w14:paraId="2A08F60D">
      <w:pPr>
        <w:spacing w:line="240" w:lineRule="auto"/>
        <w:ind w:firstLine="640"/>
        <w:jc w:val="both"/>
      </w:pPr>
      <w:r>
        <w:rPr>
          <w:rFonts w:ascii="仿宋_GB2312" w:hAnsi="仿宋_GB2312" w:eastAsia="仿宋_GB2312"/>
          <w:b w:val="0"/>
          <w:sz w:val="32"/>
        </w:rPr>
        <w:t>六、《一般公共预算财政拨款基本支出决算表》</w:t>
      </w:r>
    </w:p>
    <w:p w14:paraId="0DCFBE17">
      <w:pPr>
        <w:spacing w:line="240" w:lineRule="auto"/>
        <w:ind w:firstLine="640"/>
        <w:jc w:val="both"/>
      </w:pPr>
      <w:r>
        <w:rPr>
          <w:rFonts w:ascii="仿宋_GB2312" w:hAnsi="仿宋_GB2312" w:eastAsia="仿宋_GB2312"/>
          <w:b w:val="0"/>
          <w:sz w:val="32"/>
        </w:rPr>
        <w:t>七、《政府性基金预算财政拨款收入支出决算表》</w:t>
      </w:r>
    </w:p>
    <w:p w14:paraId="7265EDF1">
      <w:pPr>
        <w:spacing w:line="240" w:lineRule="auto"/>
        <w:ind w:firstLine="640"/>
        <w:jc w:val="both"/>
      </w:pPr>
      <w:r>
        <w:rPr>
          <w:rFonts w:ascii="仿宋_GB2312" w:hAnsi="仿宋_GB2312" w:eastAsia="仿宋_GB2312"/>
          <w:b w:val="0"/>
          <w:sz w:val="32"/>
        </w:rPr>
        <w:t>八、《国有资本经营预算财政拨款收入支出决算表》</w:t>
      </w:r>
    </w:p>
    <w:p w14:paraId="591DF129">
      <w:pPr>
        <w:spacing w:line="240" w:lineRule="auto"/>
        <w:ind w:firstLine="640"/>
        <w:jc w:val="both"/>
      </w:pPr>
      <w:r>
        <w:rPr>
          <w:rFonts w:ascii="仿宋_GB2312" w:hAnsi="仿宋_GB2312" w:eastAsia="仿宋_GB2312"/>
          <w:b w:val="0"/>
          <w:sz w:val="32"/>
        </w:rPr>
        <w:t>九、《财政拨款“三公”经费支出决算表》</w:t>
      </w:r>
    </w:p>
    <w:p w14:paraId="191A5BBC">
      <w:pPr>
        <w:spacing w:line="240" w:lineRule="auto"/>
        <w:ind w:firstLine="640"/>
        <w:jc w:val="both"/>
      </w:pPr>
    </w:p>
    <w:p w14:paraId="0E23E2F6">
      <w:pPr>
        <w:spacing w:line="240" w:lineRule="auto"/>
        <w:ind w:firstLine="640"/>
        <w:jc w:val="both"/>
      </w:pPr>
    </w:p>
    <w:p w14:paraId="178555F3">
      <w:pPr>
        <w:spacing w:line="240" w:lineRule="auto"/>
        <w:ind w:firstLine="640"/>
        <w:jc w:val="both"/>
      </w:pPr>
    </w:p>
    <w:p w14:paraId="20DD9786">
      <w:pPr>
        <w:spacing w:line="240" w:lineRule="auto"/>
        <w:ind w:firstLine="640"/>
        <w:jc w:val="both"/>
      </w:pPr>
    </w:p>
    <w:p w14:paraId="29EDB63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E923E6"/>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5593</Words>
  <Characters>6350</Characters>
  <Lines>0</Lines>
  <Paragraphs>0</Paragraphs>
  <TotalTime>2</TotalTime>
  <ScaleCrop>false</ScaleCrop>
  <LinksUpToDate>false</LinksUpToDate>
  <CharactersWithSpaces>6362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2025-09-17T07:54:45Z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