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洛浦县工商业联合会2024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2E82D1E">
      <w:r>
        <w:br w:type="page"/>
      </w:r>
    </w:p>
    <w:p w14:paraId="2DEDC164">
      <w:pPr>
        <w:spacing w:line="640" w:lineRule="exact"/>
        <w:jc w:val="center"/>
        <w:outlineLvl w:val="1"/>
      </w:pPr>
      <w:r>
        <w:rPr>
          <w:rFonts w:ascii="黑体" w:hAnsi="黑体" w:eastAsia="黑体"/>
          <w:sz w:val="32"/>
        </w:rPr>
        <w:t>第一部分 单位概况</w:t>
      </w:r>
    </w:p>
    <w:p w14:paraId="07CBCE59">
      <w:pPr>
        <w:spacing w:line="640" w:lineRule="exact"/>
        <w:ind w:firstLine="640"/>
        <w:jc w:val="both"/>
        <w:outlineLvl w:val="2"/>
      </w:pPr>
      <w:r>
        <w:rPr>
          <w:rFonts w:ascii="黑体" w:hAnsi="黑体" w:eastAsia="黑体"/>
          <w:sz w:val="32"/>
        </w:rPr>
        <w:t>一、主要职能</w:t>
      </w:r>
    </w:p>
    <w:p w14:paraId="21AFE1A9">
      <w:pPr>
        <w:spacing w:line="580" w:lineRule="exact"/>
        <w:ind w:firstLine="640"/>
        <w:jc w:val="both"/>
      </w:pPr>
      <w:r>
        <w:rPr>
          <w:rFonts w:ascii="仿宋_GB2312" w:hAnsi="仿宋_GB2312" w:eastAsia="仿宋_GB2312"/>
          <w:sz w:val="32"/>
        </w:rPr>
        <w:t>（1）洛浦县工商业联合会是县委、县政府的接待单位，工作必须紧紧围绕县委、县政府下达的指令，为了更好地适应新形势下接待工作的需要，我中心不断更新思想观念，积极跳出狭隘封闭的“小接待”圈子，不断改进工作方法，提前考虑，统筹谋划，牢牢掌握接待工作的主动权。</w:t>
      </w:r>
    </w:p>
    <w:p w14:paraId="703E4C58">
      <w:pPr>
        <w:spacing w:line="580" w:lineRule="exact"/>
        <w:ind w:firstLine="640"/>
        <w:jc w:val="both"/>
      </w:pPr>
      <w:r>
        <w:rPr>
          <w:rFonts w:ascii="仿宋_GB2312" w:hAnsi="仿宋_GB2312" w:eastAsia="仿宋_GB2312"/>
          <w:sz w:val="32"/>
        </w:rPr>
        <w:t>（2）严格按照县委、县政府规定的标准执行，既保证了接待工作的圆满完成，又节省了支出，我洛浦会务接待中心从各方面考虑节约成本和费用支出，加大员工的培训力度，增加了中心的硬件设施，为提高洛浦县的公务接待做出了一份贡献。</w:t>
      </w:r>
    </w:p>
    <w:p w14:paraId="4A1FB08B">
      <w:pPr>
        <w:spacing w:line="640" w:lineRule="exact"/>
        <w:ind w:firstLine="640"/>
        <w:jc w:val="both"/>
        <w:outlineLvl w:val="2"/>
      </w:pPr>
      <w:r>
        <w:rPr>
          <w:rFonts w:ascii="黑体" w:hAnsi="黑体" w:eastAsia="黑体"/>
          <w:sz w:val="32"/>
        </w:rPr>
        <w:t>二、机构设置及人员情况</w:t>
      </w:r>
      <w:bookmarkStart w:id="0" w:name="_GoBack"/>
      <w:bookmarkEnd w:id="0"/>
    </w:p>
    <w:p w14:paraId="01396A0F">
      <w:pPr>
        <w:spacing w:line="580" w:lineRule="exact"/>
        <w:ind w:firstLine="640"/>
        <w:jc w:val="both"/>
      </w:pPr>
      <w:r>
        <w:rPr>
          <w:rFonts w:ascii="仿宋_GB2312" w:hAnsi="仿宋_GB2312" w:eastAsia="仿宋_GB2312"/>
          <w:sz w:val="32"/>
        </w:rPr>
        <w:t>洛浦县工商业联合会2024年度，实有人数8人，其中：在职人员4人，增加0人；离休人员0人，增加0人；退休人员4人,增加0人。</w:t>
      </w:r>
    </w:p>
    <w:p w14:paraId="0A3EDEB2">
      <w:pPr>
        <w:spacing w:line="580" w:lineRule="exact"/>
        <w:ind w:firstLine="640"/>
        <w:jc w:val="both"/>
      </w:pPr>
      <w:r>
        <w:rPr>
          <w:rFonts w:ascii="仿宋_GB2312" w:hAnsi="仿宋_GB2312" w:eastAsia="仿宋_GB2312"/>
          <w:sz w:val="32"/>
        </w:rPr>
        <w:t>洛浦县工商业联合会无下属预算单位，下设1个科室，分别是：办公室。</w:t>
      </w:r>
    </w:p>
    <w:p w14:paraId="3B564822">
      <w:r>
        <w:br w:type="page"/>
      </w:r>
    </w:p>
    <w:p w14:paraId="631BCE32">
      <w:pPr>
        <w:spacing w:line="240" w:lineRule="auto"/>
        <w:jc w:val="center"/>
        <w:outlineLvl w:val="1"/>
      </w:pPr>
      <w:r>
        <w:rPr>
          <w:rFonts w:ascii="黑体" w:hAnsi="黑体" w:eastAsia="黑体"/>
          <w:sz w:val="32"/>
        </w:rPr>
        <w:t>第二部分 部门决算情况说明</w:t>
      </w:r>
    </w:p>
    <w:p w14:paraId="5BBD604B">
      <w:pPr>
        <w:spacing w:line="640" w:lineRule="exact"/>
        <w:ind w:firstLine="640"/>
        <w:jc w:val="both"/>
        <w:outlineLvl w:val="2"/>
      </w:pPr>
      <w:r>
        <w:rPr>
          <w:rFonts w:ascii="黑体" w:hAnsi="黑体" w:eastAsia="黑体"/>
          <w:sz w:val="32"/>
        </w:rPr>
        <w:t>一、收入支出决算总体情况说明</w:t>
      </w:r>
    </w:p>
    <w:p w14:paraId="581B6BA0">
      <w:pPr>
        <w:spacing w:line="580" w:lineRule="exact"/>
        <w:ind w:firstLine="640"/>
        <w:jc w:val="both"/>
      </w:pPr>
      <w:r>
        <w:rPr>
          <w:rFonts w:ascii="仿宋_GB2312" w:hAnsi="仿宋_GB2312" w:eastAsia="仿宋_GB2312"/>
          <w:b/>
          <w:sz w:val="32"/>
        </w:rPr>
        <w:t>2024年度收入总计93.84万元，</w:t>
      </w:r>
      <w:r>
        <w:rPr>
          <w:rFonts w:ascii="仿宋_GB2312" w:hAnsi="仿宋_GB2312" w:eastAsia="仿宋_GB2312"/>
          <w:b w:val="0"/>
          <w:sz w:val="32"/>
        </w:rPr>
        <w:t>其中：本年收入合计93.84万元，使用非财政拨款结余（含专用结余）0.00万元，年初结转和结余0.00万元。</w:t>
      </w:r>
    </w:p>
    <w:p w14:paraId="59896F7F">
      <w:pPr>
        <w:spacing w:line="580" w:lineRule="exact"/>
        <w:ind w:firstLine="640"/>
        <w:jc w:val="both"/>
      </w:pPr>
      <w:r>
        <w:rPr>
          <w:rFonts w:ascii="仿宋_GB2312" w:hAnsi="仿宋_GB2312" w:eastAsia="仿宋_GB2312"/>
          <w:b/>
          <w:sz w:val="32"/>
        </w:rPr>
        <w:t>2024年度支出总计93.84万元，</w:t>
      </w:r>
      <w:r>
        <w:rPr>
          <w:rFonts w:ascii="仿宋_GB2312" w:hAnsi="仿宋_GB2312" w:eastAsia="仿宋_GB2312"/>
          <w:b w:val="0"/>
          <w:sz w:val="32"/>
        </w:rPr>
        <w:t>其中：本年支出合计93.84万元，结余分配0.00万元，年末结转和结余0.00万元。</w:t>
      </w:r>
    </w:p>
    <w:p w14:paraId="48B7F13F">
      <w:pPr>
        <w:spacing w:line="580" w:lineRule="exact"/>
        <w:ind w:firstLine="640"/>
        <w:jc w:val="both"/>
      </w:pPr>
      <w:r>
        <w:rPr>
          <w:rFonts w:ascii="仿宋_GB2312" w:hAnsi="仿宋_GB2312" w:eastAsia="仿宋_GB2312"/>
          <w:b w:val="0"/>
          <w:sz w:val="32"/>
        </w:rPr>
        <w:t>收入支出总体与上年相比，减少26.14万元，下降21.79%，主要原因是：本年无新增退休人员，导致职业年金缴费支出下降，退休人员未补发退休人员绩效奖，相关人员经费减少。</w:t>
      </w:r>
    </w:p>
    <w:p w14:paraId="41AA902D">
      <w:pPr>
        <w:spacing w:line="640" w:lineRule="exact"/>
        <w:ind w:firstLine="640"/>
        <w:jc w:val="both"/>
        <w:outlineLvl w:val="2"/>
      </w:pPr>
      <w:r>
        <w:rPr>
          <w:rFonts w:ascii="黑体" w:hAnsi="黑体" w:eastAsia="黑体"/>
          <w:sz w:val="32"/>
        </w:rPr>
        <w:t>二、收入决算情况说明</w:t>
      </w:r>
    </w:p>
    <w:p w14:paraId="1504A8F9">
      <w:pPr>
        <w:spacing w:line="580" w:lineRule="exact"/>
        <w:ind w:firstLine="640"/>
        <w:jc w:val="both"/>
      </w:pPr>
      <w:r>
        <w:rPr>
          <w:rFonts w:ascii="仿宋_GB2312" w:hAnsi="仿宋_GB2312" w:eastAsia="仿宋_GB2312"/>
          <w:b/>
          <w:sz w:val="32"/>
        </w:rPr>
        <w:t>本年收入93.84万元，</w:t>
      </w:r>
      <w:r>
        <w:rPr>
          <w:rFonts w:ascii="仿宋_GB2312" w:hAnsi="仿宋_GB2312" w:eastAsia="仿宋_GB2312"/>
          <w:b w:val="0"/>
          <w:sz w:val="32"/>
        </w:rPr>
        <w:t>其中：财政拨款收入93.84万元，占100.00%；上级补助收入0.00万元，占0.00%；事业收入0.00万元，占0.00%；经营收入0.00万元，占0.00%；附属单位上缴收入0.00万元，占0.00%；其他收入0.00万元，占0.00%。</w:t>
      </w:r>
    </w:p>
    <w:p w14:paraId="2B2987FF">
      <w:pPr>
        <w:spacing w:line="640" w:lineRule="exact"/>
        <w:ind w:firstLine="640"/>
        <w:jc w:val="both"/>
        <w:outlineLvl w:val="2"/>
      </w:pPr>
      <w:r>
        <w:rPr>
          <w:rFonts w:ascii="黑体" w:hAnsi="黑体" w:eastAsia="黑体"/>
          <w:sz w:val="32"/>
        </w:rPr>
        <w:t>三、支出决算情况说明</w:t>
      </w:r>
    </w:p>
    <w:p w14:paraId="74D6844D">
      <w:pPr>
        <w:spacing w:line="580" w:lineRule="exact"/>
        <w:ind w:firstLine="640"/>
        <w:jc w:val="both"/>
      </w:pPr>
      <w:r>
        <w:rPr>
          <w:rFonts w:ascii="仿宋_GB2312" w:hAnsi="仿宋_GB2312" w:eastAsia="仿宋_GB2312"/>
          <w:b/>
          <w:sz w:val="32"/>
        </w:rPr>
        <w:t>本年支出93.84万元，</w:t>
      </w:r>
      <w:r>
        <w:rPr>
          <w:rFonts w:ascii="仿宋_GB2312" w:hAnsi="仿宋_GB2312" w:eastAsia="仿宋_GB2312"/>
          <w:b w:val="0"/>
          <w:sz w:val="32"/>
        </w:rPr>
        <w:t>其中：基本支出93.84万元，占100.00%；项目支出0.00万元，占0.00%；上缴上级支出0.00万元，占0.00%；经营支出0.00万元，占0.00%；对附属单位补助支出0.00万元，占0.00%。</w:t>
      </w:r>
    </w:p>
    <w:p w14:paraId="5923362B">
      <w:pPr>
        <w:spacing w:line="640" w:lineRule="exact"/>
        <w:ind w:firstLine="640"/>
        <w:jc w:val="both"/>
        <w:outlineLvl w:val="2"/>
      </w:pPr>
      <w:r>
        <w:rPr>
          <w:rFonts w:ascii="黑体" w:hAnsi="黑体" w:eastAsia="黑体"/>
          <w:sz w:val="32"/>
        </w:rPr>
        <w:t>四、财政拨款收入支出决算总体情况说明</w:t>
      </w:r>
    </w:p>
    <w:p w14:paraId="04BF5C14">
      <w:pPr>
        <w:spacing w:line="580" w:lineRule="exact"/>
        <w:ind w:firstLine="640"/>
        <w:jc w:val="both"/>
      </w:pPr>
      <w:r>
        <w:rPr>
          <w:rFonts w:ascii="仿宋_GB2312" w:hAnsi="仿宋_GB2312" w:eastAsia="仿宋_GB2312"/>
          <w:b/>
          <w:sz w:val="32"/>
        </w:rPr>
        <w:t>2024年度财政拨款收入总计93.84万元，</w:t>
      </w:r>
      <w:r>
        <w:rPr>
          <w:rFonts w:ascii="仿宋_GB2312" w:hAnsi="仿宋_GB2312" w:eastAsia="仿宋_GB2312"/>
          <w:b w:val="0"/>
          <w:sz w:val="32"/>
        </w:rPr>
        <w:t>其中：年初财政拨款结转和结余0.00万元，本年财政拨款收入93.84万元。</w:t>
      </w:r>
      <w:r>
        <w:rPr>
          <w:rFonts w:ascii="仿宋_GB2312" w:hAnsi="仿宋_GB2312" w:eastAsia="仿宋_GB2312"/>
          <w:b/>
          <w:sz w:val="32"/>
        </w:rPr>
        <w:t>财政拨款支出总计93.84万元，</w:t>
      </w:r>
      <w:r>
        <w:rPr>
          <w:rFonts w:ascii="仿宋_GB2312" w:hAnsi="仿宋_GB2312" w:eastAsia="仿宋_GB2312"/>
          <w:b w:val="0"/>
          <w:sz w:val="32"/>
        </w:rPr>
        <w:t>其中：年末财政拨款结转和结余0.00万元，本年财政拨款支出93.84万元。</w:t>
      </w:r>
    </w:p>
    <w:p w14:paraId="0841D18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减少26.14万元，下降21.79%，主要原因是：本年无新增退休人员，导致职业年金缴费支出下降，退休人员未补发退休人员绩效奖，相关人员经费减少。</w:t>
      </w:r>
      <w:r>
        <w:rPr>
          <w:rFonts w:ascii="仿宋_GB2312" w:hAnsi="仿宋_GB2312" w:eastAsia="仿宋_GB2312"/>
          <w:b/>
          <w:sz w:val="32"/>
        </w:rPr>
        <w:t>与年初预算相比，</w:t>
      </w:r>
      <w:r>
        <w:rPr>
          <w:rFonts w:ascii="仿宋_GB2312" w:hAnsi="仿宋_GB2312" w:eastAsia="仿宋_GB2312"/>
          <w:b w:val="0"/>
          <w:sz w:val="32"/>
        </w:rPr>
        <w:t>年初预算数108.20万元，决算数93.84万元，预决算差异率-13.27%，主要原因是：年中调减职业年金缴费支出，导致预决算存在差异。</w:t>
      </w:r>
    </w:p>
    <w:p w14:paraId="75F70776">
      <w:pPr>
        <w:spacing w:line="640" w:lineRule="exact"/>
        <w:ind w:firstLine="640"/>
        <w:jc w:val="both"/>
        <w:outlineLvl w:val="2"/>
      </w:pPr>
      <w:r>
        <w:rPr>
          <w:rFonts w:ascii="黑体" w:hAnsi="黑体" w:eastAsia="黑体"/>
          <w:sz w:val="32"/>
        </w:rPr>
        <w:t>五、一般公共预算财政拨款支出决算情况说明</w:t>
      </w:r>
    </w:p>
    <w:p w14:paraId="6F92AC2A">
      <w:pPr>
        <w:spacing w:line="640" w:lineRule="exact"/>
        <w:ind w:firstLine="640"/>
        <w:jc w:val="both"/>
        <w:outlineLvl w:val="3"/>
      </w:pPr>
      <w:r>
        <w:rPr>
          <w:rFonts w:ascii="楷体_GB2312" w:hAnsi="楷体_GB2312" w:eastAsia="楷体_GB2312"/>
          <w:b/>
          <w:sz w:val="32"/>
        </w:rPr>
        <w:t>（一）一般公共预算财政拨款支出决算总体情况</w:t>
      </w:r>
    </w:p>
    <w:p w14:paraId="72EC80FD">
      <w:pPr>
        <w:spacing w:line="580" w:lineRule="exact"/>
        <w:ind w:firstLine="640"/>
        <w:jc w:val="both"/>
      </w:pPr>
      <w:r>
        <w:rPr>
          <w:rFonts w:ascii="仿宋_GB2312" w:hAnsi="仿宋_GB2312" w:eastAsia="仿宋_GB2312"/>
          <w:b/>
          <w:sz w:val="32"/>
        </w:rPr>
        <w:t>2024年度一般公共预算财政拨款支出93.84万元，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减少26.14万元，下降21.79%，主要原因是：本年无新增退休人员，导致职业年金缴费支出下降，退休人员未补发退休人员绩效奖，相关人员经费减少。</w:t>
      </w:r>
      <w:r>
        <w:rPr>
          <w:rFonts w:ascii="仿宋_GB2312" w:hAnsi="仿宋_GB2312" w:eastAsia="仿宋_GB2312"/>
          <w:b/>
          <w:sz w:val="32"/>
        </w:rPr>
        <w:t>与年初预算相比,</w:t>
      </w:r>
      <w:r>
        <w:rPr>
          <w:rFonts w:ascii="仿宋_GB2312" w:hAnsi="仿宋_GB2312" w:eastAsia="仿宋_GB2312"/>
          <w:b w:val="0"/>
          <w:sz w:val="32"/>
        </w:rPr>
        <w:t>年初预算数108.20万元，决算数93.84万元，预决算差异率-13.27%，主要原因是：年中调减职业年金缴费支出，导致预决算存在差异。</w:t>
      </w:r>
    </w:p>
    <w:p w14:paraId="70364849">
      <w:pPr>
        <w:spacing w:line="640" w:lineRule="exact"/>
        <w:ind w:firstLine="640"/>
        <w:jc w:val="both"/>
        <w:outlineLvl w:val="3"/>
      </w:pPr>
      <w:r>
        <w:rPr>
          <w:rFonts w:ascii="楷体_GB2312" w:hAnsi="楷体_GB2312" w:eastAsia="楷体_GB2312"/>
          <w:b/>
          <w:sz w:val="32"/>
        </w:rPr>
        <w:t>（二）一般公共预算财政拨款支出决算结构情况</w:t>
      </w:r>
    </w:p>
    <w:p w14:paraId="366E4848">
      <w:pPr>
        <w:spacing w:line="580" w:lineRule="exact"/>
        <w:ind w:firstLine="640"/>
        <w:jc w:val="both"/>
      </w:pPr>
      <w:r>
        <w:rPr>
          <w:rFonts w:ascii="仿宋_GB2312" w:hAnsi="仿宋_GB2312" w:eastAsia="仿宋_GB2312"/>
          <w:b w:val="0"/>
          <w:sz w:val="32"/>
        </w:rPr>
        <w:t>1.一般公共服务支出(类)66.72万元,占71.10%。</w:t>
      </w:r>
    </w:p>
    <w:p w14:paraId="0D564602">
      <w:pPr>
        <w:spacing w:line="580" w:lineRule="exact"/>
        <w:ind w:firstLine="640"/>
        <w:jc w:val="both"/>
      </w:pPr>
      <w:r>
        <w:rPr>
          <w:rFonts w:ascii="仿宋_GB2312" w:hAnsi="仿宋_GB2312" w:eastAsia="仿宋_GB2312"/>
          <w:b w:val="0"/>
          <w:sz w:val="32"/>
        </w:rPr>
        <w:t>2.社会保障和就业支出(类)14.93万元,占15.91%。</w:t>
      </w:r>
    </w:p>
    <w:p w14:paraId="6A84E594">
      <w:pPr>
        <w:spacing w:line="580" w:lineRule="exact"/>
        <w:ind w:firstLine="640"/>
        <w:jc w:val="both"/>
      </w:pPr>
      <w:r>
        <w:rPr>
          <w:rFonts w:ascii="仿宋_GB2312" w:hAnsi="仿宋_GB2312" w:eastAsia="仿宋_GB2312"/>
          <w:b w:val="0"/>
          <w:sz w:val="32"/>
        </w:rPr>
        <w:t>3.卫生健康支出(类)5.63万元,占6.00%。</w:t>
      </w:r>
    </w:p>
    <w:p w14:paraId="155CB828">
      <w:pPr>
        <w:spacing w:line="580" w:lineRule="exact"/>
        <w:ind w:firstLine="640"/>
        <w:jc w:val="both"/>
      </w:pPr>
      <w:r>
        <w:rPr>
          <w:rFonts w:ascii="仿宋_GB2312" w:hAnsi="仿宋_GB2312" w:eastAsia="仿宋_GB2312"/>
          <w:b w:val="0"/>
          <w:sz w:val="32"/>
        </w:rPr>
        <w:t>4.住房保障支出(类)6.56万元,占6.99%。</w:t>
      </w:r>
    </w:p>
    <w:p w14:paraId="7E0BD369">
      <w:pPr>
        <w:spacing w:line="640" w:lineRule="exact"/>
        <w:ind w:firstLine="640"/>
        <w:jc w:val="both"/>
        <w:outlineLvl w:val="3"/>
      </w:pPr>
      <w:r>
        <w:rPr>
          <w:rFonts w:ascii="楷体_GB2312" w:hAnsi="楷体_GB2312" w:eastAsia="楷体_GB2312"/>
          <w:b/>
          <w:sz w:val="32"/>
        </w:rPr>
        <w:t>（三）一般公共预算财政拨款支出决算具体情况</w:t>
      </w:r>
    </w:p>
    <w:p w14:paraId="4528D8D1">
      <w:pPr>
        <w:spacing w:line="580" w:lineRule="exact"/>
        <w:ind w:firstLine="640"/>
        <w:jc w:val="both"/>
      </w:pPr>
      <w:r>
        <w:rPr>
          <w:rFonts w:ascii="仿宋_GB2312" w:hAnsi="仿宋_GB2312" w:eastAsia="仿宋_GB2312"/>
          <w:b w:val="0"/>
          <w:sz w:val="32"/>
        </w:rPr>
        <w:t>1.一般公共服务支出(类)民主党派及工商联事务(款)行政运行(项):支出决算数为66.72万元，比上年决算减少30.66万元，下降31.48%,主要原因是：本年功能科目调整，行政单位离退休经费，行政单位医疗，公务员医疗补助，住房公积金上年度在主科目列支，本年单独列支，导致经费较上年减少。</w:t>
      </w:r>
    </w:p>
    <w:p w14:paraId="1226A86B">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6.36万元，比上年决算增加6.36万元，增长100.00%,主要原因是：本年功能科目调整，行政单位离退休上年度在主科目列支，本年单独列支，导致经费较上年增加。</w:t>
      </w:r>
    </w:p>
    <w:p w14:paraId="3F93FB4E">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8.58万元，比上年决算增加0.22万元，增长2.63%,主要原因是：本年在职人员工资基数调增，养老缴费基数上涨，相应支出增加。</w:t>
      </w:r>
    </w:p>
    <w:p w14:paraId="381ACBAA">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14.23万元，下降100.00%,主要原因是：本年无新增退休人员，导致职业年金缴费支出下降。</w:t>
      </w:r>
    </w:p>
    <w:p w14:paraId="03B8EDAE">
      <w:pPr>
        <w:spacing w:line="580" w:lineRule="exact"/>
        <w:ind w:firstLine="640"/>
        <w:jc w:val="both"/>
      </w:pPr>
      <w:r>
        <w:rPr>
          <w:rFonts w:ascii="仿宋_GB2312" w:hAnsi="仿宋_GB2312" w:eastAsia="仿宋_GB2312"/>
          <w:b w:val="0"/>
          <w:sz w:val="32"/>
        </w:rPr>
        <w:t>5.卫生健康支出(类)行政事业单位医疗(款)行政单位医疗(项):支出决算数为3.48万元，比上年决算增加3.48万元，增长100.00%,主要原因是：本年功能科目调整，行政单位医疗支出上年度在主科目列支，本年单独列支，导致经费较上年增加。</w:t>
      </w:r>
    </w:p>
    <w:p w14:paraId="393FA1EC">
      <w:pPr>
        <w:spacing w:line="580" w:lineRule="exact"/>
        <w:ind w:firstLine="640"/>
        <w:jc w:val="both"/>
      </w:pPr>
      <w:r>
        <w:rPr>
          <w:rFonts w:ascii="仿宋_GB2312" w:hAnsi="仿宋_GB2312" w:eastAsia="仿宋_GB2312"/>
          <w:b w:val="0"/>
          <w:sz w:val="32"/>
        </w:rPr>
        <w:t>6.卫生健康支出(类)行政事业单位医疗(款)公务员医疗补助(项):支出决算数为2.14万元，比上年决算增加2.14万元，增长100.00%,主要原因是：本年功能科目调整，公务员医疗补助上年度在主科目列支，本年单独列支，导致经费较上年增加。</w:t>
      </w:r>
    </w:p>
    <w:p w14:paraId="2CE19B9A">
      <w:pPr>
        <w:spacing w:line="580" w:lineRule="exact"/>
        <w:ind w:firstLine="640"/>
        <w:jc w:val="both"/>
      </w:pPr>
      <w:r>
        <w:rPr>
          <w:rFonts w:ascii="仿宋_GB2312" w:hAnsi="仿宋_GB2312" w:eastAsia="仿宋_GB2312"/>
          <w:b w:val="0"/>
          <w:sz w:val="32"/>
        </w:rPr>
        <w:t>7.住房保障支出(类)住房改革支出(款)住房公积金(项):支出决算数为6.56万元，比上年决算增加6.56万元，增长100.00%,主要原因是：本年功能科目调整，住房公积金上年度在主科目列支，本年单独列支，导致经费较上年增加。</w:t>
      </w:r>
    </w:p>
    <w:p w14:paraId="3E266E60">
      <w:pPr>
        <w:spacing w:line="640" w:lineRule="exact"/>
        <w:ind w:firstLine="640"/>
        <w:jc w:val="both"/>
        <w:outlineLvl w:val="2"/>
      </w:pPr>
      <w:r>
        <w:rPr>
          <w:rFonts w:ascii="黑体" w:hAnsi="黑体" w:eastAsia="黑体"/>
          <w:sz w:val="32"/>
        </w:rPr>
        <w:t>六、一般公共预算财政拨款基本支出决算情况说明</w:t>
      </w:r>
    </w:p>
    <w:p w14:paraId="7100EB34">
      <w:pPr>
        <w:spacing w:line="580" w:lineRule="exact"/>
        <w:ind w:firstLine="640"/>
        <w:jc w:val="both"/>
      </w:pPr>
      <w:r>
        <w:rPr>
          <w:rFonts w:ascii="仿宋_GB2312" w:hAnsi="仿宋_GB2312" w:eastAsia="仿宋_GB2312"/>
          <w:b w:val="0"/>
          <w:sz w:val="32"/>
        </w:rPr>
        <w:t>2024年度一般公共预算财政拨款基本支出93.84万元，其中：</w:t>
      </w:r>
      <w:r>
        <w:rPr>
          <w:rFonts w:ascii="仿宋_GB2312" w:hAnsi="仿宋_GB2312" w:eastAsia="仿宋_GB2312"/>
          <w:b/>
          <w:sz w:val="32"/>
        </w:rPr>
        <w:t>人员经费92.16万元，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1AC4BFFA">
      <w:pPr>
        <w:spacing w:line="580" w:lineRule="exact"/>
        <w:ind w:firstLine="640"/>
        <w:jc w:val="both"/>
      </w:pPr>
      <w:r>
        <w:rPr>
          <w:rFonts w:ascii="仿宋_GB2312" w:hAnsi="仿宋_GB2312" w:eastAsia="仿宋_GB2312"/>
          <w:b/>
          <w:sz w:val="32"/>
        </w:rPr>
        <w:t>公用经费1.68万元，</w:t>
      </w:r>
      <w:r>
        <w:rPr>
          <w:rFonts w:ascii="仿宋_GB2312" w:hAnsi="仿宋_GB2312" w:eastAsia="仿宋_GB2312"/>
          <w:b w:val="0"/>
          <w:sz w:val="32"/>
        </w:rPr>
        <w:t>包括：办公费、印刷费、邮电费、差旅费、其他交通费用。</w:t>
      </w:r>
    </w:p>
    <w:p w14:paraId="2870A144">
      <w:pPr>
        <w:spacing w:line="640" w:lineRule="exact"/>
        <w:ind w:firstLine="640"/>
        <w:jc w:val="both"/>
        <w:outlineLvl w:val="2"/>
      </w:pPr>
      <w:r>
        <w:rPr>
          <w:rFonts w:ascii="黑体" w:hAnsi="黑体" w:eastAsia="黑体"/>
          <w:sz w:val="32"/>
        </w:rPr>
        <w:t>七、政府性基金预算财政拨款收入支出决算情况说明</w:t>
      </w:r>
    </w:p>
    <w:p w14:paraId="1C824F4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27AD38B">
      <w:pPr>
        <w:spacing w:line="640" w:lineRule="exact"/>
        <w:ind w:firstLine="640"/>
        <w:jc w:val="both"/>
        <w:outlineLvl w:val="2"/>
      </w:pPr>
      <w:r>
        <w:rPr>
          <w:rFonts w:ascii="黑体" w:hAnsi="黑体" w:eastAsia="黑体"/>
          <w:sz w:val="32"/>
        </w:rPr>
        <w:t>八、国有资本经营预算财政拨款收入支出决算情况说明</w:t>
      </w:r>
    </w:p>
    <w:p w14:paraId="7D670AF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C11AF76">
      <w:pPr>
        <w:spacing w:line="640" w:lineRule="exact"/>
        <w:ind w:firstLine="640"/>
        <w:jc w:val="both"/>
        <w:outlineLvl w:val="2"/>
      </w:pPr>
      <w:r>
        <w:rPr>
          <w:rFonts w:ascii="黑体" w:hAnsi="黑体" w:eastAsia="黑体"/>
          <w:sz w:val="32"/>
        </w:rPr>
        <w:t>九、财政拨款“三公”经费支出决算情况说明</w:t>
      </w:r>
    </w:p>
    <w:p w14:paraId="5BE6969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0.75万元，下降100.00%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0.00万元，占0.00%，比上年减少0.75万元，下降100.00%，主要原因是：严格落实中央八项规定精神，厉行节约，减少公务用车运行维护费。公务接待费支出0.00万元，占0.00%，比上年增加0.00万元，增长0.00%，主要原因是：2023年与2024年均未安排公务接待费支出。</w:t>
      </w:r>
    </w:p>
    <w:p w14:paraId="1BA6EBFE">
      <w:pPr>
        <w:spacing w:line="580" w:lineRule="exact"/>
        <w:ind w:firstLine="640"/>
        <w:jc w:val="both"/>
      </w:pPr>
      <w:r>
        <w:rPr>
          <w:rFonts w:ascii="仿宋_GB2312" w:hAnsi="仿宋_GB2312" w:eastAsia="仿宋_GB2312"/>
          <w:b/>
          <w:sz w:val="32"/>
        </w:rPr>
        <w:t>具体情况如下：</w:t>
      </w:r>
    </w:p>
    <w:p w14:paraId="3873B35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4ABBF7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BEA02D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311741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EC3B527">
      <w:pPr>
        <w:spacing w:line="640" w:lineRule="exact"/>
        <w:ind w:firstLine="640"/>
        <w:jc w:val="both"/>
        <w:outlineLvl w:val="2"/>
      </w:pPr>
      <w:r>
        <w:rPr>
          <w:rFonts w:ascii="黑体" w:hAnsi="黑体" w:eastAsia="黑体"/>
          <w:sz w:val="32"/>
        </w:rPr>
        <w:t>十、其他重要事项的情况说明</w:t>
      </w:r>
    </w:p>
    <w:p w14:paraId="7C5EBBF3">
      <w:pPr>
        <w:spacing w:line="640" w:lineRule="exact"/>
        <w:ind w:firstLine="640"/>
        <w:jc w:val="both"/>
        <w:outlineLvl w:val="3"/>
      </w:pPr>
      <w:r>
        <w:rPr>
          <w:rFonts w:ascii="楷体_GB2312" w:hAnsi="楷体_GB2312" w:eastAsia="楷体_GB2312"/>
          <w:b/>
          <w:sz w:val="32"/>
        </w:rPr>
        <w:t>（一）机关运行经费及公用经费支出情况</w:t>
      </w:r>
    </w:p>
    <w:p w14:paraId="4CBCD664">
      <w:pPr>
        <w:spacing w:line="580" w:lineRule="exact"/>
        <w:ind w:firstLine="640"/>
        <w:jc w:val="both"/>
      </w:pPr>
      <w:r>
        <w:rPr>
          <w:rFonts w:ascii="仿宋_GB2312" w:hAnsi="仿宋_GB2312" w:eastAsia="仿宋_GB2312"/>
          <w:b w:val="0"/>
          <w:sz w:val="32"/>
        </w:rPr>
        <w:t>2024年度洛浦县工商业联合会（行政单位和参照公务员法管理事业单位）机关运行经费支出1.68万元，比上年减少4.98万元，下降74.77%，主要原因是：本年办公经费减少，机关运行经费减少。</w:t>
      </w:r>
    </w:p>
    <w:p w14:paraId="2AB83CC3">
      <w:pPr>
        <w:spacing w:line="640" w:lineRule="exact"/>
        <w:ind w:firstLine="640"/>
        <w:jc w:val="both"/>
        <w:outlineLvl w:val="3"/>
      </w:pPr>
      <w:r>
        <w:rPr>
          <w:rFonts w:ascii="楷体_GB2312" w:hAnsi="楷体_GB2312" w:eastAsia="楷体_GB2312"/>
          <w:b/>
          <w:sz w:val="32"/>
        </w:rPr>
        <w:t>（二）政府采购情况</w:t>
      </w:r>
    </w:p>
    <w:p w14:paraId="7BA63D97">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282C4678">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214ECCC">
      <w:pPr>
        <w:spacing w:line="640" w:lineRule="exact"/>
        <w:ind w:firstLine="640"/>
        <w:jc w:val="both"/>
        <w:outlineLvl w:val="3"/>
      </w:pPr>
      <w:r>
        <w:rPr>
          <w:rFonts w:ascii="楷体_GB2312" w:hAnsi="楷体_GB2312" w:eastAsia="楷体_GB2312"/>
          <w:b/>
          <w:sz w:val="32"/>
        </w:rPr>
        <w:t>（三）国有资产占用情况说明</w:t>
      </w:r>
    </w:p>
    <w:p w14:paraId="47238493">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C65AB33">
      <w:pPr>
        <w:spacing w:line="640" w:lineRule="exact"/>
        <w:ind w:firstLine="640"/>
        <w:jc w:val="both"/>
        <w:outlineLvl w:val="2"/>
      </w:pPr>
      <w:r>
        <w:rPr>
          <w:rFonts w:ascii="黑体" w:hAnsi="黑体" w:eastAsia="黑体"/>
          <w:sz w:val="32"/>
        </w:rPr>
        <w:t>十一、预算绩效的情况说明</w:t>
      </w:r>
    </w:p>
    <w:p w14:paraId="452F1D0A">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atLeast"/>
        <w:ind w:left="0" w:right="0" w:firstLine="0"/>
        <w:jc w:val="both"/>
        <w:textAlignment w:val="auto"/>
      </w:pPr>
      <w:r>
        <w:rPr>
          <w:rFonts w:ascii="仿宋_GB2312" w:hAnsi="仿宋_GB2312" w:eastAsia="仿宋_GB2312"/>
          <w:b w:val="0"/>
          <w:sz w:val="32"/>
        </w:rPr>
        <w:t>根据预算绩效管理要求，本单位2024年度预算绩效管理形成整体支出绩效自评表1个，全年预算总额93.84万元，实际执行总额93.84万元；预算绩效评价项目0个，全年预算数0.00万元，全年执行数0.00万元。预算绩效管理取得的成效</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本单位本年无项目绩效自评表。</w:t>
      </w:r>
      <w:r>
        <w:rPr>
          <w:rFonts w:ascii="仿宋_GB2312" w:hAnsi="仿宋_GB2312" w:eastAsia="仿宋_GB2312"/>
          <w:b w:val="0"/>
          <w:sz w:val="32"/>
        </w:rPr>
        <w:t>发现的问题及原因：</w:t>
      </w:r>
      <w:r>
        <w:rPr>
          <w:rFonts w:hint="eastAsia" w:ascii="仿宋_GB2312" w:hAnsi="仿宋_GB2312" w:eastAsia="仿宋_GB2312"/>
          <w:b w:val="0"/>
          <w:sz w:val="32"/>
          <w:lang w:val="en-US" w:eastAsia="zh-CN"/>
        </w:rPr>
        <w:t>本单位本年无项目绩效自评表。</w:t>
      </w:r>
      <w:r>
        <w:rPr>
          <w:rFonts w:ascii="仿宋_GB2312" w:hAnsi="仿宋_GB2312" w:eastAsia="仿宋_GB2312"/>
          <w:b w:val="0"/>
          <w:sz w:val="32"/>
        </w:rPr>
        <w:t>下一步改进措施：</w:t>
      </w:r>
      <w:r>
        <w:rPr>
          <w:rFonts w:hint="eastAsia" w:ascii="仿宋_GB2312" w:hAnsi="仿宋_GB2312" w:eastAsia="仿宋_GB2312"/>
          <w:b w:val="0"/>
          <w:sz w:val="32"/>
          <w:lang w:val="en-US" w:eastAsia="zh-CN"/>
        </w:rPr>
        <w:t>本单位本年无项目绩效自评表。</w:t>
      </w:r>
      <w:r>
        <w:rPr>
          <w:rFonts w:ascii="仿宋_GB2312" w:hAnsi="仿宋_GB2312" w:eastAsia="仿宋_GB2312"/>
          <w:b w:val="0"/>
          <w:sz w:val="32"/>
        </w:rPr>
        <w:t>具体附整体支出绩效自评表。</w:t>
      </w:r>
    </w:p>
    <w:p w14:paraId="20CF7EA1">
      <w:r>
        <w:br w:type="page"/>
      </w:r>
    </w:p>
    <w:tbl>
      <w:tblPr>
        <w:tblStyle w:val="10"/>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F4A84F5">
        <w:tblPrEx>
          <w:tblCellMar>
            <w:top w:w="0" w:type="dxa"/>
            <w:left w:w="108" w:type="dxa"/>
            <w:bottom w:w="0" w:type="dxa"/>
            <w:right w:w="108" w:type="dxa"/>
          </w:tblCellMar>
        </w:tblPrEx>
        <w:tc>
          <w:tcPr>
            <w:tcW w:w="8847" w:type="dxa"/>
            <w:gridSpan w:val="9"/>
            <w:vAlign w:val="center"/>
          </w:tcPr>
          <w:p w14:paraId="66C98448">
            <w:pPr>
              <w:jc w:val="center"/>
            </w:pPr>
            <w:r>
              <w:rPr>
                <w:rFonts w:ascii="宋体" w:hAnsi="宋体" w:eastAsia="宋体"/>
                <w:sz w:val="24"/>
              </w:rPr>
              <w:t>单位整体支出绩效自评表</w:t>
            </w:r>
          </w:p>
        </w:tc>
      </w:tr>
      <w:tr w14:paraId="4B49FD64">
        <w:tblPrEx>
          <w:tblCellMar>
            <w:top w:w="0" w:type="dxa"/>
            <w:left w:w="108" w:type="dxa"/>
            <w:bottom w:w="0" w:type="dxa"/>
            <w:right w:w="108" w:type="dxa"/>
          </w:tblCellMar>
        </w:tblPrEx>
        <w:tc>
          <w:tcPr>
            <w:tcW w:w="8847" w:type="dxa"/>
            <w:gridSpan w:val="9"/>
            <w:vAlign w:val="center"/>
          </w:tcPr>
          <w:p w14:paraId="6EE60A0C">
            <w:pPr>
              <w:jc w:val="center"/>
            </w:pPr>
            <w:r>
              <w:rPr>
                <w:rFonts w:ascii="宋体" w:hAnsi="宋体" w:eastAsia="宋体"/>
                <w:sz w:val="24"/>
              </w:rPr>
              <w:t>（2024年度）</w:t>
            </w:r>
          </w:p>
        </w:tc>
      </w:tr>
      <w:tr w14:paraId="75922B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BD40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A5706D">
            <w:pPr>
              <w:jc w:val="center"/>
            </w:pPr>
            <w:r>
              <w:rPr>
                <w:rFonts w:ascii="宋体" w:hAnsi="宋体" w:eastAsia="宋体"/>
                <w:sz w:val="16"/>
              </w:rPr>
              <w:t>洛浦县工商业联合会</w:t>
            </w:r>
          </w:p>
        </w:tc>
      </w:tr>
      <w:tr w14:paraId="0ED5DD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85451">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A5C7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758A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8CC4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DB46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C18F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2D57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AA648">
            <w:pPr>
              <w:jc w:val="center"/>
            </w:pPr>
            <w:r>
              <w:rPr>
                <w:rFonts w:ascii="宋体" w:hAnsi="宋体" w:eastAsia="宋体"/>
                <w:sz w:val="16"/>
              </w:rPr>
              <w:t>得分</w:t>
            </w:r>
          </w:p>
        </w:tc>
      </w:tr>
      <w:tr w14:paraId="13C38D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0E2D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EB647">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984E4">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F04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766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FC9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395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ABC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04B7E">
            <w:pPr>
              <w:jc w:val="center"/>
            </w:pPr>
            <w:r>
              <w:rPr>
                <w:rFonts w:ascii="宋体" w:hAnsi="宋体" w:eastAsia="宋体"/>
                <w:sz w:val="16"/>
              </w:rPr>
              <w:t>-</w:t>
            </w:r>
          </w:p>
        </w:tc>
      </w:tr>
      <w:tr w14:paraId="45A0DA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253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F77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C8730">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89E3B">
            <w:pPr>
              <w:jc w:val="center"/>
            </w:pPr>
            <w:r>
              <w:rPr>
                <w:rFonts w:ascii="宋体" w:hAnsi="宋体" w:eastAsia="宋体"/>
                <w:sz w:val="16"/>
              </w:rPr>
              <w:t>108.19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CD0D6">
            <w:pPr>
              <w:jc w:val="center"/>
            </w:pPr>
            <w:r>
              <w:rPr>
                <w:rFonts w:ascii="宋体" w:hAnsi="宋体" w:eastAsia="宋体"/>
                <w:sz w:val="16"/>
              </w:rPr>
              <w:t>93.84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34C12">
            <w:pPr>
              <w:jc w:val="center"/>
            </w:pPr>
            <w:r>
              <w:rPr>
                <w:rFonts w:ascii="宋体" w:hAnsi="宋体" w:eastAsia="宋体"/>
                <w:sz w:val="16"/>
              </w:rPr>
              <w:t>93.84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94F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B9A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DAAD0">
            <w:pPr>
              <w:jc w:val="center"/>
            </w:pPr>
            <w:r>
              <w:rPr>
                <w:rFonts w:ascii="宋体" w:hAnsi="宋体" w:eastAsia="宋体"/>
                <w:sz w:val="16"/>
              </w:rPr>
              <w:t>-</w:t>
            </w:r>
          </w:p>
        </w:tc>
      </w:tr>
      <w:tr w14:paraId="65EC4F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D23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81B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75E53">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A62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098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A2B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86F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F63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30ACC">
            <w:pPr>
              <w:jc w:val="center"/>
            </w:pPr>
            <w:r>
              <w:rPr>
                <w:rFonts w:ascii="宋体" w:hAnsi="宋体" w:eastAsia="宋体"/>
                <w:sz w:val="16"/>
              </w:rPr>
              <w:t>-</w:t>
            </w:r>
          </w:p>
        </w:tc>
      </w:tr>
      <w:tr w14:paraId="1E0641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6EA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0552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BCA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E4D45">
            <w:pPr>
              <w:jc w:val="center"/>
            </w:pPr>
            <w:r>
              <w:rPr>
                <w:rFonts w:ascii="宋体" w:hAnsi="宋体" w:eastAsia="宋体"/>
                <w:sz w:val="16"/>
              </w:rPr>
              <w:t>108.19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3A618">
            <w:pPr>
              <w:jc w:val="center"/>
            </w:pPr>
            <w:r>
              <w:rPr>
                <w:rFonts w:ascii="宋体" w:hAnsi="宋体" w:eastAsia="宋体"/>
                <w:sz w:val="16"/>
              </w:rPr>
              <w:t>93.84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013A5">
            <w:pPr>
              <w:jc w:val="center"/>
            </w:pPr>
            <w:r>
              <w:rPr>
                <w:rFonts w:ascii="宋体" w:hAnsi="宋体" w:eastAsia="宋体"/>
                <w:sz w:val="16"/>
              </w:rPr>
              <w:t>93.84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1DB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3606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8A8B5">
            <w:pPr>
              <w:jc w:val="center"/>
            </w:pPr>
            <w:r>
              <w:rPr>
                <w:rFonts w:ascii="宋体" w:hAnsi="宋体" w:eastAsia="宋体"/>
                <w:sz w:val="16"/>
              </w:rPr>
              <w:t>10</w:t>
            </w:r>
          </w:p>
        </w:tc>
      </w:tr>
      <w:tr w14:paraId="1529EE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6E2C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363A0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78C0E2">
            <w:pPr>
              <w:jc w:val="center"/>
            </w:pPr>
            <w:r>
              <w:rPr>
                <w:rFonts w:ascii="宋体" w:hAnsi="宋体" w:eastAsia="宋体"/>
                <w:sz w:val="16"/>
              </w:rPr>
              <w:t>实际完成情况</w:t>
            </w:r>
          </w:p>
        </w:tc>
      </w:tr>
      <w:tr w14:paraId="3AF8A3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52CFD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5C5AF2">
            <w:pPr>
              <w:jc w:val="both"/>
            </w:pPr>
            <w:r>
              <w:rPr>
                <w:rFonts w:ascii="宋体" w:hAnsi="宋体" w:eastAsia="宋体"/>
                <w:sz w:val="16"/>
              </w:rPr>
              <w:t>一是深入企业开展调研走访，了解企业的经营状况和诉求，收集困难诉求并协调解决，促进企业发展，每半年对调研走访情况进行汇总，形成高质量的调研报告，上报县委、县政府和地区工商联。二是做好宣传教育工作，引导民营企业和民营经济人士依法治企、依法经营、依法维权，进一步增强民营经济人士法治意识、契约精神、守约观念。三是要加强自身建设。通过党组讨论会议、党支部理论学习和个人学习等方式方法提高工商联干部的凝聚力、战斗力和办事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C53BBB">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已完成走访调研会员企业次数5次，调研企业数量40家。召开“万企兴万村”动员会</w:t>
            </w:r>
            <w:r>
              <w:rPr>
                <w:rFonts w:hint="eastAsia" w:ascii="宋体" w:hAnsi="宋体"/>
                <w:sz w:val="16"/>
                <w:lang w:eastAsia="zh-CN"/>
              </w:rPr>
              <w:t>次数</w:t>
            </w:r>
            <w:r>
              <w:rPr>
                <w:rFonts w:ascii="宋体" w:hAnsi="宋体" w:eastAsia="宋体"/>
                <w:sz w:val="16"/>
              </w:rPr>
              <w:t>12次，新发展会员数量52家，已使用资金93.84万元。通过实施这些业务，了解企业的经营状况和</w:t>
            </w:r>
            <w:r>
              <w:rPr>
                <w:rFonts w:hint="eastAsia" w:ascii="宋体" w:hAnsi="宋体"/>
                <w:sz w:val="16"/>
                <w:lang w:eastAsia="zh-CN"/>
              </w:rPr>
              <w:t>诉</w:t>
            </w:r>
            <w:r>
              <w:rPr>
                <w:rFonts w:ascii="宋体" w:hAnsi="宋体" w:eastAsia="宋体"/>
                <w:sz w:val="16"/>
              </w:rPr>
              <w:t>求，收集困难诉求并协调解决，促进企业发展引导民营企业和民营经济人士依法治企、依法经营、依法维权，进一步增强民营经济人士法治意识效果显著。</w:t>
            </w:r>
          </w:p>
        </w:tc>
      </w:tr>
      <w:tr w14:paraId="253BDE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ABB0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7BB8C">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0871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2B83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BB6F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EDF3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EE16C">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F3191">
            <w:pPr>
              <w:jc w:val="center"/>
            </w:pPr>
            <w:r>
              <w:rPr>
                <w:rFonts w:ascii="宋体" w:hAnsi="宋体" w:eastAsia="宋体"/>
                <w:sz w:val="16"/>
              </w:rPr>
              <w:t>得分</w:t>
            </w:r>
          </w:p>
        </w:tc>
      </w:tr>
      <w:tr w14:paraId="21B050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2275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FD61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E9B81">
            <w:pPr>
              <w:jc w:val="center"/>
            </w:pPr>
            <w:r>
              <w:rPr>
                <w:rFonts w:ascii="宋体" w:hAnsi="宋体" w:eastAsia="宋体"/>
                <w:sz w:val="16"/>
              </w:rPr>
              <w:t>走访调研会员企业次数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8AC5E">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0E968">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572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5E050">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78F4F">
            <w:pPr>
              <w:jc w:val="center"/>
            </w:pPr>
            <w:r>
              <w:rPr>
                <w:rFonts w:ascii="宋体" w:hAnsi="宋体" w:eastAsia="宋体"/>
                <w:sz w:val="16"/>
              </w:rPr>
              <w:t>20</w:t>
            </w:r>
          </w:p>
        </w:tc>
      </w:tr>
      <w:tr w14:paraId="78135E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140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F3D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75380">
            <w:pPr>
              <w:jc w:val="center"/>
            </w:pPr>
            <w:r>
              <w:rPr>
                <w:rFonts w:ascii="宋体" w:hAnsi="宋体" w:eastAsia="宋体"/>
                <w:sz w:val="16"/>
              </w:rPr>
              <w:t>调研企业数量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2349C">
            <w:pPr>
              <w:jc w:val="center"/>
            </w:pPr>
            <w:r>
              <w:rPr>
                <w:rFonts w:ascii="宋体" w:hAnsi="宋体" w:eastAsia="宋体"/>
                <w:sz w:val="16"/>
              </w:rPr>
              <w:t>&gt;=40家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94435">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058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DCC66">
            <w:pPr>
              <w:jc w:val="center"/>
            </w:pPr>
            <w:r>
              <w:rPr>
                <w:rFonts w:ascii="宋体" w:hAnsi="宋体" w:eastAsia="宋体"/>
                <w:sz w:val="16"/>
              </w:rPr>
              <w:t>40家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F52BB">
            <w:pPr>
              <w:jc w:val="center"/>
            </w:pPr>
            <w:r>
              <w:rPr>
                <w:rFonts w:ascii="宋体" w:hAnsi="宋体" w:eastAsia="宋体"/>
                <w:sz w:val="16"/>
              </w:rPr>
              <w:t>20</w:t>
            </w:r>
          </w:p>
        </w:tc>
      </w:tr>
      <w:tr w14:paraId="451471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DC4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614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94218">
            <w:pPr>
              <w:jc w:val="center"/>
            </w:pPr>
            <w:r>
              <w:rPr>
                <w:rFonts w:ascii="宋体" w:hAnsi="宋体" w:eastAsia="宋体"/>
                <w:sz w:val="16"/>
              </w:rPr>
              <w:t>召开“万企兴万村”动员会次数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DCED0">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D6491">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FA2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5ACE0">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021C1">
            <w:pPr>
              <w:jc w:val="center"/>
            </w:pPr>
            <w:r>
              <w:rPr>
                <w:rFonts w:ascii="宋体" w:hAnsi="宋体" w:eastAsia="宋体"/>
                <w:sz w:val="16"/>
              </w:rPr>
              <w:t>20</w:t>
            </w:r>
          </w:p>
        </w:tc>
      </w:tr>
      <w:tr w14:paraId="038BF4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D1D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A78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C6934">
            <w:pPr>
              <w:jc w:val="center"/>
            </w:pPr>
            <w:r>
              <w:rPr>
                <w:rFonts w:ascii="宋体" w:hAnsi="宋体" w:eastAsia="宋体"/>
                <w:sz w:val="16"/>
              </w:rPr>
              <w:t>新发展会员数量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0617B">
            <w:pPr>
              <w:jc w:val="center"/>
            </w:pPr>
            <w:r>
              <w:rPr>
                <w:rFonts w:ascii="宋体" w:hAnsi="宋体" w:eastAsia="宋体"/>
                <w:sz w:val="16"/>
              </w:rPr>
              <w:t>&gt;=48家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BCEF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CCE99">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A028D">
            <w:pPr>
              <w:jc w:val="center"/>
            </w:pPr>
            <w:r>
              <w:rPr>
                <w:rFonts w:ascii="宋体" w:hAnsi="宋体" w:eastAsia="宋体"/>
                <w:sz w:val="16"/>
              </w:rPr>
              <w:t>52家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58F3C">
            <w:pPr>
              <w:jc w:val="center"/>
            </w:pPr>
            <w:r>
              <w:rPr>
                <w:rFonts w:ascii="宋体" w:hAnsi="宋体" w:eastAsia="宋体"/>
                <w:sz w:val="16"/>
              </w:rPr>
              <w:t>30</w:t>
            </w:r>
          </w:p>
        </w:tc>
      </w:tr>
    </w:tbl>
    <w:p w14:paraId="2C007B2E">
      <w:r>
        <w:br w:type="page"/>
      </w:r>
    </w:p>
    <w:p w14:paraId="225B5509">
      <w:pPr>
        <w:spacing w:line="640" w:lineRule="exact"/>
        <w:ind w:firstLine="640"/>
        <w:jc w:val="both"/>
        <w:outlineLvl w:val="2"/>
      </w:pPr>
      <w:r>
        <w:rPr>
          <w:rFonts w:ascii="黑体" w:hAnsi="黑体" w:eastAsia="黑体"/>
          <w:sz w:val="32"/>
        </w:rPr>
        <w:t>十二、其他需说明的事项</w:t>
      </w:r>
    </w:p>
    <w:p w14:paraId="38E0D9AB">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9F8DF2B">
      <w:r>
        <w:br w:type="page"/>
      </w:r>
    </w:p>
    <w:p w14:paraId="5F2026F5">
      <w:pPr>
        <w:spacing w:line="240" w:lineRule="auto"/>
        <w:jc w:val="center"/>
        <w:outlineLvl w:val="1"/>
      </w:pPr>
      <w:r>
        <w:rPr>
          <w:rFonts w:ascii="黑体" w:hAnsi="黑体" w:eastAsia="黑体"/>
          <w:sz w:val="32"/>
        </w:rPr>
        <w:t>第三部分 专业名词解释</w:t>
      </w:r>
    </w:p>
    <w:p w14:paraId="09BB9F6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D28763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5CE5CB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374706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2E745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9AC97A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8E289B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5C261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A3767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A870D0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14FFC9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B1D4BC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F4C339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D10CD9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5AE16AD">
      <w:r>
        <w:br w:type="page"/>
      </w:r>
    </w:p>
    <w:p w14:paraId="48F45A0A">
      <w:pPr>
        <w:spacing w:line="240" w:lineRule="auto"/>
        <w:jc w:val="center"/>
        <w:outlineLvl w:val="1"/>
      </w:pPr>
      <w:r>
        <w:rPr>
          <w:rFonts w:ascii="黑体" w:hAnsi="黑体" w:eastAsia="黑体"/>
          <w:sz w:val="32"/>
        </w:rPr>
        <w:t>第四部分 部门决算报表（见附表）</w:t>
      </w:r>
    </w:p>
    <w:p w14:paraId="67E697C4">
      <w:pPr>
        <w:spacing w:line="240" w:lineRule="auto"/>
        <w:ind w:firstLine="640"/>
        <w:jc w:val="both"/>
      </w:pPr>
      <w:r>
        <w:rPr>
          <w:rFonts w:ascii="仿宋_GB2312" w:hAnsi="仿宋_GB2312" w:eastAsia="仿宋_GB2312"/>
          <w:b w:val="0"/>
          <w:sz w:val="32"/>
        </w:rPr>
        <w:t>一、《收入支出决算总表》</w:t>
      </w:r>
    </w:p>
    <w:p w14:paraId="73975D3A">
      <w:pPr>
        <w:spacing w:line="240" w:lineRule="auto"/>
        <w:ind w:firstLine="640"/>
        <w:jc w:val="both"/>
      </w:pPr>
      <w:r>
        <w:rPr>
          <w:rFonts w:ascii="仿宋_GB2312" w:hAnsi="仿宋_GB2312" w:eastAsia="仿宋_GB2312"/>
          <w:b w:val="0"/>
          <w:sz w:val="32"/>
        </w:rPr>
        <w:t>二、《收入决算表》</w:t>
      </w:r>
    </w:p>
    <w:p w14:paraId="03286D73">
      <w:pPr>
        <w:spacing w:line="240" w:lineRule="auto"/>
        <w:ind w:firstLine="640"/>
        <w:jc w:val="both"/>
      </w:pPr>
      <w:r>
        <w:rPr>
          <w:rFonts w:ascii="仿宋_GB2312" w:hAnsi="仿宋_GB2312" w:eastAsia="仿宋_GB2312"/>
          <w:b w:val="0"/>
          <w:sz w:val="32"/>
        </w:rPr>
        <w:t>三、《支出决算表》</w:t>
      </w:r>
    </w:p>
    <w:p w14:paraId="00DE92FE">
      <w:pPr>
        <w:spacing w:line="240" w:lineRule="auto"/>
        <w:ind w:firstLine="640"/>
        <w:jc w:val="both"/>
      </w:pPr>
      <w:r>
        <w:rPr>
          <w:rFonts w:ascii="仿宋_GB2312" w:hAnsi="仿宋_GB2312" w:eastAsia="仿宋_GB2312"/>
          <w:b w:val="0"/>
          <w:sz w:val="32"/>
        </w:rPr>
        <w:t>四、《财政拨款收入支出决算总表》</w:t>
      </w:r>
    </w:p>
    <w:p w14:paraId="3BCC6D11">
      <w:pPr>
        <w:spacing w:line="240" w:lineRule="auto"/>
        <w:ind w:firstLine="640"/>
        <w:jc w:val="both"/>
      </w:pPr>
      <w:r>
        <w:rPr>
          <w:rFonts w:ascii="仿宋_GB2312" w:hAnsi="仿宋_GB2312" w:eastAsia="仿宋_GB2312"/>
          <w:b w:val="0"/>
          <w:sz w:val="32"/>
        </w:rPr>
        <w:t>五、《一般公共预算财政拨款支出决算表》</w:t>
      </w:r>
    </w:p>
    <w:p w14:paraId="14425486">
      <w:pPr>
        <w:spacing w:line="240" w:lineRule="auto"/>
        <w:ind w:firstLine="640"/>
        <w:jc w:val="both"/>
      </w:pPr>
      <w:r>
        <w:rPr>
          <w:rFonts w:ascii="仿宋_GB2312" w:hAnsi="仿宋_GB2312" w:eastAsia="仿宋_GB2312"/>
          <w:b w:val="0"/>
          <w:sz w:val="32"/>
        </w:rPr>
        <w:t>六、《一般公共预算财政拨款基本支出决算表》</w:t>
      </w:r>
    </w:p>
    <w:p w14:paraId="40833689">
      <w:pPr>
        <w:spacing w:line="240" w:lineRule="auto"/>
        <w:ind w:firstLine="640"/>
        <w:jc w:val="both"/>
      </w:pPr>
      <w:r>
        <w:rPr>
          <w:rFonts w:ascii="仿宋_GB2312" w:hAnsi="仿宋_GB2312" w:eastAsia="仿宋_GB2312"/>
          <w:b w:val="0"/>
          <w:sz w:val="32"/>
        </w:rPr>
        <w:t>七、《政府性基金预算财政拨款收入支出决算表》</w:t>
      </w:r>
    </w:p>
    <w:p w14:paraId="16F9AE98">
      <w:pPr>
        <w:spacing w:line="240" w:lineRule="auto"/>
        <w:ind w:firstLine="640"/>
        <w:jc w:val="both"/>
      </w:pPr>
      <w:r>
        <w:rPr>
          <w:rFonts w:ascii="仿宋_GB2312" w:hAnsi="仿宋_GB2312" w:eastAsia="仿宋_GB2312"/>
          <w:b w:val="0"/>
          <w:sz w:val="32"/>
        </w:rPr>
        <w:t>八、《国有资本经营预算财政拨款收入支出决算表》</w:t>
      </w:r>
    </w:p>
    <w:p w14:paraId="114728AE">
      <w:pPr>
        <w:spacing w:line="240" w:lineRule="auto"/>
        <w:ind w:firstLine="640"/>
        <w:jc w:val="both"/>
      </w:pPr>
      <w:r>
        <w:rPr>
          <w:rFonts w:ascii="仿宋_GB2312" w:hAnsi="仿宋_GB2312" w:eastAsia="仿宋_GB2312"/>
          <w:b w:val="0"/>
          <w:sz w:val="32"/>
        </w:rPr>
        <w:t>九、《财政拨款“三公”经费支出决算表》</w:t>
      </w:r>
    </w:p>
    <w:p w14:paraId="1DEEC4F6">
      <w:pPr>
        <w:spacing w:line="240" w:lineRule="auto"/>
        <w:ind w:firstLine="640"/>
        <w:jc w:val="both"/>
      </w:pPr>
    </w:p>
    <w:p w14:paraId="513701E1">
      <w:pPr>
        <w:spacing w:line="240" w:lineRule="auto"/>
        <w:ind w:firstLine="640"/>
        <w:jc w:val="both"/>
      </w:pPr>
    </w:p>
    <w:p w14:paraId="589BAD80">
      <w:pPr>
        <w:spacing w:line="240" w:lineRule="auto"/>
        <w:ind w:firstLine="640"/>
        <w:jc w:val="both"/>
      </w:pPr>
    </w:p>
    <w:p w14:paraId="6BAC57C1">
      <w:pPr>
        <w:spacing w:line="240" w:lineRule="auto"/>
        <w:ind w:firstLine="640"/>
        <w:jc w:val="both"/>
      </w:pPr>
    </w:p>
    <w:p w14:paraId="03B92C1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344E09"/>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5429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6367</Words>
  <Characters>7071</Characters>
  <Lines>0</Lines>
  <Paragraphs>0</Paragraphs>
  <TotalTime>4</TotalTime>
  <ScaleCrop>false</ScaleCrop>
  <LinksUpToDate>false</LinksUpToDate>
  <CharactersWithSpaces>7081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2025-09-17T09:50:57Z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