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791C44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洛浦县妇幼保健院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80F5A2">
      <w:r>
        <w:br w:type="page"/>
      </w:r>
    </w:p>
    <w:p w14:paraId="1EC07F63">
      <w:pPr>
        <w:spacing w:line="640" w:lineRule="exact"/>
        <w:jc w:val="center"/>
        <w:outlineLvl w:val="1"/>
      </w:pPr>
      <w:r>
        <w:rPr>
          <w:rFonts w:ascii="黑体" w:hAnsi="黑体" w:eastAsia="黑体"/>
          <w:sz w:val="32"/>
        </w:rPr>
        <w:t>第一部分 单位概况</w:t>
      </w:r>
    </w:p>
    <w:p w14:paraId="23B3920E">
      <w:pPr>
        <w:spacing w:line="640" w:lineRule="exact"/>
        <w:ind w:firstLine="640"/>
        <w:jc w:val="both"/>
        <w:outlineLvl w:val="2"/>
      </w:pPr>
      <w:r>
        <w:rPr>
          <w:rFonts w:ascii="黑体" w:hAnsi="黑体" w:eastAsia="黑体"/>
          <w:sz w:val="32"/>
        </w:rPr>
        <w:t>一、主要职能</w:t>
      </w:r>
    </w:p>
    <w:p w14:paraId="4BBE870E">
      <w:pPr>
        <w:spacing w:line="580" w:lineRule="exact"/>
        <w:ind w:firstLine="640"/>
        <w:jc w:val="both"/>
      </w:pPr>
      <w:r>
        <w:rPr>
          <w:rFonts w:ascii="仿宋_GB2312" w:hAnsi="仿宋_GB2312" w:eastAsia="仿宋_GB2312"/>
          <w:sz w:val="32"/>
        </w:rPr>
        <w:t>洛浦县妇幼保健院为全县妇女儿童提供妇幼健康服务，并承担妇幼卫生和生育技术服务业务管理和技术支持工作。受县卫生健康委员会领导，接受自治区、地区妇幼保健院业务指导，同时负责指导乡镇卫生院妇幼的业务工作：以提高全县妇女、儿童群体的健康水平和人口质量为目标，以妇女保健、儿童保健、生育技术指导、优生优育为中心任务，指导乡镇的重点保健与临床相结合业务，负责全县妇女、儿童健康规划的实施与监测任务；提供全面、系统、连续的国产保健、妇女保健、儿童保健、生育技术、优生优育及产科、儿科的保健医疗服务，承担全县生育宣传教育、妇幼保健、生育技术服务、优生优育、药具发放、信息咨询、随访服务、生殖保健、人员培训及妇产科、儿科疑难疾病的诊断和治疗，承担会诊、转诊任务并执行双向转诊制度</w:t>
      </w:r>
      <w:r>
        <w:rPr>
          <w:rFonts w:hint="eastAsia" w:ascii="仿宋_GB2312" w:hAnsi="仿宋_GB2312" w:eastAsia="仿宋_GB2312"/>
          <w:sz w:val="32"/>
          <w:lang w:eastAsia="zh-CN"/>
        </w:rPr>
        <w:t>；</w:t>
      </w:r>
      <w:r>
        <w:rPr>
          <w:rFonts w:ascii="仿宋_GB2312" w:hAnsi="仿宋_GB2312" w:eastAsia="仿宋_GB2312"/>
          <w:sz w:val="32"/>
        </w:rPr>
        <w:t>及时掌握全县妇女儿童的健康状况、健康问题、主要疾病、孕产妇和婴儿死亡情况及主要死因，协助县卫生健康委员会牵头实施</w:t>
      </w:r>
      <w:r>
        <w:rPr>
          <w:rFonts w:hint="eastAsia" w:ascii="仿宋_GB2312" w:hAnsi="仿宋_GB2312" w:eastAsia="仿宋_GB2312"/>
          <w:sz w:val="32"/>
          <w:lang w:eastAsia="zh-CN"/>
        </w:rPr>
        <w:t>；</w:t>
      </w:r>
      <w:r>
        <w:rPr>
          <w:rFonts w:ascii="仿宋_GB2312" w:hAnsi="仿宋_GB2312" w:eastAsia="仿宋_GB2312"/>
          <w:sz w:val="32"/>
        </w:rPr>
        <w:t>承担全县妇幼卫生、生育技术人员的专业进修、在职教育并全面掌握全县妇幼卫生、生育技术人员现状，协助县卫生健康委员会制定培训规划、计划并组织实施；承担全县妇幼卫生业务工作和生育技术工作、信息统计工作及基层培训工作的质量监测和质量评审；完成上级部门交办的其他工作。</w:t>
      </w:r>
    </w:p>
    <w:p w14:paraId="6C41316B">
      <w:pPr>
        <w:spacing w:line="640" w:lineRule="exact"/>
        <w:ind w:firstLine="640"/>
        <w:jc w:val="both"/>
        <w:outlineLvl w:val="2"/>
      </w:pPr>
      <w:r>
        <w:rPr>
          <w:rFonts w:ascii="黑体" w:hAnsi="黑体" w:eastAsia="黑体"/>
          <w:sz w:val="32"/>
        </w:rPr>
        <w:t>二、机构设置及人员情况</w:t>
      </w:r>
    </w:p>
    <w:p w14:paraId="1DE65CFA">
      <w:pPr>
        <w:spacing w:line="580" w:lineRule="exact"/>
        <w:ind w:firstLine="640"/>
        <w:jc w:val="both"/>
      </w:pPr>
      <w:r>
        <w:rPr>
          <w:rFonts w:ascii="仿宋_GB2312" w:hAnsi="仿宋_GB2312" w:eastAsia="仿宋_GB2312"/>
          <w:sz w:val="32"/>
        </w:rPr>
        <w:t>洛浦县妇幼保健院2024年度，实有人数53人，其中：在职人员35人，减少6人；离休人员0人，增加0人；退休人员18人,增加6人。</w:t>
      </w:r>
    </w:p>
    <w:p w14:paraId="01992483">
      <w:pPr>
        <w:spacing w:line="580" w:lineRule="exact"/>
        <w:ind w:firstLine="640"/>
        <w:jc w:val="both"/>
      </w:pPr>
      <w:r>
        <w:rPr>
          <w:rFonts w:ascii="仿宋_GB2312" w:hAnsi="仿宋_GB2312" w:eastAsia="仿宋_GB2312"/>
          <w:sz w:val="32"/>
        </w:rPr>
        <w:t>洛浦县妇幼保健院无下属预算单位，下设12个科室，分别是：妇产科门诊、孕期保健门诊、乳腺专科门诊、不孕不育门诊、生育服务门诊、更年期保健门诊、儿科门诊、儿童保健门诊、高危儿门诊、中医妇儿科、超声科、检验科。</w:t>
      </w:r>
    </w:p>
    <w:p w14:paraId="551D245D">
      <w:r>
        <w:br w:type="page"/>
      </w:r>
    </w:p>
    <w:p w14:paraId="7F8597E6">
      <w:pPr>
        <w:spacing w:line="240" w:lineRule="auto"/>
        <w:jc w:val="center"/>
        <w:outlineLvl w:val="1"/>
      </w:pPr>
      <w:r>
        <w:rPr>
          <w:rFonts w:ascii="黑体" w:hAnsi="黑体" w:eastAsia="黑体"/>
          <w:sz w:val="32"/>
        </w:rPr>
        <w:t>第二部分 部门决算情况说明</w:t>
      </w:r>
    </w:p>
    <w:p w14:paraId="239ED2E1">
      <w:pPr>
        <w:spacing w:line="640" w:lineRule="exact"/>
        <w:ind w:firstLine="640"/>
        <w:jc w:val="both"/>
        <w:outlineLvl w:val="2"/>
      </w:pPr>
      <w:r>
        <w:rPr>
          <w:rFonts w:ascii="黑体" w:hAnsi="黑体" w:eastAsia="黑体"/>
          <w:sz w:val="32"/>
        </w:rPr>
        <w:t>一、收入支出决算总体情况说明</w:t>
      </w:r>
    </w:p>
    <w:p w14:paraId="5AF6AE2B">
      <w:pPr>
        <w:spacing w:line="580" w:lineRule="exact"/>
        <w:ind w:firstLine="640"/>
        <w:jc w:val="both"/>
      </w:pPr>
      <w:r>
        <w:rPr>
          <w:rFonts w:ascii="仿宋_GB2312" w:hAnsi="仿宋_GB2312" w:eastAsia="仿宋_GB2312"/>
          <w:b/>
          <w:sz w:val="32"/>
        </w:rPr>
        <w:t>2024年度收入总计2,084.68万元，</w:t>
      </w:r>
      <w:r>
        <w:rPr>
          <w:rFonts w:ascii="仿宋_GB2312" w:hAnsi="仿宋_GB2312" w:eastAsia="仿宋_GB2312"/>
          <w:b w:val="0"/>
          <w:sz w:val="32"/>
        </w:rPr>
        <w:t>其中：本年收入合计2,084.68万元，使用非财政拨款结余（含专用结余）0.00万元，年初结转和结余0.00万元。</w:t>
      </w:r>
    </w:p>
    <w:p w14:paraId="0412990E">
      <w:pPr>
        <w:spacing w:line="580" w:lineRule="exact"/>
        <w:ind w:firstLine="640"/>
        <w:jc w:val="both"/>
      </w:pPr>
      <w:r>
        <w:rPr>
          <w:rFonts w:ascii="仿宋_GB2312" w:hAnsi="仿宋_GB2312" w:eastAsia="仿宋_GB2312"/>
          <w:b/>
          <w:sz w:val="32"/>
        </w:rPr>
        <w:t>2024年度支出总计2,084.68万元，</w:t>
      </w:r>
      <w:r>
        <w:rPr>
          <w:rFonts w:ascii="仿宋_GB2312" w:hAnsi="仿宋_GB2312" w:eastAsia="仿宋_GB2312"/>
          <w:b w:val="0"/>
          <w:sz w:val="32"/>
        </w:rPr>
        <w:t>其中：本年支出合计2,019.61万元，结余分配65.06万元，年末结转和结余0.00万元。</w:t>
      </w:r>
    </w:p>
    <w:p w14:paraId="3F4E7EEF">
      <w:pPr>
        <w:spacing w:line="580" w:lineRule="exact"/>
        <w:ind w:firstLine="640"/>
        <w:jc w:val="both"/>
      </w:pPr>
      <w:r>
        <w:rPr>
          <w:rFonts w:ascii="仿宋_GB2312" w:hAnsi="仿宋_GB2312" w:eastAsia="仿宋_GB2312"/>
          <w:b w:val="0"/>
          <w:sz w:val="32"/>
        </w:rPr>
        <w:t>收入支出总体与上年相比，增加181.00万元，增长9.51%，主要原因是：一是医疗服务项目增加、原计生指导站和原妇幼保健站合并服务对象范围扩展、医疗收入增加。</w:t>
      </w:r>
    </w:p>
    <w:p w14:paraId="10BE7F19">
      <w:pPr>
        <w:spacing w:line="640" w:lineRule="exact"/>
        <w:ind w:firstLine="640"/>
        <w:jc w:val="both"/>
        <w:outlineLvl w:val="2"/>
      </w:pPr>
      <w:r>
        <w:rPr>
          <w:rFonts w:ascii="黑体" w:hAnsi="黑体" w:eastAsia="黑体"/>
          <w:sz w:val="32"/>
        </w:rPr>
        <w:t>二、收入决算情况说明</w:t>
      </w:r>
    </w:p>
    <w:p w14:paraId="0748DBB1">
      <w:pPr>
        <w:spacing w:line="580" w:lineRule="exact"/>
        <w:ind w:firstLine="640"/>
        <w:jc w:val="both"/>
      </w:pPr>
      <w:r>
        <w:rPr>
          <w:rFonts w:ascii="仿宋_GB2312" w:hAnsi="仿宋_GB2312" w:eastAsia="仿宋_GB2312"/>
          <w:b/>
          <w:sz w:val="32"/>
        </w:rPr>
        <w:t>本年收入2,084.68万元，</w:t>
      </w:r>
      <w:r>
        <w:rPr>
          <w:rFonts w:ascii="仿宋_GB2312" w:hAnsi="仿宋_GB2312" w:eastAsia="仿宋_GB2312"/>
          <w:b w:val="0"/>
          <w:sz w:val="32"/>
        </w:rPr>
        <w:t>其中：财政拨款收入988.38万元，占47.41%；上级补助收入0.00万元，占0.00%；事业收入1,080.69万元，占51.84%；经营收入0.00万元，占0.00%；附属单位上缴收入0.00万元，占0.00%；其他收入15.60万元，占0.75%。</w:t>
      </w:r>
    </w:p>
    <w:p w14:paraId="09DF9ADD">
      <w:pPr>
        <w:spacing w:line="640" w:lineRule="exact"/>
        <w:ind w:firstLine="640"/>
        <w:jc w:val="both"/>
        <w:outlineLvl w:val="2"/>
      </w:pPr>
      <w:r>
        <w:rPr>
          <w:rFonts w:ascii="黑体" w:hAnsi="黑体" w:eastAsia="黑体"/>
          <w:sz w:val="32"/>
        </w:rPr>
        <w:t>三、支出决算情况说明</w:t>
      </w:r>
    </w:p>
    <w:p w14:paraId="2DE0852B">
      <w:pPr>
        <w:spacing w:line="580" w:lineRule="exact"/>
        <w:ind w:firstLine="640"/>
        <w:jc w:val="both"/>
      </w:pPr>
      <w:r>
        <w:rPr>
          <w:rFonts w:ascii="仿宋_GB2312" w:hAnsi="仿宋_GB2312" w:eastAsia="仿宋_GB2312"/>
          <w:b/>
          <w:sz w:val="32"/>
        </w:rPr>
        <w:t>本年支出2,019.61万元，</w:t>
      </w:r>
      <w:r>
        <w:rPr>
          <w:rFonts w:ascii="仿宋_GB2312" w:hAnsi="仿宋_GB2312" w:eastAsia="仿宋_GB2312"/>
          <w:b w:val="0"/>
          <w:sz w:val="32"/>
        </w:rPr>
        <w:t>其中：基本支出1,828.60万元，占90.54%；项目支出191.02万元，占9.46%；上缴上级支出0.00万元，占0.00%；经营支出0.00万元，占0.00%；对附属单位补助支出0.00万元，占0.00%。</w:t>
      </w:r>
    </w:p>
    <w:p w14:paraId="5ECECB25">
      <w:pPr>
        <w:spacing w:line="640" w:lineRule="exact"/>
        <w:ind w:firstLine="640"/>
        <w:jc w:val="both"/>
        <w:outlineLvl w:val="2"/>
      </w:pPr>
      <w:r>
        <w:rPr>
          <w:rFonts w:ascii="黑体" w:hAnsi="黑体" w:eastAsia="黑体"/>
          <w:sz w:val="32"/>
        </w:rPr>
        <w:t>四、财政拨款收入支出决算总体情况说明</w:t>
      </w:r>
    </w:p>
    <w:p w14:paraId="5AB9D896">
      <w:pPr>
        <w:spacing w:line="580" w:lineRule="exact"/>
        <w:ind w:firstLine="640"/>
        <w:jc w:val="both"/>
      </w:pPr>
      <w:r>
        <w:rPr>
          <w:rFonts w:ascii="仿宋_GB2312" w:hAnsi="仿宋_GB2312" w:eastAsia="仿宋_GB2312"/>
          <w:b/>
          <w:sz w:val="32"/>
        </w:rPr>
        <w:t>2024年度财政拨款收入总计988.38万元，</w:t>
      </w:r>
      <w:r>
        <w:rPr>
          <w:rFonts w:ascii="仿宋_GB2312" w:hAnsi="仿宋_GB2312" w:eastAsia="仿宋_GB2312"/>
          <w:b w:val="0"/>
          <w:sz w:val="32"/>
        </w:rPr>
        <w:t>其中：年初财政拨款结转和结余0.00万元，本年财政拨款收入988.38万元。</w:t>
      </w:r>
      <w:r>
        <w:rPr>
          <w:rFonts w:ascii="仿宋_GB2312" w:hAnsi="仿宋_GB2312" w:eastAsia="仿宋_GB2312"/>
          <w:b/>
          <w:sz w:val="32"/>
        </w:rPr>
        <w:t>财政拨款支出总计988.38万元，</w:t>
      </w:r>
      <w:r>
        <w:rPr>
          <w:rFonts w:ascii="仿宋_GB2312" w:hAnsi="仿宋_GB2312" w:eastAsia="仿宋_GB2312"/>
          <w:b w:val="0"/>
          <w:sz w:val="32"/>
        </w:rPr>
        <w:t>其中：年末财政拨款结转和结余0.00万元，本年财政拨款支出988.38万元。</w:t>
      </w:r>
    </w:p>
    <w:p w14:paraId="7D5C54B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减少140.20万元，下降12.42%，主要原因是：本年减少国家基本公共卫生服务、JHSY免费服务等项目经费，导致相关经费减少。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年初预算数838.90万元，决算数988.38万元，预决算差异率17.82%，主要原因是：年中追加公益性彩票农村妇女宫颈癌、公益性彩票事业发展护齿行动等项目经费</w:t>
      </w:r>
      <w:r>
        <w:rPr>
          <w:rFonts w:hint="eastAsia" w:ascii="仿宋_GB2312" w:hAnsi="仿宋_GB2312" w:eastAsia="仿宋_GB2312"/>
          <w:b w:val="0"/>
          <w:sz w:val="32"/>
          <w:lang w:eastAsia="zh-CN"/>
        </w:rPr>
        <w:t>，</w:t>
      </w:r>
      <w:r>
        <w:rPr>
          <w:rFonts w:ascii="仿宋_GB2312" w:hAnsi="仿宋_GB2312" w:eastAsia="仿宋_GB2312"/>
          <w:b w:val="0"/>
          <w:sz w:val="32"/>
        </w:rPr>
        <w:t>年中追加人员经费及人员工资、社保、公积金基数调增部分资金，导致预决算存在差异。</w:t>
      </w:r>
    </w:p>
    <w:p w14:paraId="61FAF928">
      <w:pPr>
        <w:spacing w:line="640" w:lineRule="exact"/>
        <w:ind w:firstLine="640"/>
        <w:jc w:val="both"/>
        <w:outlineLvl w:val="2"/>
      </w:pPr>
      <w:r>
        <w:rPr>
          <w:rFonts w:ascii="黑体" w:hAnsi="黑体" w:eastAsia="黑体"/>
          <w:sz w:val="32"/>
        </w:rPr>
        <w:t>五、一般公共预算财政拨款支出决算情况说明</w:t>
      </w:r>
    </w:p>
    <w:p w14:paraId="727C8BDA">
      <w:pPr>
        <w:spacing w:line="640" w:lineRule="exact"/>
        <w:ind w:firstLine="640"/>
        <w:jc w:val="both"/>
        <w:outlineLvl w:val="3"/>
      </w:pPr>
      <w:r>
        <w:rPr>
          <w:rFonts w:ascii="楷体_GB2312" w:hAnsi="楷体_GB2312" w:eastAsia="楷体_GB2312"/>
          <w:b/>
          <w:sz w:val="32"/>
        </w:rPr>
        <w:t>（一）一般公共预算财政拨款支出决算总体情况</w:t>
      </w:r>
    </w:p>
    <w:p w14:paraId="2AA2C0ED">
      <w:pPr>
        <w:spacing w:line="580" w:lineRule="exact"/>
        <w:ind w:firstLine="640"/>
        <w:jc w:val="both"/>
      </w:pPr>
      <w:r>
        <w:rPr>
          <w:rFonts w:ascii="仿宋_GB2312" w:hAnsi="仿宋_GB2312" w:eastAsia="仿宋_GB2312"/>
          <w:b/>
          <w:sz w:val="32"/>
        </w:rPr>
        <w:t>2024年度一般公共预算财政拨款支出973.89万元，</w:t>
      </w:r>
      <w:r>
        <w:rPr>
          <w:rFonts w:ascii="仿宋_GB2312" w:hAnsi="仿宋_GB2312" w:eastAsia="仿宋_GB2312"/>
          <w:b w:val="0"/>
          <w:sz w:val="32"/>
        </w:rPr>
        <w:t>占本年支出合计的48.22%。</w:t>
      </w:r>
      <w:r>
        <w:rPr>
          <w:rFonts w:ascii="仿宋_GB2312" w:hAnsi="仿宋_GB2312" w:eastAsia="仿宋_GB2312"/>
          <w:b/>
          <w:sz w:val="32"/>
        </w:rPr>
        <w:t>与上年相比，</w:t>
      </w:r>
      <w:r>
        <w:rPr>
          <w:rFonts w:ascii="仿宋_GB2312" w:hAnsi="仿宋_GB2312" w:eastAsia="仿宋_GB2312"/>
          <w:b w:val="0"/>
          <w:sz w:val="32"/>
        </w:rPr>
        <w:t>减少114.38万元，下降10.51%，主要原因是：本年减少国家基本公共卫生服务、JHSY免费服务等项目经费，导致相关经费减少。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年初预算数838.90万元，决算数973.89万元，预决算差异率16.09%，主要原因是：年中追加人员经费及人员工资、社保、公积金基数调增部分资金，导致预决算存在差异。</w:t>
      </w:r>
    </w:p>
    <w:p w14:paraId="452218E9">
      <w:pPr>
        <w:spacing w:line="640" w:lineRule="exact"/>
        <w:ind w:firstLine="640"/>
        <w:jc w:val="both"/>
        <w:outlineLvl w:val="3"/>
      </w:pPr>
      <w:r>
        <w:rPr>
          <w:rFonts w:ascii="楷体_GB2312" w:hAnsi="楷体_GB2312" w:eastAsia="楷体_GB2312"/>
          <w:b/>
          <w:sz w:val="32"/>
        </w:rPr>
        <w:t>（二）一般公共预算财政拨款支出决算结构情况</w:t>
      </w:r>
    </w:p>
    <w:p w14:paraId="2A09562F">
      <w:pPr>
        <w:spacing w:line="580" w:lineRule="exact"/>
        <w:ind w:firstLine="640"/>
        <w:jc w:val="both"/>
      </w:pPr>
      <w:r>
        <w:rPr>
          <w:rFonts w:ascii="仿宋_GB2312" w:hAnsi="仿宋_GB2312" w:eastAsia="仿宋_GB2312"/>
          <w:b w:val="0"/>
          <w:sz w:val="32"/>
        </w:rPr>
        <w:t>1.社会保障和就业支出(类)119.43万元,占12.26%。</w:t>
      </w:r>
    </w:p>
    <w:p w14:paraId="3F052084">
      <w:pPr>
        <w:spacing w:line="580" w:lineRule="exact"/>
        <w:ind w:firstLine="640"/>
        <w:jc w:val="both"/>
      </w:pPr>
      <w:r>
        <w:rPr>
          <w:rFonts w:ascii="仿宋_GB2312" w:hAnsi="仿宋_GB2312" w:eastAsia="仿宋_GB2312"/>
          <w:b w:val="0"/>
          <w:sz w:val="32"/>
        </w:rPr>
        <w:t>2.卫生健康支出(类)783.51万元,占80.45%。</w:t>
      </w:r>
    </w:p>
    <w:p w14:paraId="4408F7C7">
      <w:pPr>
        <w:spacing w:line="580" w:lineRule="exact"/>
        <w:ind w:firstLine="640"/>
        <w:jc w:val="both"/>
      </w:pPr>
      <w:r>
        <w:rPr>
          <w:rFonts w:ascii="仿宋_GB2312" w:hAnsi="仿宋_GB2312" w:eastAsia="仿宋_GB2312"/>
          <w:b w:val="0"/>
          <w:sz w:val="32"/>
        </w:rPr>
        <w:t>3.住房保障支出(类)60.35万元,占6.20%。</w:t>
      </w:r>
    </w:p>
    <w:p w14:paraId="3E68E515">
      <w:pPr>
        <w:spacing w:line="580" w:lineRule="exact"/>
        <w:ind w:firstLine="640"/>
        <w:jc w:val="both"/>
      </w:pPr>
      <w:r>
        <w:rPr>
          <w:rFonts w:ascii="仿宋_GB2312" w:hAnsi="仿宋_GB2312" w:eastAsia="仿宋_GB2312"/>
          <w:b w:val="0"/>
          <w:sz w:val="32"/>
        </w:rPr>
        <w:t>4.其他支出(类)10.60万元,占1.09%。</w:t>
      </w:r>
    </w:p>
    <w:p w14:paraId="72AF9597">
      <w:pPr>
        <w:spacing w:line="640" w:lineRule="exact"/>
        <w:ind w:firstLine="640"/>
        <w:jc w:val="both"/>
        <w:outlineLvl w:val="3"/>
      </w:pPr>
      <w:r>
        <w:rPr>
          <w:rFonts w:ascii="楷体_GB2312" w:hAnsi="楷体_GB2312" w:eastAsia="楷体_GB2312"/>
          <w:b/>
          <w:sz w:val="32"/>
        </w:rPr>
        <w:t>（三）一般公共预算财政拨款支出决算具体情况</w:t>
      </w:r>
    </w:p>
    <w:p w14:paraId="28183E18">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22.87万元，比上年决算增加22.87万元，增长100.00%,主要原因是：本年功能科目调整，行政单位离退休上年度在主科目列支，本年单独列支，导致经费较上年增加。</w:t>
      </w:r>
    </w:p>
    <w:p w14:paraId="2C3F672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79.42万元，比上年决算增加13.46万元，增长20.41%,主要原因是：本年在职人员工资基数调增，养老缴费基数上涨，相应支出增加。</w:t>
      </w:r>
    </w:p>
    <w:p w14:paraId="25DC6844">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3.社会保障和就业支出(类)行政事业单位养老支出(款)机关事业单位职业年金缴费支出(项):支出决算数为17.14万元，比上年决算增加17.14万元，增长100.00%,主要原因是：本年新增退休人员，职业年金缴费支出增加。</w:t>
      </w:r>
    </w:p>
    <w:p w14:paraId="2BDE4946">
      <w:pPr>
        <w:spacing w:line="580" w:lineRule="exact"/>
        <w:ind w:firstLine="640"/>
        <w:jc w:val="both"/>
      </w:pPr>
      <w:r>
        <w:rPr>
          <w:rFonts w:ascii="仿宋_GB2312" w:hAnsi="仿宋_GB2312" w:eastAsia="仿宋_GB2312"/>
          <w:b w:val="0"/>
          <w:sz w:val="32"/>
        </w:rPr>
        <w:t>4.卫生健康支出(类)公立医院(款)综合医院(项):支出决算数为0.00万元，比上年决算减少0.32万元，下降100.00%,主要原因是：本年减少医疗服务能力提升项目经费，导致相关经费减少。</w:t>
      </w:r>
    </w:p>
    <w:p w14:paraId="1C296B16">
      <w:pPr>
        <w:spacing w:line="580" w:lineRule="exact"/>
        <w:ind w:firstLine="640"/>
        <w:jc w:val="both"/>
      </w:pPr>
      <w:r>
        <w:rPr>
          <w:rFonts w:ascii="仿宋_GB2312" w:hAnsi="仿宋_GB2312" w:eastAsia="仿宋_GB2312"/>
          <w:b w:val="0"/>
          <w:sz w:val="32"/>
        </w:rPr>
        <w:t>5.卫生健康支出(类)公立医院(款)其他公立医院支出(项):支出决算数为25.75万元，比上年决算增加3.75万元，增长17.05%,主要原因是：本年增加公立医院能力提升项目经费，导致相关经费增加。</w:t>
      </w:r>
    </w:p>
    <w:p w14:paraId="47858B0E">
      <w:pPr>
        <w:spacing w:line="580" w:lineRule="exact"/>
        <w:ind w:firstLine="640"/>
        <w:jc w:val="both"/>
      </w:pPr>
      <w:r>
        <w:rPr>
          <w:rFonts w:ascii="仿宋_GB2312" w:hAnsi="仿宋_GB2312" w:eastAsia="仿宋_GB2312"/>
          <w:b w:val="0"/>
          <w:sz w:val="32"/>
        </w:rPr>
        <w:t>6.卫生健康支出(类)公共卫生(款)妇幼保健机构(项):支出决算数为585.31万元，比上年决算减少86.11万元，下降12.83%,主要原因是：本年科目调整，退休人员经费，在职人员医疗缴费、住房公积金上年度在主科目列支，本年单独列支，导致相关经费减少。</w:t>
      </w:r>
    </w:p>
    <w:p w14:paraId="7A9A07C5">
      <w:pPr>
        <w:spacing w:line="580" w:lineRule="exact"/>
        <w:ind w:firstLine="640"/>
        <w:jc w:val="both"/>
      </w:pPr>
      <w:r>
        <w:rPr>
          <w:rFonts w:ascii="仿宋_GB2312" w:hAnsi="仿宋_GB2312" w:eastAsia="仿宋_GB2312"/>
          <w:b w:val="0"/>
          <w:sz w:val="32"/>
        </w:rPr>
        <w:t>7.卫生健康支出(类)公共卫生(款)基本公共卫生服务(项):支出决算数为106.50万元，比上年决算减少71.88万元，下降40.30%,主要原因是：本年减少国家基本公共卫生服务项目经费，导致相关经费减少。</w:t>
      </w:r>
    </w:p>
    <w:p w14:paraId="689D5292">
      <w:pPr>
        <w:spacing w:line="580" w:lineRule="exact"/>
        <w:ind w:firstLine="640"/>
        <w:jc w:val="both"/>
      </w:pPr>
      <w:r>
        <w:rPr>
          <w:rFonts w:ascii="仿宋_GB2312" w:hAnsi="仿宋_GB2312" w:eastAsia="仿宋_GB2312"/>
          <w:b w:val="0"/>
          <w:sz w:val="32"/>
        </w:rPr>
        <w:t>8.卫生健康支出(类)公共卫生(款)重大公共卫生服务(项):支出决算数为9.21万元，比上年决算增加0.44万元，增长5.02%,主要原因是：本年增加重大公共卫生服务</w:t>
      </w:r>
      <w:r>
        <w:rPr>
          <w:rFonts w:hint="eastAsia" w:ascii="仿宋_GB2312" w:hAnsi="仿宋_GB2312" w:eastAsia="仿宋_GB2312"/>
          <w:b w:val="0"/>
          <w:sz w:val="32"/>
          <w:lang w:eastAsia="zh-CN"/>
        </w:rPr>
        <w:t>－</w:t>
      </w:r>
      <w:r>
        <w:rPr>
          <w:rFonts w:ascii="仿宋_GB2312" w:hAnsi="仿宋_GB2312" w:eastAsia="仿宋_GB2312"/>
          <w:b w:val="0"/>
          <w:sz w:val="32"/>
        </w:rPr>
        <w:t>预防</w:t>
      </w:r>
      <w:bookmarkStart w:id="0" w:name="_GoBack"/>
      <w:r>
        <w:rPr>
          <w:rFonts w:ascii="仿宋_GB2312" w:hAnsi="仿宋_GB2312" w:eastAsia="仿宋_GB2312"/>
          <w:b w:val="0"/>
          <w:sz w:val="32"/>
        </w:rPr>
        <w:t>艾滋病</w:t>
      </w:r>
      <w:bookmarkEnd w:id="0"/>
      <w:r>
        <w:rPr>
          <w:rFonts w:ascii="仿宋_GB2312" w:hAnsi="仿宋_GB2312" w:eastAsia="仿宋_GB2312"/>
          <w:b w:val="0"/>
          <w:sz w:val="32"/>
        </w:rPr>
        <w:t>母婴传播项目经费，导致相关经费增加。</w:t>
      </w:r>
    </w:p>
    <w:p w14:paraId="64737B46">
      <w:pPr>
        <w:spacing w:line="580" w:lineRule="exact"/>
        <w:ind w:firstLine="640"/>
        <w:jc w:val="both"/>
      </w:pPr>
      <w:r>
        <w:rPr>
          <w:rFonts w:ascii="仿宋_GB2312" w:hAnsi="仿宋_GB2312" w:eastAsia="仿宋_GB2312"/>
          <w:b w:val="0"/>
          <w:sz w:val="32"/>
        </w:rPr>
        <w:t>9.卫生健康支出(类)计划生育事务(款)计划生育服务(项):支出决算数为24.47万元，比上年决算减少114.53万元，下降82.40%,主要原因是：本年减少JHSY免费服务项目经费，导致相关经费减少。</w:t>
      </w:r>
    </w:p>
    <w:p w14:paraId="7AC5F59B">
      <w:pPr>
        <w:spacing w:line="580" w:lineRule="exact"/>
        <w:ind w:firstLine="640"/>
        <w:jc w:val="both"/>
      </w:pPr>
      <w:r>
        <w:rPr>
          <w:rFonts w:ascii="仿宋_GB2312" w:hAnsi="仿宋_GB2312" w:eastAsia="仿宋_GB2312"/>
          <w:b w:val="0"/>
          <w:sz w:val="32"/>
        </w:rPr>
        <w:t>10.卫生健康支出(类)行政事业单位医疗(款)事业单位医疗(项):支出决算数为32.26万元，比上年决算增加32.26万元，增长100.00%,主要原因是：本年功能科目调整，事业单位医疗上年度在主科目列支，本年单独列支，导致经费较上年增加。</w:t>
      </w:r>
    </w:p>
    <w:p w14:paraId="641CE7E5">
      <w:pPr>
        <w:spacing w:line="580" w:lineRule="exact"/>
        <w:ind w:firstLine="640"/>
        <w:jc w:val="both"/>
      </w:pPr>
      <w:r>
        <w:rPr>
          <w:rFonts w:ascii="仿宋_GB2312" w:hAnsi="仿宋_GB2312" w:eastAsia="仿宋_GB2312"/>
          <w:b w:val="0"/>
          <w:sz w:val="32"/>
        </w:rPr>
        <w:t>11.住房保障支出(类)住房改革支出(款)住房公积金(项):支出决算数为60.35万元，比上年决算增加60.35万元，增长100.00%,主要原因是：本年功能科目调整，住房公积金上年度在主科目列支，本年单独列支，导致经费较上年增加。</w:t>
      </w:r>
    </w:p>
    <w:p w14:paraId="0C8125F9">
      <w:pPr>
        <w:spacing w:line="580" w:lineRule="exact"/>
        <w:ind w:firstLine="640"/>
        <w:jc w:val="both"/>
      </w:pPr>
      <w:r>
        <w:rPr>
          <w:rFonts w:ascii="仿宋_GB2312" w:hAnsi="仿宋_GB2312" w:eastAsia="仿宋_GB2312"/>
          <w:b w:val="0"/>
          <w:sz w:val="32"/>
        </w:rPr>
        <w:t>12.其他支出(类)其他支出(款)其他支出(项):支出决算数为10.60万元，比上年决算增加8.17万元，增长336.21%,主要原因是：本年增加为民办实事项目经费，导致相关经费增加。</w:t>
      </w:r>
    </w:p>
    <w:p w14:paraId="7F7E715E">
      <w:pPr>
        <w:spacing w:line="640" w:lineRule="exact"/>
        <w:ind w:firstLine="640"/>
        <w:jc w:val="both"/>
        <w:outlineLvl w:val="2"/>
      </w:pPr>
      <w:r>
        <w:rPr>
          <w:rFonts w:ascii="黑体" w:hAnsi="黑体" w:eastAsia="黑体"/>
          <w:sz w:val="32"/>
        </w:rPr>
        <w:t>六、一般公共预算财政拨款基本支出决算情况说明</w:t>
      </w:r>
    </w:p>
    <w:p w14:paraId="0766526C">
      <w:pPr>
        <w:spacing w:line="580" w:lineRule="exact"/>
        <w:ind w:firstLine="640"/>
        <w:jc w:val="both"/>
      </w:pPr>
      <w:r>
        <w:rPr>
          <w:rFonts w:ascii="仿宋_GB2312" w:hAnsi="仿宋_GB2312" w:eastAsia="仿宋_GB2312"/>
          <w:b w:val="0"/>
          <w:sz w:val="32"/>
        </w:rPr>
        <w:t>2024年度一般公共预算财政拨款基本支出797.36万元，其中：</w:t>
      </w:r>
      <w:r>
        <w:rPr>
          <w:rFonts w:ascii="仿宋_GB2312" w:hAnsi="仿宋_GB2312" w:eastAsia="仿宋_GB2312"/>
          <w:b/>
          <w:sz w:val="32"/>
        </w:rPr>
        <w:t>人员经费797.36万元，</w:t>
      </w:r>
      <w:r>
        <w:rPr>
          <w:rFonts w:ascii="仿宋_GB2312" w:hAnsi="仿宋_GB2312" w:eastAsia="仿宋_GB2312"/>
          <w:b w:val="0"/>
          <w:sz w:val="32"/>
        </w:rPr>
        <w:t>包括：基本工资、津贴补贴、绩效工资、机关事业单位基本养老保险缴费、职业年金缴费、职工基本医疗保险缴费、住房公积金、退休费。</w:t>
      </w:r>
    </w:p>
    <w:p w14:paraId="7275DC4B">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600241C">
      <w:pPr>
        <w:spacing w:line="640" w:lineRule="exact"/>
        <w:ind w:firstLine="640"/>
        <w:jc w:val="both"/>
        <w:outlineLvl w:val="2"/>
      </w:pPr>
      <w:r>
        <w:rPr>
          <w:rFonts w:ascii="黑体" w:hAnsi="黑体" w:eastAsia="黑体"/>
          <w:sz w:val="32"/>
        </w:rPr>
        <w:t>七、政府性基金预算财政拨款收入支出决算情况说明</w:t>
      </w:r>
    </w:p>
    <w:p w14:paraId="759FCE17">
      <w:pPr>
        <w:spacing w:line="580" w:lineRule="exact"/>
        <w:ind w:firstLine="640"/>
        <w:jc w:val="both"/>
      </w:pPr>
      <w:r>
        <w:rPr>
          <w:rFonts w:ascii="仿宋_GB2312" w:hAnsi="仿宋_GB2312" w:eastAsia="仿宋_GB2312"/>
          <w:b/>
          <w:sz w:val="32"/>
        </w:rPr>
        <w:t>2024年度政府性基金预算财政拨款收入总计14.49万元，</w:t>
      </w:r>
      <w:r>
        <w:rPr>
          <w:rFonts w:ascii="仿宋_GB2312" w:hAnsi="仿宋_GB2312" w:eastAsia="仿宋_GB2312"/>
          <w:b w:val="0"/>
          <w:sz w:val="32"/>
        </w:rPr>
        <w:t>其中：年初结转和结余0.00万元，本年收入14.49万元。</w:t>
      </w:r>
      <w:r>
        <w:rPr>
          <w:rFonts w:ascii="仿宋_GB2312" w:hAnsi="仿宋_GB2312" w:eastAsia="仿宋_GB2312"/>
          <w:b/>
          <w:sz w:val="32"/>
        </w:rPr>
        <w:t>政府性基金预算财政拨款支出总计14.49万元，</w:t>
      </w:r>
      <w:r>
        <w:rPr>
          <w:rFonts w:ascii="仿宋_GB2312" w:hAnsi="仿宋_GB2312" w:eastAsia="仿宋_GB2312"/>
          <w:b w:val="0"/>
          <w:sz w:val="32"/>
        </w:rPr>
        <w:t>其中：年末结转和结余0.00万元，本年支出14.49万元。</w:t>
      </w:r>
    </w:p>
    <w:p w14:paraId="14588EA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减少25.82万元，下降64.05%，主要原因是：本年减少公益性彩票两癌筛查项目经费，导致相关经费减少。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年初预算数0.00万元，决算数14.49万元，预决算差异率100.00%，主要原因是：年中追加公益性彩票农村妇女宫颈癌、公益性彩票事业发展护齿行动等项目经费，导致预决算存在差异。</w:t>
      </w:r>
    </w:p>
    <w:p w14:paraId="2575AA11">
      <w:pPr>
        <w:spacing w:line="580" w:lineRule="exact"/>
        <w:ind w:firstLine="640"/>
        <w:jc w:val="both"/>
      </w:pPr>
      <w:r>
        <w:rPr>
          <w:rFonts w:ascii="仿宋_GB2312" w:hAnsi="仿宋_GB2312" w:eastAsia="仿宋_GB2312"/>
          <w:b w:val="0"/>
          <w:sz w:val="32"/>
        </w:rPr>
        <w:t>政府性基金预算财政拨款支出14.49万元。</w:t>
      </w:r>
    </w:p>
    <w:p w14:paraId="45D75FDE">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14.49万元，比上年决算减少25.82万元，下降64.05%,主要原因是：本年减少公益性彩票两癌筛查项目经费，导致相关经费减少。</w:t>
      </w:r>
    </w:p>
    <w:p w14:paraId="14CFFBD7">
      <w:pPr>
        <w:spacing w:line="640" w:lineRule="exact"/>
        <w:ind w:firstLine="640"/>
        <w:jc w:val="both"/>
        <w:outlineLvl w:val="2"/>
      </w:pPr>
      <w:r>
        <w:rPr>
          <w:rFonts w:ascii="黑体" w:hAnsi="黑体" w:eastAsia="黑体"/>
          <w:sz w:val="32"/>
        </w:rPr>
        <w:t>八、国有资本经营预算财政拨款收入支出决算情况说明</w:t>
      </w:r>
    </w:p>
    <w:p w14:paraId="4706AD6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B49124F">
      <w:pPr>
        <w:spacing w:line="640" w:lineRule="exact"/>
        <w:ind w:firstLine="640"/>
        <w:jc w:val="both"/>
        <w:outlineLvl w:val="2"/>
      </w:pPr>
      <w:r>
        <w:rPr>
          <w:rFonts w:ascii="黑体" w:hAnsi="黑体" w:eastAsia="黑体"/>
          <w:sz w:val="32"/>
        </w:rPr>
        <w:t>九、财政拨款“三公”经费支出决算情况说明</w:t>
      </w:r>
    </w:p>
    <w:p w14:paraId="1FD816C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14290A7">
      <w:pPr>
        <w:spacing w:line="580" w:lineRule="exact"/>
        <w:ind w:firstLine="640"/>
        <w:jc w:val="both"/>
      </w:pPr>
      <w:r>
        <w:rPr>
          <w:rFonts w:ascii="仿宋_GB2312" w:hAnsi="仿宋_GB2312" w:eastAsia="仿宋_GB2312"/>
          <w:b/>
          <w:sz w:val="32"/>
        </w:rPr>
        <w:t>具体情况如下：</w:t>
      </w:r>
    </w:p>
    <w:p w14:paraId="79D67A4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EC7C49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业务用车，车辆费用未使用财政拨款公务用车运行维护费支付，由医疗收入经费保障。</w:t>
      </w:r>
    </w:p>
    <w:p w14:paraId="7F3EAF5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3A796F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F2D1FED">
      <w:pPr>
        <w:spacing w:line="640" w:lineRule="exact"/>
        <w:ind w:firstLine="640"/>
        <w:jc w:val="both"/>
        <w:outlineLvl w:val="2"/>
      </w:pPr>
      <w:r>
        <w:rPr>
          <w:rFonts w:ascii="黑体" w:hAnsi="黑体" w:eastAsia="黑体"/>
          <w:sz w:val="32"/>
        </w:rPr>
        <w:t>十、其他重要事项的情况说明</w:t>
      </w:r>
    </w:p>
    <w:p w14:paraId="42EE631B">
      <w:pPr>
        <w:spacing w:line="640" w:lineRule="exact"/>
        <w:ind w:firstLine="640"/>
        <w:jc w:val="both"/>
        <w:outlineLvl w:val="3"/>
      </w:pPr>
      <w:r>
        <w:rPr>
          <w:rFonts w:ascii="楷体_GB2312" w:hAnsi="楷体_GB2312" w:eastAsia="楷体_GB2312"/>
          <w:b/>
          <w:sz w:val="32"/>
        </w:rPr>
        <w:t>（一）机关运行经费及公用经费支出情况</w:t>
      </w:r>
    </w:p>
    <w:p w14:paraId="645A3EED">
      <w:pPr>
        <w:spacing w:line="580" w:lineRule="exact"/>
        <w:ind w:firstLine="640"/>
        <w:jc w:val="both"/>
      </w:pPr>
      <w:r>
        <w:rPr>
          <w:rFonts w:ascii="仿宋_GB2312" w:hAnsi="仿宋_GB2312" w:eastAsia="仿宋_GB2312"/>
          <w:b w:val="0"/>
          <w:sz w:val="32"/>
        </w:rPr>
        <w:t>2024年度洛浦县妇幼保健院（事业单位）公用经费支出0.00万元，比上年增加0.00万元，增长0.00%，主要原因是：2023年与2024年均未安排公用经费支出。</w:t>
      </w:r>
    </w:p>
    <w:p w14:paraId="3467941D">
      <w:pPr>
        <w:spacing w:line="640" w:lineRule="exact"/>
        <w:ind w:firstLine="640"/>
        <w:jc w:val="both"/>
        <w:outlineLvl w:val="3"/>
      </w:pPr>
      <w:r>
        <w:rPr>
          <w:rFonts w:ascii="楷体_GB2312" w:hAnsi="楷体_GB2312" w:eastAsia="楷体_GB2312"/>
          <w:b/>
          <w:sz w:val="32"/>
        </w:rPr>
        <w:t>（二）政府采购情况</w:t>
      </w:r>
    </w:p>
    <w:p w14:paraId="41AD7D53">
      <w:pPr>
        <w:spacing w:line="580" w:lineRule="exact"/>
        <w:ind w:firstLine="640"/>
        <w:jc w:val="both"/>
      </w:pPr>
      <w:r>
        <w:rPr>
          <w:rFonts w:ascii="仿宋_GB2312" w:hAnsi="仿宋_GB2312" w:eastAsia="仿宋_GB2312"/>
          <w:b w:val="0"/>
          <w:sz w:val="32"/>
        </w:rPr>
        <w:t>2024年度政府采购支出总额49.35万元，其中：政府采购货物支出13.00万元、政府采购工程支出0.00万元、政府采购服务支出36.35万元。</w:t>
      </w:r>
    </w:p>
    <w:p w14:paraId="76AE2282">
      <w:pPr>
        <w:spacing w:line="580" w:lineRule="exact"/>
        <w:ind w:firstLine="640"/>
        <w:jc w:val="both"/>
      </w:pPr>
      <w:r>
        <w:rPr>
          <w:rFonts w:ascii="仿宋_GB2312" w:hAnsi="仿宋_GB2312" w:eastAsia="仿宋_GB2312"/>
          <w:b w:val="0"/>
          <w:sz w:val="32"/>
        </w:rPr>
        <w:t>授予中小企业合同金额36.35万元，占政府采购支出总额的73.66%，其中：授予小微企业合同金额35.57万元，占政府采购支出总额的72.08%。</w:t>
      </w:r>
    </w:p>
    <w:p w14:paraId="393D5846">
      <w:pPr>
        <w:spacing w:line="640" w:lineRule="exact"/>
        <w:ind w:firstLine="640"/>
        <w:jc w:val="both"/>
        <w:outlineLvl w:val="3"/>
      </w:pPr>
      <w:r>
        <w:rPr>
          <w:rFonts w:ascii="楷体_GB2312" w:hAnsi="楷体_GB2312" w:eastAsia="楷体_GB2312"/>
          <w:b/>
          <w:sz w:val="32"/>
        </w:rPr>
        <w:t>（三）国有资产占用情况说明</w:t>
      </w:r>
    </w:p>
    <w:p w14:paraId="2463BADA">
      <w:pPr>
        <w:spacing w:line="580" w:lineRule="exact"/>
        <w:ind w:firstLine="640"/>
        <w:jc w:val="both"/>
      </w:pPr>
      <w:r>
        <w:rPr>
          <w:rFonts w:ascii="仿宋_GB2312" w:hAnsi="仿宋_GB2312" w:eastAsia="仿宋_GB2312"/>
          <w:b w:val="0"/>
          <w:sz w:val="32"/>
        </w:rPr>
        <w:t>截至2024年12月31日，房屋14,571.99平方米，价值5,895.25万元。车辆3辆，价值51.37万元，其中：副部（省）级及以上领导用车0辆、主要负责人用车0辆、机要通信用车0辆、应急保障用车0辆、执法执勤用车0辆、特种专业技术用车1辆、离退休干部服务用车0辆、其他用车2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救护车。单价100万元（含）以上设备（不含车辆）5台（套）。</w:t>
      </w:r>
    </w:p>
    <w:p w14:paraId="3151E327">
      <w:pPr>
        <w:spacing w:line="640" w:lineRule="exact"/>
        <w:ind w:firstLine="640"/>
        <w:jc w:val="both"/>
        <w:outlineLvl w:val="2"/>
      </w:pPr>
      <w:r>
        <w:rPr>
          <w:rFonts w:ascii="黑体" w:hAnsi="黑体" w:eastAsia="黑体"/>
          <w:sz w:val="32"/>
        </w:rPr>
        <w:t>十一、预算绩效的情况说明</w:t>
      </w:r>
    </w:p>
    <w:p w14:paraId="44D5E26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根据预算绩效管理要求，本单位2024年度预算绩效管理形成整体支出绩效自评表1个，全年预算总额2,084.68万元，实际执行总额2,019.60万元；预算绩效评价项目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41</w:t>
      </w:r>
      <w:r>
        <w:rPr>
          <w:rFonts w:ascii="仿宋_GB2312" w:hAnsi="仿宋_GB2312" w:eastAsia="仿宋_GB2312"/>
          <w:b w:val="0"/>
          <w:sz w:val="32"/>
        </w:rPr>
        <w:t>.</w:t>
      </w:r>
      <w:r>
        <w:rPr>
          <w:rFonts w:hint="eastAsia" w:ascii="仿宋_GB2312" w:hAnsi="仿宋_GB2312" w:eastAsia="仿宋_GB2312"/>
          <w:b w:val="0"/>
          <w:sz w:val="32"/>
          <w:lang w:val="en-US" w:eastAsia="zh-CN"/>
        </w:rPr>
        <w:t>6</w:t>
      </w:r>
      <w:r>
        <w:rPr>
          <w:rFonts w:ascii="仿宋_GB2312" w:hAnsi="仿宋_GB2312" w:eastAsia="仿宋_GB2312"/>
          <w:b w:val="0"/>
          <w:sz w:val="32"/>
        </w:rPr>
        <w:t>0万元，全年执行数</w:t>
      </w:r>
      <w:r>
        <w:rPr>
          <w:rFonts w:hint="eastAsia" w:ascii="仿宋_GB2312" w:hAnsi="仿宋_GB2312" w:eastAsia="仿宋_GB2312"/>
          <w:b w:val="0"/>
          <w:sz w:val="32"/>
          <w:lang w:val="en-US" w:eastAsia="zh-CN"/>
        </w:rPr>
        <w:t>41</w:t>
      </w:r>
      <w:r>
        <w:rPr>
          <w:rFonts w:ascii="仿宋_GB2312" w:hAnsi="仿宋_GB2312" w:eastAsia="仿宋_GB2312"/>
          <w:b w:val="0"/>
          <w:sz w:val="32"/>
        </w:rPr>
        <w:t>.</w:t>
      </w:r>
      <w:r>
        <w:rPr>
          <w:rFonts w:hint="eastAsia" w:ascii="仿宋_GB2312" w:hAnsi="仿宋_GB2312" w:eastAsia="仿宋_GB2312"/>
          <w:b w:val="0"/>
          <w:sz w:val="32"/>
          <w:lang w:val="en-US" w:eastAsia="zh-CN"/>
        </w:rPr>
        <w:t>6</w:t>
      </w:r>
      <w:r>
        <w:rPr>
          <w:rFonts w:ascii="仿宋_GB2312" w:hAnsi="仿宋_GB2312" w:eastAsia="仿宋_GB2312"/>
          <w:b w:val="0"/>
          <w:sz w:val="32"/>
        </w:rPr>
        <w:t>0万元。预算绩效管理取得的成效：一是确保资金的高效使用，切实发挥财政资金的使用效果。二是严格按照工作职责和相关文件依据，确保专款专用。三是严格控制资金的流出方向，确保资金的合规性。发现的问题及原因：项目细化管理工作不足。各项资金的使用没有做到细致的预算，造成项目遇到各种不确定因素，财政资金无法发挥最大使用效益。下一步改进措施：一是进一步理顺责任关系，完善项目实施机制， 提高项目管理规范性。建立健全项目管理机制，明确各级管理部门对项目管理的责任。二是进一步完善项目监督管理机制，加强对项目实施。具体附整体支出绩效自评表，项目支出绩效自评表和评价报告。</w:t>
      </w:r>
    </w:p>
    <w:p w14:paraId="763384B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60D130">
        <w:tblPrEx>
          <w:tblCellMar>
            <w:top w:w="0" w:type="dxa"/>
            <w:left w:w="108" w:type="dxa"/>
            <w:bottom w:w="0" w:type="dxa"/>
            <w:right w:w="108" w:type="dxa"/>
          </w:tblCellMar>
        </w:tblPrEx>
        <w:tc>
          <w:tcPr>
            <w:tcW w:w="8847" w:type="dxa"/>
            <w:gridSpan w:val="9"/>
            <w:vAlign w:val="center"/>
          </w:tcPr>
          <w:p w14:paraId="28DA6621">
            <w:pPr>
              <w:jc w:val="center"/>
            </w:pPr>
            <w:r>
              <w:rPr>
                <w:rFonts w:ascii="宋体" w:hAnsi="宋体" w:eastAsia="宋体"/>
                <w:sz w:val="24"/>
              </w:rPr>
              <w:t>单位整体支出绩效自评表</w:t>
            </w:r>
          </w:p>
        </w:tc>
      </w:tr>
      <w:tr w14:paraId="3B006B6E">
        <w:tblPrEx>
          <w:tblCellMar>
            <w:top w:w="0" w:type="dxa"/>
            <w:left w:w="108" w:type="dxa"/>
            <w:bottom w:w="0" w:type="dxa"/>
            <w:right w:w="108" w:type="dxa"/>
          </w:tblCellMar>
        </w:tblPrEx>
        <w:tc>
          <w:tcPr>
            <w:tcW w:w="8847" w:type="dxa"/>
            <w:gridSpan w:val="9"/>
            <w:vAlign w:val="center"/>
          </w:tcPr>
          <w:p w14:paraId="36346FEC">
            <w:pPr>
              <w:jc w:val="center"/>
            </w:pPr>
            <w:r>
              <w:rPr>
                <w:rFonts w:ascii="宋体" w:hAnsi="宋体" w:eastAsia="宋体"/>
                <w:sz w:val="24"/>
              </w:rPr>
              <w:t>（2024年度）</w:t>
            </w:r>
          </w:p>
        </w:tc>
      </w:tr>
      <w:tr w14:paraId="541E7A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E530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94A698">
            <w:pPr>
              <w:jc w:val="center"/>
            </w:pPr>
            <w:r>
              <w:rPr>
                <w:rFonts w:ascii="宋体" w:hAnsi="宋体" w:eastAsia="宋体"/>
                <w:sz w:val="16"/>
              </w:rPr>
              <w:t>洛浦县妇幼保健院</w:t>
            </w:r>
          </w:p>
        </w:tc>
      </w:tr>
      <w:tr w14:paraId="5110EA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31675">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C03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CBDC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B726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27F8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89A1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6106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8F30F">
            <w:pPr>
              <w:jc w:val="center"/>
            </w:pPr>
            <w:r>
              <w:rPr>
                <w:rFonts w:ascii="宋体" w:hAnsi="宋体" w:eastAsia="宋体"/>
                <w:sz w:val="16"/>
              </w:rPr>
              <w:t>得分</w:t>
            </w:r>
          </w:p>
        </w:tc>
      </w:tr>
      <w:tr w14:paraId="2E5FF9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0ADF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C5605">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E99D0">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343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DCD18">
            <w:pPr>
              <w:jc w:val="center"/>
            </w:pPr>
            <w:r>
              <w:rPr>
                <w:rFonts w:ascii="宋体" w:hAnsi="宋体" w:eastAsia="宋体"/>
                <w:sz w:val="16"/>
              </w:rPr>
              <w:t>191.02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9F26D">
            <w:pPr>
              <w:jc w:val="center"/>
            </w:pPr>
            <w:r>
              <w:rPr>
                <w:rFonts w:ascii="宋体" w:hAnsi="宋体" w:eastAsia="宋体"/>
                <w:sz w:val="16"/>
              </w:rPr>
              <w:t>191.02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0AC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30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BFB73">
            <w:pPr>
              <w:jc w:val="center"/>
            </w:pPr>
            <w:r>
              <w:rPr>
                <w:rFonts w:ascii="宋体" w:hAnsi="宋体" w:eastAsia="宋体"/>
                <w:sz w:val="16"/>
              </w:rPr>
              <w:t>-</w:t>
            </w:r>
          </w:p>
        </w:tc>
      </w:tr>
      <w:tr w14:paraId="4E780A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5AE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834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3E907">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12F08">
            <w:pPr>
              <w:jc w:val="center"/>
            </w:pPr>
            <w:r>
              <w:rPr>
                <w:rFonts w:ascii="宋体" w:hAnsi="宋体" w:eastAsia="宋体"/>
                <w:sz w:val="16"/>
              </w:rPr>
              <w:t>838.90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09912">
            <w:pPr>
              <w:jc w:val="center"/>
            </w:pPr>
            <w:r>
              <w:rPr>
                <w:rFonts w:ascii="宋体" w:hAnsi="宋体" w:eastAsia="宋体"/>
                <w:sz w:val="16"/>
              </w:rPr>
              <w:t>1,893.66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41A1A">
            <w:pPr>
              <w:jc w:val="center"/>
            </w:pPr>
            <w:r>
              <w:rPr>
                <w:rFonts w:ascii="宋体" w:hAnsi="宋体" w:eastAsia="宋体"/>
                <w:sz w:val="16"/>
              </w:rPr>
              <w:t>1,828.58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FB0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232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64E9A">
            <w:pPr>
              <w:jc w:val="center"/>
            </w:pPr>
            <w:r>
              <w:rPr>
                <w:rFonts w:ascii="宋体" w:hAnsi="宋体" w:eastAsia="宋体"/>
                <w:sz w:val="16"/>
              </w:rPr>
              <w:t>-</w:t>
            </w:r>
          </w:p>
        </w:tc>
      </w:tr>
      <w:tr w14:paraId="514EAB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9B3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E5D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45311">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14E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E3F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CE0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E6B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5BE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D7FD8">
            <w:pPr>
              <w:jc w:val="center"/>
            </w:pPr>
            <w:r>
              <w:rPr>
                <w:rFonts w:ascii="宋体" w:hAnsi="宋体" w:eastAsia="宋体"/>
                <w:sz w:val="16"/>
              </w:rPr>
              <w:t>-</w:t>
            </w:r>
          </w:p>
        </w:tc>
      </w:tr>
      <w:tr w14:paraId="234A65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1B7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E384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F5E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5AE05">
            <w:pPr>
              <w:jc w:val="center"/>
            </w:pPr>
            <w:r>
              <w:rPr>
                <w:rFonts w:ascii="宋体" w:hAnsi="宋体" w:eastAsia="宋体"/>
                <w:sz w:val="16"/>
              </w:rPr>
              <w:t>838.90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60532">
            <w:pPr>
              <w:jc w:val="center"/>
            </w:pPr>
            <w:r>
              <w:rPr>
                <w:rFonts w:ascii="宋体" w:hAnsi="宋体" w:eastAsia="宋体"/>
                <w:sz w:val="16"/>
              </w:rPr>
              <w:t>2,084.68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E9290">
            <w:pPr>
              <w:jc w:val="center"/>
            </w:pPr>
            <w:r>
              <w:rPr>
                <w:rFonts w:ascii="宋体" w:hAnsi="宋体" w:eastAsia="宋体"/>
                <w:sz w:val="16"/>
              </w:rPr>
              <w:t>2,019.60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F8A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3A4FF">
            <w:pPr>
              <w:jc w:val="center"/>
            </w:pPr>
            <w:r>
              <w:rPr>
                <w:rFonts w:ascii="宋体" w:hAnsi="宋体" w:eastAsia="宋体"/>
                <w:sz w:val="16"/>
              </w:rPr>
              <w:t>96.88%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5DF37">
            <w:pPr>
              <w:jc w:val="center"/>
            </w:pPr>
            <w:r>
              <w:rPr>
                <w:rFonts w:ascii="宋体" w:hAnsi="宋体" w:eastAsia="宋体"/>
                <w:sz w:val="16"/>
              </w:rPr>
              <w:t>9.69</w:t>
            </w:r>
          </w:p>
        </w:tc>
      </w:tr>
      <w:tr w14:paraId="1A0CAA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E259B">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3511C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81C591">
            <w:pPr>
              <w:jc w:val="center"/>
            </w:pPr>
            <w:r>
              <w:rPr>
                <w:rFonts w:ascii="宋体" w:hAnsi="宋体" w:eastAsia="宋体"/>
                <w:sz w:val="16"/>
              </w:rPr>
              <w:t>实际完成情况</w:t>
            </w:r>
          </w:p>
        </w:tc>
      </w:tr>
      <w:tr w14:paraId="68431426">
        <w:tblPrEx>
          <w:tblCellMar>
            <w:top w:w="0" w:type="dxa"/>
            <w:left w:w="108" w:type="dxa"/>
            <w:bottom w:w="0" w:type="dxa"/>
            <w:right w:w="108" w:type="dxa"/>
          </w:tblCellMar>
        </w:tblPrEx>
        <w:trPr>
          <w:trHeight w:val="933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3AE1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7CDA06">
            <w:pPr>
              <w:jc w:val="both"/>
            </w:pPr>
            <w:r>
              <w:rPr>
                <w:rFonts w:ascii="宋体" w:hAnsi="宋体" w:eastAsia="宋体"/>
                <w:sz w:val="16"/>
              </w:rPr>
              <w:t>单位基本职能：1.正确贯彻执行党和国家的教育方针、政策、法规。2.开展母婴保健技术服务、开展经期保健、婚前保健、免费婚检、孕期保健、产后保健、更年期保健、妇科病普查、计划生育指导、健康教育等服务。3.负责全县乡镇妇幼保健员培训业务管理工作、负责全县育龄妇女、孕产妇、6岁以下儿童等妇幼保健信息资料的统计分析上报、负责全县孕产妇系统管理、负责全县儿童系统管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机构设置及人员配置：无下属预算单位，下设47个科室，编制数43，实有人数53人，在职40人，退休13人。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进一步强化全县妇幼保健机构服务能力，改善妇幼保健机构硬件条件，保障全县母婴安全、开展儿童康复及儿童五官保健、提高业务服务能力，提升我站产房规范化建设，进一步规范信息化管理建设、优化服务质量、扩大技术服务范围、促进孕产妇与儿童保健工作质量，切实降低孕产妇和婴儿死亡率，保证母婴安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目标1：保障单位在职40人，退休13人的工资福利及各项补助正常发放及部门正常运转；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预算项目按计划实施，便于完成5500名35-64岁农村适龄妇女宫颈癌检查、做好母婴安全工作、为妇女提供公平可及和系统连续的妇幼健康服务，而且有利于不断提高全区妇幼健康水平，逐步降低“两癌”死亡率，改善农村妇女健康状况。</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0417E9">
            <w:pPr>
              <w:jc w:val="both"/>
            </w:pPr>
            <w:r>
              <w:rPr>
                <w:rFonts w:ascii="宋体" w:hAnsi="宋体" w:eastAsia="宋体"/>
                <w:sz w:val="16"/>
              </w:rPr>
              <w:t>截止至自评节点，</w:t>
            </w:r>
            <w:r>
              <w:rPr>
                <w:rFonts w:hint="eastAsia" w:ascii="宋体" w:hAnsi="宋体"/>
                <w:sz w:val="16"/>
                <w:lang w:eastAsia="zh-CN"/>
              </w:rPr>
              <w:t>本单位</w:t>
            </w:r>
            <w:r>
              <w:rPr>
                <w:rFonts w:ascii="宋体" w:hAnsi="宋体" w:eastAsia="宋体"/>
                <w:sz w:val="16"/>
              </w:rPr>
              <w:t>已完成单位在职35人，退休18人的工资福利及各项补助正常发放及部门正常运转；完成5500名35-64岁农村适龄妇女宫颈癌检查；宫颈癌筛查项目可疑阳性病例随访率达到了95%；孕产妇及儿童系统管理覆盖率达到了90%，新生儿遗传代谢病筛查覆盖率达到了90%。通过这些重点工作的实施，为全县妇女儿童提供了公平可及和系统连续的妇幼健康服务，而且有利于不断提高全区妇幼健康水平，逐步降低“两癌”死亡率，改善农村妇女及儿童健康状况。进一步强化全县妇幼保健机构服务能力，改善妇幼保健机构硬件条件，保障全县母婴安全、开展儿童康复及儿童五官保健、提高业务服务能力，提升我站产房规范化建设，进一步规范信息化管理建设、优化服务质量、扩大技术服务范围、促进孕产妇与儿童保健工作质量，切实降低孕产妇和婴儿死亡率，保证母婴安全。</w:t>
            </w:r>
          </w:p>
        </w:tc>
      </w:tr>
      <w:tr w14:paraId="0F8C5B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FFEA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ABF6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43B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4482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1E46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2F42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9682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E2961">
            <w:pPr>
              <w:jc w:val="center"/>
            </w:pPr>
            <w:r>
              <w:rPr>
                <w:rFonts w:ascii="宋体" w:hAnsi="宋体" w:eastAsia="宋体"/>
                <w:sz w:val="16"/>
              </w:rPr>
              <w:t>得分</w:t>
            </w:r>
          </w:p>
        </w:tc>
      </w:tr>
      <w:tr w14:paraId="7B5AA8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BB2A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29E7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C7054">
            <w:pPr>
              <w:jc w:val="center"/>
            </w:pPr>
            <w:r>
              <w:rPr>
                <w:rFonts w:ascii="宋体" w:hAnsi="宋体" w:eastAsia="宋体"/>
                <w:sz w:val="16"/>
              </w:rPr>
              <w:t>农村妇女宫颈癌筛查数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6AF86">
            <w:pPr>
              <w:jc w:val="center"/>
            </w:pPr>
            <w:r>
              <w:rPr>
                <w:rFonts w:ascii="宋体" w:hAnsi="宋体" w:eastAsia="宋体"/>
                <w:sz w:val="16"/>
              </w:rPr>
              <w:t>=5500人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743E4">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95E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FFCC7">
            <w:pPr>
              <w:jc w:val="center"/>
            </w:pPr>
            <w:r>
              <w:rPr>
                <w:rFonts w:ascii="宋体" w:hAnsi="宋体" w:eastAsia="宋体"/>
                <w:sz w:val="16"/>
              </w:rPr>
              <w:t>5500人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FE2B5">
            <w:pPr>
              <w:jc w:val="center"/>
            </w:pPr>
            <w:r>
              <w:rPr>
                <w:rFonts w:ascii="宋体" w:hAnsi="宋体" w:eastAsia="宋体"/>
                <w:sz w:val="16"/>
              </w:rPr>
              <w:t>20</w:t>
            </w:r>
          </w:p>
        </w:tc>
      </w:tr>
      <w:tr w14:paraId="02918D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1E2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62D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EC6C">
            <w:pPr>
              <w:jc w:val="center"/>
            </w:pPr>
            <w:r>
              <w:rPr>
                <w:rFonts w:ascii="宋体" w:hAnsi="宋体" w:eastAsia="宋体"/>
                <w:sz w:val="16"/>
              </w:rPr>
              <w:t>宫颈癌筛查项目可疑阳性病例随访率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B7A1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04CF0">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890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2135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19843">
            <w:pPr>
              <w:jc w:val="center"/>
            </w:pPr>
            <w:r>
              <w:rPr>
                <w:rFonts w:ascii="宋体" w:hAnsi="宋体" w:eastAsia="宋体"/>
                <w:sz w:val="16"/>
              </w:rPr>
              <w:t>20</w:t>
            </w:r>
          </w:p>
        </w:tc>
      </w:tr>
      <w:tr w14:paraId="250A38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6799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77A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54B78">
            <w:pPr>
              <w:jc w:val="center"/>
            </w:pPr>
            <w:r>
              <w:rPr>
                <w:rFonts w:ascii="宋体" w:hAnsi="宋体" w:eastAsia="宋体"/>
                <w:sz w:val="16"/>
              </w:rPr>
              <w:t>孕产妇及儿童系统管理覆盖率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55F43">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62162">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47C2D">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CDAE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26EC5">
            <w:pPr>
              <w:jc w:val="center"/>
            </w:pPr>
            <w:r>
              <w:rPr>
                <w:rFonts w:ascii="宋体" w:hAnsi="宋体" w:eastAsia="宋体"/>
                <w:sz w:val="16"/>
              </w:rPr>
              <w:t>30</w:t>
            </w:r>
          </w:p>
        </w:tc>
      </w:tr>
      <w:tr w14:paraId="13DFD1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DAB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C218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A5380">
            <w:pPr>
              <w:jc w:val="center"/>
            </w:pPr>
            <w:r>
              <w:rPr>
                <w:rFonts w:ascii="宋体" w:hAnsi="宋体" w:eastAsia="宋体"/>
                <w:sz w:val="16"/>
              </w:rPr>
              <w:t>新生儿遗传代谢病筛查覆盖率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CE9AB">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CA47E">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AEE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CA5F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0BACB">
            <w:pPr>
              <w:jc w:val="center"/>
            </w:pPr>
            <w:r>
              <w:rPr>
                <w:rFonts w:ascii="宋体" w:hAnsi="宋体" w:eastAsia="宋体"/>
                <w:sz w:val="16"/>
              </w:rPr>
              <w:t>20</w:t>
            </w:r>
          </w:p>
        </w:tc>
      </w:tr>
    </w:tbl>
    <w:p w14:paraId="49031B4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5C0BD5">
        <w:tblPrEx>
          <w:tblCellMar>
            <w:top w:w="0" w:type="dxa"/>
            <w:left w:w="108" w:type="dxa"/>
            <w:bottom w:w="0" w:type="dxa"/>
            <w:right w:w="108" w:type="dxa"/>
          </w:tblCellMar>
        </w:tblPrEx>
        <w:tc>
          <w:tcPr>
            <w:tcW w:w="8847" w:type="dxa"/>
            <w:gridSpan w:val="9"/>
            <w:vAlign w:val="center"/>
          </w:tcPr>
          <w:p w14:paraId="2FC13859">
            <w:pPr>
              <w:jc w:val="center"/>
            </w:pPr>
            <w:r>
              <w:rPr>
                <w:rFonts w:ascii="宋体" w:hAnsi="宋体" w:eastAsia="宋体"/>
                <w:sz w:val="24"/>
              </w:rPr>
              <w:t>项目支出绩效自评表</w:t>
            </w:r>
          </w:p>
        </w:tc>
      </w:tr>
      <w:tr w14:paraId="7BC58288">
        <w:tblPrEx>
          <w:tblCellMar>
            <w:top w:w="0" w:type="dxa"/>
            <w:left w:w="108" w:type="dxa"/>
            <w:bottom w:w="0" w:type="dxa"/>
            <w:right w:w="108" w:type="dxa"/>
          </w:tblCellMar>
        </w:tblPrEx>
        <w:tc>
          <w:tcPr>
            <w:tcW w:w="8847" w:type="dxa"/>
            <w:gridSpan w:val="9"/>
            <w:vAlign w:val="center"/>
          </w:tcPr>
          <w:p w14:paraId="0BC1D87A">
            <w:pPr>
              <w:jc w:val="center"/>
            </w:pPr>
            <w:r>
              <w:rPr>
                <w:rFonts w:ascii="宋体" w:hAnsi="宋体" w:eastAsia="宋体"/>
                <w:sz w:val="24"/>
              </w:rPr>
              <w:t>(2024年度)</w:t>
            </w:r>
          </w:p>
        </w:tc>
      </w:tr>
      <w:tr w14:paraId="2A8A6E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DF7E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82EE55">
            <w:pPr>
              <w:jc w:val="center"/>
            </w:pPr>
            <w:r>
              <w:rPr>
                <w:rFonts w:ascii="宋体" w:hAnsi="宋体" w:eastAsia="宋体"/>
                <w:sz w:val="16"/>
              </w:rPr>
              <w:t>2024年中央专项彩票公益基金（2024年宫颈癌检查项目）</w:t>
            </w:r>
          </w:p>
        </w:tc>
      </w:tr>
      <w:tr w14:paraId="1B414D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97BF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88B6C0">
            <w:pPr>
              <w:jc w:val="center"/>
            </w:pPr>
            <w:r>
              <w:rPr>
                <w:rFonts w:ascii="宋体" w:hAnsi="宋体" w:eastAsia="宋体"/>
                <w:sz w:val="16"/>
              </w:rPr>
              <w:t>洛浦县妇幼保健院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C670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BEAD2C">
            <w:pPr>
              <w:jc w:val="center"/>
            </w:pPr>
            <w:r>
              <w:rPr>
                <w:rFonts w:ascii="宋体" w:hAnsi="宋体" w:eastAsia="宋体"/>
                <w:sz w:val="16"/>
              </w:rPr>
              <w:t>洛浦县妇幼保健院</w:t>
            </w:r>
          </w:p>
        </w:tc>
      </w:tr>
      <w:tr w14:paraId="1C496D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56E5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7AF1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3845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E777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6330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308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5CB4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43F4B">
            <w:pPr>
              <w:jc w:val="center"/>
            </w:pPr>
            <w:r>
              <w:rPr>
                <w:rFonts w:ascii="宋体" w:hAnsi="宋体" w:eastAsia="宋体"/>
                <w:sz w:val="16"/>
              </w:rPr>
              <w:t>得分</w:t>
            </w:r>
          </w:p>
        </w:tc>
      </w:tr>
      <w:tr w14:paraId="67D132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195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490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15D78">
            <w:pPr>
              <w:jc w:val="center"/>
            </w:pPr>
            <w:r>
              <w:rPr>
                <w:rFonts w:ascii="宋体" w:hAnsi="宋体" w:eastAsia="宋体"/>
                <w:sz w:val="16"/>
              </w:rPr>
              <w:t>12.93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312C9">
            <w:pPr>
              <w:jc w:val="center"/>
            </w:pPr>
            <w:r>
              <w:rPr>
                <w:rFonts w:ascii="宋体" w:hAnsi="宋体" w:eastAsia="宋体"/>
                <w:sz w:val="16"/>
              </w:rPr>
              <w:t>12.93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8539D">
            <w:pPr>
              <w:jc w:val="center"/>
            </w:pPr>
            <w:r>
              <w:rPr>
                <w:rFonts w:ascii="宋体" w:hAnsi="宋体" w:eastAsia="宋体"/>
                <w:sz w:val="16"/>
              </w:rPr>
              <w:t>12.93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5EA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8C90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2B757">
            <w:pPr>
              <w:jc w:val="center"/>
            </w:pPr>
            <w:r>
              <w:rPr>
                <w:rFonts w:ascii="宋体" w:hAnsi="宋体" w:eastAsia="宋体"/>
                <w:sz w:val="16"/>
              </w:rPr>
              <w:t>10.00分</w:t>
            </w:r>
          </w:p>
        </w:tc>
      </w:tr>
      <w:tr w14:paraId="2CBBEC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210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D366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CF38E">
            <w:pPr>
              <w:jc w:val="center"/>
            </w:pPr>
            <w:r>
              <w:rPr>
                <w:rFonts w:ascii="宋体" w:hAnsi="宋体" w:eastAsia="宋体"/>
                <w:sz w:val="16"/>
              </w:rPr>
              <w:t>12.93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C5C6F">
            <w:pPr>
              <w:jc w:val="center"/>
            </w:pPr>
            <w:r>
              <w:rPr>
                <w:rFonts w:ascii="宋体" w:hAnsi="宋体" w:eastAsia="宋体"/>
                <w:sz w:val="16"/>
              </w:rPr>
              <w:t>12.93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1E0E4">
            <w:pPr>
              <w:jc w:val="center"/>
            </w:pPr>
            <w:r>
              <w:rPr>
                <w:rFonts w:ascii="宋体" w:hAnsi="宋体" w:eastAsia="宋体"/>
                <w:sz w:val="16"/>
              </w:rPr>
              <w:t>12.93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1C5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88F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66474">
            <w:pPr>
              <w:jc w:val="center"/>
            </w:pPr>
            <w:r>
              <w:rPr>
                <w:rFonts w:ascii="宋体" w:hAnsi="宋体" w:eastAsia="宋体"/>
                <w:sz w:val="16"/>
              </w:rPr>
              <w:t>—</w:t>
            </w:r>
          </w:p>
        </w:tc>
      </w:tr>
      <w:tr w14:paraId="3E431B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624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C17D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8BC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55E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6DF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885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165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A09BE">
            <w:pPr>
              <w:jc w:val="center"/>
            </w:pPr>
            <w:r>
              <w:rPr>
                <w:rFonts w:ascii="宋体" w:hAnsi="宋体" w:eastAsia="宋体"/>
                <w:sz w:val="16"/>
              </w:rPr>
              <w:t>—</w:t>
            </w:r>
          </w:p>
        </w:tc>
      </w:tr>
      <w:tr w14:paraId="374547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B8A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0EA6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AAF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E6F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305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F63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856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AA43C">
            <w:pPr>
              <w:jc w:val="center"/>
            </w:pPr>
            <w:r>
              <w:rPr>
                <w:rFonts w:ascii="宋体" w:hAnsi="宋体" w:eastAsia="宋体"/>
                <w:sz w:val="16"/>
              </w:rPr>
              <w:t>—</w:t>
            </w:r>
          </w:p>
        </w:tc>
      </w:tr>
      <w:tr w14:paraId="2673EF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5F4C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6B4DA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4F0948">
            <w:pPr>
              <w:jc w:val="center"/>
            </w:pPr>
            <w:r>
              <w:rPr>
                <w:rFonts w:ascii="宋体" w:hAnsi="宋体" w:eastAsia="宋体"/>
                <w:sz w:val="16"/>
              </w:rPr>
              <w:t>实际完成情况</w:t>
            </w:r>
          </w:p>
        </w:tc>
      </w:tr>
      <w:tr w14:paraId="4BCEF2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AD6B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D13BD5">
            <w:pPr>
              <w:jc w:val="both"/>
            </w:pPr>
            <w:r>
              <w:rPr>
                <w:rFonts w:ascii="宋体" w:hAnsi="宋体" w:eastAsia="宋体"/>
                <w:sz w:val="16"/>
              </w:rPr>
              <w:t>完成5500名适龄妇女宫颈癌检查，县乡级培训人120人次，本机构人员去上级部门技术培训2人次，购置印刷用品1批，购置办公用品1批，保障公务用车2辆，宫颈</w:t>
            </w:r>
            <w:r>
              <w:rPr>
                <w:rFonts w:hint="eastAsia" w:ascii="宋体" w:hAnsi="宋体"/>
                <w:sz w:val="16"/>
                <w:lang w:eastAsia="zh-CN"/>
              </w:rPr>
              <w:t>癌</w:t>
            </w:r>
            <w:r>
              <w:rPr>
                <w:rFonts w:ascii="宋体" w:hAnsi="宋体" w:eastAsia="宋体"/>
                <w:sz w:val="16"/>
              </w:rPr>
              <w:t>早期诊断率达到90%以上，于2024年12月完成；项目总投资12.93万元，其中培训费1.0754万元，印刷费3.741万元，办公用品费1.5308万元，车辆运行费0.4485万元，采购小型医疗设备6.095万元。通过本项目的实施，有效提高农村妇女自我保健意识和技能，持续完善妇女“宫颈癌”防治工作机制，争取使受益员工及受益妇女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791061">
            <w:pPr>
              <w:jc w:val="both"/>
            </w:pPr>
            <w:r>
              <w:rPr>
                <w:rFonts w:ascii="宋体" w:hAnsi="宋体" w:eastAsia="宋体"/>
                <w:sz w:val="16"/>
              </w:rPr>
              <w:t>截止至自评节点，</w:t>
            </w:r>
            <w:r>
              <w:rPr>
                <w:rFonts w:hint="eastAsia" w:ascii="宋体" w:hAnsi="宋体"/>
                <w:sz w:val="16"/>
                <w:lang w:eastAsia="zh-CN"/>
              </w:rPr>
              <w:t>本单位</w:t>
            </w:r>
            <w:r>
              <w:rPr>
                <w:rFonts w:ascii="宋体" w:hAnsi="宋体" w:eastAsia="宋体"/>
                <w:sz w:val="16"/>
              </w:rPr>
              <w:t>已</w:t>
            </w:r>
            <w:r>
              <w:rPr>
                <w:rFonts w:hint="eastAsia" w:ascii="宋体" w:hAnsi="宋体"/>
                <w:sz w:val="16"/>
                <w:lang w:eastAsia="zh-CN"/>
              </w:rPr>
              <w:t>完成</w:t>
            </w:r>
            <w:r>
              <w:rPr>
                <w:rFonts w:ascii="宋体" w:hAnsi="宋体" w:eastAsia="宋体"/>
                <w:sz w:val="16"/>
              </w:rPr>
              <w:t>5500名适龄妇女宫颈癌检查，县乡级培训</w:t>
            </w:r>
            <w:r>
              <w:rPr>
                <w:rFonts w:hint="eastAsia" w:ascii="宋体" w:hAnsi="宋体"/>
                <w:sz w:val="16"/>
                <w:lang w:eastAsia="zh-CN"/>
              </w:rPr>
              <w:t>人员</w:t>
            </w:r>
            <w:r>
              <w:rPr>
                <w:rFonts w:ascii="宋体" w:hAnsi="宋体" w:eastAsia="宋体"/>
                <w:sz w:val="16"/>
              </w:rPr>
              <w:t>120人次，本机构人员去上级部门技术培训2人次，购置印刷用品1批，购置办公用品1批，保障公务用车2辆，宫颈</w:t>
            </w:r>
            <w:r>
              <w:rPr>
                <w:rFonts w:hint="eastAsia" w:ascii="宋体" w:hAnsi="宋体"/>
                <w:sz w:val="16"/>
                <w:lang w:eastAsia="zh-CN"/>
              </w:rPr>
              <w:t>癌</w:t>
            </w:r>
            <w:r>
              <w:rPr>
                <w:rFonts w:ascii="宋体" w:hAnsi="宋体" w:eastAsia="宋体"/>
                <w:sz w:val="16"/>
              </w:rPr>
              <w:t>早期诊断率达到90%。项目资金已使用12.93万元。通过项目的实施。有效提高农村妇女自我保健意识和技能，持续完善妇女“宫颈癌”防治工作机制，争取使受益员工及受益妇女满意度达到95%以上。</w:t>
            </w:r>
          </w:p>
        </w:tc>
      </w:tr>
      <w:tr w14:paraId="15CF92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DEA2E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520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503B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B3E4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8131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2520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0336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C1F2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09123">
            <w:pPr>
              <w:jc w:val="center"/>
            </w:pPr>
            <w:r>
              <w:rPr>
                <w:rFonts w:ascii="宋体" w:hAnsi="宋体" w:eastAsia="宋体"/>
                <w:sz w:val="16"/>
              </w:rPr>
              <w:t>偏差原因分析及改进措施</w:t>
            </w:r>
          </w:p>
        </w:tc>
      </w:tr>
      <w:tr w14:paraId="554809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E255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01D3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7124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72EA0">
            <w:pPr>
              <w:jc w:val="center"/>
            </w:pPr>
            <w:r>
              <w:rPr>
                <w:rFonts w:ascii="宋体" w:hAnsi="宋体" w:eastAsia="宋体"/>
                <w:sz w:val="16"/>
              </w:rPr>
              <w:t>完成适龄农村适龄妇女宫颈癌检查人数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38E7F">
            <w:pPr>
              <w:jc w:val="center"/>
            </w:pPr>
            <w:r>
              <w:rPr>
                <w:rFonts w:ascii="宋体" w:hAnsi="宋体" w:eastAsia="宋体"/>
                <w:sz w:val="16"/>
              </w:rPr>
              <w:t>&gt;=5500人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F9BA6">
            <w:pPr>
              <w:jc w:val="center"/>
            </w:pPr>
            <w:r>
              <w:rPr>
                <w:rFonts w:ascii="宋体" w:hAnsi="宋体" w:eastAsia="宋体"/>
                <w:sz w:val="16"/>
              </w:rPr>
              <w:t>=5500人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D7E8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F14D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A91A4">
            <w:pPr>
              <w:jc w:val="center"/>
            </w:pPr>
          </w:p>
        </w:tc>
      </w:tr>
      <w:tr w14:paraId="0539A5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95F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14E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3E4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19028">
            <w:pPr>
              <w:jc w:val="center"/>
            </w:pPr>
            <w:r>
              <w:rPr>
                <w:rFonts w:ascii="宋体" w:hAnsi="宋体" w:eastAsia="宋体"/>
                <w:sz w:val="16"/>
              </w:rPr>
              <w:t>县乡级培训人次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509A7">
            <w:pPr>
              <w:jc w:val="center"/>
            </w:pPr>
            <w:r>
              <w:rPr>
                <w:rFonts w:ascii="宋体" w:hAnsi="宋体" w:eastAsia="宋体"/>
                <w:sz w:val="16"/>
              </w:rPr>
              <w:t>&gt;=120人次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35FBE">
            <w:pPr>
              <w:jc w:val="center"/>
            </w:pPr>
            <w:r>
              <w:rPr>
                <w:rFonts w:ascii="宋体" w:hAnsi="宋体" w:eastAsia="宋体"/>
                <w:sz w:val="16"/>
              </w:rPr>
              <w:t>=126人次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9011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EC0E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A1C3D">
            <w:pPr>
              <w:jc w:val="center"/>
            </w:pPr>
          </w:p>
        </w:tc>
      </w:tr>
      <w:tr w14:paraId="1277C8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B3A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FB2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85E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14F83">
            <w:pPr>
              <w:jc w:val="center"/>
            </w:pPr>
            <w:r>
              <w:rPr>
                <w:rFonts w:ascii="宋体" w:hAnsi="宋体" w:eastAsia="宋体"/>
                <w:sz w:val="16"/>
              </w:rPr>
              <w:t>本机构赴上级部门培训人次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85FBD">
            <w:pPr>
              <w:jc w:val="center"/>
            </w:pPr>
            <w:r>
              <w:rPr>
                <w:rFonts w:ascii="宋体" w:hAnsi="宋体" w:eastAsia="宋体"/>
                <w:sz w:val="16"/>
              </w:rPr>
              <w:t>&gt;=2人次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FAAA9">
            <w:pPr>
              <w:jc w:val="center"/>
            </w:pPr>
            <w:r>
              <w:rPr>
                <w:rFonts w:ascii="宋体" w:hAnsi="宋体" w:eastAsia="宋体"/>
                <w:sz w:val="16"/>
              </w:rPr>
              <w:t>=2人次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18AA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1B04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F5164">
            <w:pPr>
              <w:jc w:val="center"/>
            </w:pPr>
          </w:p>
        </w:tc>
      </w:tr>
      <w:tr w14:paraId="331A3A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110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5CD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A34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59138">
            <w:pPr>
              <w:jc w:val="center"/>
            </w:pPr>
            <w:r>
              <w:rPr>
                <w:rFonts w:ascii="宋体" w:hAnsi="宋体" w:eastAsia="宋体"/>
                <w:sz w:val="16"/>
              </w:rPr>
              <w:t>印刷用品批数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27FC9">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F59A3">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AA8C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C7B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94BB0">
            <w:pPr>
              <w:jc w:val="center"/>
            </w:pPr>
          </w:p>
        </w:tc>
      </w:tr>
      <w:tr w14:paraId="7D6855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6B0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25F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DD7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A9E7C">
            <w:pPr>
              <w:jc w:val="center"/>
            </w:pPr>
            <w:r>
              <w:rPr>
                <w:rFonts w:ascii="宋体" w:hAnsi="宋体" w:eastAsia="宋体"/>
                <w:sz w:val="16"/>
              </w:rPr>
              <w:t>购置办公用品批数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BC007">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81114">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6953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EB4D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FA637">
            <w:pPr>
              <w:jc w:val="center"/>
            </w:pPr>
          </w:p>
        </w:tc>
      </w:tr>
      <w:tr w14:paraId="565169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A21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CBB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BD1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6A5E5">
            <w:pPr>
              <w:jc w:val="center"/>
            </w:pPr>
            <w:r>
              <w:rPr>
                <w:rFonts w:ascii="宋体" w:hAnsi="宋体" w:eastAsia="宋体"/>
                <w:sz w:val="16"/>
              </w:rPr>
              <w:t>保障公务用车数量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612C">
            <w:pPr>
              <w:jc w:val="center"/>
            </w:pPr>
            <w:r>
              <w:rPr>
                <w:rFonts w:ascii="宋体" w:hAnsi="宋体" w:eastAsia="宋体"/>
                <w:sz w:val="16"/>
              </w:rPr>
              <w:t>&gt;=2辆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4D3F1">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FF35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0950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43FFD">
            <w:pPr>
              <w:jc w:val="center"/>
            </w:pPr>
          </w:p>
        </w:tc>
      </w:tr>
      <w:tr w14:paraId="5A502B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649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60D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3C5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1FF9D">
            <w:pPr>
              <w:jc w:val="center"/>
            </w:pPr>
            <w:r>
              <w:rPr>
                <w:rFonts w:ascii="宋体" w:hAnsi="宋体" w:eastAsia="宋体"/>
                <w:sz w:val="16"/>
              </w:rPr>
              <w:t>购置小型医疗设备采购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464C9">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C6354">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B245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E8EB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0FC0F">
            <w:pPr>
              <w:jc w:val="center"/>
            </w:pPr>
          </w:p>
        </w:tc>
      </w:tr>
      <w:tr w14:paraId="33C1E5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866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CD4B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25C8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8E64A">
            <w:pPr>
              <w:jc w:val="center"/>
            </w:pPr>
            <w:r>
              <w:rPr>
                <w:rFonts w:ascii="宋体" w:hAnsi="宋体" w:eastAsia="宋体"/>
                <w:sz w:val="16"/>
              </w:rPr>
              <w:t>宫颈癌早期诊断率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303C8">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C008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BC71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ED9A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027F7">
            <w:pPr>
              <w:jc w:val="center"/>
            </w:pPr>
          </w:p>
        </w:tc>
      </w:tr>
      <w:tr w14:paraId="0240E6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8F4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BE8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2D9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5404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CCD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5CB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7140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B085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AEE95">
            <w:pPr>
              <w:jc w:val="center"/>
            </w:pPr>
          </w:p>
        </w:tc>
      </w:tr>
      <w:tr w14:paraId="4F8A46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D97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A6F08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65F4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21E1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5B1C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23F20">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3FA5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FD88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4EAFA">
            <w:pPr>
              <w:jc w:val="center"/>
            </w:pPr>
          </w:p>
        </w:tc>
      </w:tr>
      <w:tr w14:paraId="151F2E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2E8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6A8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F9B6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5388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70E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8DF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468B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D52C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C555B">
            <w:pPr>
              <w:jc w:val="center"/>
            </w:pPr>
          </w:p>
        </w:tc>
      </w:tr>
      <w:tr w14:paraId="6B8ACC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753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898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FB4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499D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E81B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6CFE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B5A1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BF84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25992">
            <w:pPr>
              <w:jc w:val="center"/>
            </w:pPr>
          </w:p>
        </w:tc>
      </w:tr>
      <w:tr w14:paraId="417A6E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A0DD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EB8C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FA27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9299A">
            <w:pPr>
              <w:jc w:val="center"/>
            </w:pPr>
            <w:r>
              <w:rPr>
                <w:rFonts w:ascii="宋体" w:hAnsi="宋体" w:eastAsia="宋体"/>
                <w:sz w:val="16"/>
              </w:rPr>
              <w:t>培训费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92BCF">
            <w:pPr>
              <w:jc w:val="center"/>
            </w:pPr>
            <w:r>
              <w:rPr>
                <w:rFonts w:ascii="宋体" w:hAnsi="宋体" w:eastAsia="宋体"/>
                <w:sz w:val="16"/>
              </w:rPr>
              <w:t>&lt;=1.0754万元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74BED">
            <w:pPr>
              <w:jc w:val="center"/>
            </w:pPr>
            <w:r>
              <w:rPr>
                <w:rFonts w:ascii="宋体" w:hAnsi="宋体" w:eastAsia="宋体"/>
                <w:sz w:val="16"/>
              </w:rPr>
              <w:t>=1.0754万元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7DD6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1436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11D6A">
            <w:pPr>
              <w:jc w:val="center"/>
            </w:pPr>
          </w:p>
        </w:tc>
      </w:tr>
      <w:tr w14:paraId="4B936B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93E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C70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DBA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C070F">
            <w:pPr>
              <w:jc w:val="center"/>
            </w:pPr>
            <w:r>
              <w:rPr>
                <w:rFonts w:ascii="宋体" w:hAnsi="宋体" w:eastAsia="宋体"/>
                <w:sz w:val="16"/>
              </w:rPr>
              <w:t>印刷费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8F70A">
            <w:pPr>
              <w:jc w:val="center"/>
            </w:pPr>
            <w:r>
              <w:rPr>
                <w:rFonts w:ascii="宋体" w:hAnsi="宋体" w:eastAsia="宋体"/>
                <w:sz w:val="16"/>
              </w:rPr>
              <w:t>&lt;=3.741万元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B0603">
            <w:pPr>
              <w:jc w:val="center"/>
            </w:pPr>
            <w:r>
              <w:rPr>
                <w:rFonts w:ascii="宋体" w:hAnsi="宋体" w:eastAsia="宋体"/>
                <w:sz w:val="16"/>
              </w:rPr>
              <w:t>=3.741万元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8B81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9C7F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6A121">
            <w:pPr>
              <w:jc w:val="center"/>
            </w:pPr>
          </w:p>
        </w:tc>
      </w:tr>
      <w:tr w14:paraId="237C15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2B5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584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495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E320E">
            <w:pPr>
              <w:jc w:val="center"/>
            </w:pPr>
            <w:r>
              <w:rPr>
                <w:rFonts w:ascii="宋体" w:hAnsi="宋体" w:eastAsia="宋体"/>
                <w:sz w:val="16"/>
              </w:rPr>
              <w:t>办公用品费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E3FEF">
            <w:pPr>
              <w:jc w:val="center"/>
            </w:pPr>
            <w:r>
              <w:rPr>
                <w:rFonts w:ascii="宋体" w:hAnsi="宋体" w:eastAsia="宋体"/>
                <w:sz w:val="16"/>
              </w:rPr>
              <w:t>&lt;=1.5038万元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B40EE">
            <w:pPr>
              <w:jc w:val="center"/>
            </w:pPr>
            <w:r>
              <w:rPr>
                <w:rFonts w:ascii="宋体" w:hAnsi="宋体" w:eastAsia="宋体"/>
                <w:sz w:val="16"/>
              </w:rPr>
              <w:t>=1.5038万元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3BE7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08FA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10386">
            <w:pPr>
              <w:jc w:val="center"/>
            </w:pPr>
          </w:p>
        </w:tc>
      </w:tr>
      <w:tr w14:paraId="2C4E58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793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777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81C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D0463">
            <w:pPr>
              <w:jc w:val="center"/>
            </w:pPr>
            <w:r>
              <w:rPr>
                <w:rFonts w:ascii="宋体" w:hAnsi="宋体" w:eastAsia="宋体"/>
                <w:sz w:val="16"/>
              </w:rPr>
              <w:t>小型设备采购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A83C9">
            <w:pPr>
              <w:jc w:val="center"/>
            </w:pPr>
            <w:r>
              <w:rPr>
                <w:rFonts w:ascii="宋体" w:hAnsi="宋体" w:eastAsia="宋体"/>
                <w:sz w:val="16"/>
              </w:rPr>
              <w:t>&lt;=6.095万元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C614C">
            <w:pPr>
              <w:jc w:val="center"/>
            </w:pPr>
            <w:r>
              <w:rPr>
                <w:rFonts w:ascii="宋体" w:hAnsi="宋体" w:eastAsia="宋体"/>
                <w:sz w:val="16"/>
              </w:rPr>
              <w:t>=6.095万元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0BD8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CA05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95437">
            <w:pPr>
              <w:jc w:val="center"/>
            </w:pPr>
          </w:p>
        </w:tc>
      </w:tr>
      <w:tr w14:paraId="1041D9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519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8D7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303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8E461">
            <w:pPr>
              <w:jc w:val="center"/>
            </w:pPr>
            <w:r>
              <w:rPr>
                <w:rFonts w:ascii="宋体" w:hAnsi="宋体" w:eastAsia="宋体"/>
                <w:sz w:val="16"/>
              </w:rPr>
              <w:t>车辆运行费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085E7">
            <w:pPr>
              <w:jc w:val="center"/>
            </w:pPr>
            <w:r>
              <w:rPr>
                <w:rFonts w:ascii="宋体" w:hAnsi="宋体" w:eastAsia="宋体"/>
                <w:sz w:val="16"/>
              </w:rPr>
              <w:t>&lt;=0.4885万元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C5E65">
            <w:pPr>
              <w:jc w:val="center"/>
            </w:pPr>
            <w:r>
              <w:rPr>
                <w:rFonts w:ascii="宋体" w:hAnsi="宋体" w:eastAsia="宋体"/>
                <w:sz w:val="16"/>
              </w:rPr>
              <w:t>=0.4485万元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218B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972A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BC3A8">
            <w:pPr>
              <w:jc w:val="center"/>
            </w:pPr>
          </w:p>
        </w:tc>
      </w:tr>
      <w:tr w14:paraId="788C3F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920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21AA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0A00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1D9F9">
            <w:pPr>
              <w:jc w:val="center"/>
            </w:pPr>
            <w:r>
              <w:rPr>
                <w:rFonts w:ascii="宋体" w:hAnsi="宋体" w:eastAsia="宋体"/>
                <w:sz w:val="16"/>
              </w:rPr>
              <w:t>提高农村妇女自我保健意识和技能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D9D8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00E8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4A2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33E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DF92">
            <w:pPr>
              <w:jc w:val="center"/>
            </w:pPr>
          </w:p>
        </w:tc>
      </w:tr>
      <w:tr w14:paraId="0A28A6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FC2F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497C4">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0D4B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E2125">
            <w:pPr>
              <w:jc w:val="center"/>
            </w:pPr>
            <w:r>
              <w:rPr>
                <w:rFonts w:ascii="宋体" w:hAnsi="宋体" w:eastAsia="宋体"/>
                <w:sz w:val="16"/>
              </w:rPr>
              <w:t>受益员工满意度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74E4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CE3E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562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980C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C6779">
            <w:pPr>
              <w:jc w:val="center"/>
            </w:pPr>
          </w:p>
        </w:tc>
      </w:tr>
      <w:tr w14:paraId="79B695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89C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417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15F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0D99D">
            <w:pPr>
              <w:jc w:val="center"/>
            </w:pPr>
            <w:r>
              <w:rPr>
                <w:rFonts w:ascii="宋体" w:hAnsi="宋体" w:eastAsia="宋体"/>
                <w:sz w:val="16"/>
              </w:rPr>
              <w:t>受益妇女满意度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3846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B29E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7BB5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1785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85170">
            <w:pPr>
              <w:jc w:val="center"/>
            </w:pPr>
          </w:p>
        </w:tc>
      </w:tr>
      <w:tr w14:paraId="1B64D5D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425B5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C081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88F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CF7F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9B84C0"/>
        </w:tc>
      </w:tr>
    </w:tbl>
    <w:p w14:paraId="393A5C7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06AEFB">
        <w:tblPrEx>
          <w:tblCellMar>
            <w:top w:w="0" w:type="dxa"/>
            <w:left w:w="108" w:type="dxa"/>
            <w:bottom w:w="0" w:type="dxa"/>
            <w:right w:w="108" w:type="dxa"/>
          </w:tblCellMar>
        </w:tblPrEx>
        <w:tc>
          <w:tcPr>
            <w:tcW w:w="8847" w:type="dxa"/>
            <w:gridSpan w:val="9"/>
            <w:vAlign w:val="center"/>
          </w:tcPr>
          <w:p w14:paraId="2EC25FE3">
            <w:pPr>
              <w:jc w:val="center"/>
            </w:pPr>
            <w:r>
              <w:rPr>
                <w:rFonts w:ascii="宋体" w:hAnsi="宋体" w:eastAsia="宋体"/>
                <w:sz w:val="24"/>
              </w:rPr>
              <w:t>项目支出绩效自评表</w:t>
            </w:r>
          </w:p>
        </w:tc>
      </w:tr>
      <w:tr w14:paraId="4312E959">
        <w:tblPrEx>
          <w:tblCellMar>
            <w:top w:w="0" w:type="dxa"/>
            <w:left w:w="108" w:type="dxa"/>
            <w:bottom w:w="0" w:type="dxa"/>
            <w:right w:w="108" w:type="dxa"/>
          </w:tblCellMar>
        </w:tblPrEx>
        <w:tc>
          <w:tcPr>
            <w:tcW w:w="8847" w:type="dxa"/>
            <w:gridSpan w:val="9"/>
            <w:vAlign w:val="center"/>
          </w:tcPr>
          <w:p w14:paraId="12E9E93E">
            <w:pPr>
              <w:jc w:val="center"/>
            </w:pPr>
            <w:r>
              <w:rPr>
                <w:rFonts w:ascii="宋体" w:hAnsi="宋体" w:eastAsia="宋体"/>
                <w:sz w:val="24"/>
              </w:rPr>
              <w:t>(2024年度)</w:t>
            </w:r>
          </w:p>
        </w:tc>
      </w:tr>
      <w:tr w14:paraId="08006E5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9DE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1146C0">
            <w:pPr>
              <w:jc w:val="center"/>
            </w:pPr>
            <w:r>
              <w:rPr>
                <w:rFonts w:ascii="宋体" w:hAnsi="宋体" w:eastAsia="宋体"/>
                <w:sz w:val="16"/>
              </w:rPr>
              <w:t>中央直达-和地财社</w:t>
            </w:r>
            <w:r>
              <w:rPr>
                <w:rFonts w:hint="eastAsia" w:ascii="宋体" w:hAnsi="宋体"/>
                <w:sz w:val="16"/>
                <w:lang w:eastAsia="zh-CN"/>
              </w:rPr>
              <w:t>〔2024〕14号</w:t>
            </w:r>
            <w:r>
              <w:rPr>
                <w:rFonts w:ascii="宋体" w:hAnsi="宋体" w:eastAsia="宋体"/>
                <w:sz w:val="16"/>
              </w:rPr>
              <w:t>：2024年中央医疗服务与保障能力提升[公立医院综合改革]补助资金</w:t>
            </w:r>
          </w:p>
        </w:tc>
      </w:tr>
      <w:tr w14:paraId="267E75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AE0C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E297DF">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4DF4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258919">
            <w:pPr>
              <w:jc w:val="center"/>
            </w:pPr>
            <w:r>
              <w:rPr>
                <w:rFonts w:ascii="宋体" w:hAnsi="宋体" w:eastAsia="宋体"/>
                <w:sz w:val="16"/>
              </w:rPr>
              <w:t>洛浦县妇幼保健院</w:t>
            </w:r>
          </w:p>
        </w:tc>
      </w:tr>
      <w:tr w14:paraId="1FBC08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52A6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ABE6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7832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F079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47DD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4D2A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ECB3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51425">
            <w:pPr>
              <w:jc w:val="center"/>
            </w:pPr>
            <w:r>
              <w:rPr>
                <w:rFonts w:ascii="宋体" w:hAnsi="宋体" w:eastAsia="宋体"/>
                <w:sz w:val="16"/>
              </w:rPr>
              <w:t>得分</w:t>
            </w:r>
          </w:p>
        </w:tc>
      </w:tr>
      <w:tr w14:paraId="6E4C08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1C6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9188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83740">
            <w:pPr>
              <w:jc w:val="center"/>
            </w:pPr>
            <w:r>
              <w:rPr>
                <w:rFonts w:ascii="宋体" w:hAnsi="宋体" w:eastAsia="宋体"/>
                <w:sz w:val="16"/>
              </w:rPr>
              <w: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D3510">
            <w:pPr>
              <w:jc w:val="center"/>
            </w:pPr>
            <w:r>
              <w:rPr>
                <w:rFonts w:ascii="宋体" w:hAnsi="宋体" w:eastAsia="宋体"/>
                <w:sz w:val="16"/>
              </w:rPr>
              <w: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C1720">
            <w:pPr>
              <w:jc w:val="center"/>
            </w:pPr>
            <w:r>
              <w:rPr>
                <w:rFonts w:ascii="宋体" w:hAnsi="宋体" w:eastAsia="宋体"/>
                <w:sz w:val="16"/>
              </w:rPr>
              <w: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0E2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3EBF7">
            <w:pPr>
              <w:jc w:val="center"/>
            </w:pPr>
            <w:r>
              <w:rPr>
                <w:rFonts w:ascii="宋体" w:hAnsi="宋体" w:eastAsia="宋体"/>
                <w:sz w:val="16"/>
              </w:rPr>
              <w:t>94.04%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9A92E">
            <w:pPr>
              <w:jc w:val="center"/>
            </w:pPr>
            <w:r>
              <w:rPr>
                <w:rFonts w:ascii="宋体" w:hAnsi="宋体" w:eastAsia="宋体"/>
                <w:sz w:val="16"/>
              </w:rPr>
              <w:t>9.85</w:t>
            </w:r>
          </w:p>
        </w:tc>
      </w:tr>
      <w:tr w14:paraId="4D20DE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43C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7895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04083">
            <w:pPr>
              <w:jc w:val="center"/>
            </w:pPr>
            <w:r>
              <w:rPr>
                <w:rFonts w:ascii="宋体" w:hAnsi="宋体" w:eastAsia="宋体"/>
                <w:sz w:val="16"/>
              </w:rPr>
              <w: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A42AC">
            <w:pPr>
              <w:jc w:val="center"/>
            </w:pPr>
            <w:r>
              <w:rPr>
                <w:rFonts w:ascii="宋体" w:hAnsi="宋体" w:eastAsia="宋体"/>
                <w:sz w:val="16"/>
              </w:rPr>
              <w: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9E57F">
            <w:pPr>
              <w:jc w:val="center"/>
            </w:pPr>
            <w:r>
              <w:rPr>
                <w:rFonts w:ascii="宋体" w:hAnsi="宋体" w:eastAsia="宋体"/>
                <w:sz w:val="16"/>
              </w:rPr>
              <w: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EEF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E2F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18CBF">
            <w:pPr>
              <w:jc w:val="center"/>
            </w:pPr>
            <w:r>
              <w:rPr>
                <w:rFonts w:ascii="宋体" w:hAnsi="宋体" w:eastAsia="宋体"/>
                <w:sz w:val="16"/>
              </w:rPr>
              <w:t>—</w:t>
            </w:r>
          </w:p>
        </w:tc>
      </w:tr>
      <w:tr w14:paraId="693E73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856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BAA1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B188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DC64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4C73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969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D4D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806E2">
            <w:pPr>
              <w:jc w:val="center"/>
            </w:pPr>
            <w:r>
              <w:rPr>
                <w:rFonts w:ascii="宋体" w:hAnsi="宋体" w:eastAsia="宋体"/>
                <w:sz w:val="16"/>
              </w:rPr>
              <w:t>—</w:t>
            </w:r>
          </w:p>
        </w:tc>
      </w:tr>
      <w:tr w14:paraId="579F6E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797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65BF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E616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C9AB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FB7C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4F1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C06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99302">
            <w:pPr>
              <w:jc w:val="center"/>
            </w:pPr>
            <w:r>
              <w:rPr>
                <w:rFonts w:ascii="宋体" w:hAnsi="宋体" w:eastAsia="宋体"/>
                <w:sz w:val="16"/>
              </w:rPr>
              <w:t>—</w:t>
            </w:r>
          </w:p>
        </w:tc>
      </w:tr>
      <w:tr w14:paraId="4E076C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1552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60C28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79F4E6">
            <w:pPr>
              <w:jc w:val="center"/>
            </w:pPr>
            <w:r>
              <w:rPr>
                <w:rFonts w:ascii="宋体" w:hAnsi="宋体" w:eastAsia="宋体"/>
                <w:sz w:val="16"/>
              </w:rPr>
              <w:t>实际完成情况</w:t>
            </w:r>
          </w:p>
        </w:tc>
      </w:tr>
      <w:tr w14:paraId="467C2A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05A7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FCEAA5">
            <w:pPr>
              <w:jc w:val="both"/>
            </w:pPr>
            <w:r>
              <w:rPr>
                <w:rFonts w:ascii="宋体" w:hAnsi="宋体" w:eastAsia="宋体"/>
                <w:sz w:val="16"/>
              </w:rPr>
              <w:t>根据中央直达-和地财社</w:t>
            </w:r>
            <w:r>
              <w:rPr>
                <w:rFonts w:hint="eastAsia" w:ascii="宋体" w:hAnsi="宋体"/>
                <w:sz w:val="16"/>
                <w:lang w:eastAsia="zh-CN"/>
              </w:rPr>
              <w:t>〔2024〕14号</w:t>
            </w:r>
            <w:r>
              <w:rPr>
                <w:rFonts w:ascii="宋体" w:hAnsi="宋体" w:eastAsia="宋体"/>
                <w:sz w:val="16"/>
              </w:rPr>
              <w:t>：2024年中央医疗服务与保障能力提升[公立医院综合改革]补助资金，主要实施内容为：2024年度为进一步强化全县妇幼保健机构服务能力，改善妇幼保健机构硬件条件，保障全县母婴安全、提高业务服务能力，提升我院临床科室规范化建设，优化服务质量、扩大技术服务范围、促进孕产妇与儿童医疗保健工作质量，切实保证母婴安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93F200">
            <w:pPr>
              <w:jc w:val="both"/>
            </w:pPr>
            <w:r>
              <w:rPr>
                <w:rFonts w:ascii="宋体" w:hAnsi="宋体" w:eastAsia="宋体"/>
                <w:sz w:val="16"/>
              </w:rPr>
              <w:t>根据中央直达-和地财社</w:t>
            </w:r>
            <w:r>
              <w:rPr>
                <w:rFonts w:hint="eastAsia" w:ascii="宋体" w:hAnsi="宋体"/>
                <w:sz w:val="16"/>
                <w:lang w:eastAsia="zh-CN"/>
              </w:rPr>
              <w:t>〔2024〕14号</w:t>
            </w:r>
            <w:r>
              <w:rPr>
                <w:rFonts w:ascii="宋体" w:hAnsi="宋体" w:eastAsia="宋体"/>
                <w:sz w:val="16"/>
              </w:rPr>
              <w:t>：2024年中央医疗服务与保障能力提升[公立医院综合改革]补助资金，主要实施内容为：2024年度为进一步强化全县妇幼保健机构服务能力，改善妇幼保健机构硬件条件，保障全县母婴安全、提高业务服务能力，提升我院临床科室规范化建设，优化服务质量、扩大技术服务范围、促进孕产妇与儿童医疗保健工作质量，切实保证母婴安全。</w:t>
            </w:r>
          </w:p>
        </w:tc>
      </w:tr>
      <w:tr w14:paraId="6D590F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E844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4E8B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1A7A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B8B7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D6D2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1020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E8B1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C418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3038">
            <w:pPr>
              <w:jc w:val="center"/>
            </w:pPr>
            <w:r>
              <w:rPr>
                <w:rFonts w:ascii="宋体" w:hAnsi="宋体" w:eastAsia="宋体"/>
                <w:sz w:val="16"/>
              </w:rPr>
              <w:t>偏差原因分析及改进措施</w:t>
            </w:r>
          </w:p>
        </w:tc>
      </w:tr>
      <w:tr w14:paraId="154B4B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A0D8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82B3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966E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AA520">
            <w:pPr>
              <w:jc w:val="center"/>
            </w:pPr>
            <w:r>
              <w:rPr>
                <w:rFonts w:ascii="宋体" w:hAnsi="宋体" w:eastAsia="宋体"/>
                <w:sz w:val="16"/>
              </w:rPr>
              <w:t>采购信息化工程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7B55F">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BDB99">
            <w:pPr>
              <w:jc w:val="center"/>
            </w:pPr>
            <w:r>
              <w:rPr>
                <w:rFonts w:ascii="宋体" w:hAnsi="宋体" w:eastAsia="宋体"/>
                <w:sz w:val="16"/>
              </w:rPr>
              <w:t>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0A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5E8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73983">
            <w:pPr>
              <w:jc w:val="center"/>
            </w:pPr>
          </w:p>
        </w:tc>
      </w:tr>
      <w:tr w14:paraId="61A4A7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B7C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602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D3BF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9FE0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012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FA0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128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4BD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FEF8F">
            <w:pPr>
              <w:jc w:val="center"/>
            </w:pPr>
          </w:p>
        </w:tc>
      </w:tr>
      <w:tr w14:paraId="3D74E1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C0D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652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BB18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864B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87F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020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C50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AA2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18FD5">
            <w:pPr>
              <w:jc w:val="center"/>
            </w:pPr>
          </w:p>
        </w:tc>
      </w:tr>
      <w:tr w14:paraId="0544A2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017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ED1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F71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6963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45A6F">
            <w:pPr>
              <w:jc w:val="center"/>
            </w:pPr>
            <w:r>
              <w:rPr>
                <w:rFonts w:ascii="宋体" w:hAnsi="宋体" w:eastAsia="宋体"/>
                <w:sz w:val="16"/>
              </w:rPr>
              <w:t>2025年6月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64D85">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ACF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F00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9091E">
            <w:pPr>
              <w:jc w:val="center"/>
            </w:pPr>
          </w:p>
        </w:tc>
      </w:tr>
      <w:tr w14:paraId="23751D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015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1F2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5D06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62DA4">
            <w:pPr>
              <w:jc w:val="center"/>
            </w:pPr>
            <w:r>
              <w:rPr>
                <w:rFonts w:ascii="宋体" w:hAnsi="宋体" w:eastAsia="宋体"/>
                <w:sz w:val="16"/>
              </w:rPr>
              <w:t>采购信息化工程成本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2193E">
            <w:pPr>
              <w:jc w:val="center"/>
            </w:pPr>
            <w:r>
              <w:rPr>
                <w:rFonts w:ascii="宋体" w:hAnsi="宋体" w:eastAsia="宋体"/>
                <w:sz w:val="16"/>
              </w:rPr>
              <w:t>≤12.5万元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2BA20">
            <w:pPr>
              <w:jc w:val="center"/>
            </w:pPr>
            <w:r>
              <w:rPr>
                <w:rFonts w:ascii="宋体" w:hAnsi="宋体" w:eastAsia="宋体"/>
                <w:sz w:val="16"/>
              </w:rPr>
              <w:t>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082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662D5">
            <w:pPr>
              <w:jc w:val="center"/>
            </w:pPr>
            <w:r>
              <w:rPr>
                <w:rFonts w:ascii="宋体" w:hAnsi="宋体" w:eastAsia="宋体"/>
                <w:sz w:val="16"/>
              </w:rPr>
              <w:t>19.85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577CE">
            <w:pPr>
              <w:jc w:val="center"/>
            </w:pPr>
          </w:p>
        </w:tc>
      </w:tr>
      <w:tr w14:paraId="0044D8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9DE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2AB8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F2BC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A0AEC">
            <w:pPr>
              <w:jc w:val="center"/>
            </w:pPr>
            <w:r>
              <w:rPr>
                <w:rFonts w:ascii="宋体" w:hAnsi="宋体" w:eastAsia="宋体"/>
                <w:sz w:val="16"/>
              </w:rPr>
              <w:t>提升全县孕产妇健康水平，保证母婴安全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2CCD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CA0E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78B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A3B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BDE5A">
            <w:pPr>
              <w:jc w:val="center"/>
            </w:pPr>
          </w:p>
        </w:tc>
      </w:tr>
      <w:tr w14:paraId="07129F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F4E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BC84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BEAF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910C8">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321B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348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B8E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109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630AF">
            <w:pPr>
              <w:jc w:val="center"/>
            </w:pPr>
          </w:p>
        </w:tc>
      </w:tr>
      <w:tr w14:paraId="2252D35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5B46E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4016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058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F69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9613012"/>
        </w:tc>
      </w:tr>
    </w:tbl>
    <w:p w14:paraId="6E164F6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3FDAB5">
        <w:tblPrEx>
          <w:tblCellMar>
            <w:top w:w="0" w:type="dxa"/>
            <w:left w:w="108" w:type="dxa"/>
            <w:bottom w:w="0" w:type="dxa"/>
            <w:right w:w="108" w:type="dxa"/>
          </w:tblCellMar>
        </w:tblPrEx>
        <w:tc>
          <w:tcPr>
            <w:tcW w:w="8847" w:type="dxa"/>
            <w:gridSpan w:val="9"/>
            <w:vAlign w:val="center"/>
          </w:tcPr>
          <w:p w14:paraId="7B7A97F6">
            <w:pPr>
              <w:jc w:val="center"/>
            </w:pPr>
            <w:r>
              <w:rPr>
                <w:rFonts w:ascii="宋体" w:hAnsi="宋体" w:eastAsia="宋体"/>
                <w:sz w:val="24"/>
              </w:rPr>
              <w:t>项目支出绩效自评表</w:t>
            </w:r>
          </w:p>
        </w:tc>
      </w:tr>
      <w:tr w14:paraId="439A9B98">
        <w:tblPrEx>
          <w:tblCellMar>
            <w:top w:w="0" w:type="dxa"/>
            <w:left w:w="108" w:type="dxa"/>
            <w:bottom w:w="0" w:type="dxa"/>
            <w:right w:w="108" w:type="dxa"/>
          </w:tblCellMar>
        </w:tblPrEx>
        <w:tc>
          <w:tcPr>
            <w:tcW w:w="8847" w:type="dxa"/>
            <w:gridSpan w:val="9"/>
            <w:vAlign w:val="center"/>
          </w:tcPr>
          <w:p w14:paraId="13934200">
            <w:pPr>
              <w:jc w:val="center"/>
            </w:pPr>
            <w:r>
              <w:rPr>
                <w:rFonts w:ascii="宋体" w:hAnsi="宋体" w:eastAsia="宋体"/>
                <w:sz w:val="24"/>
              </w:rPr>
              <w:t>(2024年度)</w:t>
            </w:r>
          </w:p>
        </w:tc>
      </w:tr>
      <w:tr w14:paraId="649C7F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29BD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43A566">
            <w:pPr>
              <w:jc w:val="center"/>
            </w:pPr>
            <w:r>
              <w:rPr>
                <w:rFonts w:ascii="宋体" w:hAnsi="宋体" w:eastAsia="宋体"/>
                <w:sz w:val="16"/>
              </w:rPr>
              <w:t>木开代斯·斯拉吉，阿力普·艾萨房改房退款</w:t>
            </w:r>
          </w:p>
        </w:tc>
      </w:tr>
      <w:tr w14:paraId="13EA1E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BBCD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40D770">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F054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3C13BD">
            <w:pPr>
              <w:jc w:val="center"/>
            </w:pPr>
            <w:r>
              <w:rPr>
                <w:rFonts w:ascii="宋体" w:hAnsi="宋体" w:eastAsia="宋体"/>
                <w:sz w:val="16"/>
              </w:rPr>
              <w:t>洛浦县妇幼保健院</w:t>
            </w:r>
          </w:p>
        </w:tc>
      </w:tr>
      <w:tr w14:paraId="70BA6F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1A4F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775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5A5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D941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5182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28F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02E0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005E3">
            <w:pPr>
              <w:jc w:val="center"/>
            </w:pPr>
            <w:r>
              <w:rPr>
                <w:rFonts w:ascii="宋体" w:hAnsi="宋体" w:eastAsia="宋体"/>
                <w:sz w:val="16"/>
              </w:rPr>
              <w:t>得分</w:t>
            </w:r>
          </w:p>
        </w:tc>
      </w:tr>
      <w:tr w14:paraId="70A0AF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94A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C158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4CD3E">
            <w:pPr>
              <w:jc w:val="center"/>
            </w:pPr>
            <w:r>
              <w:rPr>
                <w:rFonts w:ascii="宋体" w:hAnsi="宋体" w:eastAsia="宋体"/>
                <w:sz w:val="16"/>
              </w:rPr>
              <w:t>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26318">
            <w:pPr>
              <w:jc w:val="center"/>
            </w:pPr>
            <w:r>
              <w:rPr>
                <w:rFonts w:ascii="宋体" w:hAnsi="宋体" w:eastAsia="宋体"/>
                <w:sz w:val="16"/>
              </w:rPr>
              <w:t>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C7F32">
            <w:pPr>
              <w:jc w:val="center"/>
            </w:pPr>
            <w:r>
              <w:rPr>
                <w:rFonts w:ascii="宋体" w:hAnsi="宋体" w:eastAsia="宋体"/>
                <w:sz w:val="16"/>
              </w:rPr>
              <w:t>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E71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C45E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80D39">
            <w:pPr>
              <w:jc w:val="center"/>
            </w:pPr>
            <w:r>
              <w:rPr>
                <w:rFonts w:ascii="宋体" w:hAnsi="宋体" w:eastAsia="宋体"/>
                <w:sz w:val="16"/>
              </w:rPr>
              <w:t>10.00</w:t>
            </w:r>
          </w:p>
        </w:tc>
      </w:tr>
      <w:tr w14:paraId="356238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751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69DB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84C9A">
            <w:pPr>
              <w:jc w:val="center"/>
            </w:pPr>
            <w:r>
              <w:rPr>
                <w:rFonts w:ascii="宋体" w:hAnsi="宋体" w:eastAsia="宋体"/>
                <w:sz w:val="16"/>
              </w:rPr>
              <w:t>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3EFD0">
            <w:pPr>
              <w:jc w:val="center"/>
            </w:pPr>
            <w:r>
              <w:rPr>
                <w:rFonts w:ascii="宋体" w:hAnsi="宋体" w:eastAsia="宋体"/>
                <w:sz w:val="16"/>
              </w:rPr>
              <w:t>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623E4">
            <w:pPr>
              <w:jc w:val="center"/>
            </w:pPr>
            <w:r>
              <w:rPr>
                <w:rFonts w:ascii="宋体" w:hAnsi="宋体" w:eastAsia="宋体"/>
                <w:sz w:val="16"/>
              </w:rPr>
              <w:t>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5C5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29E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BED11">
            <w:pPr>
              <w:jc w:val="center"/>
            </w:pPr>
            <w:r>
              <w:rPr>
                <w:rFonts w:ascii="宋体" w:hAnsi="宋体" w:eastAsia="宋体"/>
                <w:sz w:val="16"/>
              </w:rPr>
              <w:t>—</w:t>
            </w:r>
          </w:p>
        </w:tc>
      </w:tr>
      <w:tr w14:paraId="197CE5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C6A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74DC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01A7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FFC9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B470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0C7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62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1358E">
            <w:pPr>
              <w:jc w:val="center"/>
            </w:pPr>
            <w:r>
              <w:rPr>
                <w:rFonts w:ascii="宋体" w:hAnsi="宋体" w:eastAsia="宋体"/>
                <w:sz w:val="16"/>
              </w:rPr>
              <w:t>—</w:t>
            </w:r>
          </w:p>
        </w:tc>
      </w:tr>
      <w:tr w14:paraId="56CA5F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0A9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437C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229F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9F5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E78B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E00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AEC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D28E9">
            <w:pPr>
              <w:jc w:val="center"/>
            </w:pPr>
            <w:r>
              <w:rPr>
                <w:rFonts w:ascii="宋体" w:hAnsi="宋体" w:eastAsia="宋体"/>
                <w:sz w:val="16"/>
              </w:rPr>
              <w:t>—</w:t>
            </w:r>
          </w:p>
        </w:tc>
      </w:tr>
      <w:tr w14:paraId="3611DA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4FFF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C1360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0DE9CF">
            <w:pPr>
              <w:jc w:val="center"/>
            </w:pPr>
            <w:r>
              <w:rPr>
                <w:rFonts w:ascii="宋体" w:hAnsi="宋体" w:eastAsia="宋体"/>
                <w:sz w:val="16"/>
              </w:rPr>
              <w:t>实际完成情况</w:t>
            </w:r>
          </w:p>
        </w:tc>
      </w:tr>
      <w:tr w14:paraId="0BCCDE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1AB7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CE3CF3">
            <w:pPr>
              <w:jc w:val="both"/>
            </w:pPr>
            <w:r>
              <w:rPr>
                <w:rFonts w:ascii="宋体" w:hAnsi="宋体" w:eastAsia="宋体"/>
                <w:sz w:val="16"/>
              </w:rPr>
              <w:t>根据关于洛财纪字</w:t>
            </w:r>
            <w:r>
              <w:rPr>
                <w:rFonts w:hint="eastAsia" w:ascii="宋体" w:hAnsi="宋体"/>
                <w:sz w:val="16"/>
                <w:lang w:eastAsia="zh-CN"/>
              </w:rPr>
              <w:t>〔2024〕5号</w:t>
            </w:r>
            <w:r>
              <w:rPr>
                <w:rFonts w:ascii="宋体" w:hAnsi="宋体" w:eastAsia="宋体"/>
                <w:sz w:val="16"/>
              </w:rPr>
              <w:t>，对木开代斯·斯拉吉，阿力普·艾萨房进行改房退款，退款金额为5.57万元。通过实施本项目，保障退休人员正常住房。</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FC182C">
            <w:pPr>
              <w:jc w:val="both"/>
            </w:pPr>
            <w:r>
              <w:rPr>
                <w:rFonts w:hint="eastAsia" w:ascii="宋体" w:hAnsi="宋体"/>
                <w:sz w:val="16"/>
                <w:lang w:eastAsia="zh-CN"/>
              </w:rPr>
              <w:t>截至</w:t>
            </w:r>
            <w:r>
              <w:rPr>
                <w:rFonts w:ascii="宋体" w:hAnsi="宋体" w:eastAsia="宋体"/>
                <w:sz w:val="16"/>
              </w:rPr>
              <w:t>2024年12月31日，已完成对木开代斯·斯拉吉，阿力普·艾萨房进行改房退款，退款金额为5.57万元。通过实施本项目，保障退休人员正常住房。</w:t>
            </w:r>
          </w:p>
        </w:tc>
      </w:tr>
      <w:tr w14:paraId="451F92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0AB7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DA20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0F7C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53A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0CC9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5603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58D4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653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EAC71">
            <w:pPr>
              <w:jc w:val="center"/>
            </w:pPr>
            <w:r>
              <w:rPr>
                <w:rFonts w:ascii="宋体" w:hAnsi="宋体" w:eastAsia="宋体"/>
                <w:sz w:val="16"/>
              </w:rPr>
              <w:t>偏差原因分析及改进措施</w:t>
            </w:r>
          </w:p>
        </w:tc>
      </w:tr>
      <w:tr w14:paraId="7FB831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BF23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F7DA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E369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BEB5A">
            <w:pPr>
              <w:jc w:val="center"/>
            </w:pPr>
            <w:r>
              <w:rPr>
                <w:rFonts w:ascii="宋体" w:hAnsi="宋体" w:eastAsia="宋体"/>
                <w:sz w:val="16"/>
              </w:rPr>
              <w:t>保障人员数量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9543F">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74F8B">
            <w:pPr>
              <w:jc w:val="center"/>
            </w:pPr>
            <w:r>
              <w:rPr>
                <w:rFonts w:ascii="宋体" w:hAnsi="宋体" w:eastAsia="宋体"/>
                <w:sz w:val="16"/>
              </w:rPr>
              <w:t>5.57万元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8B6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D51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738C8">
            <w:pPr>
              <w:jc w:val="center"/>
            </w:pPr>
          </w:p>
        </w:tc>
      </w:tr>
      <w:tr w14:paraId="04491D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274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893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69DB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4B99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520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541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34D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0B4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F6D6E">
            <w:pPr>
              <w:jc w:val="center"/>
            </w:pPr>
          </w:p>
        </w:tc>
      </w:tr>
      <w:tr w14:paraId="36B046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829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9502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A531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7F6B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34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B7C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46B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D9D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89356">
            <w:pPr>
              <w:jc w:val="center"/>
            </w:pPr>
          </w:p>
        </w:tc>
      </w:tr>
      <w:tr w14:paraId="1E964A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2AA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898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CDA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AB5A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DB050">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4EE6D">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F6C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31F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2C6F7">
            <w:pPr>
              <w:jc w:val="center"/>
            </w:pPr>
          </w:p>
        </w:tc>
      </w:tr>
      <w:tr w14:paraId="1D7046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3B3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CA78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8944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D95C3">
            <w:pPr>
              <w:jc w:val="center"/>
            </w:pPr>
            <w:r>
              <w:rPr>
                <w:rFonts w:ascii="宋体" w:hAnsi="宋体" w:eastAsia="宋体"/>
                <w:sz w:val="16"/>
              </w:rPr>
              <w:t>房退改金额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F1370">
            <w:pPr>
              <w:jc w:val="center"/>
            </w:pPr>
            <w:r>
              <w:rPr>
                <w:rFonts w:ascii="宋体" w:hAnsi="宋体" w:eastAsia="宋体"/>
                <w:sz w:val="16"/>
              </w:rPr>
              <w:t>≤5.57万元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40CB">
            <w:pPr>
              <w:jc w:val="center"/>
            </w:pPr>
            <w:r>
              <w:rPr>
                <w:rFonts w:ascii="宋体" w:hAnsi="宋体" w:eastAsia="宋体"/>
                <w:sz w:val="16"/>
              </w:rPr>
              <w:t>5.57万元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0C8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F7C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A526A">
            <w:pPr>
              <w:jc w:val="center"/>
            </w:pPr>
          </w:p>
        </w:tc>
      </w:tr>
      <w:tr w14:paraId="149437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2AC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2883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E820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EF019">
            <w:pPr>
              <w:jc w:val="center"/>
            </w:pPr>
            <w:r>
              <w:rPr>
                <w:rFonts w:ascii="宋体" w:hAnsi="宋体" w:eastAsia="宋体"/>
                <w:sz w:val="16"/>
              </w:rPr>
              <w:t>保障退休人员正常住房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DF9F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1DAD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13B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017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55840">
            <w:pPr>
              <w:jc w:val="center"/>
            </w:pPr>
          </w:p>
        </w:tc>
      </w:tr>
      <w:tr w14:paraId="14A813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533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8EA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4AC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FE85E">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C6BE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550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3C5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556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349C9">
            <w:pPr>
              <w:jc w:val="center"/>
            </w:pPr>
          </w:p>
        </w:tc>
      </w:tr>
      <w:tr w14:paraId="7AC5D2B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4A67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596A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CDA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8C9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E0BB74"/>
        </w:tc>
      </w:tr>
    </w:tbl>
    <w:p w14:paraId="2502FA06">
      <w:r>
        <w:br w:type="page"/>
      </w:r>
    </w:p>
    <w:p w14:paraId="7C960332">
      <w:pPr>
        <w:spacing w:line="640" w:lineRule="exact"/>
        <w:ind w:firstLine="640"/>
        <w:jc w:val="both"/>
        <w:outlineLvl w:val="2"/>
      </w:pPr>
      <w:r>
        <w:rPr>
          <w:rFonts w:ascii="黑体" w:hAnsi="黑体" w:eastAsia="黑体"/>
          <w:sz w:val="32"/>
        </w:rPr>
        <w:t>十二、其他需说明的事项</w:t>
      </w:r>
    </w:p>
    <w:p w14:paraId="0BF15CEA">
      <w:pPr>
        <w:spacing w:line="580" w:lineRule="exact"/>
        <w:ind w:firstLine="640"/>
        <w:jc w:val="both"/>
      </w:pPr>
      <w:r>
        <w:rPr>
          <w:rFonts w:ascii="仿宋_GB2312" w:hAnsi="仿宋_GB2312" w:eastAsia="仿宋_GB2312"/>
          <w:b w:val="0"/>
          <w:sz w:val="32"/>
        </w:rPr>
        <w:t>本年本单位SM项目1个，全年预算数10.6万元，全年执行数10.6万元。</w:t>
      </w:r>
    </w:p>
    <w:p w14:paraId="02EAE1D9">
      <w:r>
        <w:br w:type="page"/>
      </w:r>
    </w:p>
    <w:p w14:paraId="5F43BFFE">
      <w:pPr>
        <w:spacing w:line="240" w:lineRule="auto"/>
        <w:jc w:val="center"/>
        <w:outlineLvl w:val="1"/>
      </w:pPr>
      <w:r>
        <w:rPr>
          <w:rFonts w:ascii="黑体" w:hAnsi="黑体" w:eastAsia="黑体"/>
          <w:sz w:val="32"/>
        </w:rPr>
        <w:t>第三部分 专业名词解释</w:t>
      </w:r>
    </w:p>
    <w:p w14:paraId="16297E3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2217D5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304D3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146F58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C2CC7A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2F16A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FC6DC2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70B518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1F608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DD7540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089FE0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EF096D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F71CD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BBF9F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2D85EB">
      <w:r>
        <w:br w:type="page"/>
      </w:r>
    </w:p>
    <w:p w14:paraId="376E14E7">
      <w:pPr>
        <w:spacing w:line="240" w:lineRule="auto"/>
        <w:jc w:val="center"/>
        <w:outlineLvl w:val="1"/>
      </w:pPr>
      <w:r>
        <w:rPr>
          <w:rFonts w:ascii="黑体" w:hAnsi="黑体" w:eastAsia="黑体"/>
          <w:sz w:val="32"/>
        </w:rPr>
        <w:t>第四部分 部门决算报表（见附表）</w:t>
      </w:r>
    </w:p>
    <w:p w14:paraId="61CB4550">
      <w:pPr>
        <w:spacing w:line="240" w:lineRule="auto"/>
        <w:ind w:firstLine="640"/>
        <w:jc w:val="both"/>
      </w:pPr>
      <w:r>
        <w:rPr>
          <w:rFonts w:ascii="仿宋_GB2312" w:hAnsi="仿宋_GB2312" w:eastAsia="仿宋_GB2312"/>
          <w:b w:val="0"/>
          <w:sz w:val="32"/>
        </w:rPr>
        <w:t>一、《收入支出决算总表》</w:t>
      </w:r>
    </w:p>
    <w:p w14:paraId="7950BA20">
      <w:pPr>
        <w:spacing w:line="240" w:lineRule="auto"/>
        <w:ind w:firstLine="640"/>
        <w:jc w:val="both"/>
      </w:pPr>
      <w:r>
        <w:rPr>
          <w:rFonts w:ascii="仿宋_GB2312" w:hAnsi="仿宋_GB2312" w:eastAsia="仿宋_GB2312"/>
          <w:b w:val="0"/>
          <w:sz w:val="32"/>
        </w:rPr>
        <w:t>二、《收入决算表》</w:t>
      </w:r>
    </w:p>
    <w:p w14:paraId="7F68C4E1">
      <w:pPr>
        <w:spacing w:line="240" w:lineRule="auto"/>
        <w:ind w:firstLine="640"/>
        <w:jc w:val="both"/>
      </w:pPr>
      <w:r>
        <w:rPr>
          <w:rFonts w:ascii="仿宋_GB2312" w:hAnsi="仿宋_GB2312" w:eastAsia="仿宋_GB2312"/>
          <w:b w:val="0"/>
          <w:sz w:val="32"/>
        </w:rPr>
        <w:t>三、《支出决算表》</w:t>
      </w:r>
    </w:p>
    <w:p w14:paraId="2A1AF0D3">
      <w:pPr>
        <w:spacing w:line="240" w:lineRule="auto"/>
        <w:ind w:firstLine="640"/>
        <w:jc w:val="both"/>
      </w:pPr>
      <w:r>
        <w:rPr>
          <w:rFonts w:ascii="仿宋_GB2312" w:hAnsi="仿宋_GB2312" w:eastAsia="仿宋_GB2312"/>
          <w:b w:val="0"/>
          <w:sz w:val="32"/>
        </w:rPr>
        <w:t>四、《财政拨款收入支出决算总表》</w:t>
      </w:r>
    </w:p>
    <w:p w14:paraId="2F96B4DE">
      <w:pPr>
        <w:spacing w:line="240" w:lineRule="auto"/>
        <w:ind w:firstLine="640"/>
        <w:jc w:val="both"/>
      </w:pPr>
      <w:r>
        <w:rPr>
          <w:rFonts w:ascii="仿宋_GB2312" w:hAnsi="仿宋_GB2312" w:eastAsia="仿宋_GB2312"/>
          <w:b w:val="0"/>
          <w:sz w:val="32"/>
        </w:rPr>
        <w:t>五、《一般公共预算财政拨款支出决算表》</w:t>
      </w:r>
    </w:p>
    <w:p w14:paraId="159B988E">
      <w:pPr>
        <w:spacing w:line="240" w:lineRule="auto"/>
        <w:ind w:firstLine="640"/>
        <w:jc w:val="both"/>
      </w:pPr>
      <w:r>
        <w:rPr>
          <w:rFonts w:ascii="仿宋_GB2312" w:hAnsi="仿宋_GB2312" w:eastAsia="仿宋_GB2312"/>
          <w:b w:val="0"/>
          <w:sz w:val="32"/>
        </w:rPr>
        <w:t>六、《一般公共预算财政拨款基本支出决算表》</w:t>
      </w:r>
    </w:p>
    <w:p w14:paraId="6C1459FB">
      <w:pPr>
        <w:spacing w:line="240" w:lineRule="auto"/>
        <w:ind w:firstLine="640"/>
        <w:jc w:val="both"/>
      </w:pPr>
      <w:r>
        <w:rPr>
          <w:rFonts w:ascii="仿宋_GB2312" w:hAnsi="仿宋_GB2312" w:eastAsia="仿宋_GB2312"/>
          <w:b w:val="0"/>
          <w:sz w:val="32"/>
        </w:rPr>
        <w:t>七、《政府性基金预算财政拨款收入支出决算表》</w:t>
      </w:r>
    </w:p>
    <w:p w14:paraId="23159BDA">
      <w:pPr>
        <w:spacing w:line="240" w:lineRule="auto"/>
        <w:ind w:firstLine="640"/>
        <w:jc w:val="both"/>
      </w:pPr>
      <w:r>
        <w:rPr>
          <w:rFonts w:ascii="仿宋_GB2312" w:hAnsi="仿宋_GB2312" w:eastAsia="仿宋_GB2312"/>
          <w:b w:val="0"/>
          <w:sz w:val="32"/>
        </w:rPr>
        <w:t>八、《国有资本经营预算财政拨款收入支出决算表》</w:t>
      </w:r>
    </w:p>
    <w:p w14:paraId="68C91AC5">
      <w:pPr>
        <w:spacing w:line="240" w:lineRule="auto"/>
        <w:ind w:firstLine="640"/>
        <w:jc w:val="both"/>
      </w:pPr>
      <w:r>
        <w:rPr>
          <w:rFonts w:ascii="仿宋_GB2312" w:hAnsi="仿宋_GB2312" w:eastAsia="仿宋_GB2312"/>
          <w:b w:val="0"/>
          <w:sz w:val="32"/>
        </w:rPr>
        <w:t>九、《财政拨款“三公”经费支出决算表》</w:t>
      </w:r>
    </w:p>
    <w:p w14:paraId="172784F1">
      <w:pPr>
        <w:spacing w:line="240" w:lineRule="auto"/>
        <w:ind w:firstLine="640"/>
        <w:jc w:val="both"/>
      </w:pPr>
    </w:p>
    <w:p w14:paraId="28856B40">
      <w:pPr>
        <w:spacing w:line="240" w:lineRule="auto"/>
        <w:ind w:firstLine="640"/>
        <w:jc w:val="both"/>
      </w:pPr>
    </w:p>
    <w:p w14:paraId="7CF8F9D1">
      <w:pPr>
        <w:spacing w:line="240" w:lineRule="auto"/>
        <w:ind w:firstLine="640"/>
        <w:jc w:val="both"/>
      </w:pPr>
    </w:p>
    <w:p w14:paraId="3A7978E2">
      <w:pPr>
        <w:spacing w:line="240" w:lineRule="auto"/>
        <w:ind w:firstLine="640"/>
        <w:jc w:val="both"/>
      </w:pPr>
    </w:p>
    <w:p w14:paraId="73FF752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01466B-BC16-4F61-AF81-D13A55B2FE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0178650-BCE8-4E90-A92C-99BD30970D9E}"/>
  </w:font>
  <w:font w:name="仿宋_GB2312">
    <w:panose1 w:val="02010609030101010101"/>
    <w:charset w:val="86"/>
    <w:family w:val="modern"/>
    <w:pitch w:val="default"/>
    <w:sig w:usb0="00000001" w:usb1="080E0000" w:usb2="00000000" w:usb3="00000000" w:csb0="00040000" w:csb1="00000000"/>
    <w:embedRegular r:id="rId3" w:fontKey="{819A1E0F-A1FE-447C-87A5-F3D6E2889D55}"/>
  </w:font>
  <w:font w:name="楷体_GB2312">
    <w:panose1 w:val="02010609030101010101"/>
    <w:charset w:val="86"/>
    <w:family w:val="auto"/>
    <w:pitch w:val="default"/>
    <w:sig w:usb0="00000001" w:usb1="080E0000" w:usb2="00000000" w:usb3="00000000" w:csb0="00040000" w:csb1="00000000"/>
    <w:embedRegular r:id="rId4" w:fontKey="{4E85FDF9-D93E-4428-B278-D82151962DF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E16D01"/>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A5561B"/>
    <w:rsid w:val="40834692"/>
    <w:rsid w:val="41597EF3"/>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FF5F4A"/>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6C09B6"/>
    <w:rsid w:val="6E801ABC"/>
    <w:rsid w:val="71473612"/>
    <w:rsid w:val="718F7F65"/>
    <w:rsid w:val="71C55CE3"/>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3348</Words>
  <Characters>3863</Characters>
  <Lines>0</Lines>
  <Paragraphs>0</Paragraphs>
  <TotalTime>6</TotalTime>
  <ScaleCrop>false</ScaleCrop>
  <LinksUpToDate>false</LinksUpToDate>
  <CharactersWithSpaces>3871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2025-09-17T07:42:52Z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