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BC6C4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洛浦县多鲁镇中心小学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94D3CB">
      <w:r>
        <w:br w:type="page"/>
      </w:r>
    </w:p>
    <w:p w14:paraId="5BE1E8E6">
      <w:pPr>
        <w:spacing w:line="640" w:lineRule="exact"/>
        <w:jc w:val="center"/>
        <w:outlineLvl w:val="1"/>
      </w:pPr>
      <w:r>
        <w:rPr>
          <w:rFonts w:ascii="黑体" w:hAnsi="黑体" w:eastAsia="黑体"/>
          <w:sz w:val="32"/>
        </w:rPr>
        <w:t>第一部分 单位概况</w:t>
      </w:r>
    </w:p>
    <w:p w14:paraId="0A5EEC4E">
      <w:pPr>
        <w:spacing w:line="640" w:lineRule="exact"/>
        <w:ind w:firstLine="640"/>
        <w:jc w:val="both"/>
        <w:outlineLvl w:val="2"/>
      </w:pPr>
      <w:r>
        <w:rPr>
          <w:rFonts w:ascii="黑体" w:hAnsi="黑体" w:eastAsia="黑体"/>
          <w:sz w:val="32"/>
        </w:rPr>
        <w:t>一、主要职能</w:t>
      </w:r>
    </w:p>
    <w:p w14:paraId="6231E58E">
      <w:pPr>
        <w:spacing w:line="580" w:lineRule="exact"/>
        <w:ind w:firstLine="640"/>
        <w:jc w:val="both"/>
      </w:pPr>
      <w:r>
        <w:rPr>
          <w:rFonts w:ascii="仿宋_GB2312" w:hAnsi="仿宋_GB2312" w:eastAsia="仿宋_GB2312"/>
          <w:sz w:val="32"/>
        </w:rPr>
        <w:t>洛浦县多鲁镇中心小学的主要职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3E941418">
      <w:pPr>
        <w:spacing w:line="640" w:lineRule="exact"/>
        <w:ind w:firstLine="640"/>
        <w:jc w:val="both"/>
        <w:outlineLvl w:val="2"/>
      </w:pPr>
      <w:r>
        <w:rPr>
          <w:rFonts w:ascii="黑体" w:hAnsi="黑体" w:eastAsia="黑体"/>
          <w:sz w:val="32"/>
        </w:rPr>
        <w:t>二、机构设置及人员情况</w:t>
      </w:r>
    </w:p>
    <w:p w14:paraId="4D04D54D">
      <w:pPr>
        <w:spacing w:line="580" w:lineRule="exact"/>
        <w:ind w:firstLine="640"/>
        <w:jc w:val="both"/>
      </w:pPr>
      <w:r>
        <w:rPr>
          <w:rFonts w:ascii="仿宋_GB2312" w:hAnsi="仿宋_GB2312" w:eastAsia="仿宋_GB2312"/>
          <w:sz w:val="32"/>
        </w:rPr>
        <w:t>洛浦县多鲁镇中心小学2024年度，实有人数719人，其中：在职人员614人，减少7人；离休人员0人，增加0人；退休人员105人,减少3人。</w:t>
      </w:r>
    </w:p>
    <w:p w14:paraId="07294977">
      <w:pPr>
        <w:spacing w:line="580" w:lineRule="exact"/>
        <w:ind w:firstLine="640"/>
        <w:jc w:val="both"/>
      </w:pPr>
      <w:r>
        <w:rPr>
          <w:rFonts w:ascii="仿宋_GB2312" w:hAnsi="仿宋_GB2312" w:eastAsia="仿宋_GB2312"/>
          <w:sz w:val="32"/>
        </w:rPr>
        <w:t>洛浦县多鲁镇中心小学无下属预算单位，下设5个科室，分别是：行政办公室、教研室、德育办、后勤办、财务室。</w:t>
      </w:r>
    </w:p>
    <w:p w14:paraId="5C1AC441">
      <w:r>
        <w:br w:type="page"/>
      </w:r>
    </w:p>
    <w:p w14:paraId="7321092B">
      <w:pPr>
        <w:spacing w:line="240" w:lineRule="auto"/>
        <w:jc w:val="center"/>
        <w:outlineLvl w:val="1"/>
      </w:pPr>
      <w:r>
        <w:rPr>
          <w:rFonts w:ascii="黑体" w:hAnsi="黑体" w:eastAsia="黑体"/>
          <w:sz w:val="32"/>
        </w:rPr>
        <w:t>第二部分 部门决算情况说明</w:t>
      </w:r>
    </w:p>
    <w:p w14:paraId="3966F256">
      <w:pPr>
        <w:spacing w:line="640" w:lineRule="exact"/>
        <w:ind w:firstLine="640"/>
        <w:jc w:val="both"/>
        <w:outlineLvl w:val="2"/>
      </w:pPr>
      <w:r>
        <w:rPr>
          <w:rFonts w:ascii="黑体" w:hAnsi="黑体" w:eastAsia="黑体"/>
          <w:sz w:val="32"/>
        </w:rPr>
        <w:t>一、收入支出决算总体情况说明</w:t>
      </w:r>
    </w:p>
    <w:p w14:paraId="6E3BB1C7">
      <w:pPr>
        <w:spacing w:line="580" w:lineRule="exact"/>
        <w:ind w:firstLine="640"/>
        <w:jc w:val="both"/>
      </w:pPr>
      <w:r>
        <w:rPr>
          <w:rFonts w:ascii="仿宋_GB2312" w:hAnsi="仿宋_GB2312" w:eastAsia="仿宋_GB2312"/>
          <w:b/>
          <w:sz w:val="32"/>
        </w:rPr>
        <w:t>2024年度收入总计12,808.96万元，</w:t>
      </w:r>
      <w:r>
        <w:rPr>
          <w:rFonts w:ascii="仿宋_GB2312" w:hAnsi="仿宋_GB2312" w:eastAsia="仿宋_GB2312"/>
          <w:b w:val="0"/>
          <w:sz w:val="32"/>
        </w:rPr>
        <w:t>其中：本年收入合计12,808.96万元，使用非财政拨款结余（含专用结余）0.00万元，年初结转和结余0.00万元。</w:t>
      </w:r>
    </w:p>
    <w:p w14:paraId="6F4898F1">
      <w:pPr>
        <w:spacing w:line="580" w:lineRule="exact"/>
        <w:ind w:firstLine="640"/>
        <w:jc w:val="both"/>
      </w:pPr>
      <w:r>
        <w:rPr>
          <w:rFonts w:ascii="仿宋_GB2312" w:hAnsi="仿宋_GB2312" w:eastAsia="仿宋_GB2312"/>
          <w:b/>
          <w:sz w:val="32"/>
        </w:rPr>
        <w:t>2024年度支出总计12,808.96万元，</w:t>
      </w:r>
      <w:r>
        <w:rPr>
          <w:rFonts w:ascii="仿宋_GB2312" w:hAnsi="仿宋_GB2312" w:eastAsia="仿宋_GB2312"/>
          <w:b w:val="0"/>
          <w:sz w:val="32"/>
        </w:rPr>
        <w:t>其中：本年支出合计12,808.96万元，结余分配0.00万元，年末结转和结余0.00万元。</w:t>
      </w:r>
    </w:p>
    <w:p w14:paraId="5FDB29B1">
      <w:pPr>
        <w:spacing w:line="580" w:lineRule="exact"/>
        <w:ind w:firstLine="640"/>
        <w:jc w:val="both"/>
      </w:pPr>
      <w:r>
        <w:rPr>
          <w:rFonts w:ascii="仿宋_GB2312" w:hAnsi="仿宋_GB2312" w:eastAsia="仿宋_GB2312"/>
          <w:b w:val="0"/>
          <w:sz w:val="32"/>
        </w:rPr>
        <w:t>收入支出总体与上年相比，增加391.64万元，增长3.15%，主要原因是：本年在职人员工资调增，社保、公积金基数调增，人员经费增加，增加家庭经济困难非寄宿生生活补助等项目经费，导致相关经费增加。</w:t>
      </w:r>
    </w:p>
    <w:p w14:paraId="2B3F5684">
      <w:pPr>
        <w:spacing w:line="640" w:lineRule="exact"/>
        <w:ind w:firstLine="640"/>
        <w:jc w:val="both"/>
        <w:outlineLvl w:val="2"/>
      </w:pPr>
      <w:r>
        <w:rPr>
          <w:rFonts w:ascii="黑体" w:hAnsi="黑体" w:eastAsia="黑体"/>
          <w:sz w:val="32"/>
        </w:rPr>
        <w:t>二、收入决算情况说明</w:t>
      </w:r>
    </w:p>
    <w:p w14:paraId="107AE9E3">
      <w:pPr>
        <w:spacing w:line="580" w:lineRule="exact"/>
        <w:ind w:firstLine="640"/>
        <w:jc w:val="both"/>
      </w:pPr>
      <w:r>
        <w:rPr>
          <w:rFonts w:ascii="仿宋_GB2312" w:hAnsi="仿宋_GB2312" w:eastAsia="仿宋_GB2312"/>
          <w:b/>
          <w:sz w:val="32"/>
        </w:rPr>
        <w:t>本年收入12,808.96万元，</w:t>
      </w:r>
      <w:r>
        <w:rPr>
          <w:rFonts w:ascii="仿宋_GB2312" w:hAnsi="仿宋_GB2312" w:eastAsia="仿宋_GB2312"/>
          <w:b w:val="0"/>
          <w:sz w:val="32"/>
        </w:rPr>
        <w:t>其中：财政拨款收入12,808.96万元，占100.00%；上级补助收入0.00万元，占0.00%；事业收入0.00万元，占0.00%；经营收入0.00万元，占0.00%；附属单位上缴收入0.00万元，占0.00%；其他收入0.00万元，占0.00%。</w:t>
      </w:r>
    </w:p>
    <w:p w14:paraId="3ECCBF3E">
      <w:pPr>
        <w:spacing w:line="640" w:lineRule="exact"/>
        <w:ind w:firstLine="640"/>
        <w:jc w:val="both"/>
        <w:outlineLvl w:val="2"/>
      </w:pPr>
      <w:r>
        <w:rPr>
          <w:rFonts w:ascii="黑体" w:hAnsi="黑体" w:eastAsia="黑体"/>
          <w:sz w:val="32"/>
        </w:rPr>
        <w:t>三、支出决算情况说明</w:t>
      </w:r>
    </w:p>
    <w:p w14:paraId="3FFFBA87">
      <w:pPr>
        <w:spacing w:line="580" w:lineRule="exact"/>
        <w:ind w:firstLine="640"/>
        <w:jc w:val="both"/>
      </w:pPr>
      <w:r>
        <w:rPr>
          <w:rFonts w:ascii="仿宋_GB2312" w:hAnsi="仿宋_GB2312" w:eastAsia="仿宋_GB2312"/>
          <w:b/>
          <w:sz w:val="32"/>
        </w:rPr>
        <w:t>本年支出12,808.96万元，</w:t>
      </w:r>
      <w:r>
        <w:rPr>
          <w:rFonts w:ascii="仿宋_GB2312" w:hAnsi="仿宋_GB2312" w:eastAsia="仿宋_GB2312"/>
          <w:b w:val="0"/>
          <w:sz w:val="32"/>
        </w:rPr>
        <w:t>其中：基本支出11,711.34万元，占91.43%；项目支出1,097.62万元，占8.57%；上缴上级支出0.00万元，占0.00%；经营支出0.00万元，占0.00%；对附属单位补助支出0.00万元，占0.00%。</w:t>
      </w:r>
    </w:p>
    <w:p w14:paraId="77DBBA07">
      <w:pPr>
        <w:spacing w:line="640" w:lineRule="exact"/>
        <w:ind w:firstLine="640"/>
        <w:jc w:val="both"/>
        <w:outlineLvl w:val="2"/>
      </w:pPr>
      <w:r>
        <w:rPr>
          <w:rFonts w:ascii="黑体" w:hAnsi="黑体" w:eastAsia="黑体"/>
          <w:sz w:val="32"/>
        </w:rPr>
        <w:t>四、财政拨款收入支出决算总体情况说明</w:t>
      </w:r>
    </w:p>
    <w:p w14:paraId="7FC2BF08">
      <w:pPr>
        <w:spacing w:line="580" w:lineRule="exact"/>
        <w:ind w:firstLine="640"/>
        <w:jc w:val="both"/>
      </w:pPr>
      <w:r>
        <w:rPr>
          <w:rFonts w:ascii="仿宋_GB2312" w:hAnsi="仿宋_GB2312" w:eastAsia="仿宋_GB2312"/>
          <w:b/>
          <w:sz w:val="32"/>
        </w:rPr>
        <w:t>2024年度财政拨款收入总计12,808.96万元，</w:t>
      </w:r>
      <w:r>
        <w:rPr>
          <w:rFonts w:ascii="仿宋_GB2312" w:hAnsi="仿宋_GB2312" w:eastAsia="仿宋_GB2312"/>
          <w:b w:val="0"/>
          <w:sz w:val="32"/>
        </w:rPr>
        <w:t>其中：年初财政拨款结转和结余0.00万元，本年财政拨款收入12,808.96万元。</w:t>
      </w:r>
      <w:r>
        <w:rPr>
          <w:rFonts w:ascii="仿宋_GB2312" w:hAnsi="仿宋_GB2312" w:eastAsia="仿宋_GB2312"/>
          <w:b/>
          <w:sz w:val="32"/>
        </w:rPr>
        <w:t>财政拨款支出总计12,808.96万元，</w:t>
      </w:r>
      <w:r>
        <w:rPr>
          <w:rFonts w:ascii="仿宋_GB2312" w:hAnsi="仿宋_GB2312" w:eastAsia="仿宋_GB2312"/>
          <w:b w:val="0"/>
          <w:sz w:val="32"/>
        </w:rPr>
        <w:t>其中：年末财政拨款结转和结余0.00万元，本年财政拨款支出12,808.96万元。</w:t>
      </w:r>
    </w:p>
    <w:p w14:paraId="38ADA7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增加392.24万元，增长3.16%，主要原因是：本年在职人员工资调增，社保、公积金基数调增，人员经费增加，增加家庭经济困难非寄宿生生活补助等项目经费，导致相关经费增加。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年初预算数15,598.42万元，决算数12,808.96万元，预决算差异率-17.88%，主要原因是：本年在职人员减少，年中调减人员及学生公用经费，本年幼儿人数减少，年中调减伙食补助经费，导致预决算存在差异。</w:t>
      </w:r>
    </w:p>
    <w:p w14:paraId="2B04E354">
      <w:pPr>
        <w:spacing w:line="640" w:lineRule="exact"/>
        <w:ind w:firstLine="640"/>
        <w:jc w:val="both"/>
        <w:outlineLvl w:val="2"/>
      </w:pPr>
      <w:r>
        <w:rPr>
          <w:rFonts w:ascii="黑体" w:hAnsi="黑体" w:eastAsia="黑体"/>
          <w:sz w:val="32"/>
        </w:rPr>
        <w:t>五、一般公共预算财政拨款支出决算情况说明</w:t>
      </w:r>
    </w:p>
    <w:p w14:paraId="062BCB18">
      <w:pPr>
        <w:spacing w:line="640" w:lineRule="exact"/>
        <w:ind w:firstLine="640"/>
        <w:jc w:val="both"/>
        <w:outlineLvl w:val="3"/>
      </w:pPr>
      <w:r>
        <w:rPr>
          <w:rFonts w:ascii="楷体_GB2312" w:hAnsi="楷体_GB2312" w:eastAsia="楷体_GB2312"/>
          <w:b/>
          <w:sz w:val="32"/>
        </w:rPr>
        <w:t>（一）一般公共预算财政拨款支出决算总体情况</w:t>
      </w:r>
    </w:p>
    <w:p w14:paraId="4CF1E0E6">
      <w:pPr>
        <w:spacing w:line="580" w:lineRule="exact"/>
        <w:ind w:firstLine="640"/>
        <w:jc w:val="both"/>
      </w:pPr>
      <w:r>
        <w:rPr>
          <w:rFonts w:ascii="仿宋_GB2312" w:hAnsi="仿宋_GB2312" w:eastAsia="仿宋_GB2312"/>
          <w:b/>
          <w:sz w:val="32"/>
        </w:rPr>
        <w:t>2024年度一般公共预算财政拨款支出12,808.96万元，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增加392.24万元，增长3.16%，主要原因是：本年在职人员工资调增，社保、公积金基数调增，人员经费增加，增加家庭经济困难非寄宿生生活补助等项目经费，导致相关经费增加。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年初预算数15,598.42万元，决算数12,808.96万元，预决算差异率-17.88%，主要原因是：本年在职人员减少，年中调减人员及学生公用经费，本年幼儿人数减少，年中调减伙食补助经费，导致预决算存在差异。</w:t>
      </w:r>
    </w:p>
    <w:p w14:paraId="79A9D32F">
      <w:pPr>
        <w:spacing w:line="640" w:lineRule="exact"/>
        <w:ind w:firstLine="640"/>
        <w:jc w:val="both"/>
        <w:outlineLvl w:val="3"/>
      </w:pPr>
      <w:r>
        <w:rPr>
          <w:rFonts w:ascii="楷体_GB2312" w:hAnsi="楷体_GB2312" w:eastAsia="楷体_GB2312"/>
          <w:b/>
          <w:sz w:val="32"/>
        </w:rPr>
        <w:t>（二）一般公共预算财政拨款支出决算结构情况</w:t>
      </w:r>
    </w:p>
    <w:p w14:paraId="624A6995">
      <w:pPr>
        <w:spacing w:line="580" w:lineRule="exact"/>
        <w:ind w:firstLine="640"/>
        <w:jc w:val="both"/>
      </w:pPr>
      <w:r>
        <w:rPr>
          <w:rFonts w:ascii="仿宋_GB2312" w:hAnsi="仿宋_GB2312" w:eastAsia="仿宋_GB2312"/>
          <w:b w:val="0"/>
          <w:sz w:val="32"/>
        </w:rPr>
        <w:t>1.教育支出(类)12,741.85万元,占99.48%。</w:t>
      </w:r>
    </w:p>
    <w:p w14:paraId="3BC5468A">
      <w:pPr>
        <w:spacing w:line="580" w:lineRule="exact"/>
        <w:ind w:firstLine="640"/>
        <w:jc w:val="both"/>
      </w:pPr>
      <w:r>
        <w:rPr>
          <w:rFonts w:ascii="仿宋_GB2312" w:hAnsi="仿宋_GB2312" w:eastAsia="仿宋_GB2312"/>
          <w:b w:val="0"/>
          <w:sz w:val="32"/>
        </w:rPr>
        <w:t>2.住房保障支出(类)67.11万元,占0.52%。</w:t>
      </w:r>
    </w:p>
    <w:p w14:paraId="5FACA4D1">
      <w:pPr>
        <w:spacing w:line="640" w:lineRule="exact"/>
        <w:ind w:firstLine="640"/>
        <w:jc w:val="both"/>
        <w:outlineLvl w:val="3"/>
      </w:pPr>
      <w:r>
        <w:rPr>
          <w:rFonts w:ascii="楷体_GB2312" w:hAnsi="楷体_GB2312" w:eastAsia="楷体_GB2312"/>
          <w:b/>
          <w:sz w:val="32"/>
        </w:rPr>
        <w:t>（三）一般公共预算财政拨款支出决算具体情况</w:t>
      </w:r>
    </w:p>
    <w:p w14:paraId="31F39B39">
      <w:pPr>
        <w:spacing w:line="580" w:lineRule="exact"/>
        <w:ind w:firstLine="640"/>
        <w:jc w:val="both"/>
      </w:pPr>
      <w:r>
        <w:rPr>
          <w:rFonts w:ascii="仿宋_GB2312" w:hAnsi="仿宋_GB2312" w:eastAsia="仿宋_GB2312"/>
          <w:b w:val="0"/>
          <w:sz w:val="32"/>
        </w:rPr>
        <w:t>1.教育支出(类)普通教育(款)学前教育(项):支出决算数为221.10万元，比上年决算减少134.97万元，下降37.91%,主要原因是：本年幼儿人数减少，伙食补助经费减少，导致相关经费减少。</w:t>
      </w:r>
    </w:p>
    <w:p w14:paraId="04D659E1">
      <w:pPr>
        <w:spacing w:line="580" w:lineRule="exact"/>
        <w:ind w:firstLine="640"/>
        <w:jc w:val="both"/>
      </w:pPr>
      <w:r>
        <w:rPr>
          <w:rFonts w:ascii="仿宋_GB2312" w:hAnsi="仿宋_GB2312" w:eastAsia="仿宋_GB2312"/>
          <w:b w:val="0"/>
          <w:sz w:val="32"/>
        </w:rPr>
        <w:t>2.教育支出(类)普通教育(款)小学教育(项):支出决算数为11,423.12万元，比上年决算增加723.12万元，增长6.76%,主要原因是：在职人员工资调增，相关人员经费增加，本年功能科目调整，机关事业单位职业年金缴费、住房公积金上年度单独列支，本年调整至主科目列支，导致相关经费增加。</w:t>
      </w:r>
    </w:p>
    <w:p w14:paraId="7AD04015">
      <w:pPr>
        <w:spacing w:line="580" w:lineRule="exact"/>
        <w:ind w:firstLine="640"/>
        <w:jc w:val="both"/>
      </w:pPr>
      <w:r>
        <w:rPr>
          <w:rFonts w:ascii="仿宋_GB2312" w:hAnsi="仿宋_GB2312" w:eastAsia="仿宋_GB2312"/>
          <w:b w:val="0"/>
          <w:sz w:val="32"/>
        </w:rPr>
        <w:t>3.教育支出(类)普通教育(款)其他普通教育支出(项):支出决算数为1,097.62万元，比上年决算减少162.18万元，下降12.87%,主要原因是：本年减少学生营养改善补助、家庭经济困难寄宿生生活补助等项目经费，导致相关经费减少。</w:t>
      </w:r>
    </w:p>
    <w:p w14:paraId="3B7BDB0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79.77万元，下降100.00%,主要原因是：本年功能科目调整，养老保险缴费上年度单独列支，本年调整至主科目列支，导致经费较上年减少。</w:t>
      </w:r>
    </w:p>
    <w:p w14:paraId="183B07A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9.35万元，下降100.00%,主要原因是：本年功能科目调整，机关事业单位职业年金缴费上年度单独列支，本年调整至主科目列支，导致经费较上年减少。</w:t>
      </w:r>
    </w:p>
    <w:p w14:paraId="3F76A886">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6.社会保障和就业支出(类)抚恤(款)死亡抚恤(项):支出决算数为0.00万元，比上年决算减少11.73万元，下降100.00%,主要原因是：本年无新增死亡人员，死亡抚恤支出较上年减少。</w:t>
      </w:r>
    </w:p>
    <w:p w14:paraId="7A3C96F6">
      <w:pPr>
        <w:spacing w:line="580" w:lineRule="exact"/>
        <w:ind w:firstLine="640"/>
        <w:jc w:val="both"/>
      </w:pPr>
      <w:r>
        <w:rPr>
          <w:rFonts w:ascii="仿宋_GB2312" w:hAnsi="仿宋_GB2312" w:eastAsia="仿宋_GB2312"/>
          <w:b w:val="0"/>
          <w:sz w:val="32"/>
        </w:rPr>
        <w:t>7.住房保障支出(类)住房改革支出(款)住房公积金(项):支出决算数为67.11万元，比上年决算增加67.11万元，增长100.00%,主要原因是：本年功能科目调整，住房公积金上年度在主科目列支，本年单独列支，导致经费较上年增加。</w:t>
      </w:r>
    </w:p>
    <w:p w14:paraId="2A198EE6">
      <w:pPr>
        <w:spacing w:line="640" w:lineRule="exact"/>
        <w:ind w:firstLine="640"/>
        <w:jc w:val="both"/>
        <w:outlineLvl w:val="2"/>
      </w:pPr>
      <w:r>
        <w:rPr>
          <w:rFonts w:ascii="黑体" w:hAnsi="黑体" w:eastAsia="黑体"/>
          <w:sz w:val="32"/>
        </w:rPr>
        <w:t>六、一般公共预算财政拨款基本支出决算情况说明</w:t>
      </w:r>
    </w:p>
    <w:p w14:paraId="3BE8C706">
      <w:pPr>
        <w:spacing w:line="580" w:lineRule="exact"/>
        <w:ind w:firstLine="640"/>
        <w:jc w:val="both"/>
      </w:pPr>
      <w:r>
        <w:rPr>
          <w:rFonts w:ascii="仿宋_GB2312" w:hAnsi="仿宋_GB2312" w:eastAsia="仿宋_GB2312"/>
          <w:b w:val="0"/>
          <w:sz w:val="32"/>
        </w:rPr>
        <w:t>2024年度一般公共预算财政拨款基本支出11,711.34万元，其中：</w:t>
      </w:r>
      <w:r>
        <w:rPr>
          <w:rFonts w:ascii="仿宋_GB2312" w:hAnsi="仿宋_GB2312" w:eastAsia="仿宋_GB2312"/>
          <w:b/>
          <w:sz w:val="32"/>
        </w:rPr>
        <w:t>人员经费10,887.67万元，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659766B7">
      <w:pPr>
        <w:spacing w:line="580" w:lineRule="exact"/>
        <w:ind w:firstLine="640"/>
        <w:jc w:val="both"/>
      </w:pPr>
      <w:r>
        <w:rPr>
          <w:rFonts w:ascii="仿宋_GB2312" w:hAnsi="仿宋_GB2312" w:eastAsia="仿宋_GB2312"/>
          <w:b/>
          <w:sz w:val="32"/>
        </w:rPr>
        <w:t>公用经费823.67万元，</w:t>
      </w:r>
      <w:r>
        <w:rPr>
          <w:rFonts w:ascii="仿宋_GB2312" w:hAnsi="仿宋_GB2312" w:eastAsia="仿宋_GB2312"/>
          <w:b w:val="0"/>
          <w:sz w:val="32"/>
        </w:rPr>
        <w:t>包括：办公费、印刷费、水费、电费、邮电费、取暖费、物业管理费、差旅费、维修（护）费、培训费、专用材料费、劳务费、公务用车运行维护费、其他交通费用、其他商品和服务支出、办公设备购置。</w:t>
      </w:r>
    </w:p>
    <w:p w14:paraId="012B7764">
      <w:pPr>
        <w:spacing w:line="640" w:lineRule="exact"/>
        <w:ind w:firstLine="640"/>
        <w:jc w:val="both"/>
        <w:outlineLvl w:val="2"/>
      </w:pPr>
      <w:r>
        <w:rPr>
          <w:rFonts w:ascii="黑体" w:hAnsi="黑体" w:eastAsia="黑体"/>
          <w:sz w:val="32"/>
        </w:rPr>
        <w:t>七、政府性基金预算财政拨款收入支出决算情况说明</w:t>
      </w:r>
    </w:p>
    <w:p w14:paraId="55A5727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4B21C0">
      <w:pPr>
        <w:spacing w:line="640" w:lineRule="exact"/>
        <w:ind w:firstLine="640"/>
        <w:jc w:val="both"/>
        <w:outlineLvl w:val="2"/>
      </w:pPr>
      <w:r>
        <w:rPr>
          <w:rFonts w:ascii="黑体" w:hAnsi="黑体" w:eastAsia="黑体"/>
          <w:sz w:val="32"/>
        </w:rPr>
        <w:t>八、国有资本经营预算财政拨款收入支出决算情况说明</w:t>
      </w:r>
    </w:p>
    <w:p w14:paraId="6D23CD9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CE2C34">
      <w:pPr>
        <w:spacing w:line="640" w:lineRule="exact"/>
        <w:ind w:firstLine="640"/>
        <w:jc w:val="both"/>
        <w:outlineLvl w:val="2"/>
      </w:pPr>
      <w:r>
        <w:rPr>
          <w:rFonts w:ascii="黑体" w:hAnsi="黑体" w:eastAsia="黑体"/>
          <w:sz w:val="32"/>
        </w:rPr>
        <w:t>九、财政拨款“三公”经费支出决算情况说明</w:t>
      </w:r>
    </w:p>
    <w:p w14:paraId="3DEDC17B">
      <w:pPr>
        <w:spacing w:line="580" w:lineRule="exact"/>
        <w:ind w:firstLine="640"/>
        <w:jc w:val="both"/>
      </w:pPr>
      <w:r>
        <w:rPr>
          <w:rFonts w:ascii="仿宋_GB2312" w:hAnsi="仿宋_GB2312" w:eastAsia="仿宋_GB2312"/>
          <w:b/>
          <w:sz w:val="32"/>
        </w:rPr>
        <w:t>2024年度财政拨款“三公”经费支出0.13万元，</w:t>
      </w:r>
      <w:r>
        <w:rPr>
          <w:rFonts w:ascii="仿宋_GB2312" w:hAnsi="仿宋_GB2312" w:eastAsia="仿宋_GB2312"/>
          <w:b w:val="0"/>
          <w:sz w:val="32"/>
        </w:rPr>
        <w:t>比上年增加0.13万元，增长100.00%，主要原因是：</w:t>
      </w:r>
      <w:r>
        <w:rPr>
          <w:rFonts w:hint="eastAsia" w:ascii="仿宋_GB2312" w:hAnsi="仿宋_GB2312" w:eastAsia="仿宋_GB2312"/>
          <w:b w:val="0"/>
          <w:sz w:val="32"/>
          <w:lang w:val="en-US" w:eastAsia="zh-CN"/>
        </w:rPr>
        <w:t>本年度年初预算时将车辆经费纳入公务用车运行维护费</w:t>
      </w:r>
      <w:r>
        <w:rPr>
          <w:rFonts w:ascii="仿宋_GB2312" w:hAnsi="仿宋_GB2312" w:eastAsia="仿宋_GB2312"/>
          <w:b w:val="0"/>
          <w:sz w:val="32"/>
        </w:rPr>
        <w:t>，导致公务用车运行维护费较上年增加。其中：因公出国（境）费支出0.00万元，占0.00%，比上年增加0.00万元，增长0.00%，主要原因是：2023年与2024年均未安排因公出国（境）费支出。公务用车购置及运行维护费支出0.13万元，占100.00%，比上年增加0.13万元，增长100.00%，主要原因是：</w:t>
      </w:r>
      <w:r>
        <w:rPr>
          <w:rFonts w:hint="eastAsia" w:ascii="仿宋_GB2312" w:hAnsi="仿宋_GB2312" w:eastAsia="仿宋_GB2312"/>
          <w:b w:val="0"/>
          <w:sz w:val="32"/>
          <w:lang w:val="en-US" w:eastAsia="zh-CN"/>
        </w:rPr>
        <w:t>本年度年初预算时将车辆经费纳入公务用车运行维护费</w:t>
      </w:r>
      <w:r>
        <w:rPr>
          <w:rFonts w:ascii="仿宋_GB2312" w:hAnsi="仿宋_GB2312" w:eastAsia="仿宋_GB2312"/>
          <w:b w:val="0"/>
          <w:sz w:val="32"/>
        </w:rPr>
        <w:t>，导致公务用车运行维护费较上年增加。公务接待费支出0.00万元，占0.00%，比上年增加0.00万元，增长0.00%，主要原因是：2023年与2024年均未安排公务接待费支出。</w:t>
      </w:r>
    </w:p>
    <w:p w14:paraId="4C550F94">
      <w:pPr>
        <w:spacing w:line="580" w:lineRule="exact"/>
        <w:ind w:firstLine="640"/>
        <w:jc w:val="both"/>
      </w:pPr>
      <w:r>
        <w:rPr>
          <w:rFonts w:ascii="仿宋_GB2312" w:hAnsi="仿宋_GB2312" w:eastAsia="仿宋_GB2312"/>
          <w:b/>
          <w:sz w:val="32"/>
        </w:rPr>
        <w:t>具体情况如下：</w:t>
      </w:r>
    </w:p>
    <w:p w14:paraId="79EBB11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894735">
      <w:pPr>
        <w:spacing w:line="580" w:lineRule="exact"/>
        <w:ind w:firstLine="640"/>
        <w:jc w:val="both"/>
      </w:pPr>
      <w:r>
        <w:rPr>
          <w:rFonts w:ascii="仿宋_GB2312" w:hAnsi="仿宋_GB2312" w:eastAsia="仿宋_GB2312"/>
          <w:b w:val="0"/>
          <w:sz w:val="32"/>
        </w:rPr>
        <w:t>公务用车购置及运行维护费0.13万元，其中：公务用车购置费0.00万元，公务用车运行维护费0.13万元。公务用车运行维护费开支内容包括保险费。公务用车购置数0辆，公务用车保有量1辆。国有资产占用情况中固定资产车辆1辆，与公务用车保有量差异原因是：本单位固定资产车辆与公务用车保有量一致无差异。</w:t>
      </w:r>
    </w:p>
    <w:p w14:paraId="12B838A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9AF24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0.13万元，决算数0.13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0.13万元，决算数0.13万元，预决算差异率0.00%，主要原因是：严格按照预算执行，预决算无差异。公务接待费全年预算数0.00万元，决算数0.00万元，预决算差异率0.00%，主要原因是：本单位无公务接待费。</w:t>
      </w:r>
    </w:p>
    <w:p w14:paraId="6668AF53">
      <w:pPr>
        <w:spacing w:line="640" w:lineRule="exact"/>
        <w:ind w:firstLine="640"/>
        <w:jc w:val="both"/>
        <w:outlineLvl w:val="2"/>
      </w:pPr>
      <w:r>
        <w:rPr>
          <w:rFonts w:ascii="黑体" w:hAnsi="黑体" w:eastAsia="黑体"/>
          <w:sz w:val="32"/>
        </w:rPr>
        <w:t>十、其他重要事项的情况说明</w:t>
      </w:r>
    </w:p>
    <w:p w14:paraId="164820EF">
      <w:pPr>
        <w:spacing w:line="640" w:lineRule="exact"/>
        <w:ind w:firstLine="640"/>
        <w:jc w:val="both"/>
        <w:outlineLvl w:val="3"/>
      </w:pPr>
      <w:r>
        <w:rPr>
          <w:rFonts w:ascii="楷体_GB2312" w:hAnsi="楷体_GB2312" w:eastAsia="楷体_GB2312"/>
          <w:b/>
          <w:sz w:val="32"/>
        </w:rPr>
        <w:t>（一）机关运行经费及公用经费支出情况</w:t>
      </w:r>
    </w:p>
    <w:p w14:paraId="07C4D453">
      <w:pPr>
        <w:spacing w:line="580" w:lineRule="exact"/>
        <w:ind w:firstLine="640"/>
        <w:jc w:val="both"/>
      </w:pPr>
      <w:r>
        <w:rPr>
          <w:rFonts w:ascii="仿宋_GB2312" w:hAnsi="仿宋_GB2312" w:eastAsia="仿宋_GB2312"/>
          <w:b w:val="0"/>
          <w:sz w:val="32"/>
        </w:rPr>
        <w:t>2024年度洛浦县多鲁镇中心小学（事业单位）公用经费支出823.67万元，比上年减少16.70万元，下降1.99%，主要原因是：本年减少办公费、水费、电费、印刷费等经费，导致公用经费减少。</w:t>
      </w:r>
    </w:p>
    <w:p w14:paraId="4C8EEA98">
      <w:pPr>
        <w:spacing w:line="640" w:lineRule="exact"/>
        <w:ind w:firstLine="640"/>
        <w:jc w:val="both"/>
        <w:outlineLvl w:val="3"/>
      </w:pPr>
      <w:r>
        <w:rPr>
          <w:rFonts w:ascii="楷体_GB2312" w:hAnsi="楷体_GB2312" w:eastAsia="楷体_GB2312"/>
          <w:b/>
          <w:sz w:val="32"/>
        </w:rPr>
        <w:t>（二）政府采购情况</w:t>
      </w:r>
    </w:p>
    <w:p w14:paraId="5B278A74">
      <w:pPr>
        <w:spacing w:line="580" w:lineRule="exact"/>
        <w:ind w:firstLine="640"/>
        <w:jc w:val="both"/>
      </w:pPr>
      <w:r>
        <w:rPr>
          <w:rFonts w:ascii="仿宋_GB2312" w:hAnsi="仿宋_GB2312" w:eastAsia="仿宋_GB2312"/>
          <w:b w:val="0"/>
          <w:sz w:val="32"/>
        </w:rPr>
        <w:t>2024年度政府采购支出总额58.26万元，其中：政府采购货物支出23.28万元、政府采购工程支出34.98万元、政府采购服务支出0.00万元。</w:t>
      </w:r>
    </w:p>
    <w:p w14:paraId="0C8EA7D9">
      <w:pPr>
        <w:spacing w:line="580" w:lineRule="exact"/>
        <w:ind w:firstLine="640"/>
        <w:jc w:val="both"/>
      </w:pPr>
      <w:r>
        <w:rPr>
          <w:rFonts w:ascii="仿宋_GB2312" w:hAnsi="仿宋_GB2312" w:eastAsia="仿宋_GB2312"/>
          <w:b w:val="0"/>
          <w:sz w:val="32"/>
        </w:rPr>
        <w:t>授予中小企业合同金额56.41万元，占政府采购支出总额的96.82%，其中：授予小微企业合同金额56.41万元，占政府采购支出总额的96.82%。</w:t>
      </w:r>
    </w:p>
    <w:p w14:paraId="053C402F">
      <w:pPr>
        <w:spacing w:line="640" w:lineRule="exact"/>
        <w:ind w:firstLine="640"/>
        <w:jc w:val="both"/>
        <w:outlineLvl w:val="3"/>
      </w:pPr>
      <w:r>
        <w:rPr>
          <w:rFonts w:ascii="楷体_GB2312" w:hAnsi="楷体_GB2312" w:eastAsia="楷体_GB2312"/>
          <w:b/>
          <w:sz w:val="32"/>
        </w:rPr>
        <w:t>（三）国有资产占用情况说明</w:t>
      </w:r>
    </w:p>
    <w:p w14:paraId="7780DE56">
      <w:pPr>
        <w:spacing w:line="580" w:lineRule="exact"/>
        <w:ind w:firstLine="640"/>
        <w:jc w:val="both"/>
      </w:pPr>
      <w:r>
        <w:rPr>
          <w:rFonts w:ascii="仿宋_GB2312" w:hAnsi="仿宋_GB2312" w:eastAsia="仿宋_GB2312"/>
          <w:b w:val="0"/>
          <w:sz w:val="32"/>
        </w:rPr>
        <w:t>截至2024年12月31日，房屋42,428.39平方米，价值8,772.55万元。车辆1辆，价值5.49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C97542E">
      <w:pPr>
        <w:spacing w:line="640" w:lineRule="exact"/>
        <w:ind w:firstLine="640"/>
        <w:jc w:val="both"/>
        <w:outlineLvl w:val="2"/>
      </w:pPr>
      <w:r>
        <w:rPr>
          <w:rFonts w:ascii="黑体" w:hAnsi="黑体" w:eastAsia="黑体"/>
          <w:sz w:val="32"/>
        </w:rPr>
        <w:t>十一、预算绩效的情况说明</w:t>
      </w:r>
    </w:p>
    <w:p w14:paraId="4AEF9F9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12,808.96万元，实际执行总额12,808.96万元；预算绩效评价项目5个，全年预算数1,945.95万元，全年执行数1,945.95万元。预算绩效管理取得的成效：一是确保资金的高效使用，切实发挥财政资金的使用效果；二是严格按照工作职责和相关文件依据，确保专款专用。发现的问题及原因：一是绩效管理工作人员的业务能力水平</w:t>
      </w:r>
      <w:r>
        <w:rPr>
          <w:rFonts w:hint="eastAsia" w:ascii="仿宋_GB2312" w:hAnsi="仿宋_GB2312" w:eastAsia="仿宋_GB2312"/>
          <w:b w:val="0"/>
          <w:sz w:val="32"/>
          <w:lang w:val="en-US" w:eastAsia="zh-CN"/>
        </w:rPr>
        <w:t>不足</w:t>
      </w:r>
      <w:r>
        <w:rPr>
          <w:rFonts w:ascii="仿宋_GB2312" w:hAnsi="仿宋_GB2312" w:eastAsia="仿宋_GB2312"/>
          <w:b w:val="0"/>
          <w:sz w:val="32"/>
        </w:rPr>
        <w:t>。下一步改进措施：一是在以后年度，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w:t>
      </w:r>
    </w:p>
    <w:p w14:paraId="54985A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67C39A">
        <w:tblPrEx>
          <w:tblCellMar>
            <w:top w:w="0" w:type="dxa"/>
            <w:left w:w="108" w:type="dxa"/>
            <w:bottom w:w="0" w:type="dxa"/>
            <w:right w:w="108" w:type="dxa"/>
          </w:tblCellMar>
        </w:tblPrEx>
        <w:tc>
          <w:tcPr>
            <w:tcW w:w="8847" w:type="dxa"/>
            <w:gridSpan w:val="9"/>
            <w:vAlign w:val="center"/>
          </w:tcPr>
          <w:p w14:paraId="57CA51AB">
            <w:pPr>
              <w:jc w:val="center"/>
            </w:pPr>
            <w:r>
              <w:rPr>
                <w:rFonts w:ascii="宋体" w:hAnsi="宋体" w:eastAsia="宋体"/>
                <w:sz w:val="24"/>
              </w:rPr>
              <w:t>单位整体支出绩效自评表</w:t>
            </w:r>
          </w:p>
        </w:tc>
      </w:tr>
      <w:tr w14:paraId="7E680F2E">
        <w:tblPrEx>
          <w:tblCellMar>
            <w:top w:w="0" w:type="dxa"/>
            <w:left w:w="108" w:type="dxa"/>
            <w:bottom w:w="0" w:type="dxa"/>
            <w:right w:w="108" w:type="dxa"/>
          </w:tblCellMar>
        </w:tblPrEx>
        <w:tc>
          <w:tcPr>
            <w:tcW w:w="8847" w:type="dxa"/>
            <w:gridSpan w:val="9"/>
            <w:vAlign w:val="center"/>
          </w:tcPr>
          <w:p w14:paraId="39F4EB1E">
            <w:pPr>
              <w:jc w:val="center"/>
            </w:pPr>
            <w:r>
              <w:rPr>
                <w:rFonts w:ascii="宋体" w:hAnsi="宋体" w:eastAsia="宋体"/>
                <w:sz w:val="24"/>
              </w:rPr>
              <w:t>（2024年度）</w:t>
            </w:r>
          </w:p>
        </w:tc>
      </w:tr>
      <w:tr w14:paraId="6249F6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4E62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FC2793">
            <w:pPr>
              <w:jc w:val="center"/>
            </w:pPr>
            <w:r>
              <w:rPr>
                <w:rFonts w:ascii="宋体" w:hAnsi="宋体" w:eastAsia="宋体"/>
                <w:sz w:val="16"/>
              </w:rPr>
              <w:t>洛浦县多鲁镇中心小学</w:t>
            </w:r>
          </w:p>
        </w:tc>
      </w:tr>
      <w:tr w14:paraId="231BC1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EEBC9">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D7E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0DA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7387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B24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86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10BC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6D2B">
            <w:pPr>
              <w:jc w:val="center"/>
            </w:pPr>
            <w:r>
              <w:rPr>
                <w:rFonts w:ascii="宋体" w:hAnsi="宋体" w:eastAsia="宋体"/>
                <w:sz w:val="16"/>
              </w:rPr>
              <w:t>得分</w:t>
            </w:r>
          </w:p>
        </w:tc>
      </w:tr>
      <w:tr w14:paraId="3749CE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20B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BAF9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AB67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8888">
            <w:pPr>
              <w:jc w:val="center"/>
            </w:pPr>
            <w:r>
              <w:rPr>
                <w:rFonts w:ascii="宋体" w:hAnsi="宋体" w:eastAsia="宋体"/>
                <w:sz w:val="16"/>
              </w:rPr>
              <w:t>2,409.89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53355">
            <w:pPr>
              <w:jc w:val="center"/>
            </w:pPr>
            <w:r>
              <w:rPr>
                <w:rFonts w:ascii="宋体" w:hAnsi="宋体" w:eastAsia="宋体"/>
                <w:sz w:val="16"/>
              </w:rPr>
              <w:t>1,097.62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DCED">
            <w:pPr>
              <w:jc w:val="center"/>
            </w:pPr>
            <w:r>
              <w:rPr>
                <w:rFonts w:ascii="宋体" w:hAnsi="宋体" w:eastAsia="宋体"/>
                <w:sz w:val="16"/>
              </w:rPr>
              <w:t>1,097.62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BE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B3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F0A61">
            <w:pPr>
              <w:jc w:val="center"/>
            </w:pPr>
            <w:r>
              <w:rPr>
                <w:rFonts w:ascii="宋体" w:hAnsi="宋体" w:eastAsia="宋体"/>
                <w:sz w:val="16"/>
              </w:rPr>
              <w:t>-</w:t>
            </w:r>
          </w:p>
        </w:tc>
      </w:tr>
      <w:tr w14:paraId="6881C4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2A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C8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0F0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A838">
            <w:pPr>
              <w:jc w:val="center"/>
            </w:pPr>
            <w:r>
              <w:rPr>
                <w:rFonts w:ascii="宋体" w:hAnsi="宋体" w:eastAsia="宋体"/>
                <w:sz w:val="16"/>
              </w:rPr>
              <w:t>13,188.53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79800">
            <w:pPr>
              <w:jc w:val="center"/>
            </w:pPr>
            <w:r>
              <w:rPr>
                <w:rFonts w:ascii="宋体" w:hAnsi="宋体" w:eastAsia="宋体"/>
                <w:sz w:val="16"/>
              </w:rPr>
              <w:t>11,711.34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0FE1">
            <w:pPr>
              <w:jc w:val="center"/>
            </w:pPr>
            <w:r>
              <w:rPr>
                <w:rFonts w:ascii="宋体" w:hAnsi="宋体" w:eastAsia="宋体"/>
                <w:sz w:val="16"/>
              </w:rPr>
              <w:t>11,711.34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B2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CB5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249A5">
            <w:pPr>
              <w:jc w:val="center"/>
            </w:pPr>
            <w:r>
              <w:rPr>
                <w:rFonts w:ascii="宋体" w:hAnsi="宋体" w:eastAsia="宋体"/>
                <w:sz w:val="16"/>
              </w:rPr>
              <w:t>-</w:t>
            </w:r>
          </w:p>
        </w:tc>
      </w:tr>
      <w:tr w14:paraId="5B18F3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A87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894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555C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96F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E7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86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197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B53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AEB9A">
            <w:pPr>
              <w:jc w:val="center"/>
            </w:pPr>
            <w:r>
              <w:rPr>
                <w:rFonts w:ascii="宋体" w:hAnsi="宋体" w:eastAsia="宋体"/>
                <w:sz w:val="16"/>
              </w:rPr>
              <w:t>-</w:t>
            </w:r>
          </w:p>
        </w:tc>
      </w:tr>
      <w:tr w14:paraId="4F6A9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942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6484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CC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F5E62">
            <w:pPr>
              <w:jc w:val="center"/>
            </w:pPr>
            <w:r>
              <w:rPr>
                <w:rFonts w:ascii="宋体" w:hAnsi="宋体" w:eastAsia="宋体"/>
                <w:sz w:val="16"/>
              </w:rPr>
              <w:t>15,598.42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4824">
            <w:pPr>
              <w:jc w:val="center"/>
            </w:pPr>
            <w:r>
              <w:rPr>
                <w:rFonts w:ascii="宋体" w:hAnsi="宋体" w:eastAsia="宋体"/>
                <w:sz w:val="16"/>
              </w:rPr>
              <w:t>12,808.96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2C0B">
            <w:pPr>
              <w:jc w:val="center"/>
            </w:pPr>
            <w:r>
              <w:rPr>
                <w:rFonts w:ascii="宋体" w:hAnsi="宋体" w:eastAsia="宋体"/>
                <w:sz w:val="16"/>
              </w:rPr>
              <w:t>12,808.96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828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37A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5738E">
            <w:pPr>
              <w:jc w:val="center"/>
            </w:pPr>
            <w:r>
              <w:rPr>
                <w:rFonts w:ascii="宋体" w:hAnsi="宋体" w:eastAsia="宋体"/>
                <w:sz w:val="16"/>
              </w:rPr>
              <w:t>10</w:t>
            </w:r>
          </w:p>
        </w:tc>
      </w:tr>
      <w:tr w14:paraId="68A5B5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BC34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7933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98F6F2">
            <w:pPr>
              <w:jc w:val="center"/>
            </w:pPr>
            <w:r>
              <w:rPr>
                <w:rFonts w:ascii="宋体" w:hAnsi="宋体" w:eastAsia="宋体"/>
                <w:sz w:val="16"/>
              </w:rPr>
              <w:t>实际完成情况</w:t>
            </w:r>
          </w:p>
        </w:tc>
      </w:tr>
      <w:tr w14:paraId="77771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042F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B9A6B3">
            <w:pPr>
              <w:jc w:val="both"/>
            </w:pPr>
            <w:r>
              <w:rPr>
                <w:rFonts w:hint="eastAsia" w:ascii="宋体" w:hAnsi="宋体"/>
                <w:sz w:val="16"/>
                <w:lang w:eastAsia="zh-CN"/>
              </w:rPr>
              <w:t>1.</w:t>
            </w:r>
            <w:r>
              <w:rPr>
                <w:rFonts w:ascii="宋体" w:hAnsi="宋体" w:eastAsia="宋体"/>
                <w:sz w:val="16"/>
              </w:rPr>
              <w:t>保障617名工作人员基本支出，保障1</w:t>
            </w:r>
            <w:r>
              <w:rPr>
                <w:rFonts w:hint="eastAsia" w:ascii="宋体" w:hAnsi="宋体"/>
                <w:sz w:val="16"/>
                <w:lang w:eastAsia="zh-CN"/>
              </w:rPr>
              <w:t>台</w:t>
            </w:r>
            <w:r>
              <w:rPr>
                <w:rFonts w:ascii="宋体" w:hAnsi="宋体" w:eastAsia="宋体"/>
                <w:sz w:val="16"/>
              </w:rPr>
              <w:t>车辆正常使用，负责加强党对教育工作的全面领导，贯彻执行党和国家有关教育工作的方针、政策和法律法规及有关教育管理办法，并监督实施；部门整体支出12868.78万元，其中人员经费不高于10299.08万元，公用经费不高于2569.7万元。通过保障部门正常运转，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2、负责财政、财务、会计、有关国有资产管理的政策规定，完善财政管理体制、有效开展财政管理工作。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3、组织实施预算绩效管理。研究全方位、全过程、全覆盖的预算绩效管理体系，组织和有效开展相关工作。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1FD881">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8402名学生正常的校园生活，保障621名工作人员基本支出，保障1辆车辆正常使用，负责加强党对教育工作的全面领导，贯彻执行党和国家有关教育工作的方针、政策和法律法规及有关教育管理办法，并监督实施。部门资金已使用12808.96万元。通过保障部门正常运转，提升干部自身素质，提升社会服务能力，持续为财政工作作出贡献。2、负责财政、财务、会计、有关国有资产管理的政策规定，完善财政管理体制、有效开展财政管理工作。3、组织实施预算绩效管理。研究全方位、全过程、全覆盖的预算绩效管理体系，组织和有效开展相关工作。</w:t>
            </w:r>
          </w:p>
        </w:tc>
      </w:tr>
      <w:tr w14:paraId="7DBF3A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1E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12E4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065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B80B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558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968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BB0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9DE2E">
            <w:pPr>
              <w:jc w:val="center"/>
            </w:pPr>
            <w:r>
              <w:rPr>
                <w:rFonts w:ascii="宋体" w:hAnsi="宋体" w:eastAsia="宋体"/>
                <w:sz w:val="16"/>
              </w:rPr>
              <w:t>得分</w:t>
            </w:r>
          </w:p>
        </w:tc>
      </w:tr>
      <w:tr w14:paraId="6D2AC7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1436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464C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2738">
            <w:pPr>
              <w:jc w:val="center"/>
            </w:pPr>
            <w:r>
              <w:rPr>
                <w:rFonts w:ascii="宋体" w:hAnsi="宋体" w:eastAsia="宋体"/>
                <w:sz w:val="16"/>
              </w:rPr>
              <w:t>保障在校学生数量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895F1">
            <w:pPr>
              <w:jc w:val="center"/>
            </w:pPr>
            <w:r>
              <w:rPr>
                <w:rFonts w:ascii="宋体" w:hAnsi="宋体" w:eastAsia="宋体"/>
                <w:sz w:val="16"/>
              </w:rPr>
              <w:t>&gt;=8724人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18B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92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A36D6">
            <w:pPr>
              <w:jc w:val="center"/>
            </w:pPr>
            <w:r>
              <w:rPr>
                <w:rFonts w:ascii="宋体" w:hAnsi="宋体" w:eastAsia="宋体"/>
                <w:sz w:val="16"/>
              </w:rPr>
              <w:t>8402人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F59A">
            <w:pPr>
              <w:jc w:val="center"/>
            </w:pPr>
            <w:r>
              <w:rPr>
                <w:rFonts w:ascii="宋体" w:hAnsi="宋体" w:eastAsia="宋体"/>
                <w:sz w:val="16"/>
              </w:rPr>
              <w:t>20</w:t>
            </w:r>
          </w:p>
        </w:tc>
      </w:tr>
      <w:tr w14:paraId="429CA0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5E0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BDC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D68E">
            <w:pPr>
              <w:jc w:val="center"/>
            </w:pPr>
            <w:r>
              <w:rPr>
                <w:rFonts w:ascii="宋体" w:hAnsi="宋体" w:eastAsia="宋体"/>
                <w:sz w:val="16"/>
              </w:rPr>
              <w:t>保障在职员工数量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9F8C">
            <w:pPr>
              <w:jc w:val="center"/>
            </w:pPr>
            <w:r>
              <w:rPr>
                <w:rFonts w:ascii="宋体" w:hAnsi="宋体" w:eastAsia="宋体"/>
                <w:sz w:val="16"/>
              </w:rPr>
              <w:t>&gt;=621人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C9EC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31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C82B7">
            <w:pPr>
              <w:jc w:val="center"/>
            </w:pPr>
            <w:r>
              <w:rPr>
                <w:rFonts w:ascii="宋体" w:hAnsi="宋体" w:eastAsia="宋体"/>
                <w:sz w:val="16"/>
              </w:rPr>
              <w:tab/>
            </w:r>
            <w:r>
              <w:rPr>
                <w:rFonts w:ascii="宋体" w:hAnsi="宋体" w:eastAsia="宋体"/>
                <w:sz w:val="16"/>
              </w:rPr>
              <w:t>621人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64C39">
            <w:pPr>
              <w:jc w:val="center"/>
            </w:pPr>
            <w:r>
              <w:rPr>
                <w:rFonts w:ascii="宋体" w:hAnsi="宋体" w:eastAsia="宋体"/>
                <w:sz w:val="16"/>
              </w:rPr>
              <w:t>20</w:t>
            </w:r>
          </w:p>
        </w:tc>
      </w:tr>
      <w:tr w14:paraId="5A8A74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4C3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7546A">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6C2E">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9212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1DA7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6EE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D4DD">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190B">
            <w:pPr>
              <w:jc w:val="center"/>
            </w:pPr>
            <w:r>
              <w:rPr>
                <w:rFonts w:ascii="宋体" w:hAnsi="宋体" w:eastAsia="宋体"/>
                <w:sz w:val="16"/>
              </w:rPr>
              <w:t>20</w:t>
            </w:r>
          </w:p>
        </w:tc>
      </w:tr>
      <w:tr w14:paraId="45079C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3BE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A8A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92471">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93A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7818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9B3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AAD6D">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4E4B">
            <w:pPr>
              <w:jc w:val="center"/>
            </w:pPr>
            <w:r>
              <w:rPr>
                <w:rFonts w:ascii="宋体" w:hAnsi="宋体" w:eastAsia="宋体"/>
                <w:sz w:val="16"/>
              </w:rPr>
              <w:t>30</w:t>
            </w:r>
          </w:p>
        </w:tc>
      </w:tr>
    </w:tbl>
    <w:p w14:paraId="1B4ABB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62CF20">
        <w:tblPrEx>
          <w:tblCellMar>
            <w:top w:w="0" w:type="dxa"/>
            <w:left w:w="108" w:type="dxa"/>
            <w:bottom w:w="0" w:type="dxa"/>
            <w:right w:w="108" w:type="dxa"/>
          </w:tblCellMar>
        </w:tblPrEx>
        <w:tc>
          <w:tcPr>
            <w:tcW w:w="8847" w:type="dxa"/>
            <w:gridSpan w:val="9"/>
            <w:vAlign w:val="center"/>
          </w:tcPr>
          <w:p w14:paraId="5A9F5C61">
            <w:pPr>
              <w:jc w:val="center"/>
            </w:pPr>
            <w:r>
              <w:rPr>
                <w:rFonts w:ascii="宋体" w:hAnsi="宋体" w:eastAsia="宋体"/>
                <w:sz w:val="24"/>
              </w:rPr>
              <w:t>项目支出绩效自评表</w:t>
            </w:r>
          </w:p>
        </w:tc>
      </w:tr>
      <w:tr w14:paraId="3E775463">
        <w:tblPrEx>
          <w:tblCellMar>
            <w:top w:w="0" w:type="dxa"/>
            <w:left w:w="108" w:type="dxa"/>
            <w:bottom w:w="0" w:type="dxa"/>
            <w:right w:w="108" w:type="dxa"/>
          </w:tblCellMar>
        </w:tblPrEx>
        <w:tc>
          <w:tcPr>
            <w:tcW w:w="8847" w:type="dxa"/>
            <w:gridSpan w:val="9"/>
            <w:vAlign w:val="center"/>
          </w:tcPr>
          <w:p w14:paraId="00BF26FA">
            <w:pPr>
              <w:jc w:val="center"/>
            </w:pPr>
            <w:r>
              <w:rPr>
                <w:rFonts w:ascii="宋体" w:hAnsi="宋体" w:eastAsia="宋体"/>
                <w:sz w:val="24"/>
              </w:rPr>
              <w:t>(2024年度)</w:t>
            </w:r>
          </w:p>
        </w:tc>
      </w:tr>
      <w:tr w14:paraId="352AC4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9941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DDA93A">
            <w:pPr>
              <w:jc w:val="center"/>
            </w:pPr>
            <w:r>
              <w:rPr>
                <w:rFonts w:ascii="宋体" w:hAnsi="宋体" w:eastAsia="宋体"/>
                <w:sz w:val="16"/>
              </w:rPr>
              <w:t>2021年结转2024年自治区直达资金</w:t>
            </w:r>
            <w:bookmarkStart w:id="0" w:name="_GoBack"/>
            <w:r>
              <w:rPr>
                <w:rFonts w:ascii="宋体" w:hAnsi="宋体" w:eastAsia="宋体"/>
                <w:sz w:val="16"/>
              </w:rPr>
              <w:t>-</w:t>
            </w:r>
            <w:bookmarkEnd w:id="0"/>
            <w:r>
              <w:rPr>
                <w:rFonts w:ascii="宋体" w:hAnsi="宋体" w:eastAsia="宋体"/>
                <w:sz w:val="16"/>
              </w:rPr>
              <w:t>和地财教</w:t>
            </w:r>
            <w:r>
              <w:rPr>
                <w:rFonts w:hint="eastAsia" w:ascii="宋体" w:hAnsi="宋体"/>
                <w:sz w:val="16"/>
                <w:lang w:eastAsia="zh-CN"/>
              </w:rPr>
              <w:t>〔2021〕1号</w:t>
            </w:r>
            <w:r>
              <w:rPr>
                <w:rFonts w:ascii="宋体" w:hAnsi="宋体" w:eastAsia="宋体"/>
                <w:sz w:val="16"/>
              </w:rPr>
              <w:t>-城乡义务教育补助资金-家庭经济困难学生生活补助</w:t>
            </w:r>
          </w:p>
        </w:tc>
      </w:tr>
      <w:tr w14:paraId="42B209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09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00010">
            <w:pPr>
              <w:jc w:val="center"/>
            </w:pPr>
            <w:r>
              <w:rPr>
                <w:rFonts w:ascii="宋体" w:hAnsi="宋体" w:eastAsia="宋体"/>
                <w:sz w:val="16"/>
              </w:rPr>
              <w:t>洛浦县多鲁镇中心小学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BCBB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83BCF4">
            <w:pPr>
              <w:jc w:val="center"/>
            </w:pPr>
            <w:r>
              <w:rPr>
                <w:rFonts w:ascii="宋体" w:hAnsi="宋体" w:eastAsia="宋体"/>
                <w:sz w:val="16"/>
              </w:rPr>
              <w:t>洛浦县多鲁镇中心小学</w:t>
            </w:r>
          </w:p>
        </w:tc>
      </w:tr>
      <w:tr w14:paraId="466CCC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5AF1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06B7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8C73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670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95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D1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00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5A3B6">
            <w:pPr>
              <w:jc w:val="center"/>
            </w:pPr>
            <w:r>
              <w:rPr>
                <w:rFonts w:ascii="宋体" w:hAnsi="宋体" w:eastAsia="宋体"/>
                <w:sz w:val="16"/>
              </w:rPr>
              <w:t>得分</w:t>
            </w:r>
          </w:p>
        </w:tc>
      </w:tr>
      <w:tr w14:paraId="3A8B8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6DB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6A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EAF2">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6652A">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79B74">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02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B180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223C9">
            <w:pPr>
              <w:jc w:val="center"/>
            </w:pPr>
            <w:r>
              <w:rPr>
                <w:rFonts w:ascii="宋体" w:hAnsi="宋体" w:eastAsia="宋体"/>
                <w:sz w:val="16"/>
              </w:rPr>
              <w:t>10.00分</w:t>
            </w:r>
          </w:p>
        </w:tc>
      </w:tr>
      <w:tr w14:paraId="08374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2F6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57F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F53E">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59AC">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4A145">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6D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DF6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5F1B">
            <w:pPr>
              <w:jc w:val="center"/>
            </w:pPr>
            <w:r>
              <w:rPr>
                <w:rFonts w:ascii="宋体" w:hAnsi="宋体" w:eastAsia="宋体"/>
                <w:sz w:val="16"/>
              </w:rPr>
              <w:t>—</w:t>
            </w:r>
          </w:p>
        </w:tc>
      </w:tr>
      <w:tr w14:paraId="5FCE0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89D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FA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A02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43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50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8C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B8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16A5B">
            <w:pPr>
              <w:jc w:val="center"/>
            </w:pPr>
            <w:r>
              <w:rPr>
                <w:rFonts w:ascii="宋体" w:hAnsi="宋体" w:eastAsia="宋体"/>
                <w:sz w:val="16"/>
              </w:rPr>
              <w:t>—</w:t>
            </w:r>
          </w:p>
        </w:tc>
      </w:tr>
      <w:tr w14:paraId="585AA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B82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C6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26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5B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E3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E7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33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F6E0">
            <w:pPr>
              <w:jc w:val="center"/>
            </w:pPr>
            <w:r>
              <w:rPr>
                <w:rFonts w:ascii="宋体" w:hAnsi="宋体" w:eastAsia="宋体"/>
                <w:sz w:val="16"/>
              </w:rPr>
              <w:t>—</w:t>
            </w:r>
          </w:p>
        </w:tc>
      </w:tr>
      <w:tr w14:paraId="3BC9B3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771F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B01DD1">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B37797">
            <w:pPr>
              <w:jc w:val="center"/>
            </w:pPr>
            <w:r>
              <w:rPr>
                <w:rFonts w:ascii="宋体" w:hAnsi="宋体" w:eastAsia="宋体"/>
                <w:sz w:val="16"/>
              </w:rPr>
              <w:t>实际完成情况</w:t>
            </w:r>
          </w:p>
        </w:tc>
      </w:tr>
      <w:tr w14:paraId="40B1D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386E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8F77F9">
            <w:pPr>
              <w:jc w:val="both"/>
            </w:pPr>
            <w:r>
              <w:rPr>
                <w:rFonts w:ascii="宋体" w:hAnsi="宋体" w:eastAsia="宋体"/>
                <w:sz w:val="16"/>
              </w:rPr>
              <w:t>根据文件实施该项目，项目主要内容：项目资金主要</w:t>
            </w:r>
            <w:r>
              <w:rPr>
                <w:rFonts w:hint="eastAsia" w:ascii="宋体" w:hAnsi="宋体"/>
                <w:sz w:val="16"/>
                <w:lang w:eastAsia="zh-CN"/>
              </w:rPr>
              <w:t>用于</w:t>
            </w:r>
            <w:r>
              <w:rPr>
                <w:rFonts w:ascii="宋体" w:hAnsi="宋体" w:eastAsia="宋体"/>
                <w:sz w:val="16"/>
              </w:rPr>
              <w:t>保障2099名学生正常的校园生活，该项目总投资9.12万元。通过项目的实施，有效提高学生的校园生活质量。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8252A5">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已完成保障2099名学生正常的校园生活，项目资金已使用9.12万元。通过项目的实施，有效提高学生的校园生活质量。</w:t>
            </w:r>
          </w:p>
        </w:tc>
      </w:tr>
      <w:tr w14:paraId="1B1E61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FB47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31EA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E1D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F1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390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FB19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C98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1D9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79901">
            <w:pPr>
              <w:jc w:val="center"/>
            </w:pPr>
            <w:r>
              <w:rPr>
                <w:rFonts w:ascii="宋体" w:hAnsi="宋体" w:eastAsia="宋体"/>
                <w:sz w:val="16"/>
              </w:rPr>
              <w:t>偏差原因分析及改进措施</w:t>
            </w:r>
          </w:p>
        </w:tc>
      </w:tr>
      <w:tr w14:paraId="1B2D6D9B">
        <w:tblPrEx>
          <w:tblCellMar>
            <w:top w:w="0" w:type="dxa"/>
            <w:left w:w="108" w:type="dxa"/>
            <w:bottom w:w="0" w:type="dxa"/>
            <w:right w:w="108" w:type="dxa"/>
          </w:tblCellMar>
        </w:tblPrEx>
        <w:trPr>
          <w:trHeight w:val="89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2B54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066E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E0C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E6E37">
            <w:pPr>
              <w:jc w:val="center"/>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D853">
            <w:pPr>
              <w:jc w:val="center"/>
            </w:pPr>
            <w:r>
              <w:rPr>
                <w:rFonts w:ascii="宋体" w:hAnsi="宋体" w:eastAsia="宋体"/>
                <w:sz w:val="16"/>
              </w:rPr>
              <w:t>&gt;=2099人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315A">
            <w:pPr>
              <w:jc w:val="center"/>
            </w:pPr>
            <w:r>
              <w:rPr>
                <w:rFonts w:ascii="宋体" w:hAnsi="宋体" w:eastAsia="宋体"/>
                <w:sz w:val="16"/>
              </w:rPr>
              <w:t>=2099人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20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0D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90FCE">
            <w:pPr>
              <w:jc w:val="center"/>
            </w:pPr>
          </w:p>
        </w:tc>
      </w:tr>
      <w:tr w14:paraId="5847CF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F34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4B3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C3F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A3AD">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49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2F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407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00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34216">
            <w:pPr>
              <w:jc w:val="center"/>
            </w:pPr>
          </w:p>
        </w:tc>
      </w:tr>
      <w:tr w14:paraId="0BA13568">
        <w:tblPrEx>
          <w:tblCellMar>
            <w:top w:w="0" w:type="dxa"/>
            <w:left w:w="108" w:type="dxa"/>
            <w:bottom w:w="0" w:type="dxa"/>
            <w:right w:w="108" w:type="dxa"/>
          </w:tblCellMar>
        </w:tblPrEx>
        <w:trPr>
          <w:trHeight w:val="7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730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14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144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A7B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ABE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D0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E27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6B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D4A3C">
            <w:pPr>
              <w:jc w:val="center"/>
            </w:pPr>
          </w:p>
        </w:tc>
      </w:tr>
      <w:tr w14:paraId="12FF91E1">
        <w:tblPrEx>
          <w:tblCellMar>
            <w:top w:w="0" w:type="dxa"/>
            <w:left w:w="108" w:type="dxa"/>
            <w:bottom w:w="0" w:type="dxa"/>
            <w:right w:w="108" w:type="dxa"/>
          </w:tblCellMar>
        </w:tblPrEx>
        <w:trPr>
          <w:trHeight w:val="8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415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FB7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76EF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0A01">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490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C4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72F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86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76D35">
            <w:pPr>
              <w:jc w:val="center"/>
            </w:pPr>
          </w:p>
        </w:tc>
      </w:tr>
      <w:tr w14:paraId="0945A4F2">
        <w:tblPrEx>
          <w:tblCellMar>
            <w:top w:w="0" w:type="dxa"/>
            <w:left w:w="108" w:type="dxa"/>
            <w:bottom w:w="0" w:type="dxa"/>
            <w:right w:w="108" w:type="dxa"/>
          </w:tblCellMar>
        </w:tblPrEx>
        <w:trPr>
          <w:trHeight w:val="8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D41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662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018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374B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47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D1B6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170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5F2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5B40">
            <w:pPr>
              <w:jc w:val="center"/>
            </w:pPr>
          </w:p>
        </w:tc>
      </w:tr>
      <w:tr w14:paraId="0E42ED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0A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9AE9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458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C193">
            <w:pPr>
              <w:jc w:val="center"/>
            </w:pPr>
            <w:r>
              <w:rPr>
                <w:rFonts w:ascii="宋体" w:hAnsi="宋体" w:eastAsia="宋体"/>
                <w:sz w:val="16"/>
              </w:rPr>
              <w:t>非寄宿学生生活补助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5A62">
            <w:pPr>
              <w:jc w:val="center"/>
            </w:pPr>
            <w:r>
              <w:rPr>
                <w:rFonts w:ascii="宋体" w:hAnsi="宋体" w:eastAsia="宋体"/>
                <w:sz w:val="16"/>
              </w:rPr>
              <w:t>&lt;=9.12万元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767F">
            <w:pPr>
              <w:jc w:val="center"/>
            </w:pPr>
            <w:r>
              <w:rPr>
                <w:rFonts w:ascii="宋体" w:hAnsi="宋体" w:eastAsia="宋体"/>
                <w:sz w:val="16"/>
              </w:rPr>
              <w:t>=9.12万元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5A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37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4172A">
            <w:pPr>
              <w:jc w:val="center"/>
            </w:pPr>
          </w:p>
        </w:tc>
      </w:tr>
      <w:tr w14:paraId="7003C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5B9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D91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3064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217B6">
            <w:pPr>
              <w:jc w:val="center"/>
            </w:pPr>
            <w:r>
              <w:rPr>
                <w:rFonts w:ascii="宋体" w:hAnsi="宋体" w:eastAsia="宋体"/>
                <w:sz w:val="16"/>
              </w:rPr>
              <w:t>提高学生的校园生活质量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254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68D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9C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1A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B3C38">
            <w:pPr>
              <w:jc w:val="center"/>
            </w:pPr>
          </w:p>
        </w:tc>
      </w:tr>
      <w:tr w14:paraId="738AD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0F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F2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FC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D24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6D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71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0C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22F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BD92">
            <w:pPr>
              <w:jc w:val="center"/>
            </w:pPr>
          </w:p>
        </w:tc>
      </w:tr>
      <w:tr w14:paraId="139CC8B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FCC6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64AE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55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AB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FD57F4"/>
        </w:tc>
      </w:tr>
    </w:tbl>
    <w:p w14:paraId="5DEDC4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348274">
        <w:tblPrEx>
          <w:tblCellMar>
            <w:top w:w="0" w:type="dxa"/>
            <w:left w:w="108" w:type="dxa"/>
            <w:bottom w:w="0" w:type="dxa"/>
            <w:right w:w="108" w:type="dxa"/>
          </w:tblCellMar>
        </w:tblPrEx>
        <w:tc>
          <w:tcPr>
            <w:tcW w:w="8847" w:type="dxa"/>
            <w:gridSpan w:val="9"/>
            <w:vAlign w:val="center"/>
          </w:tcPr>
          <w:p w14:paraId="6B9A640C">
            <w:pPr>
              <w:jc w:val="center"/>
            </w:pPr>
            <w:r>
              <w:rPr>
                <w:rFonts w:ascii="宋体" w:hAnsi="宋体" w:eastAsia="宋体"/>
                <w:sz w:val="24"/>
              </w:rPr>
              <w:t>项目支出绩效自评表</w:t>
            </w:r>
          </w:p>
        </w:tc>
      </w:tr>
      <w:tr w14:paraId="370A8EFD">
        <w:tblPrEx>
          <w:tblCellMar>
            <w:top w:w="0" w:type="dxa"/>
            <w:left w:w="108" w:type="dxa"/>
            <w:bottom w:w="0" w:type="dxa"/>
            <w:right w:w="108" w:type="dxa"/>
          </w:tblCellMar>
        </w:tblPrEx>
        <w:tc>
          <w:tcPr>
            <w:tcW w:w="8847" w:type="dxa"/>
            <w:gridSpan w:val="9"/>
            <w:vAlign w:val="center"/>
          </w:tcPr>
          <w:p w14:paraId="58AEEFCD">
            <w:pPr>
              <w:jc w:val="center"/>
            </w:pPr>
            <w:r>
              <w:rPr>
                <w:rFonts w:ascii="宋体" w:hAnsi="宋体" w:eastAsia="宋体"/>
                <w:sz w:val="24"/>
              </w:rPr>
              <w:t>(2024年度)</w:t>
            </w:r>
          </w:p>
        </w:tc>
      </w:tr>
      <w:tr w14:paraId="6C6120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ECDC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FC32B3">
            <w:pPr>
              <w:jc w:val="center"/>
            </w:pPr>
            <w:r>
              <w:rPr>
                <w:rFonts w:ascii="宋体" w:hAnsi="宋体" w:eastAsia="宋体"/>
                <w:sz w:val="16"/>
              </w:rPr>
              <w:t>2024年新疆西藏等地区教育特殊补助资金-学前三年免费保障经费</w:t>
            </w:r>
          </w:p>
        </w:tc>
      </w:tr>
      <w:tr w14:paraId="7E6693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37F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066638">
            <w:pPr>
              <w:jc w:val="center"/>
            </w:pPr>
            <w:r>
              <w:rPr>
                <w:rFonts w:ascii="宋体" w:hAnsi="宋体" w:eastAsia="宋体"/>
                <w:sz w:val="16"/>
              </w:rPr>
              <w:t>洛浦县多鲁镇中心小学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5A0D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906BF6">
            <w:pPr>
              <w:jc w:val="center"/>
            </w:pPr>
            <w:r>
              <w:rPr>
                <w:rFonts w:ascii="宋体" w:hAnsi="宋体" w:eastAsia="宋体"/>
                <w:sz w:val="16"/>
              </w:rPr>
              <w:t>洛浦县多鲁镇中心小学</w:t>
            </w:r>
          </w:p>
        </w:tc>
      </w:tr>
      <w:tr w14:paraId="50AA42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8851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DCD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9B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840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A021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58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7255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DEFC">
            <w:pPr>
              <w:jc w:val="center"/>
            </w:pPr>
            <w:r>
              <w:rPr>
                <w:rFonts w:ascii="宋体" w:hAnsi="宋体" w:eastAsia="宋体"/>
                <w:sz w:val="16"/>
              </w:rPr>
              <w:t>得分</w:t>
            </w:r>
          </w:p>
        </w:tc>
      </w:tr>
      <w:tr w14:paraId="28FD5E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589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8D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84F4D">
            <w:pPr>
              <w:jc w:val="center"/>
            </w:pPr>
            <w:r>
              <w:rPr>
                <w:rFonts w:ascii="宋体" w:hAnsi="宋体" w:eastAsia="宋体"/>
                <w:sz w:val="16"/>
              </w:rPr>
              <w:t>233.33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4832">
            <w:pPr>
              <w:jc w:val="center"/>
            </w:pPr>
            <w:r>
              <w:rPr>
                <w:rFonts w:ascii="宋体" w:hAnsi="宋体" w:eastAsia="宋体"/>
                <w:sz w:val="16"/>
              </w:rPr>
              <w:t>221.10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D8086">
            <w:pPr>
              <w:jc w:val="center"/>
            </w:pPr>
            <w:r>
              <w:rPr>
                <w:rFonts w:ascii="宋体" w:hAnsi="宋体" w:eastAsia="宋体"/>
                <w:sz w:val="16"/>
              </w:rPr>
              <w:t>221.10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DFC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67B2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635A6">
            <w:pPr>
              <w:jc w:val="center"/>
            </w:pPr>
            <w:r>
              <w:rPr>
                <w:rFonts w:ascii="宋体" w:hAnsi="宋体" w:eastAsia="宋体"/>
                <w:sz w:val="16"/>
              </w:rPr>
              <w:t>10.00分</w:t>
            </w:r>
          </w:p>
        </w:tc>
      </w:tr>
      <w:tr w14:paraId="32BBF3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2FF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6F9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2892">
            <w:pPr>
              <w:jc w:val="center"/>
            </w:pPr>
            <w:r>
              <w:rPr>
                <w:rFonts w:ascii="宋体" w:hAnsi="宋体" w:eastAsia="宋体"/>
                <w:sz w:val="16"/>
              </w:rPr>
              <w:t>233.33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64F8">
            <w:pPr>
              <w:jc w:val="center"/>
            </w:pPr>
            <w:r>
              <w:rPr>
                <w:rFonts w:ascii="宋体" w:hAnsi="宋体" w:eastAsia="宋体"/>
                <w:sz w:val="16"/>
              </w:rPr>
              <w:t>221.10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F757">
            <w:pPr>
              <w:jc w:val="center"/>
            </w:pPr>
            <w:r>
              <w:rPr>
                <w:rFonts w:ascii="宋体" w:hAnsi="宋体" w:eastAsia="宋体"/>
                <w:sz w:val="16"/>
              </w:rPr>
              <w:t>221.10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6F4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8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343B5">
            <w:pPr>
              <w:jc w:val="center"/>
            </w:pPr>
            <w:r>
              <w:rPr>
                <w:rFonts w:ascii="宋体" w:hAnsi="宋体" w:eastAsia="宋体"/>
                <w:sz w:val="16"/>
              </w:rPr>
              <w:t>—</w:t>
            </w:r>
          </w:p>
        </w:tc>
      </w:tr>
      <w:tr w14:paraId="5E5AF4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BB4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448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DC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7F6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1E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27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375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F080">
            <w:pPr>
              <w:jc w:val="center"/>
            </w:pPr>
            <w:r>
              <w:rPr>
                <w:rFonts w:ascii="宋体" w:hAnsi="宋体" w:eastAsia="宋体"/>
                <w:sz w:val="16"/>
              </w:rPr>
              <w:t>—</w:t>
            </w:r>
          </w:p>
        </w:tc>
      </w:tr>
      <w:tr w14:paraId="73A3C7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16C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F0D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119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36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305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AD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0B2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12BB6">
            <w:pPr>
              <w:jc w:val="center"/>
            </w:pPr>
            <w:r>
              <w:rPr>
                <w:rFonts w:ascii="宋体" w:hAnsi="宋体" w:eastAsia="宋体"/>
                <w:sz w:val="16"/>
              </w:rPr>
              <w:t>—</w:t>
            </w:r>
          </w:p>
        </w:tc>
      </w:tr>
      <w:tr w14:paraId="031BCD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C8B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D9AA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031D3">
            <w:pPr>
              <w:jc w:val="center"/>
            </w:pPr>
            <w:r>
              <w:rPr>
                <w:rFonts w:ascii="宋体" w:hAnsi="宋体" w:eastAsia="宋体"/>
                <w:sz w:val="16"/>
              </w:rPr>
              <w:t>实际完成情况</w:t>
            </w:r>
          </w:p>
        </w:tc>
      </w:tr>
      <w:tr w14:paraId="20FA03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83E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E35DA4">
            <w:pPr>
              <w:jc w:val="both"/>
            </w:pPr>
            <w:r>
              <w:rPr>
                <w:rFonts w:ascii="宋体" w:hAnsi="宋体" w:eastAsia="宋体"/>
                <w:sz w:val="16"/>
              </w:rPr>
              <w:t>为了保障学校日常工作正常运转，本项目正常性项目，资金总额为221.1万元，将在2024年12月之前完成。通过实施本项目可以有效提高学校日常工作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8C157">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已完成保障984名学生正常的校园生活，项目资金已使用221.1万元。通过项目的实施，有效提高学生的校园生活质量。</w:t>
            </w:r>
          </w:p>
        </w:tc>
      </w:tr>
      <w:tr w14:paraId="53BA45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AE8D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EC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3E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95F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71C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A627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6F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2B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71B7">
            <w:pPr>
              <w:jc w:val="center"/>
            </w:pPr>
            <w:r>
              <w:rPr>
                <w:rFonts w:ascii="宋体" w:hAnsi="宋体" w:eastAsia="宋体"/>
                <w:sz w:val="16"/>
              </w:rPr>
              <w:t>偏差原因分析及改进措施</w:t>
            </w:r>
          </w:p>
        </w:tc>
      </w:tr>
      <w:tr w14:paraId="568B94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D319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1058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FFC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6CDD">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45F6">
            <w:pPr>
              <w:jc w:val="center"/>
            </w:pPr>
            <w:r>
              <w:rPr>
                <w:rFonts w:ascii="宋体" w:hAnsi="宋体" w:eastAsia="宋体"/>
                <w:sz w:val="16"/>
              </w:rPr>
              <w:t>=984人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0837">
            <w:pPr>
              <w:jc w:val="center"/>
            </w:pPr>
            <w:r>
              <w:rPr>
                <w:rFonts w:ascii="宋体" w:hAnsi="宋体" w:eastAsia="宋体"/>
                <w:sz w:val="16"/>
              </w:rPr>
              <w:t>=984人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08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AD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9FEB">
            <w:pPr>
              <w:jc w:val="center"/>
            </w:pPr>
          </w:p>
        </w:tc>
      </w:tr>
      <w:tr w14:paraId="38F78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0F6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ADA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58F9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29B65">
            <w:pPr>
              <w:jc w:val="center"/>
            </w:pPr>
            <w:r>
              <w:rPr>
                <w:rFonts w:ascii="宋体" w:hAnsi="宋体" w:eastAsia="宋体"/>
                <w:sz w:val="16"/>
              </w:rPr>
              <w:t>资金补助覆盖率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F09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81B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A68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0A7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F05BB">
            <w:pPr>
              <w:jc w:val="center"/>
            </w:pPr>
          </w:p>
        </w:tc>
      </w:tr>
      <w:tr w14:paraId="79A4E5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7A8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D6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DC8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953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68C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F8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C3C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55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B7E9D">
            <w:pPr>
              <w:jc w:val="center"/>
            </w:pPr>
          </w:p>
        </w:tc>
      </w:tr>
      <w:tr w14:paraId="573E8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792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BBE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C5E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CA46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DD9E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A290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75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13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2A31">
            <w:pPr>
              <w:jc w:val="center"/>
            </w:pPr>
          </w:p>
        </w:tc>
      </w:tr>
      <w:tr w14:paraId="2E621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9E6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BA1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F0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C69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49FF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5A2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D6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AF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DECEA">
            <w:pPr>
              <w:jc w:val="center"/>
            </w:pPr>
          </w:p>
        </w:tc>
      </w:tr>
      <w:tr w14:paraId="2C3F5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518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5F7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558A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3A04">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45C4C">
            <w:pPr>
              <w:jc w:val="center"/>
            </w:pPr>
            <w:r>
              <w:rPr>
                <w:rFonts w:ascii="宋体" w:hAnsi="宋体" w:eastAsia="宋体"/>
                <w:sz w:val="16"/>
              </w:rPr>
              <w:t>&lt;=112.47万元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7FD84">
            <w:pPr>
              <w:jc w:val="center"/>
            </w:pPr>
            <w:r>
              <w:rPr>
                <w:rFonts w:ascii="宋体" w:hAnsi="宋体" w:eastAsia="宋体"/>
                <w:sz w:val="16"/>
              </w:rPr>
              <w:t>=112.47万元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7DC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685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4FA1">
            <w:pPr>
              <w:jc w:val="center"/>
            </w:pPr>
          </w:p>
        </w:tc>
      </w:tr>
      <w:tr w14:paraId="08E4F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A14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724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C8B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DDFB3">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2823">
            <w:pPr>
              <w:jc w:val="center"/>
            </w:pPr>
            <w:r>
              <w:rPr>
                <w:rFonts w:ascii="宋体" w:hAnsi="宋体" w:eastAsia="宋体"/>
                <w:sz w:val="16"/>
              </w:rPr>
              <w:t>&lt;=10.73万元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30264">
            <w:pPr>
              <w:jc w:val="center"/>
            </w:pPr>
            <w:r>
              <w:rPr>
                <w:rFonts w:ascii="宋体" w:hAnsi="宋体" w:eastAsia="宋体"/>
                <w:sz w:val="16"/>
              </w:rPr>
              <w:t>=10.73万元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E7A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ED7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E27EC">
            <w:pPr>
              <w:jc w:val="center"/>
            </w:pPr>
          </w:p>
        </w:tc>
      </w:tr>
      <w:tr w14:paraId="1D460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53E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F2A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818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A875">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DEE2">
            <w:pPr>
              <w:jc w:val="center"/>
            </w:pPr>
            <w:r>
              <w:rPr>
                <w:rFonts w:ascii="宋体" w:hAnsi="宋体" w:eastAsia="宋体"/>
                <w:sz w:val="16"/>
              </w:rPr>
              <w:t>&lt;=97.90万元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D0377">
            <w:pPr>
              <w:jc w:val="center"/>
            </w:pPr>
            <w:r>
              <w:rPr>
                <w:rFonts w:ascii="宋体" w:hAnsi="宋体" w:eastAsia="宋体"/>
                <w:sz w:val="16"/>
              </w:rPr>
              <w:t>=97.9万元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DD3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3BCF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638EA">
            <w:pPr>
              <w:jc w:val="center"/>
            </w:pPr>
          </w:p>
        </w:tc>
      </w:tr>
      <w:tr w14:paraId="793A6E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0D4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0889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0C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887C">
            <w:pPr>
              <w:jc w:val="center"/>
            </w:pPr>
            <w:r>
              <w:rPr>
                <w:rFonts w:ascii="宋体" w:hAnsi="宋体" w:eastAsia="宋体"/>
                <w:sz w:val="16"/>
              </w:rPr>
              <w:t>改善学生生活质量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EB0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C3E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0B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6B2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0C0A">
            <w:pPr>
              <w:jc w:val="center"/>
            </w:pPr>
          </w:p>
        </w:tc>
      </w:tr>
      <w:tr w14:paraId="45C28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B76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17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B0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783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9DE4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BE66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8CB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3DD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BB1BF">
            <w:pPr>
              <w:jc w:val="center"/>
            </w:pPr>
          </w:p>
        </w:tc>
      </w:tr>
      <w:tr w14:paraId="6C94379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8389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13F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88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77C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D2D1BD"/>
        </w:tc>
      </w:tr>
    </w:tbl>
    <w:p w14:paraId="03B629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5CD20E">
        <w:tblPrEx>
          <w:tblCellMar>
            <w:top w:w="0" w:type="dxa"/>
            <w:left w:w="108" w:type="dxa"/>
            <w:bottom w:w="0" w:type="dxa"/>
            <w:right w:w="108" w:type="dxa"/>
          </w:tblCellMar>
        </w:tblPrEx>
        <w:tc>
          <w:tcPr>
            <w:tcW w:w="8847" w:type="dxa"/>
            <w:gridSpan w:val="9"/>
            <w:vAlign w:val="center"/>
          </w:tcPr>
          <w:p w14:paraId="35C8B6AC">
            <w:pPr>
              <w:jc w:val="center"/>
            </w:pPr>
            <w:r>
              <w:rPr>
                <w:rFonts w:ascii="宋体" w:hAnsi="宋体" w:eastAsia="宋体"/>
                <w:sz w:val="24"/>
              </w:rPr>
              <w:t>项目支出绩效自评表</w:t>
            </w:r>
          </w:p>
        </w:tc>
      </w:tr>
      <w:tr w14:paraId="04A45046">
        <w:tblPrEx>
          <w:tblCellMar>
            <w:top w:w="0" w:type="dxa"/>
            <w:left w:w="108" w:type="dxa"/>
            <w:bottom w:w="0" w:type="dxa"/>
            <w:right w:w="108" w:type="dxa"/>
          </w:tblCellMar>
        </w:tblPrEx>
        <w:tc>
          <w:tcPr>
            <w:tcW w:w="8847" w:type="dxa"/>
            <w:gridSpan w:val="9"/>
            <w:vAlign w:val="center"/>
          </w:tcPr>
          <w:p w14:paraId="1060188D">
            <w:pPr>
              <w:jc w:val="center"/>
            </w:pPr>
            <w:r>
              <w:rPr>
                <w:rFonts w:ascii="宋体" w:hAnsi="宋体" w:eastAsia="宋体"/>
                <w:sz w:val="24"/>
              </w:rPr>
              <w:t>(2024年度)</w:t>
            </w:r>
          </w:p>
        </w:tc>
      </w:tr>
      <w:tr w14:paraId="7E9D83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36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FECC03">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308CC6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DDC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3B4EB8">
            <w:pPr>
              <w:jc w:val="center"/>
            </w:pPr>
            <w:r>
              <w:rPr>
                <w:rFonts w:ascii="宋体" w:hAnsi="宋体" w:eastAsia="宋体"/>
                <w:sz w:val="16"/>
              </w:rPr>
              <w:t>洛浦县多鲁镇中心小学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9C4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26C3B3">
            <w:pPr>
              <w:jc w:val="center"/>
            </w:pPr>
            <w:r>
              <w:rPr>
                <w:rFonts w:ascii="宋体" w:hAnsi="宋体" w:eastAsia="宋体"/>
                <w:sz w:val="16"/>
              </w:rPr>
              <w:t>洛浦县多鲁镇中心小学</w:t>
            </w:r>
          </w:p>
        </w:tc>
      </w:tr>
      <w:tr w14:paraId="3BDDDB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B844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208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FC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F28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CFE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31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AA2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B235B">
            <w:pPr>
              <w:jc w:val="center"/>
            </w:pPr>
            <w:r>
              <w:rPr>
                <w:rFonts w:ascii="宋体" w:hAnsi="宋体" w:eastAsia="宋体"/>
                <w:sz w:val="16"/>
              </w:rPr>
              <w:t>得分</w:t>
            </w:r>
          </w:p>
        </w:tc>
      </w:tr>
      <w:tr w14:paraId="7D8A6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2BB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66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3DA90">
            <w:pPr>
              <w:jc w:val="center"/>
            </w:pPr>
            <w:r>
              <w:rPr>
                <w:rFonts w:ascii="宋体" w:hAnsi="宋体" w:eastAsia="宋体"/>
                <w:sz w:val="16"/>
              </w:rPr>
              <w:t>1,804.70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A84F1">
            <w:pPr>
              <w:jc w:val="center"/>
            </w:pPr>
            <w:r>
              <w:rPr>
                <w:rFonts w:ascii="宋体" w:hAnsi="宋体" w:eastAsia="宋体"/>
                <w:sz w:val="16"/>
              </w:rPr>
              <w:t>1,448.30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9D61">
            <w:pPr>
              <w:jc w:val="center"/>
            </w:pPr>
            <w:r>
              <w:rPr>
                <w:rFonts w:ascii="宋体" w:hAnsi="宋体" w:eastAsia="宋体"/>
                <w:sz w:val="16"/>
              </w:rPr>
              <w:t>1,448.30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EF7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504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967A">
            <w:pPr>
              <w:jc w:val="center"/>
            </w:pPr>
            <w:r>
              <w:rPr>
                <w:rFonts w:ascii="宋体" w:hAnsi="宋体" w:eastAsia="宋体"/>
                <w:sz w:val="16"/>
              </w:rPr>
              <w:t>10.00分</w:t>
            </w:r>
          </w:p>
        </w:tc>
      </w:tr>
      <w:tr w14:paraId="7C57E7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DB1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DB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81EA">
            <w:pPr>
              <w:jc w:val="center"/>
            </w:pPr>
            <w:r>
              <w:rPr>
                <w:rFonts w:ascii="宋体" w:hAnsi="宋体" w:eastAsia="宋体"/>
                <w:sz w:val="16"/>
              </w:rPr>
              <w:t>1,804.70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2650">
            <w:pPr>
              <w:jc w:val="center"/>
            </w:pPr>
            <w:r>
              <w:rPr>
                <w:rFonts w:ascii="宋体" w:hAnsi="宋体" w:eastAsia="宋体"/>
                <w:sz w:val="16"/>
              </w:rPr>
              <w:t>1,448.30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6E0B3">
            <w:pPr>
              <w:jc w:val="center"/>
            </w:pPr>
            <w:r>
              <w:rPr>
                <w:rFonts w:ascii="宋体" w:hAnsi="宋体" w:eastAsia="宋体"/>
                <w:sz w:val="16"/>
              </w:rPr>
              <w:t>1,448.30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80E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B7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1E187">
            <w:pPr>
              <w:jc w:val="center"/>
            </w:pPr>
            <w:r>
              <w:rPr>
                <w:rFonts w:ascii="宋体" w:hAnsi="宋体" w:eastAsia="宋体"/>
                <w:sz w:val="16"/>
              </w:rPr>
              <w:t>—</w:t>
            </w:r>
          </w:p>
        </w:tc>
      </w:tr>
      <w:tr w14:paraId="662B2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929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D9E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F2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6B6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DE4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189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71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7259">
            <w:pPr>
              <w:jc w:val="center"/>
            </w:pPr>
            <w:r>
              <w:rPr>
                <w:rFonts w:ascii="宋体" w:hAnsi="宋体" w:eastAsia="宋体"/>
                <w:sz w:val="16"/>
              </w:rPr>
              <w:t>—</w:t>
            </w:r>
          </w:p>
        </w:tc>
      </w:tr>
      <w:tr w14:paraId="64DA6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3F8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56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D2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BB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A4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08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20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2838">
            <w:pPr>
              <w:jc w:val="center"/>
            </w:pPr>
            <w:r>
              <w:rPr>
                <w:rFonts w:ascii="宋体" w:hAnsi="宋体" w:eastAsia="宋体"/>
                <w:sz w:val="16"/>
              </w:rPr>
              <w:t>—</w:t>
            </w:r>
          </w:p>
        </w:tc>
      </w:tr>
      <w:tr w14:paraId="4066FD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5020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D62E7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C1A4F7">
            <w:pPr>
              <w:jc w:val="center"/>
            </w:pPr>
            <w:r>
              <w:rPr>
                <w:rFonts w:ascii="宋体" w:hAnsi="宋体" w:eastAsia="宋体"/>
                <w:sz w:val="16"/>
              </w:rPr>
              <w:t>实际完成情况</w:t>
            </w:r>
          </w:p>
        </w:tc>
      </w:tr>
      <w:tr w14:paraId="0622E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FA9D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836F97">
            <w:pPr>
              <w:jc w:val="both"/>
            </w:pPr>
            <w:r>
              <w:rPr>
                <w:rFonts w:ascii="宋体" w:hAnsi="宋体" w:eastAsia="宋体"/>
                <w:sz w:val="16"/>
              </w:rPr>
              <w:t>为了保障学校日常工作正常运转，本项目正常性项目，资金总额为1448.3万元，将在2024年12月之前完成。通过实施本项目可以有效提高学校日常工作水平，提高学生积极性，激励学生学习效率，提高学校教育教学质量，学校环境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B31D6C">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已完成保障8402名学生正常的校园生活，项目资金已使用1448.3万元。通过项目的实施，有效提高学生的校园生活质量。</w:t>
            </w:r>
          </w:p>
        </w:tc>
      </w:tr>
      <w:tr w14:paraId="3D1EE7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A3CD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BBB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33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1E4E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E0F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85C2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8FA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E6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7877">
            <w:pPr>
              <w:jc w:val="center"/>
            </w:pPr>
            <w:r>
              <w:rPr>
                <w:rFonts w:ascii="宋体" w:hAnsi="宋体" w:eastAsia="宋体"/>
                <w:sz w:val="16"/>
              </w:rPr>
              <w:t>偏差原因分析及改进措施</w:t>
            </w:r>
          </w:p>
        </w:tc>
      </w:tr>
      <w:tr w14:paraId="0723C1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3258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2DED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16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7BC5">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B90B">
            <w:pPr>
              <w:jc w:val="center"/>
            </w:pPr>
            <w:r>
              <w:rPr>
                <w:rFonts w:ascii="宋体" w:hAnsi="宋体" w:eastAsia="宋体"/>
                <w:sz w:val="16"/>
              </w:rPr>
              <w:t>=8724人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5AD6">
            <w:pPr>
              <w:jc w:val="center"/>
            </w:pPr>
            <w:r>
              <w:rPr>
                <w:rFonts w:ascii="宋体" w:hAnsi="宋体" w:eastAsia="宋体"/>
                <w:sz w:val="16"/>
              </w:rPr>
              <w:t>=8402人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F0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4C0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55B74">
            <w:pPr>
              <w:jc w:val="center"/>
            </w:pPr>
          </w:p>
        </w:tc>
      </w:tr>
      <w:tr w14:paraId="75B49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316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3CD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6D59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2423F">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D6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AF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5E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7A6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E280">
            <w:pPr>
              <w:jc w:val="center"/>
            </w:pPr>
          </w:p>
        </w:tc>
      </w:tr>
      <w:tr w14:paraId="72C6B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FE8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E1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051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3F9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0ECD6">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B2A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EA7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93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9D53">
            <w:pPr>
              <w:jc w:val="center"/>
            </w:pPr>
          </w:p>
        </w:tc>
      </w:tr>
      <w:tr w14:paraId="76A5DD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C20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26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69C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498D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E29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E41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B6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CC2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076E">
            <w:pPr>
              <w:jc w:val="center"/>
            </w:pPr>
          </w:p>
        </w:tc>
      </w:tr>
      <w:tr w14:paraId="6EDA0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964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A0C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6FE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FA1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23E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3FF3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63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2B7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E92E">
            <w:pPr>
              <w:jc w:val="center"/>
            </w:pPr>
          </w:p>
        </w:tc>
      </w:tr>
      <w:tr w14:paraId="36FF1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34A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9BF1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627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DE9EF">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2ED2">
            <w:pPr>
              <w:jc w:val="center"/>
            </w:pPr>
            <w:r>
              <w:rPr>
                <w:rFonts w:ascii="宋体" w:hAnsi="宋体" w:eastAsia="宋体"/>
                <w:sz w:val="16"/>
              </w:rPr>
              <w:t>&lt;=588.15万元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5ECA">
            <w:pPr>
              <w:jc w:val="center"/>
            </w:pPr>
            <w:r>
              <w:rPr>
                <w:rFonts w:ascii="宋体" w:hAnsi="宋体" w:eastAsia="宋体"/>
                <w:sz w:val="16"/>
              </w:rPr>
              <w:t>=588.15万元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A6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A5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2E49">
            <w:pPr>
              <w:jc w:val="center"/>
            </w:pPr>
          </w:p>
        </w:tc>
      </w:tr>
      <w:tr w14:paraId="096D35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EB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8EC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A8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B23F">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992D0">
            <w:pPr>
              <w:jc w:val="center"/>
            </w:pPr>
            <w:r>
              <w:rPr>
                <w:rFonts w:ascii="宋体" w:hAnsi="宋体" w:eastAsia="宋体"/>
                <w:sz w:val="16"/>
              </w:rPr>
              <w:t>&lt;=67.70万元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50837">
            <w:pPr>
              <w:jc w:val="center"/>
            </w:pPr>
            <w:r>
              <w:rPr>
                <w:rFonts w:ascii="宋体" w:hAnsi="宋体" w:eastAsia="宋体"/>
                <w:sz w:val="16"/>
              </w:rPr>
              <w:t>=67.7万元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AFC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A8A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A377">
            <w:pPr>
              <w:jc w:val="center"/>
            </w:pPr>
          </w:p>
        </w:tc>
      </w:tr>
      <w:tr w14:paraId="42102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9C9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E3A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C41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345E1">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4AAD3">
            <w:pPr>
              <w:jc w:val="center"/>
            </w:pPr>
            <w:r>
              <w:rPr>
                <w:rFonts w:ascii="宋体" w:hAnsi="宋体" w:eastAsia="宋体"/>
                <w:sz w:val="16"/>
              </w:rPr>
              <w:t>&lt;=54万元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CFD1">
            <w:pPr>
              <w:jc w:val="center"/>
            </w:pPr>
            <w:r>
              <w:rPr>
                <w:rFonts w:ascii="宋体" w:hAnsi="宋体" w:eastAsia="宋体"/>
                <w:sz w:val="16"/>
              </w:rPr>
              <w:t>=54万元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225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DD0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CDCA">
            <w:pPr>
              <w:jc w:val="center"/>
            </w:pPr>
          </w:p>
        </w:tc>
      </w:tr>
      <w:tr w14:paraId="40F72A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843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953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8DD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2D6E">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FBAAE">
            <w:pPr>
              <w:jc w:val="center"/>
            </w:pPr>
            <w:r>
              <w:rPr>
                <w:rFonts w:ascii="宋体" w:hAnsi="宋体" w:eastAsia="宋体"/>
                <w:sz w:val="16"/>
              </w:rPr>
              <w:t>&lt;=738.45万元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C4CC">
            <w:pPr>
              <w:jc w:val="center"/>
            </w:pPr>
            <w:r>
              <w:rPr>
                <w:rFonts w:ascii="宋体" w:hAnsi="宋体" w:eastAsia="宋体"/>
                <w:sz w:val="16"/>
              </w:rPr>
              <w:t>=738.45万元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0EC6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A46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73A8A">
            <w:pPr>
              <w:jc w:val="center"/>
            </w:pPr>
          </w:p>
        </w:tc>
      </w:tr>
      <w:tr w14:paraId="38B7B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991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0FA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46B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023EF">
            <w:pPr>
              <w:jc w:val="center"/>
            </w:pPr>
            <w:r>
              <w:rPr>
                <w:rFonts w:ascii="宋体" w:hAnsi="宋体" w:eastAsia="宋体"/>
                <w:sz w:val="16"/>
              </w:rPr>
              <w:t>提高学校教育教学质量，学校环境质量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92C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D10A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6F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480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8549F">
            <w:pPr>
              <w:jc w:val="center"/>
            </w:pPr>
          </w:p>
        </w:tc>
      </w:tr>
      <w:tr w14:paraId="689AE9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950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25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985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3E309">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F1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BC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0E0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92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0ACD">
            <w:pPr>
              <w:jc w:val="center"/>
            </w:pPr>
          </w:p>
        </w:tc>
      </w:tr>
      <w:tr w14:paraId="0EC8AE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0C11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3AF4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637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B360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944B1B"/>
        </w:tc>
      </w:tr>
    </w:tbl>
    <w:p w14:paraId="727149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25A1AF">
        <w:tblPrEx>
          <w:tblCellMar>
            <w:top w:w="0" w:type="dxa"/>
            <w:left w:w="108" w:type="dxa"/>
            <w:bottom w:w="0" w:type="dxa"/>
            <w:right w:w="108" w:type="dxa"/>
          </w:tblCellMar>
        </w:tblPrEx>
        <w:tc>
          <w:tcPr>
            <w:tcW w:w="8847" w:type="dxa"/>
            <w:gridSpan w:val="9"/>
            <w:vAlign w:val="center"/>
          </w:tcPr>
          <w:p w14:paraId="690F79D0">
            <w:pPr>
              <w:jc w:val="center"/>
            </w:pPr>
            <w:r>
              <w:rPr>
                <w:rFonts w:ascii="宋体" w:hAnsi="宋体" w:eastAsia="宋体"/>
                <w:sz w:val="24"/>
              </w:rPr>
              <w:t>项目支出绩效自评表</w:t>
            </w:r>
          </w:p>
        </w:tc>
      </w:tr>
      <w:tr w14:paraId="33B2CA4F">
        <w:tblPrEx>
          <w:tblCellMar>
            <w:top w:w="0" w:type="dxa"/>
            <w:left w:w="108" w:type="dxa"/>
            <w:bottom w:w="0" w:type="dxa"/>
            <w:right w:w="108" w:type="dxa"/>
          </w:tblCellMar>
        </w:tblPrEx>
        <w:tc>
          <w:tcPr>
            <w:tcW w:w="8847" w:type="dxa"/>
            <w:gridSpan w:val="9"/>
            <w:vAlign w:val="center"/>
          </w:tcPr>
          <w:p w14:paraId="0B526C33">
            <w:pPr>
              <w:jc w:val="center"/>
            </w:pPr>
            <w:r>
              <w:rPr>
                <w:rFonts w:ascii="宋体" w:hAnsi="宋体" w:eastAsia="宋体"/>
                <w:sz w:val="24"/>
              </w:rPr>
              <w:t>(2024年度)</w:t>
            </w:r>
          </w:p>
        </w:tc>
      </w:tr>
      <w:tr w14:paraId="6E3C7D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4F43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11146F">
            <w:pPr>
              <w:jc w:val="center"/>
            </w:pPr>
            <w:r>
              <w:rPr>
                <w:rFonts w:ascii="宋体" w:hAnsi="宋体" w:eastAsia="宋体"/>
                <w:sz w:val="16"/>
              </w:rPr>
              <w:t>中央直达资金-和地财教</w:t>
            </w:r>
            <w:r>
              <w:rPr>
                <w:rFonts w:hint="eastAsia" w:ascii="宋体" w:hAnsi="宋体"/>
                <w:sz w:val="16"/>
                <w:lang w:eastAsia="zh-CN"/>
              </w:rPr>
              <w:t>〔2022〕70号</w:t>
            </w:r>
            <w:r>
              <w:rPr>
                <w:rFonts w:ascii="宋体" w:hAnsi="宋体" w:eastAsia="宋体"/>
                <w:sz w:val="16"/>
              </w:rPr>
              <w:t>:2023年城乡义务教育公用经费</w:t>
            </w:r>
          </w:p>
        </w:tc>
      </w:tr>
      <w:tr w14:paraId="5EDF4F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BD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62629">
            <w:pPr>
              <w:jc w:val="center"/>
            </w:pPr>
            <w:r>
              <w:rPr>
                <w:rFonts w:ascii="宋体" w:hAnsi="宋体" w:eastAsia="宋体"/>
                <w:sz w:val="16"/>
              </w:rPr>
              <w:t>洛浦县多鲁镇中心小学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689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369AD6">
            <w:pPr>
              <w:jc w:val="center"/>
            </w:pPr>
            <w:r>
              <w:rPr>
                <w:rFonts w:ascii="宋体" w:hAnsi="宋体" w:eastAsia="宋体"/>
                <w:sz w:val="16"/>
              </w:rPr>
              <w:t>洛浦县多鲁镇中心小学</w:t>
            </w:r>
          </w:p>
        </w:tc>
      </w:tr>
      <w:tr w14:paraId="77441B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87C1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E2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51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14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74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3D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39E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672FE">
            <w:pPr>
              <w:jc w:val="center"/>
            </w:pPr>
            <w:r>
              <w:rPr>
                <w:rFonts w:ascii="宋体" w:hAnsi="宋体" w:eastAsia="宋体"/>
                <w:sz w:val="16"/>
              </w:rPr>
              <w:t>得分</w:t>
            </w:r>
          </w:p>
        </w:tc>
      </w:tr>
      <w:tr w14:paraId="185E9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E2B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66A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1F7AD">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9917">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33444">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7B8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0677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E1B6">
            <w:pPr>
              <w:jc w:val="center"/>
            </w:pPr>
            <w:r>
              <w:rPr>
                <w:rFonts w:ascii="宋体" w:hAnsi="宋体" w:eastAsia="宋体"/>
                <w:sz w:val="16"/>
              </w:rPr>
              <w:t>10.00分</w:t>
            </w:r>
          </w:p>
        </w:tc>
      </w:tr>
      <w:tr w14:paraId="0A71AA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9EF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A6FD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D016">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2306">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D4A56">
            <w:pPr>
              <w:jc w:val="center"/>
            </w:pPr>
            <w:r>
              <w:rPr>
                <w:rFonts w:ascii="宋体" w:hAnsi="宋体" w:eastAsia="宋体"/>
                <w:sz w:val="16"/>
              </w:rPr>
              <w:t>210.72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D38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58C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1F6E">
            <w:pPr>
              <w:jc w:val="center"/>
            </w:pPr>
            <w:r>
              <w:rPr>
                <w:rFonts w:ascii="宋体" w:hAnsi="宋体" w:eastAsia="宋体"/>
                <w:sz w:val="16"/>
              </w:rPr>
              <w:t>—</w:t>
            </w:r>
          </w:p>
        </w:tc>
      </w:tr>
      <w:tr w14:paraId="33BF3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4A4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EB1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C06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5B2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80F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FE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FE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7F292">
            <w:pPr>
              <w:jc w:val="center"/>
            </w:pPr>
            <w:r>
              <w:rPr>
                <w:rFonts w:ascii="宋体" w:hAnsi="宋体" w:eastAsia="宋体"/>
                <w:sz w:val="16"/>
              </w:rPr>
              <w:t>—</w:t>
            </w:r>
          </w:p>
        </w:tc>
      </w:tr>
      <w:tr w14:paraId="02BD37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99C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E7E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AA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7E0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E50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F5F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1C7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583C">
            <w:pPr>
              <w:jc w:val="center"/>
            </w:pPr>
            <w:r>
              <w:rPr>
                <w:rFonts w:ascii="宋体" w:hAnsi="宋体" w:eastAsia="宋体"/>
                <w:sz w:val="16"/>
              </w:rPr>
              <w:t>—</w:t>
            </w:r>
          </w:p>
        </w:tc>
      </w:tr>
      <w:tr w14:paraId="2AEEFC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12D7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C150C1">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97F6AF">
            <w:pPr>
              <w:jc w:val="center"/>
            </w:pPr>
            <w:r>
              <w:rPr>
                <w:rFonts w:ascii="宋体" w:hAnsi="宋体" w:eastAsia="宋体"/>
                <w:sz w:val="16"/>
              </w:rPr>
              <w:t>实际完成情况</w:t>
            </w:r>
          </w:p>
        </w:tc>
      </w:tr>
      <w:tr w14:paraId="58FAE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7B62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D04993">
            <w:pPr>
              <w:jc w:val="both"/>
            </w:pPr>
            <w:r>
              <w:rPr>
                <w:rFonts w:ascii="宋体" w:hAnsi="宋体" w:eastAsia="宋体"/>
                <w:sz w:val="16"/>
              </w:rPr>
              <w:t>根据自治区资金-和地财教</w:t>
            </w:r>
            <w:r>
              <w:rPr>
                <w:rFonts w:hint="eastAsia" w:ascii="宋体" w:hAnsi="宋体"/>
                <w:sz w:val="16"/>
                <w:lang w:eastAsia="zh-CN"/>
              </w:rPr>
              <w:t>〔2023〕70号</w:t>
            </w:r>
            <w:r>
              <w:rPr>
                <w:rFonts w:ascii="宋体" w:hAnsi="宋体" w:eastAsia="宋体"/>
                <w:sz w:val="16"/>
              </w:rPr>
              <w:t>文件实施该项目，项目主要内容：项目资金主要用于保障8402名学生的寄宿生生活补助及学校正常运转费用通过项目的实施，有效改善学生的校园生活条件。</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7205F2">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已完成保障8402名学生正常的校园生活，项目资金已使用210.72万元。通过项目的实施，有效提高学生的校园生活质量。</w:t>
            </w:r>
          </w:p>
        </w:tc>
      </w:tr>
      <w:tr w14:paraId="6B5DAA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B2F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20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88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75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C39F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49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620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C9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D658">
            <w:pPr>
              <w:jc w:val="center"/>
            </w:pPr>
            <w:r>
              <w:rPr>
                <w:rFonts w:ascii="宋体" w:hAnsi="宋体" w:eastAsia="宋体"/>
                <w:sz w:val="16"/>
              </w:rPr>
              <w:t>偏差原因分析及改进措施</w:t>
            </w:r>
          </w:p>
        </w:tc>
      </w:tr>
      <w:tr w14:paraId="018C46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ABF6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E129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F16F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8141">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F7B76">
            <w:pPr>
              <w:jc w:val="center"/>
            </w:pPr>
            <w:r>
              <w:rPr>
                <w:rFonts w:ascii="宋体" w:hAnsi="宋体" w:eastAsia="宋体"/>
                <w:sz w:val="16"/>
              </w:rPr>
              <w:t>&gt;=8402人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09B0A">
            <w:pPr>
              <w:jc w:val="center"/>
            </w:pPr>
            <w:r>
              <w:rPr>
                <w:rFonts w:ascii="宋体" w:hAnsi="宋体" w:eastAsia="宋体"/>
                <w:sz w:val="16"/>
              </w:rPr>
              <w:t>=8402人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7D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D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3999">
            <w:pPr>
              <w:jc w:val="center"/>
            </w:pPr>
          </w:p>
        </w:tc>
      </w:tr>
      <w:tr w14:paraId="0E9E83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2F2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BFE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3E4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B04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7A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4E8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BC2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F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48CD4">
            <w:pPr>
              <w:jc w:val="center"/>
            </w:pPr>
          </w:p>
        </w:tc>
      </w:tr>
      <w:tr w14:paraId="4F51CE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29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FCE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C9A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672CD">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A1C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58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B2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19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9F4B">
            <w:pPr>
              <w:jc w:val="center"/>
            </w:pPr>
          </w:p>
        </w:tc>
      </w:tr>
      <w:tr w14:paraId="081E8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DB2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93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0721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727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5C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12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153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457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49F1">
            <w:pPr>
              <w:jc w:val="center"/>
            </w:pPr>
          </w:p>
        </w:tc>
      </w:tr>
      <w:tr w14:paraId="5570B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69F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DF0A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0079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8DDEE">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79441">
            <w:pPr>
              <w:jc w:val="center"/>
            </w:pPr>
            <w:r>
              <w:rPr>
                <w:rFonts w:ascii="宋体" w:hAnsi="宋体" w:eastAsia="宋体"/>
                <w:sz w:val="16"/>
              </w:rPr>
              <w:t>&lt;=83.84万元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F401">
            <w:pPr>
              <w:jc w:val="center"/>
            </w:pPr>
            <w:r>
              <w:rPr>
                <w:rFonts w:ascii="宋体" w:hAnsi="宋体" w:eastAsia="宋体"/>
                <w:sz w:val="16"/>
              </w:rPr>
              <w:t>=83.84万元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65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9E2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20904">
            <w:pPr>
              <w:jc w:val="center"/>
            </w:pPr>
          </w:p>
        </w:tc>
      </w:tr>
      <w:tr w14:paraId="5AB8DD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32D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DEE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CD0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7040">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4C85">
            <w:pPr>
              <w:jc w:val="center"/>
            </w:pPr>
            <w:r>
              <w:rPr>
                <w:rFonts w:ascii="宋体" w:hAnsi="宋体" w:eastAsia="宋体"/>
                <w:sz w:val="16"/>
              </w:rPr>
              <w:t>&lt;=126.88万元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78F0B">
            <w:pPr>
              <w:jc w:val="center"/>
            </w:pPr>
            <w:r>
              <w:rPr>
                <w:rFonts w:ascii="宋体" w:hAnsi="宋体" w:eastAsia="宋体"/>
                <w:sz w:val="16"/>
              </w:rPr>
              <w:t>=126.88万元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D9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77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773E">
            <w:pPr>
              <w:jc w:val="center"/>
            </w:pPr>
          </w:p>
        </w:tc>
      </w:tr>
      <w:tr w14:paraId="6D335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9B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CEC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3E2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BF83">
            <w:pPr>
              <w:jc w:val="center"/>
            </w:pPr>
            <w:r>
              <w:rPr>
                <w:rFonts w:ascii="宋体" w:hAnsi="宋体" w:eastAsia="宋体"/>
                <w:sz w:val="16"/>
              </w:rPr>
              <w:t>改善学生的校园生活条件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1E10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558D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8F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3DC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F2296">
            <w:pPr>
              <w:jc w:val="center"/>
            </w:pPr>
          </w:p>
        </w:tc>
      </w:tr>
      <w:tr w14:paraId="245027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DE5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EA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0C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F187">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DCE9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D1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63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EE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4D59">
            <w:pPr>
              <w:jc w:val="center"/>
            </w:pPr>
          </w:p>
        </w:tc>
      </w:tr>
      <w:tr w14:paraId="4786C95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9E195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441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379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B430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A1CEE9"/>
        </w:tc>
      </w:tr>
    </w:tbl>
    <w:p w14:paraId="034D56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D4F92B">
        <w:tblPrEx>
          <w:tblCellMar>
            <w:top w:w="0" w:type="dxa"/>
            <w:left w:w="108" w:type="dxa"/>
            <w:bottom w:w="0" w:type="dxa"/>
            <w:right w:w="108" w:type="dxa"/>
          </w:tblCellMar>
        </w:tblPrEx>
        <w:tc>
          <w:tcPr>
            <w:tcW w:w="8847" w:type="dxa"/>
            <w:gridSpan w:val="9"/>
            <w:vAlign w:val="center"/>
          </w:tcPr>
          <w:p w14:paraId="070A9130">
            <w:pPr>
              <w:jc w:val="center"/>
            </w:pPr>
            <w:r>
              <w:rPr>
                <w:rFonts w:ascii="宋体" w:hAnsi="宋体" w:eastAsia="宋体"/>
                <w:sz w:val="24"/>
              </w:rPr>
              <w:t>项目支出绩效自评表</w:t>
            </w:r>
          </w:p>
        </w:tc>
      </w:tr>
      <w:tr w14:paraId="4BF8D3E1">
        <w:tblPrEx>
          <w:tblCellMar>
            <w:top w:w="0" w:type="dxa"/>
            <w:left w:w="108" w:type="dxa"/>
            <w:bottom w:w="0" w:type="dxa"/>
            <w:right w:w="108" w:type="dxa"/>
          </w:tblCellMar>
        </w:tblPrEx>
        <w:tc>
          <w:tcPr>
            <w:tcW w:w="8847" w:type="dxa"/>
            <w:gridSpan w:val="9"/>
            <w:vAlign w:val="center"/>
          </w:tcPr>
          <w:p w14:paraId="20E04C57">
            <w:pPr>
              <w:jc w:val="center"/>
            </w:pPr>
            <w:r>
              <w:rPr>
                <w:rFonts w:ascii="宋体" w:hAnsi="宋体" w:eastAsia="宋体"/>
                <w:sz w:val="24"/>
              </w:rPr>
              <w:t>(2024年度)</w:t>
            </w:r>
          </w:p>
        </w:tc>
      </w:tr>
      <w:tr w14:paraId="06A504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19C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5DF5A5">
            <w:pPr>
              <w:jc w:val="center"/>
            </w:pPr>
            <w:r>
              <w:rPr>
                <w:rFonts w:ascii="宋体" w:hAnsi="宋体" w:eastAsia="宋体"/>
                <w:sz w:val="16"/>
              </w:rPr>
              <w:t>特岗工资-和地财教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5D92CB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7F46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31003E">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258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D81A8B">
            <w:pPr>
              <w:jc w:val="center"/>
            </w:pPr>
            <w:r>
              <w:rPr>
                <w:rFonts w:ascii="宋体" w:hAnsi="宋体" w:eastAsia="宋体"/>
                <w:sz w:val="16"/>
              </w:rPr>
              <w:t>洛浦县多鲁镇中心小学</w:t>
            </w:r>
          </w:p>
        </w:tc>
      </w:tr>
      <w:tr w14:paraId="0C9AA0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651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E2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0E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91F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14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04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586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B969F">
            <w:pPr>
              <w:jc w:val="center"/>
            </w:pPr>
            <w:r>
              <w:rPr>
                <w:rFonts w:ascii="宋体" w:hAnsi="宋体" w:eastAsia="宋体"/>
                <w:sz w:val="16"/>
              </w:rPr>
              <w:t>得分</w:t>
            </w:r>
          </w:p>
        </w:tc>
      </w:tr>
      <w:tr w14:paraId="3444FB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4E1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56F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E6D1">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5246">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F9783">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D31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2571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C2EF">
            <w:pPr>
              <w:jc w:val="center"/>
            </w:pPr>
            <w:r>
              <w:rPr>
                <w:rFonts w:ascii="宋体" w:hAnsi="宋体" w:eastAsia="宋体"/>
                <w:sz w:val="16"/>
              </w:rPr>
              <w:t>10.00</w:t>
            </w:r>
          </w:p>
        </w:tc>
      </w:tr>
      <w:tr w14:paraId="181FF9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29D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F82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771C">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6F35">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28AFC">
            <w:pPr>
              <w:jc w:val="center"/>
            </w:pPr>
            <w:r>
              <w:rPr>
                <w:rFonts w:ascii="宋体" w:hAnsi="宋体" w:eastAsia="宋体"/>
                <w:sz w:val="16"/>
              </w:rPr>
              <w:t>56.71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3F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A9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F1774">
            <w:pPr>
              <w:jc w:val="center"/>
            </w:pPr>
            <w:r>
              <w:rPr>
                <w:rFonts w:ascii="宋体" w:hAnsi="宋体" w:eastAsia="宋体"/>
                <w:sz w:val="16"/>
              </w:rPr>
              <w:t>—</w:t>
            </w:r>
          </w:p>
        </w:tc>
      </w:tr>
      <w:tr w14:paraId="1C503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6C2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A37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27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CF2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31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7FB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C8A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F64A">
            <w:pPr>
              <w:jc w:val="center"/>
            </w:pPr>
            <w:r>
              <w:rPr>
                <w:rFonts w:ascii="宋体" w:hAnsi="宋体" w:eastAsia="宋体"/>
                <w:sz w:val="16"/>
              </w:rPr>
              <w:t>—</w:t>
            </w:r>
          </w:p>
        </w:tc>
      </w:tr>
      <w:tr w14:paraId="4BB56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804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2B5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2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A58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D9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3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10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32F4">
            <w:pPr>
              <w:jc w:val="center"/>
            </w:pPr>
            <w:r>
              <w:rPr>
                <w:rFonts w:ascii="宋体" w:hAnsi="宋体" w:eastAsia="宋体"/>
                <w:sz w:val="16"/>
              </w:rPr>
              <w:t>—</w:t>
            </w:r>
          </w:p>
        </w:tc>
      </w:tr>
      <w:tr w14:paraId="477F25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9A3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7653E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189107">
            <w:pPr>
              <w:jc w:val="center"/>
            </w:pPr>
            <w:r>
              <w:rPr>
                <w:rFonts w:ascii="宋体" w:hAnsi="宋体" w:eastAsia="宋体"/>
                <w:sz w:val="16"/>
              </w:rPr>
              <w:t>实际完成情况</w:t>
            </w:r>
          </w:p>
        </w:tc>
      </w:tr>
      <w:tr w14:paraId="0EBBBD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BC94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B445BA">
            <w:pPr>
              <w:jc w:val="both"/>
            </w:pPr>
            <w:r>
              <w:rPr>
                <w:rFonts w:ascii="宋体" w:hAnsi="宋体" w:eastAsia="宋体"/>
                <w:sz w:val="16"/>
              </w:rPr>
              <w:t>本项目主要实施内容为：为保障学校日常工作正常运转，保障学校的教育教学工作，保障教职工的生活水平。资金总金额为：56.71万元。将在2024年12月之前完成。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3EA101">
            <w:pPr>
              <w:jc w:val="both"/>
            </w:pPr>
            <w:r>
              <w:rPr>
                <w:rFonts w:ascii="宋体" w:hAnsi="宋体" w:eastAsia="宋体"/>
                <w:sz w:val="16"/>
              </w:rPr>
              <w:t>本项目主要实施内容为：为保障学校日常工作正常运转，保障学校的教育教学工作，保障教职工的生活水平。资金总金额为：56.71万元。将在2024年12月之前完成。</w:t>
            </w:r>
          </w:p>
        </w:tc>
      </w:tr>
      <w:tr w14:paraId="684825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C5B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C07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4AA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02F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85A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936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25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A942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BFE1">
            <w:pPr>
              <w:jc w:val="center"/>
            </w:pPr>
            <w:r>
              <w:rPr>
                <w:rFonts w:ascii="宋体" w:hAnsi="宋体" w:eastAsia="宋体"/>
                <w:sz w:val="16"/>
              </w:rPr>
              <w:t>偏差原因分析及改进措施</w:t>
            </w:r>
          </w:p>
        </w:tc>
      </w:tr>
      <w:tr w14:paraId="07B7C6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EB08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D701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0EA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5E089">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A5E3E">
            <w:pPr>
              <w:jc w:val="center"/>
            </w:pPr>
            <w:r>
              <w:rPr>
                <w:rFonts w:ascii="宋体" w:hAnsi="宋体" w:eastAsia="宋体"/>
                <w:sz w:val="16"/>
              </w:rPr>
              <w:t>&gt;=8724人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E3FC">
            <w:pPr>
              <w:jc w:val="center"/>
            </w:pPr>
            <w:r>
              <w:rPr>
                <w:rFonts w:ascii="宋体" w:hAnsi="宋体" w:eastAsia="宋体"/>
                <w:sz w:val="16"/>
              </w:rPr>
              <w:t>═8724人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BD1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E2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491B6">
            <w:pPr>
              <w:jc w:val="center"/>
            </w:pPr>
          </w:p>
        </w:tc>
      </w:tr>
      <w:tr w14:paraId="1EB19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339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983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56BC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B50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43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13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770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B5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7575">
            <w:pPr>
              <w:jc w:val="center"/>
            </w:pPr>
          </w:p>
        </w:tc>
      </w:tr>
      <w:tr w14:paraId="37D947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8F4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BFF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F7D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308A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D282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C5AA">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CD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54F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AB6DF">
            <w:pPr>
              <w:jc w:val="center"/>
            </w:pPr>
          </w:p>
        </w:tc>
      </w:tr>
      <w:tr w14:paraId="7DB5E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525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384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D4B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BA8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6CE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CCE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6C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2D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8C220">
            <w:pPr>
              <w:jc w:val="center"/>
            </w:pPr>
          </w:p>
        </w:tc>
      </w:tr>
      <w:tr w14:paraId="39CA99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CCC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0E5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342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BACB">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1E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A44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065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9B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7114">
            <w:pPr>
              <w:jc w:val="center"/>
            </w:pPr>
          </w:p>
        </w:tc>
      </w:tr>
      <w:tr w14:paraId="3A4076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0F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688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5C7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A0E5B">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5F51">
            <w:pPr>
              <w:jc w:val="center"/>
            </w:pPr>
            <w:r>
              <w:rPr>
                <w:rFonts w:ascii="宋体" w:hAnsi="宋体" w:eastAsia="宋体"/>
                <w:sz w:val="16"/>
              </w:rPr>
              <w:t>≤56.71万元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7ACA">
            <w:pPr>
              <w:jc w:val="center"/>
            </w:pPr>
            <w:r>
              <w:rPr>
                <w:rFonts w:ascii="宋体" w:hAnsi="宋体" w:eastAsia="宋体"/>
                <w:sz w:val="16"/>
              </w:rPr>
              <w:t>═56.71万元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01D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CD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ABDC9">
            <w:pPr>
              <w:jc w:val="center"/>
            </w:pPr>
          </w:p>
        </w:tc>
      </w:tr>
      <w:tr w14:paraId="39ED4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A77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7F9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5A5F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5EC1">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679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8D3C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ACC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34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5CD92">
            <w:pPr>
              <w:jc w:val="center"/>
            </w:pPr>
          </w:p>
        </w:tc>
      </w:tr>
      <w:tr w14:paraId="0F4182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046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7960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05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4D6FA">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DDC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1C09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E02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736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3A07">
            <w:pPr>
              <w:jc w:val="center"/>
            </w:pPr>
          </w:p>
        </w:tc>
      </w:tr>
      <w:tr w14:paraId="3AA4A8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4B2C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85DB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9C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2C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F77E0CF"/>
        </w:tc>
      </w:tr>
    </w:tbl>
    <w:p w14:paraId="53AB389E">
      <w:r>
        <w:br w:type="page"/>
      </w:r>
    </w:p>
    <w:p w14:paraId="755D3BBC">
      <w:pPr>
        <w:spacing w:line="640" w:lineRule="exact"/>
        <w:ind w:firstLine="640"/>
        <w:jc w:val="both"/>
        <w:outlineLvl w:val="2"/>
      </w:pPr>
      <w:r>
        <w:rPr>
          <w:rFonts w:ascii="黑体" w:hAnsi="黑体" w:eastAsia="黑体"/>
          <w:sz w:val="32"/>
        </w:rPr>
        <w:t>十二、其他需说明的事项</w:t>
      </w:r>
    </w:p>
    <w:p w14:paraId="486F96CC">
      <w:pPr>
        <w:spacing w:line="580" w:lineRule="exact"/>
        <w:ind w:firstLine="640"/>
        <w:jc w:val="both"/>
      </w:pPr>
      <w:r>
        <w:rPr>
          <w:rFonts w:ascii="仿宋_GB2312" w:hAnsi="仿宋_GB2312" w:eastAsia="仿宋_GB2312"/>
          <w:b w:val="0"/>
          <w:sz w:val="32"/>
        </w:rPr>
        <w:t>本单位无其他需说明的事项。</w:t>
      </w:r>
    </w:p>
    <w:p w14:paraId="23C45716">
      <w:r>
        <w:br w:type="page"/>
      </w:r>
    </w:p>
    <w:p w14:paraId="0F1A9A13">
      <w:pPr>
        <w:spacing w:line="240" w:lineRule="auto"/>
        <w:jc w:val="center"/>
        <w:outlineLvl w:val="1"/>
      </w:pPr>
      <w:r>
        <w:rPr>
          <w:rFonts w:ascii="黑体" w:hAnsi="黑体" w:eastAsia="黑体"/>
          <w:sz w:val="32"/>
        </w:rPr>
        <w:t>第三部分 专业名词解释</w:t>
      </w:r>
    </w:p>
    <w:p w14:paraId="4D9BDD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715A3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D69021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16A6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7A1D8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1F8E0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2B4F0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EE6A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2735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F6EE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0F356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7F43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8F0D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8F3FB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0AF493">
      <w:r>
        <w:br w:type="page"/>
      </w:r>
    </w:p>
    <w:p w14:paraId="31619C03">
      <w:pPr>
        <w:spacing w:line="240" w:lineRule="auto"/>
        <w:jc w:val="center"/>
        <w:outlineLvl w:val="1"/>
      </w:pPr>
      <w:r>
        <w:rPr>
          <w:rFonts w:ascii="黑体" w:hAnsi="黑体" w:eastAsia="黑体"/>
          <w:sz w:val="32"/>
        </w:rPr>
        <w:t>第四部分 部门决算报表（见附表）</w:t>
      </w:r>
    </w:p>
    <w:p w14:paraId="3B824B69">
      <w:pPr>
        <w:spacing w:line="240" w:lineRule="auto"/>
        <w:ind w:firstLine="640"/>
        <w:jc w:val="both"/>
      </w:pPr>
      <w:r>
        <w:rPr>
          <w:rFonts w:ascii="仿宋_GB2312" w:hAnsi="仿宋_GB2312" w:eastAsia="仿宋_GB2312"/>
          <w:b w:val="0"/>
          <w:sz w:val="32"/>
        </w:rPr>
        <w:t>一、《收入支出决算总表》</w:t>
      </w:r>
    </w:p>
    <w:p w14:paraId="6B134290">
      <w:pPr>
        <w:spacing w:line="240" w:lineRule="auto"/>
        <w:ind w:firstLine="640"/>
        <w:jc w:val="both"/>
      </w:pPr>
      <w:r>
        <w:rPr>
          <w:rFonts w:ascii="仿宋_GB2312" w:hAnsi="仿宋_GB2312" w:eastAsia="仿宋_GB2312"/>
          <w:b w:val="0"/>
          <w:sz w:val="32"/>
        </w:rPr>
        <w:t>二、《收入决算表》</w:t>
      </w:r>
    </w:p>
    <w:p w14:paraId="772922A7">
      <w:pPr>
        <w:spacing w:line="240" w:lineRule="auto"/>
        <w:ind w:firstLine="640"/>
        <w:jc w:val="both"/>
      </w:pPr>
      <w:r>
        <w:rPr>
          <w:rFonts w:ascii="仿宋_GB2312" w:hAnsi="仿宋_GB2312" w:eastAsia="仿宋_GB2312"/>
          <w:b w:val="0"/>
          <w:sz w:val="32"/>
        </w:rPr>
        <w:t>三、《支出决算表》</w:t>
      </w:r>
    </w:p>
    <w:p w14:paraId="37E05D08">
      <w:pPr>
        <w:spacing w:line="240" w:lineRule="auto"/>
        <w:ind w:firstLine="640"/>
        <w:jc w:val="both"/>
      </w:pPr>
      <w:r>
        <w:rPr>
          <w:rFonts w:ascii="仿宋_GB2312" w:hAnsi="仿宋_GB2312" w:eastAsia="仿宋_GB2312"/>
          <w:b w:val="0"/>
          <w:sz w:val="32"/>
        </w:rPr>
        <w:t>四、《财政拨款收入支出决算总表》</w:t>
      </w:r>
    </w:p>
    <w:p w14:paraId="58FE33E5">
      <w:pPr>
        <w:spacing w:line="240" w:lineRule="auto"/>
        <w:ind w:firstLine="640"/>
        <w:jc w:val="both"/>
      </w:pPr>
      <w:r>
        <w:rPr>
          <w:rFonts w:ascii="仿宋_GB2312" w:hAnsi="仿宋_GB2312" w:eastAsia="仿宋_GB2312"/>
          <w:b w:val="0"/>
          <w:sz w:val="32"/>
        </w:rPr>
        <w:t>五、《一般公共预算财政拨款支出决算表》</w:t>
      </w:r>
    </w:p>
    <w:p w14:paraId="0D794AD0">
      <w:pPr>
        <w:spacing w:line="240" w:lineRule="auto"/>
        <w:ind w:firstLine="640"/>
        <w:jc w:val="both"/>
      </w:pPr>
      <w:r>
        <w:rPr>
          <w:rFonts w:ascii="仿宋_GB2312" w:hAnsi="仿宋_GB2312" w:eastAsia="仿宋_GB2312"/>
          <w:b w:val="0"/>
          <w:sz w:val="32"/>
        </w:rPr>
        <w:t>六、《一般公共预算财政拨款基本支出决算表》</w:t>
      </w:r>
    </w:p>
    <w:p w14:paraId="1CCC1928">
      <w:pPr>
        <w:spacing w:line="240" w:lineRule="auto"/>
        <w:ind w:firstLine="640"/>
        <w:jc w:val="both"/>
      </w:pPr>
      <w:r>
        <w:rPr>
          <w:rFonts w:ascii="仿宋_GB2312" w:hAnsi="仿宋_GB2312" w:eastAsia="仿宋_GB2312"/>
          <w:b w:val="0"/>
          <w:sz w:val="32"/>
        </w:rPr>
        <w:t>七、《政府性基金预算财政拨款收入支出决算表》</w:t>
      </w:r>
    </w:p>
    <w:p w14:paraId="31B676BC">
      <w:pPr>
        <w:spacing w:line="240" w:lineRule="auto"/>
        <w:ind w:firstLine="640"/>
        <w:jc w:val="both"/>
      </w:pPr>
      <w:r>
        <w:rPr>
          <w:rFonts w:ascii="仿宋_GB2312" w:hAnsi="仿宋_GB2312" w:eastAsia="仿宋_GB2312"/>
          <w:b w:val="0"/>
          <w:sz w:val="32"/>
        </w:rPr>
        <w:t>八、《国有资本经营预算财政拨款收入支出决算表》</w:t>
      </w:r>
    </w:p>
    <w:p w14:paraId="2A71FBB6">
      <w:pPr>
        <w:spacing w:line="240" w:lineRule="auto"/>
        <w:ind w:firstLine="640"/>
        <w:jc w:val="both"/>
      </w:pPr>
      <w:r>
        <w:rPr>
          <w:rFonts w:ascii="仿宋_GB2312" w:hAnsi="仿宋_GB2312" w:eastAsia="仿宋_GB2312"/>
          <w:b w:val="0"/>
          <w:sz w:val="32"/>
        </w:rPr>
        <w:t>九、《财政拨款“三公”经费支出决算表》</w:t>
      </w:r>
    </w:p>
    <w:p w14:paraId="2A2417BF">
      <w:pPr>
        <w:spacing w:line="240" w:lineRule="auto"/>
        <w:ind w:firstLine="640"/>
        <w:jc w:val="both"/>
      </w:pPr>
    </w:p>
    <w:p w14:paraId="0372216B">
      <w:pPr>
        <w:spacing w:line="240" w:lineRule="auto"/>
        <w:ind w:firstLine="640"/>
        <w:jc w:val="both"/>
      </w:pPr>
    </w:p>
    <w:p w14:paraId="63F801C9">
      <w:pPr>
        <w:spacing w:line="240" w:lineRule="auto"/>
        <w:ind w:firstLine="640"/>
        <w:jc w:val="both"/>
      </w:pPr>
    </w:p>
    <w:p w14:paraId="65B4DE16">
      <w:pPr>
        <w:spacing w:line="240" w:lineRule="auto"/>
        <w:ind w:firstLine="640"/>
        <w:jc w:val="both"/>
      </w:pPr>
    </w:p>
    <w:p w14:paraId="75A5BE4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AB8F84-8C61-4830-AE5F-5113456996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94CE808-7058-4FFF-9AFF-9A1957451112}"/>
  </w:font>
  <w:font w:name="仿宋_GB2312">
    <w:panose1 w:val="02010609030101010101"/>
    <w:charset w:val="86"/>
    <w:family w:val="modern"/>
    <w:pitch w:val="default"/>
    <w:sig w:usb0="00000001" w:usb1="080E0000" w:usb2="00000000" w:usb3="00000000" w:csb0="00040000" w:csb1="00000000"/>
    <w:embedRegular r:id="rId3" w:fontKey="{75116EAA-15DE-4F9B-89DA-1B65E0567E6B}"/>
  </w:font>
  <w:font w:name="楷体_GB2312">
    <w:panose1 w:val="02010609030101010101"/>
    <w:charset w:val="86"/>
    <w:family w:val="auto"/>
    <w:pitch w:val="default"/>
    <w:sig w:usb0="00000001" w:usb1="080E0000" w:usb2="00000000" w:usb3="00000000" w:csb0="00040000" w:csb1="00000000"/>
    <w:embedRegular r:id="rId4" w:fontKey="{029C3CDC-EC8F-4A7C-BFDC-B16F4F50A26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2951D4"/>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793101"/>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4530</Words>
  <Characters>5253</Characters>
  <Lines>0</Lines>
  <Paragraphs>0</Paragraphs>
  <TotalTime>4</TotalTime>
  <ScaleCrop>false</ScaleCrop>
  <LinksUpToDate>false</LinksUpToDate>
  <CharactersWithSpaces>5261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2025-09-17T10:45:28Z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