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洛浦县地方志办公室2024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099706">
      <w:r>
        <w:br w:type="page"/>
      </w:r>
    </w:p>
    <w:p w14:paraId="5824717F">
      <w:pPr>
        <w:spacing w:line="640" w:lineRule="exact"/>
        <w:jc w:val="center"/>
        <w:outlineLvl w:val="1"/>
      </w:pPr>
      <w:r>
        <w:rPr>
          <w:rFonts w:ascii="黑体" w:hAnsi="黑体" w:eastAsia="黑体"/>
          <w:sz w:val="32"/>
        </w:rPr>
        <w:t>第一部分 单位概况</w:t>
      </w:r>
    </w:p>
    <w:p w14:paraId="5511E027">
      <w:pPr>
        <w:spacing w:line="640" w:lineRule="exact"/>
        <w:ind w:firstLine="640"/>
        <w:jc w:val="both"/>
        <w:outlineLvl w:val="2"/>
      </w:pPr>
      <w:r>
        <w:rPr>
          <w:rFonts w:ascii="黑体" w:hAnsi="黑体" w:eastAsia="黑体"/>
          <w:sz w:val="32"/>
        </w:rPr>
        <w:t>一、主要职能</w:t>
      </w:r>
    </w:p>
    <w:p w14:paraId="4D835BFD">
      <w:pPr>
        <w:spacing w:line="580" w:lineRule="exact"/>
        <w:ind w:firstLine="640"/>
        <w:jc w:val="both"/>
      </w:pPr>
      <w:r>
        <w:rPr>
          <w:rFonts w:ascii="仿宋_GB2312" w:hAnsi="仿宋_GB2312" w:eastAsia="仿宋_GB2312"/>
          <w:sz w:val="32"/>
        </w:rPr>
        <w:t>（1）贯彻执行党和国家、自治区、地区、县委关于开展党史、地方志、年鉴工作的方针、政策、法规，坚持依法依规开展工作。</w:t>
      </w:r>
    </w:p>
    <w:p w14:paraId="5F0A8517">
      <w:pPr>
        <w:spacing w:line="580" w:lineRule="exact"/>
        <w:ind w:firstLine="640"/>
        <w:jc w:val="both"/>
      </w:pPr>
      <w:r>
        <w:rPr>
          <w:rFonts w:ascii="仿宋_GB2312" w:hAnsi="仿宋_GB2312" w:eastAsia="仿宋_GB2312"/>
          <w:sz w:val="32"/>
        </w:rPr>
        <w:t>（2）拟定并组织落实本研究所的党史、地方志、年鉴工作规划、计划、安排。</w:t>
      </w:r>
    </w:p>
    <w:p w14:paraId="45091648">
      <w:pPr>
        <w:spacing w:line="580" w:lineRule="exact"/>
        <w:ind w:firstLine="640"/>
        <w:jc w:val="both"/>
      </w:pPr>
      <w:r>
        <w:rPr>
          <w:rFonts w:ascii="仿宋_GB2312" w:hAnsi="仿宋_GB2312" w:eastAsia="仿宋_GB2312"/>
          <w:sz w:val="32"/>
        </w:rPr>
        <w:t>（3）编纂党史系列丛书，编修《洛浦县志》《洛浦县年鉴》等地情资料书籍。</w:t>
      </w:r>
    </w:p>
    <w:p w14:paraId="5DE35FF4">
      <w:pPr>
        <w:spacing w:line="580" w:lineRule="exact"/>
        <w:ind w:firstLine="640"/>
        <w:jc w:val="both"/>
      </w:pPr>
      <w:r>
        <w:rPr>
          <w:rFonts w:ascii="仿宋_GB2312" w:hAnsi="仿宋_GB2312" w:eastAsia="仿宋_GB2312"/>
          <w:sz w:val="32"/>
        </w:rPr>
        <w:t>（4）搜集、保存党史、地方志文献资料，开发利用党史和地方志资源。</w:t>
      </w:r>
    </w:p>
    <w:p w14:paraId="1F2A2FC9">
      <w:pPr>
        <w:spacing w:line="580" w:lineRule="exact"/>
        <w:ind w:firstLine="640"/>
        <w:jc w:val="both"/>
      </w:pPr>
      <w:r>
        <w:rPr>
          <w:rFonts w:ascii="仿宋_GB2312" w:hAnsi="仿宋_GB2312" w:eastAsia="仿宋_GB2312"/>
          <w:sz w:val="32"/>
        </w:rPr>
        <w:t>（5）组织整理旧志，有序开展旧志点校、提要、考录、辑佚等工作。</w:t>
      </w:r>
    </w:p>
    <w:p w14:paraId="2D176F7E">
      <w:pPr>
        <w:spacing w:line="580" w:lineRule="exact"/>
        <w:ind w:firstLine="640"/>
        <w:jc w:val="both"/>
      </w:pPr>
      <w:r>
        <w:rPr>
          <w:rFonts w:ascii="仿宋_GB2312" w:hAnsi="仿宋_GB2312" w:eastAsia="仿宋_GB2312"/>
          <w:sz w:val="32"/>
        </w:rPr>
        <w:t>（6）开展党史、地方志宣传教育，普及党史、地方志知识，扩大党史、地方志全社会的宣传教育面。</w:t>
      </w:r>
    </w:p>
    <w:p w14:paraId="186D8E62">
      <w:pPr>
        <w:spacing w:line="580" w:lineRule="exact"/>
        <w:ind w:firstLine="640"/>
        <w:jc w:val="both"/>
      </w:pPr>
      <w:r>
        <w:rPr>
          <w:rFonts w:ascii="仿宋_GB2312" w:hAnsi="仿宋_GB2312" w:eastAsia="仿宋_GB2312"/>
          <w:sz w:val="32"/>
        </w:rPr>
        <w:t>（7）为党员领导干部学习党的历史、了解党的光荣传统，正确认识洛浦历史、助力洛浦社会稳定和长治久安，提供地方党史地方志资料，达到资政育人目的。</w:t>
      </w:r>
    </w:p>
    <w:p w14:paraId="08DAD496">
      <w:pPr>
        <w:spacing w:line="580" w:lineRule="exact"/>
        <w:ind w:firstLine="640"/>
        <w:jc w:val="both"/>
      </w:pPr>
      <w:r>
        <w:rPr>
          <w:rFonts w:ascii="仿宋_GB2312" w:hAnsi="仿宋_GB2312" w:eastAsia="仿宋_GB2312"/>
          <w:sz w:val="32"/>
        </w:rPr>
        <w:t>（8）开展党史、地方志工作理论研究，探索党史、地方志工作的特点和规律，积极转化学术研究成果。</w:t>
      </w:r>
    </w:p>
    <w:p w14:paraId="58B3A238">
      <w:pPr>
        <w:spacing w:line="580" w:lineRule="exact"/>
        <w:ind w:firstLine="640"/>
        <w:jc w:val="both"/>
      </w:pPr>
      <w:r>
        <w:rPr>
          <w:rFonts w:ascii="仿宋_GB2312" w:hAnsi="仿宋_GB2312" w:eastAsia="仿宋_GB2312"/>
          <w:sz w:val="32"/>
        </w:rPr>
        <w:t>（9）为中央、自治区、地区党史、地方志部门提供有关地情资料，为洛浦县领导决策提供历史资料借鉴。</w:t>
      </w:r>
    </w:p>
    <w:p w14:paraId="1EB0CE20">
      <w:pPr>
        <w:spacing w:line="580" w:lineRule="exact"/>
        <w:ind w:firstLine="640"/>
        <w:jc w:val="both"/>
      </w:pPr>
      <w:r>
        <w:rPr>
          <w:rFonts w:ascii="仿宋_GB2312" w:hAnsi="仿宋_GB2312" w:eastAsia="仿宋_GB2312"/>
          <w:sz w:val="32"/>
        </w:rPr>
        <w:t>（10）协助有关单位开展课题研究、专题咨询、学术交流等工作。</w:t>
      </w:r>
    </w:p>
    <w:p w14:paraId="054123CB">
      <w:pPr>
        <w:spacing w:line="580" w:lineRule="exact"/>
        <w:ind w:firstLine="640"/>
        <w:jc w:val="both"/>
      </w:pPr>
      <w:r>
        <w:rPr>
          <w:rFonts w:ascii="仿宋_GB2312" w:hAnsi="仿宋_GB2312" w:eastAsia="仿宋_GB2312"/>
          <w:sz w:val="32"/>
        </w:rPr>
        <w:t>（11）承办县委、县人民政府及上级业务部门交办的其他工作。</w:t>
      </w:r>
    </w:p>
    <w:p w14:paraId="71E85764">
      <w:pPr>
        <w:spacing w:line="640" w:lineRule="exact"/>
        <w:ind w:firstLine="640"/>
        <w:jc w:val="both"/>
        <w:outlineLvl w:val="2"/>
      </w:pPr>
      <w:r>
        <w:rPr>
          <w:rFonts w:ascii="黑体" w:hAnsi="黑体" w:eastAsia="黑体"/>
          <w:sz w:val="32"/>
        </w:rPr>
        <w:t>二、机构设置及人员情况</w:t>
      </w:r>
    </w:p>
    <w:p w14:paraId="0A92201B">
      <w:pPr>
        <w:spacing w:line="580" w:lineRule="exact"/>
        <w:ind w:firstLine="640"/>
        <w:jc w:val="both"/>
      </w:pPr>
      <w:r>
        <w:rPr>
          <w:rFonts w:ascii="仿宋_GB2312" w:hAnsi="仿宋_GB2312" w:eastAsia="仿宋_GB2312"/>
          <w:sz w:val="32"/>
        </w:rPr>
        <w:t>洛浦县地方志办公室2024年度，实有人数5人，其中：在职人员4人，增加2人；离休人员0人，增加0人；退休人员1人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80978D0">
      <w:pPr>
        <w:spacing w:line="580" w:lineRule="exact"/>
        <w:ind w:firstLine="640"/>
        <w:jc w:val="both"/>
      </w:pPr>
      <w:r>
        <w:rPr>
          <w:rFonts w:ascii="仿宋_GB2312" w:hAnsi="仿宋_GB2312" w:eastAsia="仿宋_GB2312"/>
          <w:sz w:val="32"/>
        </w:rPr>
        <w:t>洛浦县地方志办公室无下属预算单位，下设1个科室，分别是：办公室。</w:t>
      </w:r>
    </w:p>
    <w:p w14:paraId="5D99DA70">
      <w:r>
        <w:br w:type="page"/>
      </w:r>
    </w:p>
    <w:p w14:paraId="3C4A2A2A">
      <w:pPr>
        <w:spacing w:line="240" w:lineRule="auto"/>
        <w:jc w:val="center"/>
        <w:outlineLvl w:val="1"/>
      </w:pPr>
      <w:r>
        <w:rPr>
          <w:rFonts w:ascii="黑体" w:hAnsi="黑体" w:eastAsia="黑体"/>
          <w:sz w:val="32"/>
        </w:rPr>
        <w:t>第二部分 部门决算情况说明</w:t>
      </w:r>
    </w:p>
    <w:p w14:paraId="7A97F800">
      <w:pPr>
        <w:spacing w:line="640" w:lineRule="exact"/>
        <w:ind w:firstLine="640"/>
        <w:jc w:val="both"/>
        <w:outlineLvl w:val="2"/>
      </w:pPr>
      <w:r>
        <w:rPr>
          <w:rFonts w:ascii="黑体" w:hAnsi="黑体" w:eastAsia="黑体"/>
          <w:sz w:val="32"/>
        </w:rPr>
        <w:t>一、收入支出决算总体情况说明</w:t>
      </w:r>
    </w:p>
    <w:p w14:paraId="0227D196">
      <w:pPr>
        <w:spacing w:line="580" w:lineRule="exact"/>
        <w:ind w:firstLine="640"/>
        <w:jc w:val="both"/>
      </w:pPr>
      <w:r>
        <w:rPr>
          <w:rFonts w:ascii="仿宋_GB2312" w:hAnsi="仿宋_GB2312" w:eastAsia="仿宋_GB2312"/>
          <w:b/>
          <w:sz w:val="32"/>
        </w:rPr>
        <w:t>2024年度收入总计78.93万元，</w:t>
      </w:r>
      <w:r>
        <w:rPr>
          <w:rFonts w:ascii="仿宋_GB2312" w:hAnsi="仿宋_GB2312" w:eastAsia="仿宋_GB2312"/>
          <w:b w:val="0"/>
          <w:sz w:val="32"/>
        </w:rPr>
        <w:t>其中：本年收入合计78.93万元，使用非财政拨款结余（含专用结余）0.00万元，年初结转和结余0.00万元。</w:t>
      </w:r>
    </w:p>
    <w:p w14:paraId="452DBE82">
      <w:pPr>
        <w:spacing w:line="580" w:lineRule="exact"/>
        <w:ind w:firstLine="640"/>
        <w:jc w:val="both"/>
      </w:pPr>
      <w:r>
        <w:rPr>
          <w:rFonts w:ascii="仿宋_GB2312" w:hAnsi="仿宋_GB2312" w:eastAsia="仿宋_GB2312"/>
          <w:b/>
          <w:sz w:val="32"/>
        </w:rPr>
        <w:t>2024年度支出总计78.93万元，</w:t>
      </w:r>
      <w:r>
        <w:rPr>
          <w:rFonts w:ascii="仿宋_GB2312" w:hAnsi="仿宋_GB2312" w:eastAsia="仿宋_GB2312"/>
          <w:b w:val="0"/>
          <w:sz w:val="32"/>
        </w:rPr>
        <w:t>其中：本年支出合计75.13万元，结余分配0.00万元，年末结转和结余3.80万元。</w:t>
      </w:r>
    </w:p>
    <w:p w14:paraId="3B00D31E">
      <w:pPr>
        <w:spacing w:line="580" w:lineRule="exact"/>
        <w:ind w:firstLine="640"/>
        <w:jc w:val="both"/>
      </w:pPr>
      <w:r>
        <w:rPr>
          <w:rFonts w:ascii="仿宋_GB2312" w:hAnsi="仿宋_GB2312" w:eastAsia="仿宋_GB2312"/>
          <w:b w:val="0"/>
          <w:sz w:val="32"/>
        </w:rPr>
        <w:t>收入支出总体与上年相比，增加17.28万元，增长28.03%，主要原因是：本年在职人员增加，在职人员工资调增、社保、公积金基数调增，人员经费增加。修志工作经费较上年增加。</w:t>
      </w:r>
    </w:p>
    <w:p w14:paraId="388A7CC6">
      <w:pPr>
        <w:spacing w:line="640" w:lineRule="exact"/>
        <w:ind w:firstLine="640"/>
        <w:jc w:val="both"/>
        <w:outlineLvl w:val="2"/>
      </w:pPr>
      <w:r>
        <w:rPr>
          <w:rFonts w:ascii="黑体" w:hAnsi="黑体" w:eastAsia="黑体"/>
          <w:sz w:val="32"/>
        </w:rPr>
        <w:t>二、收入决算情况说明</w:t>
      </w:r>
    </w:p>
    <w:p w14:paraId="6E54D73C">
      <w:pPr>
        <w:spacing w:line="580" w:lineRule="exact"/>
        <w:ind w:firstLine="640"/>
        <w:jc w:val="both"/>
      </w:pPr>
      <w:r>
        <w:rPr>
          <w:rFonts w:ascii="仿宋_GB2312" w:hAnsi="仿宋_GB2312" w:eastAsia="仿宋_GB2312"/>
          <w:b/>
          <w:sz w:val="32"/>
        </w:rPr>
        <w:t>本年收入78.93万元，</w:t>
      </w:r>
      <w:r>
        <w:rPr>
          <w:rFonts w:ascii="仿宋_GB2312" w:hAnsi="仿宋_GB2312" w:eastAsia="仿宋_GB2312"/>
          <w:b w:val="0"/>
          <w:sz w:val="32"/>
        </w:rPr>
        <w:t>其中：财政拨款收入73.32万元，占92.89%；上级补助收入0.00万元，占0.00%；事业收入0.00万元，占0.00%；经营收入0.00万元，占0.00%；附属单位上缴收入0.00万元，占0.00%；其他收入5.62万元，占7.12%。</w:t>
      </w:r>
    </w:p>
    <w:p w14:paraId="5C030382">
      <w:pPr>
        <w:spacing w:line="640" w:lineRule="exact"/>
        <w:ind w:firstLine="640"/>
        <w:jc w:val="both"/>
        <w:outlineLvl w:val="2"/>
      </w:pPr>
      <w:r>
        <w:rPr>
          <w:rFonts w:ascii="黑体" w:hAnsi="黑体" w:eastAsia="黑体"/>
          <w:sz w:val="32"/>
        </w:rPr>
        <w:t>三、支出决算情况说明</w:t>
      </w:r>
    </w:p>
    <w:p w14:paraId="10D6BBE2">
      <w:pPr>
        <w:spacing w:line="580" w:lineRule="exact"/>
        <w:ind w:firstLine="640"/>
        <w:jc w:val="both"/>
      </w:pPr>
      <w:r>
        <w:rPr>
          <w:rFonts w:ascii="仿宋_GB2312" w:hAnsi="仿宋_GB2312" w:eastAsia="仿宋_GB2312"/>
          <w:b/>
          <w:sz w:val="32"/>
        </w:rPr>
        <w:t>本年支出75.13万元，</w:t>
      </w:r>
      <w:r>
        <w:rPr>
          <w:rFonts w:ascii="仿宋_GB2312" w:hAnsi="仿宋_GB2312" w:eastAsia="仿宋_GB2312"/>
          <w:b w:val="0"/>
          <w:sz w:val="32"/>
        </w:rPr>
        <w:t>其中：基本支出75.13万元，占100.00%；项目支出0.00万元，占0.00%；上缴上级支出0.00万元，占0.00%；经营支出0.00万元，占0.00%；对附属单位补助支出0.00万元，占0.00%。</w:t>
      </w:r>
    </w:p>
    <w:p w14:paraId="3DC8D8AC">
      <w:pPr>
        <w:spacing w:line="640" w:lineRule="exact"/>
        <w:ind w:firstLine="640"/>
        <w:jc w:val="both"/>
        <w:outlineLvl w:val="2"/>
      </w:pPr>
      <w:r>
        <w:rPr>
          <w:rFonts w:ascii="黑体" w:hAnsi="黑体" w:eastAsia="黑体"/>
          <w:sz w:val="32"/>
        </w:rPr>
        <w:t>四、财政拨款收入支出决算总体情况说明</w:t>
      </w:r>
    </w:p>
    <w:p w14:paraId="1118173E">
      <w:pPr>
        <w:spacing w:line="580" w:lineRule="exact"/>
        <w:ind w:firstLine="640"/>
        <w:jc w:val="both"/>
      </w:pPr>
      <w:r>
        <w:rPr>
          <w:rFonts w:ascii="仿宋_GB2312" w:hAnsi="仿宋_GB2312" w:eastAsia="仿宋_GB2312"/>
          <w:b/>
          <w:sz w:val="32"/>
        </w:rPr>
        <w:t>2024年度财政拨款收入总计73.32万元，</w:t>
      </w:r>
      <w:r>
        <w:rPr>
          <w:rFonts w:ascii="仿宋_GB2312" w:hAnsi="仿宋_GB2312" w:eastAsia="仿宋_GB2312"/>
          <w:b w:val="0"/>
          <w:sz w:val="32"/>
        </w:rPr>
        <w:t>其中：年初财政拨款结转和结余0.00万元，本年财政拨款收入73.32万元。</w:t>
      </w:r>
      <w:r>
        <w:rPr>
          <w:rFonts w:ascii="仿宋_GB2312" w:hAnsi="仿宋_GB2312" w:eastAsia="仿宋_GB2312"/>
          <w:b/>
          <w:sz w:val="32"/>
        </w:rPr>
        <w:t>财政拨款支出总计73.32万元，</w:t>
      </w:r>
      <w:r>
        <w:rPr>
          <w:rFonts w:ascii="仿宋_GB2312" w:hAnsi="仿宋_GB2312" w:eastAsia="仿宋_GB2312"/>
          <w:b w:val="0"/>
          <w:sz w:val="32"/>
        </w:rPr>
        <w:t>其中：年末财政拨款结转和结余0.00万元，本年财政拨款支出73.32万元。</w:t>
      </w:r>
    </w:p>
    <w:p w14:paraId="174DD5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增加11.67万元，增长18.93%，主要原因是：本年在职人员增加，在职人员工资调增、社保、公积金基数调增，人员经费增加。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年初预算数48.57万元，决算数73.32万元，预决算差异率50.96%，主要原因是：年中追加人员工资、社保、公积金基数调增部分资金，导致预决算存在差异。</w:t>
      </w:r>
    </w:p>
    <w:p w14:paraId="18B7D47A">
      <w:pPr>
        <w:spacing w:line="640" w:lineRule="exact"/>
        <w:ind w:firstLine="640"/>
        <w:jc w:val="both"/>
        <w:outlineLvl w:val="2"/>
      </w:pPr>
      <w:r>
        <w:rPr>
          <w:rFonts w:ascii="黑体" w:hAnsi="黑体" w:eastAsia="黑体"/>
          <w:sz w:val="32"/>
        </w:rPr>
        <w:t>五、一般公共预算财政拨款支出决算情况说明</w:t>
      </w:r>
    </w:p>
    <w:p w14:paraId="60D9D598">
      <w:pPr>
        <w:spacing w:line="640" w:lineRule="exact"/>
        <w:ind w:firstLine="640"/>
        <w:jc w:val="both"/>
        <w:outlineLvl w:val="3"/>
      </w:pPr>
      <w:r>
        <w:rPr>
          <w:rFonts w:ascii="楷体_GB2312" w:hAnsi="楷体_GB2312" w:eastAsia="楷体_GB2312"/>
          <w:b/>
          <w:sz w:val="32"/>
        </w:rPr>
        <w:t>（一）一般公共预算财政拨款支出决算总体情况</w:t>
      </w:r>
    </w:p>
    <w:p w14:paraId="4FF7E19B">
      <w:pPr>
        <w:spacing w:line="580" w:lineRule="exact"/>
        <w:ind w:firstLine="640"/>
        <w:jc w:val="both"/>
      </w:pPr>
      <w:r>
        <w:rPr>
          <w:rFonts w:ascii="仿宋_GB2312" w:hAnsi="仿宋_GB2312" w:eastAsia="仿宋_GB2312"/>
          <w:b/>
          <w:sz w:val="32"/>
        </w:rPr>
        <w:t>2024年度一般公共预算财政拨款支出73.32万元，</w:t>
      </w:r>
      <w:r>
        <w:rPr>
          <w:rFonts w:ascii="仿宋_GB2312" w:hAnsi="仿宋_GB2312" w:eastAsia="仿宋_GB2312"/>
          <w:b w:val="0"/>
          <w:sz w:val="32"/>
        </w:rPr>
        <w:t>占本年支出合计的97.59%。</w:t>
      </w:r>
      <w:r>
        <w:rPr>
          <w:rFonts w:ascii="仿宋_GB2312" w:hAnsi="仿宋_GB2312" w:eastAsia="仿宋_GB2312"/>
          <w:b/>
          <w:sz w:val="32"/>
        </w:rPr>
        <w:t>与上年相比，</w:t>
      </w:r>
      <w:r>
        <w:rPr>
          <w:rFonts w:ascii="仿宋_GB2312" w:hAnsi="仿宋_GB2312" w:eastAsia="仿宋_GB2312"/>
          <w:b w:val="0"/>
          <w:sz w:val="32"/>
        </w:rPr>
        <w:t>增加11.67万元，增长18.93%，主要原因是：本年在职人员增加，在职人员工资调增、社保、公积金基数调增，人员经费增加。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年初预算数48.57万元，决算数73.32万元，预决算差异率50.96%，主要原因是：年中追加人员工资、社保、公积金基数调增部分资金，导致预决算存在差异。</w:t>
      </w:r>
    </w:p>
    <w:p w14:paraId="6CFE2115">
      <w:pPr>
        <w:spacing w:line="640" w:lineRule="exact"/>
        <w:ind w:firstLine="640"/>
        <w:jc w:val="both"/>
        <w:outlineLvl w:val="3"/>
      </w:pPr>
      <w:r>
        <w:rPr>
          <w:rFonts w:ascii="楷体_GB2312" w:hAnsi="楷体_GB2312" w:eastAsia="楷体_GB2312"/>
          <w:b/>
          <w:sz w:val="32"/>
        </w:rPr>
        <w:t>（二）一般公共预算财政拨款支出决算结构情况</w:t>
      </w:r>
    </w:p>
    <w:p w14:paraId="09CF4884">
      <w:pPr>
        <w:spacing w:line="580" w:lineRule="exact"/>
        <w:ind w:firstLine="640"/>
        <w:jc w:val="both"/>
      </w:pPr>
      <w:r>
        <w:rPr>
          <w:rFonts w:ascii="仿宋_GB2312" w:hAnsi="仿宋_GB2312" w:eastAsia="仿宋_GB2312"/>
          <w:b w:val="0"/>
          <w:sz w:val="32"/>
        </w:rPr>
        <w:t>1.一般公共服务支出(类)55.72万元,占76.00%。</w:t>
      </w:r>
    </w:p>
    <w:p w14:paraId="46FB19D0">
      <w:pPr>
        <w:spacing w:line="580" w:lineRule="exact"/>
        <w:ind w:firstLine="640"/>
        <w:jc w:val="both"/>
      </w:pPr>
      <w:r>
        <w:rPr>
          <w:rFonts w:ascii="仿宋_GB2312" w:hAnsi="仿宋_GB2312" w:eastAsia="仿宋_GB2312"/>
          <w:b w:val="0"/>
          <w:sz w:val="32"/>
        </w:rPr>
        <w:t>2.社会保障和就业支出(类)8.09万元,占11.03%。</w:t>
      </w:r>
    </w:p>
    <w:p w14:paraId="130C3E15">
      <w:pPr>
        <w:spacing w:line="580" w:lineRule="exact"/>
        <w:ind w:firstLine="640"/>
        <w:jc w:val="both"/>
      </w:pPr>
      <w:r>
        <w:rPr>
          <w:rFonts w:ascii="仿宋_GB2312" w:hAnsi="仿宋_GB2312" w:eastAsia="仿宋_GB2312"/>
          <w:b w:val="0"/>
          <w:sz w:val="32"/>
        </w:rPr>
        <w:t>3.卫生健康支出(类)4.41万元,占6.01%。</w:t>
      </w:r>
    </w:p>
    <w:p w14:paraId="40FDCD6F">
      <w:pPr>
        <w:spacing w:line="580" w:lineRule="exact"/>
        <w:ind w:firstLine="640"/>
        <w:jc w:val="both"/>
      </w:pPr>
      <w:r>
        <w:rPr>
          <w:rFonts w:ascii="仿宋_GB2312" w:hAnsi="仿宋_GB2312" w:eastAsia="仿宋_GB2312"/>
          <w:b w:val="0"/>
          <w:sz w:val="32"/>
        </w:rPr>
        <w:t>4.住房保障支出(类)5.10万元,占6.96%。</w:t>
      </w:r>
    </w:p>
    <w:p w14:paraId="6EBFFC9D">
      <w:pPr>
        <w:spacing w:line="640" w:lineRule="exact"/>
        <w:ind w:firstLine="640"/>
        <w:jc w:val="both"/>
        <w:outlineLvl w:val="3"/>
      </w:pPr>
      <w:r>
        <w:rPr>
          <w:rFonts w:ascii="楷体_GB2312" w:hAnsi="楷体_GB2312" w:eastAsia="楷体_GB2312"/>
          <w:b/>
          <w:sz w:val="32"/>
        </w:rPr>
        <w:t>（三）一般公共预算财政拨款支出决算具体情况</w:t>
      </w:r>
    </w:p>
    <w:p w14:paraId="58406A00">
      <w:pPr>
        <w:spacing w:line="580" w:lineRule="exact"/>
        <w:ind w:firstLine="640"/>
        <w:jc w:val="both"/>
      </w:pPr>
      <w:r>
        <w:rPr>
          <w:rFonts w:ascii="仿宋_GB2312" w:hAnsi="仿宋_GB2312" w:eastAsia="仿宋_GB2312"/>
          <w:b w:val="0"/>
          <w:sz w:val="32"/>
        </w:rPr>
        <w:t>1.一般公共服务支出(类)其他共产党事务支出(款)行政运行(项):支出决算数为55.72万元，比上年决算减少3.16万元，下降5.37%,主要原因是：本年功能科目调整，行政单位离退休经费，行政单位医疗，公务员医疗补助，住房公积金上年度在主科目列支，本年单独列支，导致经费较上年减少。</w:t>
      </w:r>
    </w:p>
    <w:p w14:paraId="656BDA3A">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1.38万元，比上年决算增加1.38万元，增长100.00%,主要原因是：本年功能科目调整，行政单位离退休上年度在主科目列支，本年单独列支，导致经费较上年增加。</w:t>
      </w:r>
    </w:p>
    <w:p w14:paraId="303317F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6.71万元，比上年决算增加3.94万元，增长142.24%,主要原因是：本年在职人员增加，养老保险缴费较上年增加。</w:t>
      </w:r>
    </w:p>
    <w:p w14:paraId="2342999B">
      <w:pPr>
        <w:spacing w:line="580" w:lineRule="exact"/>
        <w:ind w:firstLine="640"/>
        <w:jc w:val="both"/>
      </w:pPr>
      <w:r>
        <w:rPr>
          <w:rFonts w:ascii="仿宋_GB2312" w:hAnsi="仿宋_GB2312" w:eastAsia="仿宋_GB2312"/>
          <w:b w:val="0"/>
          <w:sz w:val="32"/>
        </w:rPr>
        <w:t>4.卫生健康支出(类)行政事业单位医疗(款)行政单位医疗(项):支出决算数为2.73万元，比上年决算增加2.73万元，增长100.00%,主要原因是：本年功能科目调整，行政单位医疗支出上年度在主科目列支，本年单独列支，导致经费较上年增加。</w:t>
      </w:r>
    </w:p>
    <w:p w14:paraId="79491C40">
      <w:pPr>
        <w:spacing w:line="580" w:lineRule="exact"/>
        <w:ind w:firstLine="640"/>
        <w:jc w:val="both"/>
      </w:pPr>
      <w:r>
        <w:rPr>
          <w:rFonts w:ascii="仿宋_GB2312" w:hAnsi="仿宋_GB2312" w:eastAsia="仿宋_GB2312"/>
          <w:b w:val="0"/>
          <w:sz w:val="32"/>
        </w:rPr>
        <w:t>5.卫生健康支出(类)行政事业单位医疗(款)公务员医疗补助(项):支出决算数为1.68万元，比上年决算增加1.68万元，增长100.00%,主要原因是：本年功能科目调整，公务员医疗补助上年度在主科目列支，本年单独列支，导致经费较上年增加。</w:t>
      </w:r>
    </w:p>
    <w:p w14:paraId="04DA1105">
      <w:pPr>
        <w:spacing w:line="580" w:lineRule="exact"/>
        <w:ind w:firstLine="640"/>
        <w:jc w:val="both"/>
      </w:pPr>
      <w:r>
        <w:rPr>
          <w:rFonts w:ascii="仿宋_GB2312" w:hAnsi="仿宋_GB2312" w:eastAsia="仿宋_GB2312"/>
          <w:b w:val="0"/>
          <w:sz w:val="32"/>
        </w:rPr>
        <w:t>6.住房保障支出(类)住房改革支出(款)住房公积金(项):支出决算数为5.10万元，比上年决算增加5.10万元，增长100.00%,主要原因是：本年功能科目调整，住房公积金上年度在主科目列支，本年单独列支，导致经费较上年增加。</w:t>
      </w:r>
    </w:p>
    <w:p w14:paraId="010C0AD4">
      <w:pPr>
        <w:spacing w:line="640" w:lineRule="exact"/>
        <w:ind w:firstLine="640"/>
        <w:jc w:val="both"/>
        <w:outlineLvl w:val="2"/>
      </w:pPr>
      <w:r>
        <w:rPr>
          <w:rFonts w:ascii="黑体" w:hAnsi="黑体" w:eastAsia="黑体"/>
          <w:sz w:val="32"/>
        </w:rPr>
        <w:t>六、一般公共预算财政拨款基本支出决算情况说明</w:t>
      </w:r>
    </w:p>
    <w:p w14:paraId="0D14C3CD">
      <w:pPr>
        <w:spacing w:line="580" w:lineRule="exact"/>
        <w:ind w:firstLine="640"/>
        <w:jc w:val="both"/>
      </w:pPr>
      <w:r>
        <w:rPr>
          <w:rFonts w:ascii="仿宋_GB2312" w:hAnsi="仿宋_GB2312" w:eastAsia="仿宋_GB2312"/>
          <w:b w:val="0"/>
          <w:sz w:val="32"/>
        </w:rPr>
        <w:t>2024年度一般公共预算财政拨款基本支出73.32万元，其中：</w:t>
      </w:r>
      <w:r>
        <w:rPr>
          <w:rFonts w:ascii="仿宋_GB2312" w:hAnsi="仿宋_GB2312" w:eastAsia="仿宋_GB2312"/>
          <w:b/>
          <w:sz w:val="32"/>
        </w:rPr>
        <w:t>人员经费68.09万元，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w:t>
      </w:r>
    </w:p>
    <w:p w14:paraId="0508B3FA">
      <w:pPr>
        <w:spacing w:line="580" w:lineRule="exact"/>
        <w:ind w:firstLine="640"/>
        <w:jc w:val="both"/>
      </w:pPr>
      <w:r>
        <w:rPr>
          <w:rFonts w:ascii="仿宋_GB2312" w:hAnsi="仿宋_GB2312" w:eastAsia="仿宋_GB2312"/>
          <w:b/>
          <w:sz w:val="32"/>
        </w:rPr>
        <w:t>公用经费5.23万元，</w:t>
      </w:r>
      <w:r>
        <w:rPr>
          <w:rFonts w:ascii="仿宋_GB2312" w:hAnsi="仿宋_GB2312" w:eastAsia="仿宋_GB2312"/>
          <w:b w:val="0"/>
          <w:sz w:val="32"/>
        </w:rPr>
        <w:t>包括：办公费、印刷费、手续费、邮电费、差旅费、办公设备购置。</w:t>
      </w:r>
    </w:p>
    <w:p w14:paraId="0DEF00BE">
      <w:pPr>
        <w:spacing w:line="640" w:lineRule="exact"/>
        <w:ind w:firstLine="640"/>
        <w:jc w:val="both"/>
        <w:outlineLvl w:val="2"/>
      </w:pPr>
      <w:r>
        <w:rPr>
          <w:rFonts w:ascii="黑体" w:hAnsi="黑体" w:eastAsia="黑体"/>
          <w:sz w:val="32"/>
        </w:rPr>
        <w:t>七、政府性基金预算财政拨款收入支出决算情况说明</w:t>
      </w:r>
    </w:p>
    <w:p w14:paraId="1E92F7B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2626B1">
      <w:pPr>
        <w:spacing w:line="640" w:lineRule="exact"/>
        <w:ind w:firstLine="640"/>
        <w:jc w:val="both"/>
        <w:outlineLvl w:val="2"/>
      </w:pPr>
      <w:r>
        <w:rPr>
          <w:rFonts w:ascii="黑体" w:hAnsi="黑体" w:eastAsia="黑体"/>
          <w:sz w:val="32"/>
        </w:rPr>
        <w:t>八、国有资本经营预算财政拨款收入支出决算情况说明</w:t>
      </w:r>
    </w:p>
    <w:p w14:paraId="010041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0D177A">
      <w:pPr>
        <w:spacing w:line="640" w:lineRule="exact"/>
        <w:ind w:firstLine="640"/>
        <w:jc w:val="both"/>
        <w:outlineLvl w:val="2"/>
      </w:pPr>
      <w:r>
        <w:rPr>
          <w:rFonts w:ascii="黑体" w:hAnsi="黑体" w:eastAsia="黑体"/>
          <w:sz w:val="32"/>
        </w:rPr>
        <w:t>九、财政拨款“三公”经费支出决算情况说明</w:t>
      </w:r>
    </w:p>
    <w:p w14:paraId="4043131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C0A8E2">
      <w:pPr>
        <w:spacing w:line="580" w:lineRule="exact"/>
        <w:ind w:firstLine="640"/>
        <w:jc w:val="both"/>
      </w:pPr>
      <w:r>
        <w:rPr>
          <w:rFonts w:ascii="仿宋_GB2312" w:hAnsi="仿宋_GB2312" w:eastAsia="仿宋_GB2312"/>
          <w:b/>
          <w:sz w:val="32"/>
        </w:rPr>
        <w:t>具体情况如下：</w:t>
      </w:r>
    </w:p>
    <w:p w14:paraId="123289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C8995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429BE6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434B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4B70B62">
      <w:pPr>
        <w:spacing w:line="640" w:lineRule="exact"/>
        <w:ind w:firstLine="640"/>
        <w:jc w:val="both"/>
        <w:outlineLvl w:val="2"/>
      </w:pPr>
      <w:r>
        <w:rPr>
          <w:rFonts w:ascii="黑体" w:hAnsi="黑体" w:eastAsia="黑体"/>
          <w:sz w:val="32"/>
        </w:rPr>
        <w:t>十、其他重要事项的情况说明</w:t>
      </w:r>
    </w:p>
    <w:p w14:paraId="0C9304D8">
      <w:pPr>
        <w:spacing w:line="640" w:lineRule="exact"/>
        <w:ind w:firstLine="640"/>
        <w:jc w:val="both"/>
        <w:outlineLvl w:val="3"/>
      </w:pPr>
      <w:r>
        <w:rPr>
          <w:rFonts w:ascii="楷体_GB2312" w:hAnsi="楷体_GB2312" w:eastAsia="楷体_GB2312"/>
          <w:b/>
          <w:sz w:val="32"/>
        </w:rPr>
        <w:t>（一）机关运行经费及公用经费支出情况</w:t>
      </w:r>
    </w:p>
    <w:p w14:paraId="5E92389B">
      <w:pPr>
        <w:spacing w:line="580" w:lineRule="exact"/>
        <w:ind w:firstLine="640"/>
        <w:jc w:val="both"/>
      </w:pPr>
      <w:r>
        <w:rPr>
          <w:rFonts w:ascii="仿宋_GB2312" w:hAnsi="仿宋_GB2312" w:eastAsia="仿宋_GB2312"/>
          <w:b w:val="0"/>
          <w:sz w:val="32"/>
        </w:rPr>
        <w:t>2024年度洛浦县地方志办公室（行政单位和参照公务员法管理事业单位）机关运行经费支出5.23万元，比上年减少25.33万元，下降82.89%，主要原因是：本年减少印刷费，机关运行经费支出减少。</w:t>
      </w:r>
    </w:p>
    <w:p w14:paraId="1F0AF45D">
      <w:pPr>
        <w:spacing w:line="640" w:lineRule="exact"/>
        <w:ind w:firstLine="640"/>
        <w:jc w:val="both"/>
        <w:outlineLvl w:val="3"/>
      </w:pPr>
      <w:r>
        <w:rPr>
          <w:rFonts w:ascii="楷体_GB2312" w:hAnsi="楷体_GB2312" w:eastAsia="楷体_GB2312"/>
          <w:b/>
          <w:sz w:val="32"/>
        </w:rPr>
        <w:t>（二）政府采购情况</w:t>
      </w:r>
    </w:p>
    <w:p w14:paraId="1EDC285A">
      <w:pPr>
        <w:spacing w:line="580" w:lineRule="exact"/>
        <w:ind w:firstLine="640"/>
        <w:jc w:val="both"/>
      </w:pPr>
      <w:r>
        <w:rPr>
          <w:rFonts w:ascii="仿宋_GB2312" w:hAnsi="仿宋_GB2312" w:eastAsia="仿宋_GB2312"/>
          <w:b w:val="0"/>
          <w:sz w:val="32"/>
        </w:rPr>
        <w:t>2024年度政府采购支出总额4.52万元，其中：政府采购货物支出3.51万元、政府采购工程支出0.00万元、政府采购服务支出1.02万元。</w:t>
      </w:r>
    </w:p>
    <w:p w14:paraId="3D60BB83">
      <w:pPr>
        <w:spacing w:line="580" w:lineRule="exact"/>
        <w:ind w:firstLine="640"/>
        <w:jc w:val="both"/>
      </w:pPr>
      <w:r>
        <w:rPr>
          <w:rFonts w:ascii="仿宋_GB2312" w:hAnsi="仿宋_GB2312" w:eastAsia="仿宋_GB2312"/>
          <w:b w:val="0"/>
          <w:sz w:val="32"/>
        </w:rPr>
        <w:t>授予中小企业合同金额4.52万元，占政府采购支出总额的100.00%，其中：授予小微企业合同金额4.52万元，占政府采购支出总额的100.00%。</w:t>
      </w:r>
    </w:p>
    <w:p w14:paraId="7B2CCD2B">
      <w:pPr>
        <w:spacing w:line="640" w:lineRule="exact"/>
        <w:ind w:firstLine="640"/>
        <w:jc w:val="both"/>
        <w:outlineLvl w:val="3"/>
      </w:pPr>
      <w:r>
        <w:rPr>
          <w:rFonts w:ascii="楷体_GB2312" w:hAnsi="楷体_GB2312" w:eastAsia="楷体_GB2312"/>
          <w:b/>
          <w:sz w:val="32"/>
        </w:rPr>
        <w:t>（三）国有资产占用情况说明</w:t>
      </w:r>
    </w:p>
    <w:p w14:paraId="75F3FD9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7EBF797">
      <w:pPr>
        <w:spacing w:line="640" w:lineRule="exact"/>
        <w:ind w:firstLine="640"/>
        <w:jc w:val="both"/>
        <w:outlineLvl w:val="2"/>
      </w:pPr>
      <w:r>
        <w:rPr>
          <w:rFonts w:ascii="黑体" w:hAnsi="黑体" w:eastAsia="黑体"/>
          <w:sz w:val="32"/>
        </w:rPr>
        <w:t>十一、预算绩效的情况说明</w:t>
      </w:r>
    </w:p>
    <w:p w14:paraId="5FD65FB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78.93万元，实际执行总额75.13万元；预算绩效评价项目1个，全年预算数4.28万元，全年执行数4.28万元。预算绩效管理取得的成效：一是加快推进年鉴工作。完成了2018年-2022年鉴资料收集编纂，并精装成册作为内部资料存档。完成了洛浦年鉴2023卷公开出版发行。二是扎实推进志书编纂。完成洛浦县志二轮资料长编了洛浦县简史、洛浦县大事记、洛浦县文史资料的精装存档。三是加快推进扶贫志编纂。完成洛浦县扶贫志初稿编纂，并胶装印发各相关单位征求意见。发现的问题及原因：存在的问题：首先是对预算执行及绩效管理认识不到位，其次是在业务能力方面有待加强，再次就是没有充分认识到预算绩效管理的重要性。主要的原因：由于预算绩效管理工作开展时间短，涉及面广，专业性强，加上缺乏系统的培训，单位对预算绩效管理理解不充分，对预算绩效管理业务不精通，在一定程度上影响了绩效评价工作效率和质量。下一步改进措施：进一步完善公共财政体制机制，强化部门支出责任，逐步建立以绩效目标实现为导向，以绩效跟踪和绩效评价为手段，以结果应用为保障，以改进预算管理、优化资源配置、控制节约成本、提高公共产品质量和公共服务水平为目的，管理科学、运转高效的全过程预算绩效管理体系。着力推进预算绩效管理的</w:t>
      </w:r>
      <w:r>
        <w:rPr>
          <w:rFonts w:hint="eastAsia" w:ascii="仿宋_GB2312" w:hAnsi="仿宋_GB2312" w:eastAsia="仿宋_GB2312"/>
          <w:b w:val="0"/>
          <w:sz w:val="32"/>
          <w:lang w:eastAsia="zh-CN"/>
        </w:rPr>
        <w:t>制度化、规范化</w:t>
      </w:r>
      <w:r>
        <w:rPr>
          <w:rFonts w:ascii="仿宋_GB2312" w:hAnsi="仿宋_GB2312" w:eastAsia="仿宋_GB2312"/>
          <w:b w:val="0"/>
          <w:sz w:val="32"/>
        </w:rPr>
        <w:t>。具体附整体支出绩效自评表，项目支出绩效自评表。</w:t>
      </w:r>
    </w:p>
    <w:p w14:paraId="4E872B3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749"/>
        <w:gridCol w:w="1217"/>
        <w:gridCol w:w="983"/>
        <w:gridCol w:w="983"/>
        <w:gridCol w:w="983"/>
        <w:gridCol w:w="983"/>
      </w:tblGrid>
      <w:tr w14:paraId="27710048">
        <w:tblPrEx>
          <w:tblCellMar>
            <w:top w:w="0" w:type="dxa"/>
            <w:left w:w="108" w:type="dxa"/>
            <w:bottom w:w="0" w:type="dxa"/>
            <w:right w:w="108" w:type="dxa"/>
          </w:tblCellMar>
        </w:tblPrEx>
        <w:tc>
          <w:tcPr>
            <w:tcW w:w="8847" w:type="dxa"/>
            <w:gridSpan w:val="9"/>
            <w:vAlign w:val="center"/>
          </w:tcPr>
          <w:p w14:paraId="4478A236">
            <w:pPr>
              <w:jc w:val="center"/>
            </w:pPr>
            <w:r>
              <w:rPr>
                <w:rFonts w:ascii="宋体" w:hAnsi="宋体" w:eastAsia="宋体"/>
                <w:sz w:val="24"/>
              </w:rPr>
              <w:t>单位整体支出绩效自评表</w:t>
            </w:r>
          </w:p>
        </w:tc>
      </w:tr>
      <w:tr w14:paraId="5E40DBD0">
        <w:tblPrEx>
          <w:tblCellMar>
            <w:top w:w="0" w:type="dxa"/>
            <w:left w:w="108" w:type="dxa"/>
            <w:bottom w:w="0" w:type="dxa"/>
            <w:right w:w="108" w:type="dxa"/>
          </w:tblCellMar>
        </w:tblPrEx>
        <w:tc>
          <w:tcPr>
            <w:tcW w:w="8847" w:type="dxa"/>
            <w:gridSpan w:val="9"/>
            <w:vAlign w:val="center"/>
          </w:tcPr>
          <w:p w14:paraId="583C76EE">
            <w:pPr>
              <w:jc w:val="center"/>
            </w:pPr>
            <w:r>
              <w:rPr>
                <w:rFonts w:ascii="宋体" w:hAnsi="宋体" w:eastAsia="宋体"/>
                <w:sz w:val="24"/>
              </w:rPr>
              <w:t>（2024年度）</w:t>
            </w:r>
          </w:p>
        </w:tc>
      </w:tr>
      <w:tr w14:paraId="10427F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5CB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319CA8">
            <w:pPr>
              <w:jc w:val="center"/>
            </w:pPr>
            <w:r>
              <w:rPr>
                <w:rFonts w:ascii="宋体" w:hAnsi="宋体" w:eastAsia="宋体"/>
                <w:sz w:val="16"/>
              </w:rPr>
              <w:t>洛浦县地方志办公室</w:t>
            </w:r>
          </w:p>
        </w:tc>
      </w:tr>
      <w:tr w14:paraId="437125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0007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7820">
            <w:pPr>
              <w:jc w:val="center"/>
            </w:pPr>
            <w:r>
              <w:rPr>
                <w:rFonts w:ascii="宋体" w:hAnsi="宋体" w:eastAsia="宋体"/>
                <w:sz w:val="16"/>
              </w:rPr>
              <w:t>资金来源</w:t>
            </w:r>
          </w:p>
        </w:tc>
        <w:tc>
          <w:tcPr>
            <w:tcW w:w="749" w:type="dxa"/>
            <w:tcBorders>
              <w:top w:val="single" w:color="auto" w:sz="10" w:space="0"/>
              <w:left w:val="single" w:color="auto" w:sz="10" w:space="0"/>
              <w:bottom w:val="single" w:color="auto" w:sz="10" w:space="0"/>
              <w:right w:val="single" w:color="auto" w:sz="10" w:space="0"/>
              <w:insideV w:val="single" w:sz="10" w:space="0"/>
            </w:tcBorders>
            <w:vAlign w:val="center"/>
          </w:tcPr>
          <w:p w14:paraId="72D72014">
            <w:pPr>
              <w:jc w:val="center"/>
            </w:pPr>
            <w:r>
              <w:rPr>
                <w:rFonts w:ascii="宋体" w:hAnsi="宋体" w:eastAsia="宋体"/>
                <w:sz w:val="16"/>
              </w:rPr>
              <w:t>年初预算数</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1D4550F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46B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FB0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23A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43A9">
            <w:pPr>
              <w:jc w:val="center"/>
            </w:pPr>
            <w:r>
              <w:rPr>
                <w:rFonts w:ascii="宋体" w:hAnsi="宋体" w:eastAsia="宋体"/>
                <w:sz w:val="16"/>
              </w:rPr>
              <w:t>得分</w:t>
            </w:r>
          </w:p>
        </w:tc>
      </w:tr>
      <w:tr w14:paraId="4C926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051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27E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C8CF3">
            <w:pPr>
              <w:jc w:val="center"/>
            </w:pPr>
            <w:r>
              <w:rPr>
                <w:rFonts w:ascii="宋体" w:hAnsi="宋体" w:eastAsia="宋体"/>
                <w:sz w:val="16"/>
              </w:rPr>
              <w:t>上级</w:t>
            </w:r>
          </w:p>
        </w:tc>
        <w:tc>
          <w:tcPr>
            <w:tcW w:w="749" w:type="dxa"/>
            <w:tcBorders>
              <w:top w:val="single" w:color="auto" w:sz="10" w:space="0"/>
              <w:left w:val="single" w:color="auto" w:sz="10" w:space="0"/>
              <w:bottom w:val="single" w:color="auto" w:sz="10" w:space="0"/>
              <w:right w:val="single" w:color="auto" w:sz="10" w:space="0"/>
              <w:insideV w:val="single" w:sz="10" w:space="0"/>
            </w:tcBorders>
            <w:vAlign w:val="center"/>
          </w:tcPr>
          <w:p w14:paraId="72C732FB">
            <w:pPr>
              <w:jc w:val="center"/>
            </w:pPr>
            <w:r>
              <w:rPr>
                <w:rFonts w:ascii="宋体" w:hAnsi="宋体" w:eastAsia="宋体"/>
                <w:sz w:val="16"/>
              </w:rPr>
              <w:t>0.00</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2B97CC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83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D02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045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53D38">
            <w:pPr>
              <w:jc w:val="center"/>
            </w:pPr>
            <w:r>
              <w:rPr>
                <w:rFonts w:ascii="宋体" w:hAnsi="宋体" w:eastAsia="宋体"/>
                <w:sz w:val="16"/>
              </w:rPr>
              <w:t>-</w:t>
            </w:r>
          </w:p>
        </w:tc>
      </w:tr>
      <w:tr w14:paraId="151DA1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723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742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847A">
            <w:pPr>
              <w:jc w:val="center"/>
            </w:pPr>
            <w:r>
              <w:rPr>
                <w:rFonts w:ascii="宋体" w:hAnsi="宋体" w:eastAsia="宋体"/>
                <w:sz w:val="16"/>
              </w:rPr>
              <w:t>本级</w:t>
            </w:r>
          </w:p>
        </w:tc>
        <w:tc>
          <w:tcPr>
            <w:tcW w:w="749" w:type="dxa"/>
            <w:tcBorders>
              <w:top w:val="single" w:color="auto" w:sz="10" w:space="0"/>
              <w:left w:val="single" w:color="auto" w:sz="10" w:space="0"/>
              <w:bottom w:val="single" w:color="auto" w:sz="10" w:space="0"/>
              <w:right w:val="single" w:color="auto" w:sz="10" w:space="0"/>
              <w:insideV w:val="single" w:sz="10" w:space="0"/>
            </w:tcBorders>
            <w:vAlign w:val="center"/>
          </w:tcPr>
          <w:p w14:paraId="7396E3C5">
            <w:pPr>
              <w:jc w:val="center"/>
            </w:pPr>
            <w:r>
              <w:rPr>
                <w:rFonts w:ascii="宋体" w:hAnsi="宋体" w:eastAsia="宋体"/>
                <w:sz w:val="16"/>
              </w:rPr>
              <w:t>48.57</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43F3B39E">
            <w:pPr>
              <w:jc w:val="center"/>
            </w:pPr>
            <w:r>
              <w:rPr>
                <w:rFonts w:ascii="宋体" w:hAnsi="宋体" w:eastAsia="宋体"/>
                <w:sz w:val="16"/>
              </w:rPr>
              <w:t>78.93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1A17A">
            <w:pPr>
              <w:jc w:val="center"/>
            </w:pPr>
            <w:r>
              <w:rPr>
                <w:rFonts w:ascii="宋体" w:hAnsi="宋体" w:eastAsia="宋体"/>
                <w:sz w:val="16"/>
              </w:rPr>
              <w:t>75.13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905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AA8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B5BA">
            <w:pPr>
              <w:jc w:val="center"/>
            </w:pPr>
            <w:r>
              <w:rPr>
                <w:rFonts w:ascii="宋体" w:hAnsi="宋体" w:eastAsia="宋体"/>
                <w:sz w:val="16"/>
              </w:rPr>
              <w:t>-</w:t>
            </w:r>
          </w:p>
        </w:tc>
      </w:tr>
      <w:tr w14:paraId="43E79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363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521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0827E">
            <w:pPr>
              <w:jc w:val="center"/>
            </w:pPr>
            <w:r>
              <w:rPr>
                <w:rFonts w:ascii="宋体" w:hAnsi="宋体" w:eastAsia="宋体"/>
                <w:sz w:val="16"/>
              </w:rPr>
              <w:t>其他</w:t>
            </w:r>
          </w:p>
        </w:tc>
        <w:tc>
          <w:tcPr>
            <w:tcW w:w="749" w:type="dxa"/>
            <w:tcBorders>
              <w:top w:val="single" w:color="auto" w:sz="10" w:space="0"/>
              <w:left w:val="single" w:color="auto" w:sz="10" w:space="0"/>
              <w:bottom w:val="single" w:color="auto" w:sz="10" w:space="0"/>
              <w:right w:val="single" w:color="auto" w:sz="10" w:space="0"/>
              <w:insideV w:val="single" w:sz="10" w:space="0"/>
            </w:tcBorders>
            <w:vAlign w:val="center"/>
          </w:tcPr>
          <w:p w14:paraId="4D7DBC14">
            <w:pPr>
              <w:jc w:val="center"/>
            </w:pPr>
            <w:r>
              <w:rPr>
                <w:rFonts w:ascii="宋体" w:hAnsi="宋体" w:eastAsia="宋体"/>
                <w:sz w:val="16"/>
              </w:rPr>
              <w:t>0.00</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383000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E15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CCF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C9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E735">
            <w:pPr>
              <w:jc w:val="center"/>
            </w:pPr>
            <w:r>
              <w:rPr>
                <w:rFonts w:ascii="宋体" w:hAnsi="宋体" w:eastAsia="宋体"/>
                <w:sz w:val="16"/>
              </w:rPr>
              <w:t>-</w:t>
            </w:r>
          </w:p>
        </w:tc>
      </w:tr>
      <w:tr w14:paraId="5A125B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FEA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3F2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D9D23">
            <w:pPr>
              <w:jc w:val="center"/>
            </w:pPr>
            <w:r>
              <w:rPr>
                <w:rFonts w:ascii="宋体" w:hAnsi="宋体" w:eastAsia="宋体"/>
                <w:sz w:val="16"/>
              </w:rPr>
              <w:t>-</w:t>
            </w:r>
          </w:p>
        </w:tc>
        <w:tc>
          <w:tcPr>
            <w:tcW w:w="749" w:type="dxa"/>
            <w:tcBorders>
              <w:top w:val="single" w:color="auto" w:sz="10" w:space="0"/>
              <w:left w:val="single" w:color="auto" w:sz="10" w:space="0"/>
              <w:bottom w:val="single" w:color="auto" w:sz="10" w:space="0"/>
              <w:right w:val="single" w:color="auto" w:sz="10" w:space="0"/>
              <w:insideV w:val="single" w:sz="10" w:space="0"/>
            </w:tcBorders>
            <w:vAlign w:val="center"/>
          </w:tcPr>
          <w:p w14:paraId="1944B770">
            <w:pPr>
              <w:jc w:val="center"/>
            </w:pPr>
            <w:r>
              <w:rPr>
                <w:rFonts w:ascii="宋体" w:hAnsi="宋体" w:eastAsia="宋体"/>
                <w:sz w:val="16"/>
              </w:rPr>
              <w:t>48.57</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4F43CFD0">
            <w:pPr>
              <w:jc w:val="center"/>
            </w:pPr>
            <w:r>
              <w:rPr>
                <w:rFonts w:ascii="宋体" w:hAnsi="宋体" w:eastAsia="宋体"/>
                <w:sz w:val="16"/>
              </w:rPr>
              <w:t>78.93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2EB8">
            <w:pPr>
              <w:jc w:val="center"/>
            </w:pPr>
            <w:r>
              <w:rPr>
                <w:rFonts w:ascii="宋体" w:hAnsi="宋体" w:eastAsia="宋体"/>
                <w:sz w:val="16"/>
              </w:rPr>
              <w:t>75.13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4DC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ABAFB">
            <w:pPr>
              <w:jc w:val="center"/>
            </w:pPr>
            <w:r>
              <w:rPr>
                <w:rFonts w:ascii="宋体" w:hAnsi="宋体" w:eastAsia="宋体"/>
                <w:sz w:val="16"/>
              </w:rPr>
              <w:t>95.19%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4CAA4">
            <w:pPr>
              <w:jc w:val="center"/>
            </w:pPr>
            <w:r>
              <w:rPr>
                <w:rFonts w:ascii="宋体" w:hAnsi="宋体" w:eastAsia="宋体"/>
                <w:sz w:val="16"/>
              </w:rPr>
              <w:t>9.51</w:t>
            </w:r>
          </w:p>
        </w:tc>
      </w:tr>
      <w:tr w14:paraId="2155C3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954F5">
            <w:pPr>
              <w:jc w:val="center"/>
            </w:pPr>
            <w:r>
              <w:rPr>
                <w:rFonts w:ascii="宋体" w:hAnsi="宋体" w:eastAsia="宋体"/>
                <w:sz w:val="16"/>
              </w:rPr>
              <w:t>年度总体目标</w:t>
            </w:r>
          </w:p>
        </w:tc>
        <w:tc>
          <w:tcPr>
            <w:tcW w:w="2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5773EF">
            <w:pPr>
              <w:jc w:val="center"/>
            </w:pPr>
            <w:r>
              <w:rPr>
                <w:rFonts w:ascii="宋体" w:hAnsi="宋体" w:eastAsia="宋体"/>
                <w:sz w:val="16"/>
              </w:rPr>
              <w:t>预期目标</w:t>
            </w:r>
          </w:p>
        </w:tc>
        <w:tc>
          <w:tcPr>
            <w:tcW w:w="51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A5D45">
            <w:pPr>
              <w:jc w:val="center"/>
            </w:pPr>
            <w:r>
              <w:rPr>
                <w:rFonts w:ascii="宋体" w:hAnsi="宋体" w:eastAsia="宋体"/>
                <w:sz w:val="16"/>
              </w:rPr>
              <w:t>实际完成情况</w:t>
            </w:r>
          </w:p>
        </w:tc>
      </w:tr>
      <w:tr w14:paraId="7B2F3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3EEE9"/>
        </w:tc>
        <w:tc>
          <w:tcPr>
            <w:tcW w:w="2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9EEEDD">
            <w:pPr>
              <w:jc w:val="both"/>
            </w:pPr>
            <w:r>
              <w:rPr>
                <w:rFonts w:ascii="宋体" w:hAnsi="宋体" w:eastAsia="宋体"/>
                <w:sz w:val="16"/>
              </w:rPr>
              <w:t>1.加快洛浦县简史，大事记出版工作，搜集党史文献资料。2.推进地方志编纂工作，完成《洛浦年鉴（2024）》《洛浦县扶贫志》、特色地方志编纂工作，开展第三轮修志工作，建设“洛浦县方志馆”。</w:t>
            </w:r>
          </w:p>
        </w:tc>
        <w:tc>
          <w:tcPr>
            <w:tcW w:w="51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4F2DE">
            <w:pPr>
              <w:jc w:val="both"/>
            </w:pPr>
            <w:r>
              <w:rPr>
                <w:rFonts w:hint="eastAsia" w:ascii="宋体" w:hAnsi="宋体"/>
                <w:sz w:val="16"/>
                <w:lang w:eastAsia="zh-CN"/>
              </w:rPr>
              <w:t>截至2024</w:t>
            </w:r>
            <w:r>
              <w:rPr>
                <w:rFonts w:ascii="宋体" w:hAnsi="宋体" w:eastAsia="宋体"/>
                <w:sz w:val="16"/>
              </w:rPr>
              <w:t>年12月31日，本单位已完成：1、保障了4名工作人员及1退休人员的基本支出、工资福利、各项补助等，全县地方志工作规划和编纂方案1个，人员考核合格率100%，资金使用合格率100%，保障资金发放及时率100%；部门整体支出为73.32万元，其中人员经费68.09万元，公用经费5.23万元；通过保障部门正常运转，有效提升公共服务能力，持续开发利用地方志资源，政策知晓率100%，使受益群众满意度及工作人员满意度达到了100%。 2、根据《新疆维吾尔自治区地方志事业“十四五”发展规划》和2024年1月26日全区地方志机构主任工作会议精神，以及《2024年自治区地方志工作要点》要求，完成方志馆的建设，为切实发挥好方志馆在深入推进文化润疆工程建设中的积极作用。展示本县域内历史变迁及收藏保护年鉴顺利出版，宣传方志文化，延续文化血脉。完成洛浦县简史、大事记出版总工作量本年工作的100%；完成《洛浦年鉴（2024）》编纂总工作量本年工作的100%；完成《洛浦县扶贫志》编纂总工作量本年工作的100%；特色志编纂中其中《何以洛浦》特色志编纂总工作量本年工作的100%。</w:t>
            </w:r>
          </w:p>
        </w:tc>
      </w:tr>
      <w:tr w14:paraId="2B0F8B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58C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E869">
            <w:pPr>
              <w:jc w:val="center"/>
            </w:pPr>
            <w:r>
              <w:rPr>
                <w:rFonts w:ascii="宋体" w:hAnsi="宋体" w:eastAsia="宋体"/>
                <w:sz w:val="16"/>
              </w:rPr>
              <w:t>二级指标</w:t>
            </w:r>
          </w:p>
        </w:tc>
        <w:tc>
          <w:tcPr>
            <w:tcW w:w="1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135A">
            <w:pPr>
              <w:jc w:val="center"/>
            </w:pPr>
            <w:r>
              <w:rPr>
                <w:rFonts w:ascii="宋体" w:hAnsi="宋体" w:eastAsia="宋体"/>
                <w:sz w:val="16"/>
              </w:rPr>
              <w:t>三级指标</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4F99435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843C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269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9FB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A385F">
            <w:pPr>
              <w:jc w:val="center"/>
            </w:pPr>
            <w:r>
              <w:rPr>
                <w:rFonts w:ascii="宋体" w:hAnsi="宋体" w:eastAsia="宋体"/>
                <w:sz w:val="16"/>
              </w:rPr>
              <w:t>得分</w:t>
            </w:r>
          </w:p>
        </w:tc>
      </w:tr>
      <w:tr w14:paraId="20E75B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CB54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49C1C">
            <w:pPr>
              <w:jc w:val="center"/>
            </w:pPr>
            <w:r>
              <w:rPr>
                <w:rFonts w:ascii="宋体" w:hAnsi="宋体" w:eastAsia="宋体"/>
                <w:sz w:val="16"/>
              </w:rPr>
              <w:t>数量指标</w:t>
            </w:r>
          </w:p>
        </w:tc>
        <w:tc>
          <w:tcPr>
            <w:tcW w:w="1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7E6B">
            <w:pPr>
              <w:jc w:val="center"/>
            </w:pPr>
            <w:r>
              <w:rPr>
                <w:rFonts w:ascii="宋体" w:hAnsi="宋体" w:eastAsia="宋体"/>
                <w:sz w:val="16"/>
              </w:rPr>
              <w:t>完成洛浦县简史、大事记出版</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30087669">
            <w:pPr>
              <w:jc w:val="center"/>
            </w:pPr>
            <w:r>
              <w:rPr>
                <w:rFonts w:ascii="宋体" w:hAnsi="宋体" w:eastAsia="宋体"/>
                <w:sz w:val="16"/>
              </w:rPr>
              <w:t>出版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972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0506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B683E">
            <w:pPr>
              <w:jc w:val="center"/>
            </w:pPr>
            <w:r>
              <w:rPr>
                <w:rFonts w:ascii="宋体" w:hAnsi="宋体" w:eastAsia="宋体"/>
                <w:sz w:val="16"/>
              </w:rPr>
              <w:t>完成当年工作任务的100%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73FA7">
            <w:pPr>
              <w:jc w:val="center"/>
            </w:pPr>
            <w:r>
              <w:rPr>
                <w:rFonts w:ascii="宋体" w:hAnsi="宋体" w:eastAsia="宋体"/>
                <w:sz w:val="16"/>
              </w:rPr>
              <w:t>30</w:t>
            </w:r>
          </w:p>
        </w:tc>
      </w:tr>
      <w:tr w14:paraId="7ACCFD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72F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0AE90"/>
        </w:tc>
        <w:tc>
          <w:tcPr>
            <w:tcW w:w="1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58B1">
            <w:pPr>
              <w:jc w:val="center"/>
            </w:pPr>
            <w:r>
              <w:rPr>
                <w:rFonts w:ascii="宋体" w:hAnsi="宋体" w:eastAsia="宋体"/>
                <w:sz w:val="16"/>
              </w:rPr>
              <w:t>完成《洛浦年鉴（2024）》编纂</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18BE6CF5">
            <w:pPr>
              <w:jc w:val="center"/>
            </w:pPr>
            <w:r>
              <w:rPr>
                <w:rFonts w:ascii="宋体" w:hAnsi="宋体" w:eastAsia="宋体"/>
                <w:sz w:val="16"/>
              </w:rPr>
              <w:t>=300本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E5C2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62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57D9">
            <w:pPr>
              <w:jc w:val="center"/>
            </w:pPr>
            <w:r>
              <w:rPr>
                <w:rFonts w:ascii="宋体" w:hAnsi="宋体" w:eastAsia="宋体"/>
                <w:sz w:val="16"/>
              </w:rPr>
              <w:t>完成当年工作任务的100%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3DBB">
            <w:pPr>
              <w:jc w:val="center"/>
            </w:pPr>
            <w:r>
              <w:rPr>
                <w:rFonts w:ascii="宋体" w:hAnsi="宋体" w:eastAsia="宋体"/>
                <w:sz w:val="16"/>
              </w:rPr>
              <w:t>20</w:t>
            </w:r>
          </w:p>
        </w:tc>
      </w:tr>
      <w:tr w14:paraId="5CCD3E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467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BE6EF"/>
        </w:tc>
        <w:tc>
          <w:tcPr>
            <w:tcW w:w="1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EF2AD">
            <w:pPr>
              <w:jc w:val="center"/>
            </w:pPr>
            <w:r>
              <w:rPr>
                <w:rFonts w:ascii="宋体" w:hAnsi="宋体" w:eastAsia="宋体"/>
                <w:sz w:val="16"/>
              </w:rPr>
              <w:t>完成《洛浦县扶贫志》编纂</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6106EF38">
            <w:pPr>
              <w:jc w:val="center"/>
            </w:pPr>
            <w:r>
              <w:rPr>
                <w:rFonts w:ascii="宋体" w:hAnsi="宋体" w:eastAsia="宋体"/>
                <w:sz w:val="16"/>
              </w:rPr>
              <w:t>=300本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812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6EA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94DE">
            <w:pPr>
              <w:jc w:val="center"/>
            </w:pPr>
            <w:r>
              <w:rPr>
                <w:rFonts w:ascii="宋体" w:hAnsi="宋体" w:eastAsia="宋体"/>
                <w:sz w:val="16"/>
              </w:rPr>
              <w:t>完成当年工作任务的100%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5E52">
            <w:pPr>
              <w:jc w:val="center"/>
            </w:pPr>
            <w:r>
              <w:rPr>
                <w:rFonts w:ascii="宋体" w:hAnsi="宋体" w:eastAsia="宋体"/>
                <w:sz w:val="16"/>
              </w:rPr>
              <w:t>20</w:t>
            </w:r>
          </w:p>
        </w:tc>
      </w:tr>
      <w:tr w14:paraId="464BDF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FB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A00BD"/>
        </w:tc>
        <w:tc>
          <w:tcPr>
            <w:tcW w:w="17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3694">
            <w:pPr>
              <w:jc w:val="center"/>
            </w:pPr>
            <w:r>
              <w:rPr>
                <w:rFonts w:ascii="宋体" w:hAnsi="宋体" w:eastAsia="宋体"/>
                <w:sz w:val="16"/>
              </w:rPr>
              <w:t>特色志编纂</w:t>
            </w:r>
          </w:p>
        </w:tc>
        <w:tc>
          <w:tcPr>
            <w:tcW w:w="1217" w:type="dxa"/>
            <w:tcBorders>
              <w:top w:val="single" w:color="auto" w:sz="10" w:space="0"/>
              <w:left w:val="single" w:color="auto" w:sz="10" w:space="0"/>
              <w:bottom w:val="single" w:color="auto" w:sz="10" w:space="0"/>
              <w:right w:val="single" w:color="auto" w:sz="10" w:space="0"/>
              <w:insideV w:val="single" w:sz="10" w:space="0"/>
            </w:tcBorders>
            <w:vAlign w:val="center"/>
          </w:tcPr>
          <w:p w14:paraId="23F25A74">
            <w:pPr>
              <w:jc w:val="center"/>
            </w:pPr>
            <w:r>
              <w:rPr>
                <w:rFonts w:ascii="宋体" w:hAnsi="宋体" w:eastAsia="宋体"/>
                <w:sz w:val="16"/>
              </w:rPr>
              <w:t>=4类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1E40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4E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A147">
            <w:pPr>
              <w:jc w:val="center"/>
            </w:pPr>
            <w:r>
              <w:rPr>
                <w:rFonts w:ascii="宋体" w:hAnsi="宋体" w:eastAsia="宋体"/>
                <w:sz w:val="16"/>
              </w:rPr>
              <w:t>完成当年工作任务的100%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0B33A">
            <w:pPr>
              <w:jc w:val="center"/>
            </w:pPr>
            <w:r>
              <w:rPr>
                <w:rFonts w:ascii="宋体" w:hAnsi="宋体" w:eastAsia="宋体"/>
                <w:sz w:val="16"/>
              </w:rPr>
              <w:t>20</w:t>
            </w:r>
          </w:p>
        </w:tc>
      </w:tr>
    </w:tbl>
    <w:p w14:paraId="3F95E2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016"/>
        <w:gridCol w:w="983"/>
        <w:gridCol w:w="983"/>
        <w:gridCol w:w="983"/>
      </w:tblGrid>
      <w:tr w14:paraId="533B7184">
        <w:tblPrEx>
          <w:tblCellMar>
            <w:top w:w="0" w:type="dxa"/>
            <w:left w:w="108" w:type="dxa"/>
            <w:bottom w:w="0" w:type="dxa"/>
            <w:right w:w="108" w:type="dxa"/>
          </w:tblCellMar>
        </w:tblPrEx>
        <w:tc>
          <w:tcPr>
            <w:tcW w:w="8847" w:type="dxa"/>
            <w:gridSpan w:val="9"/>
            <w:vAlign w:val="center"/>
          </w:tcPr>
          <w:p w14:paraId="647CE9C6">
            <w:pPr>
              <w:jc w:val="center"/>
            </w:pPr>
            <w:r>
              <w:rPr>
                <w:rFonts w:ascii="宋体" w:hAnsi="宋体" w:eastAsia="宋体"/>
                <w:sz w:val="24"/>
              </w:rPr>
              <w:t>项目支出绩效自评表</w:t>
            </w:r>
          </w:p>
        </w:tc>
      </w:tr>
      <w:tr w14:paraId="00B0DAAE">
        <w:tblPrEx>
          <w:tblCellMar>
            <w:top w:w="0" w:type="dxa"/>
            <w:left w:w="108" w:type="dxa"/>
            <w:bottom w:w="0" w:type="dxa"/>
            <w:right w:w="108" w:type="dxa"/>
          </w:tblCellMar>
        </w:tblPrEx>
        <w:tc>
          <w:tcPr>
            <w:tcW w:w="8847" w:type="dxa"/>
            <w:gridSpan w:val="9"/>
            <w:vAlign w:val="center"/>
          </w:tcPr>
          <w:p w14:paraId="0826961E">
            <w:pPr>
              <w:jc w:val="center"/>
            </w:pPr>
            <w:r>
              <w:rPr>
                <w:rFonts w:ascii="宋体" w:hAnsi="宋体" w:eastAsia="宋体"/>
                <w:sz w:val="24"/>
              </w:rPr>
              <w:t>(2024年度)</w:t>
            </w:r>
          </w:p>
        </w:tc>
      </w:tr>
      <w:tr w14:paraId="1A5FC2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1A4B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C1C4E7">
            <w:pPr>
              <w:jc w:val="center"/>
            </w:pPr>
            <w:r>
              <w:rPr>
                <w:rFonts w:ascii="宋体" w:hAnsi="宋体" w:eastAsia="宋体"/>
                <w:sz w:val="16"/>
              </w:rPr>
              <w:t>洛浦县方志馆建设项目</w:t>
            </w:r>
          </w:p>
        </w:tc>
      </w:tr>
      <w:tr w14:paraId="62366A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B8E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60E7D">
            <w:pPr>
              <w:jc w:val="center"/>
            </w:pPr>
            <w:r>
              <w:rPr>
                <w:rFonts w:ascii="宋体" w:hAnsi="宋体" w:eastAsia="宋体"/>
                <w:sz w:val="16"/>
              </w:rPr>
              <w:t>洛浦县地方志办公室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5CE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151130">
            <w:pPr>
              <w:jc w:val="center"/>
            </w:pPr>
            <w:r>
              <w:rPr>
                <w:rFonts w:ascii="宋体" w:hAnsi="宋体" w:eastAsia="宋体"/>
                <w:sz w:val="16"/>
              </w:rPr>
              <w:t>洛浦县地方志办公室</w:t>
            </w:r>
          </w:p>
        </w:tc>
      </w:tr>
      <w:tr w14:paraId="73903B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FC3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F8B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E2D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DE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B2D6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CB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5F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526F">
            <w:pPr>
              <w:jc w:val="center"/>
            </w:pPr>
            <w:r>
              <w:rPr>
                <w:rFonts w:ascii="宋体" w:hAnsi="宋体" w:eastAsia="宋体"/>
                <w:sz w:val="16"/>
              </w:rPr>
              <w:t>得分</w:t>
            </w:r>
          </w:p>
        </w:tc>
      </w:tr>
      <w:tr w14:paraId="146F5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A01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017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808B">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07D1">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1FC02">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30D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5A5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0976">
            <w:pPr>
              <w:jc w:val="center"/>
            </w:pPr>
            <w:r>
              <w:rPr>
                <w:rFonts w:ascii="宋体" w:hAnsi="宋体" w:eastAsia="宋体"/>
                <w:sz w:val="16"/>
              </w:rPr>
              <w:t>10.00分</w:t>
            </w:r>
          </w:p>
        </w:tc>
      </w:tr>
      <w:tr w14:paraId="121DD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B62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875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32154">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DF507">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855DF">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7C3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FFD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6AD18">
            <w:pPr>
              <w:jc w:val="center"/>
            </w:pPr>
            <w:r>
              <w:rPr>
                <w:rFonts w:ascii="宋体" w:hAnsi="宋体" w:eastAsia="宋体"/>
                <w:sz w:val="16"/>
              </w:rPr>
              <w:t>—</w:t>
            </w:r>
          </w:p>
        </w:tc>
      </w:tr>
      <w:tr w14:paraId="0CE7B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91B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DE0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9E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C0A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81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FC8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2A2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2143">
            <w:pPr>
              <w:jc w:val="center"/>
            </w:pPr>
            <w:r>
              <w:rPr>
                <w:rFonts w:ascii="宋体" w:hAnsi="宋体" w:eastAsia="宋体"/>
                <w:sz w:val="16"/>
              </w:rPr>
              <w:t>—</w:t>
            </w:r>
          </w:p>
        </w:tc>
      </w:tr>
      <w:tr w14:paraId="48251D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6AE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810E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A0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D9E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F7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B6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333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BE36">
            <w:pPr>
              <w:jc w:val="center"/>
            </w:pPr>
            <w:r>
              <w:rPr>
                <w:rFonts w:ascii="宋体" w:hAnsi="宋体" w:eastAsia="宋体"/>
                <w:sz w:val="16"/>
              </w:rPr>
              <w:t>—</w:t>
            </w:r>
          </w:p>
        </w:tc>
      </w:tr>
      <w:tr w14:paraId="2CA718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FA5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03858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37E7C0">
            <w:pPr>
              <w:jc w:val="center"/>
            </w:pPr>
            <w:r>
              <w:rPr>
                <w:rFonts w:ascii="宋体" w:hAnsi="宋体" w:eastAsia="宋体"/>
                <w:sz w:val="16"/>
              </w:rPr>
              <w:t>实际完成情况</w:t>
            </w:r>
          </w:p>
        </w:tc>
      </w:tr>
      <w:tr w14:paraId="2C22C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8235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A55AAE">
            <w:pPr>
              <w:jc w:val="both"/>
            </w:pPr>
            <w:r>
              <w:rPr>
                <w:rFonts w:ascii="宋体" w:hAnsi="宋体" w:eastAsia="宋体"/>
                <w:sz w:val="16"/>
              </w:rPr>
              <w:t>根据文件实施此项目，主要内容：保障地方志馆数量1个，购买相关的设施设备。通过实施该项目宣传方志文化，延续文化血脉，争取人民群众满意度达到95%。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C3019E">
            <w:pPr>
              <w:jc w:val="both"/>
            </w:pPr>
            <w:r>
              <w:rPr>
                <w:rFonts w:ascii="宋体" w:hAnsi="宋体" w:eastAsia="宋体"/>
                <w:sz w:val="16"/>
              </w:rPr>
              <w:t>截至2024年12月31日，该项目实施完毕，保障方志馆数量1个，购买配套设施1批。资金使用4.28万元。通过项目的实施，宣传方志文化，延续文化血脉效果显著。</w:t>
            </w:r>
          </w:p>
        </w:tc>
      </w:tr>
      <w:tr w14:paraId="0C54DC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B37C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F5AF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B49D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CEA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1504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804F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A56C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CC5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E723">
            <w:pPr>
              <w:jc w:val="center"/>
            </w:pPr>
            <w:r>
              <w:rPr>
                <w:rFonts w:ascii="宋体" w:hAnsi="宋体" w:eastAsia="宋体"/>
                <w:sz w:val="16"/>
              </w:rPr>
              <w:t>偏差原因分析及改进措施</w:t>
            </w:r>
          </w:p>
        </w:tc>
      </w:tr>
      <w:tr w14:paraId="74F5FA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6482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DAC2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A178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20AC">
            <w:pPr>
              <w:jc w:val="center"/>
            </w:pPr>
            <w:r>
              <w:rPr>
                <w:rFonts w:ascii="宋体" w:hAnsi="宋体" w:eastAsia="宋体"/>
                <w:sz w:val="16"/>
              </w:rPr>
              <w:t>保障方志馆数量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B3A9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2E5C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D7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378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AABB">
            <w:pPr>
              <w:jc w:val="center"/>
            </w:pPr>
          </w:p>
        </w:tc>
      </w:tr>
      <w:tr w14:paraId="3AE6F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E26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26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805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43A17">
            <w:pPr>
              <w:jc w:val="center"/>
            </w:pPr>
            <w:r>
              <w:rPr>
                <w:rFonts w:ascii="宋体" w:hAnsi="宋体" w:eastAsia="宋体"/>
                <w:sz w:val="16"/>
              </w:rPr>
              <w:t>购买配套设施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EB7A">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5607">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17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9A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1C010">
            <w:pPr>
              <w:jc w:val="center"/>
            </w:pPr>
          </w:p>
        </w:tc>
      </w:tr>
      <w:tr w14:paraId="54E22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13A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49E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072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3626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BE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31A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30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C1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89EA0">
            <w:pPr>
              <w:jc w:val="center"/>
            </w:pPr>
          </w:p>
        </w:tc>
      </w:tr>
      <w:tr w14:paraId="78F81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9FD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1240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C2B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24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4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624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35C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76E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68242">
            <w:pPr>
              <w:jc w:val="center"/>
            </w:pPr>
          </w:p>
        </w:tc>
      </w:tr>
      <w:tr w14:paraId="44F39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983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DE2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FB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8E24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80D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73BB7">
            <w:pPr>
              <w:jc w:val="center"/>
            </w:pPr>
            <w:r>
              <w:rPr>
                <w:rFonts w:ascii="宋体" w:hAnsi="宋体" w:eastAsia="宋体"/>
                <w:sz w:val="16"/>
              </w:rPr>
              <w:t>2024-07-01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4BC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3FB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D0A4">
            <w:pPr>
              <w:jc w:val="center"/>
            </w:pPr>
          </w:p>
        </w:tc>
      </w:tr>
      <w:tr w14:paraId="28F329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E9E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B83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4D79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4CE2">
            <w:pPr>
              <w:jc w:val="center"/>
            </w:pPr>
            <w:r>
              <w:rPr>
                <w:rFonts w:ascii="宋体" w:hAnsi="宋体" w:eastAsia="宋体"/>
                <w:sz w:val="16"/>
              </w:rPr>
              <w:t>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A445">
            <w:pPr>
              <w:jc w:val="center"/>
            </w:pPr>
            <w:r>
              <w:rPr>
                <w:rFonts w:ascii="宋体" w:hAnsi="宋体" w:eastAsia="宋体"/>
                <w:sz w:val="16"/>
              </w:rPr>
              <w:t>&lt;=4.28万元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AA71">
            <w:pPr>
              <w:jc w:val="center"/>
            </w:pPr>
            <w:r>
              <w:rPr>
                <w:rFonts w:ascii="宋体" w:hAnsi="宋体" w:eastAsia="宋体"/>
                <w:sz w:val="16"/>
              </w:rPr>
              <w:t>4.28万元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E55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639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1745">
            <w:pPr>
              <w:jc w:val="center"/>
            </w:pPr>
          </w:p>
        </w:tc>
      </w:tr>
      <w:tr w14:paraId="76CE3E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28C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E0FD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A4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8BD2">
            <w:pPr>
              <w:jc w:val="center"/>
            </w:pPr>
            <w:r>
              <w:rPr>
                <w:rFonts w:ascii="宋体" w:hAnsi="宋体" w:eastAsia="宋体"/>
                <w:sz w:val="16"/>
              </w:rPr>
              <w:t>宣传方志文化，延续文化血脉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37C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9DF1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68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3C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CEDE">
            <w:pPr>
              <w:jc w:val="center"/>
            </w:pPr>
          </w:p>
        </w:tc>
      </w:tr>
      <w:tr w14:paraId="7ABF87E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E66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4A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8F4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ACCA">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6E9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6CB0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D4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48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B355">
            <w:pPr>
              <w:jc w:val="center"/>
            </w:pPr>
          </w:p>
        </w:tc>
      </w:tr>
      <w:tr w14:paraId="63B539A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A163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8B1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31F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C6F8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6D6DA6"/>
        </w:tc>
      </w:tr>
    </w:tbl>
    <w:p w14:paraId="2E54C80B">
      <w:r>
        <w:br w:type="page"/>
      </w:r>
    </w:p>
    <w:p w14:paraId="21CF8C98">
      <w:pPr>
        <w:spacing w:line="640" w:lineRule="exact"/>
        <w:ind w:firstLine="640"/>
        <w:jc w:val="both"/>
        <w:outlineLvl w:val="2"/>
      </w:pPr>
      <w:r>
        <w:rPr>
          <w:rFonts w:ascii="黑体" w:hAnsi="黑体" w:eastAsia="黑体"/>
          <w:sz w:val="32"/>
        </w:rPr>
        <w:t>十二、其他需说明的事项</w:t>
      </w:r>
    </w:p>
    <w:p w14:paraId="024E87EA">
      <w:pPr>
        <w:spacing w:line="580" w:lineRule="exact"/>
        <w:ind w:firstLine="640"/>
        <w:jc w:val="both"/>
      </w:pPr>
      <w:r>
        <w:rPr>
          <w:rFonts w:ascii="仿宋_GB2312" w:hAnsi="仿宋_GB2312" w:eastAsia="仿宋_GB2312"/>
          <w:b w:val="0"/>
          <w:sz w:val="32"/>
        </w:rPr>
        <w:t>本单位无其他需说明的事项。</w:t>
      </w:r>
    </w:p>
    <w:p w14:paraId="7954D852">
      <w:r>
        <w:br w:type="page"/>
      </w:r>
    </w:p>
    <w:p w14:paraId="394F9669">
      <w:pPr>
        <w:spacing w:line="240" w:lineRule="auto"/>
        <w:jc w:val="center"/>
        <w:outlineLvl w:val="1"/>
      </w:pPr>
      <w:r>
        <w:rPr>
          <w:rFonts w:ascii="黑体" w:hAnsi="黑体" w:eastAsia="黑体"/>
          <w:sz w:val="32"/>
        </w:rPr>
        <w:t>第三部分 专业名词解释</w:t>
      </w:r>
    </w:p>
    <w:p w14:paraId="1730A7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9788A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5494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1CC0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AFF23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D504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3EA7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6305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8AA2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B3E6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9B791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9247D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6CEC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BAF7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9FEFAD">
      <w:r>
        <w:br w:type="page"/>
      </w:r>
    </w:p>
    <w:p w14:paraId="4BC57A30">
      <w:pPr>
        <w:spacing w:line="240" w:lineRule="auto"/>
        <w:jc w:val="center"/>
        <w:outlineLvl w:val="1"/>
      </w:pPr>
      <w:r>
        <w:rPr>
          <w:rFonts w:ascii="黑体" w:hAnsi="黑体" w:eastAsia="黑体"/>
          <w:sz w:val="32"/>
        </w:rPr>
        <w:t>第四部分 部门决算报表（见附表）</w:t>
      </w:r>
    </w:p>
    <w:p w14:paraId="1B34A223">
      <w:pPr>
        <w:spacing w:line="240" w:lineRule="auto"/>
        <w:ind w:firstLine="640"/>
        <w:jc w:val="both"/>
      </w:pPr>
      <w:r>
        <w:rPr>
          <w:rFonts w:ascii="仿宋_GB2312" w:hAnsi="仿宋_GB2312" w:eastAsia="仿宋_GB2312"/>
          <w:b w:val="0"/>
          <w:sz w:val="32"/>
        </w:rPr>
        <w:t>一、《收入支出决算总表》</w:t>
      </w:r>
    </w:p>
    <w:p w14:paraId="3C8A9EEA">
      <w:pPr>
        <w:spacing w:line="240" w:lineRule="auto"/>
        <w:ind w:firstLine="640"/>
        <w:jc w:val="both"/>
      </w:pPr>
      <w:r>
        <w:rPr>
          <w:rFonts w:ascii="仿宋_GB2312" w:hAnsi="仿宋_GB2312" w:eastAsia="仿宋_GB2312"/>
          <w:b w:val="0"/>
          <w:sz w:val="32"/>
        </w:rPr>
        <w:t>二、《收入决算表》</w:t>
      </w:r>
    </w:p>
    <w:p w14:paraId="7EDC50E5">
      <w:pPr>
        <w:spacing w:line="240" w:lineRule="auto"/>
        <w:ind w:firstLine="640"/>
        <w:jc w:val="both"/>
      </w:pPr>
      <w:r>
        <w:rPr>
          <w:rFonts w:ascii="仿宋_GB2312" w:hAnsi="仿宋_GB2312" w:eastAsia="仿宋_GB2312"/>
          <w:b w:val="0"/>
          <w:sz w:val="32"/>
        </w:rPr>
        <w:t>三、《支出决算表》</w:t>
      </w:r>
    </w:p>
    <w:p w14:paraId="498D74E5">
      <w:pPr>
        <w:spacing w:line="240" w:lineRule="auto"/>
        <w:ind w:firstLine="640"/>
        <w:jc w:val="both"/>
      </w:pPr>
      <w:r>
        <w:rPr>
          <w:rFonts w:ascii="仿宋_GB2312" w:hAnsi="仿宋_GB2312" w:eastAsia="仿宋_GB2312"/>
          <w:b w:val="0"/>
          <w:sz w:val="32"/>
        </w:rPr>
        <w:t>四、《财政拨款收入支出决算总表》</w:t>
      </w:r>
    </w:p>
    <w:p w14:paraId="2880FB91">
      <w:pPr>
        <w:spacing w:line="240" w:lineRule="auto"/>
        <w:ind w:firstLine="640"/>
        <w:jc w:val="both"/>
      </w:pPr>
      <w:r>
        <w:rPr>
          <w:rFonts w:ascii="仿宋_GB2312" w:hAnsi="仿宋_GB2312" w:eastAsia="仿宋_GB2312"/>
          <w:b w:val="0"/>
          <w:sz w:val="32"/>
        </w:rPr>
        <w:t>五、《一般公共预算财政拨款支出决算表》</w:t>
      </w:r>
    </w:p>
    <w:p w14:paraId="435D663D">
      <w:pPr>
        <w:spacing w:line="240" w:lineRule="auto"/>
        <w:ind w:firstLine="640"/>
        <w:jc w:val="both"/>
      </w:pPr>
      <w:r>
        <w:rPr>
          <w:rFonts w:ascii="仿宋_GB2312" w:hAnsi="仿宋_GB2312" w:eastAsia="仿宋_GB2312"/>
          <w:b w:val="0"/>
          <w:sz w:val="32"/>
        </w:rPr>
        <w:t>六、《一般公共预算财政拨款基本支出决算表》</w:t>
      </w:r>
    </w:p>
    <w:p w14:paraId="3C95B74F">
      <w:pPr>
        <w:spacing w:line="240" w:lineRule="auto"/>
        <w:ind w:firstLine="640"/>
        <w:jc w:val="both"/>
      </w:pPr>
      <w:r>
        <w:rPr>
          <w:rFonts w:ascii="仿宋_GB2312" w:hAnsi="仿宋_GB2312" w:eastAsia="仿宋_GB2312"/>
          <w:b w:val="0"/>
          <w:sz w:val="32"/>
        </w:rPr>
        <w:t>七、《政府性基金预算财政拨款收入支出决算表》</w:t>
      </w:r>
    </w:p>
    <w:p w14:paraId="68FBE485">
      <w:pPr>
        <w:spacing w:line="240" w:lineRule="auto"/>
        <w:ind w:firstLine="640"/>
        <w:jc w:val="both"/>
      </w:pPr>
      <w:r>
        <w:rPr>
          <w:rFonts w:ascii="仿宋_GB2312" w:hAnsi="仿宋_GB2312" w:eastAsia="仿宋_GB2312"/>
          <w:b w:val="0"/>
          <w:sz w:val="32"/>
        </w:rPr>
        <w:t>八、《国有资本经营预算财政拨款收入支出决算表》</w:t>
      </w:r>
    </w:p>
    <w:p w14:paraId="3B5512AA">
      <w:pPr>
        <w:spacing w:line="240" w:lineRule="auto"/>
        <w:ind w:firstLine="640"/>
        <w:jc w:val="both"/>
      </w:pPr>
      <w:r>
        <w:rPr>
          <w:rFonts w:ascii="仿宋_GB2312" w:hAnsi="仿宋_GB2312" w:eastAsia="仿宋_GB2312"/>
          <w:b w:val="0"/>
          <w:sz w:val="32"/>
        </w:rPr>
        <w:t>九、《财政拨款“三公”经费支出决算表》</w:t>
      </w:r>
    </w:p>
    <w:p w14:paraId="4CC84DA1">
      <w:pPr>
        <w:spacing w:line="240" w:lineRule="auto"/>
        <w:ind w:firstLine="640"/>
        <w:jc w:val="both"/>
      </w:pPr>
    </w:p>
    <w:p w14:paraId="4FE377F8">
      <w:pPr>
        <w:spacing w:line="240" w:lineRule="auto"/>
        <w:ind w:firstLine="640"/>
        <w:jc w:val="both"/>
      </w:pPr>
    </w:p>
    <w:p w14:paraId="6E9EAF6B">
      <w:pPr>
        <w:spacing w:line="240" w:lineRule="auto"/>
        <w:ind w:firstLine="640"/>
        <w:jc w:val="both"/>
      </w:pPr>
    </w:p>
    <w:p w14:paraId="5E2A0ADE">
      <w:pPr>
        <w:spacing w:line="240" w:lineRule="auto"/>
        <w:ind w:firstLine="640"/>
        <w:jc w:val="both"/>
      </w:pPr>
    </w:p>
    <w:p w14:paraId="23FDEA5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4D54E5-9227-4B86-852E-92EDFC3CD6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1C77D97-7CFA-43DD-BB92-FCCC7333C756}"/>
  </w:font>
  <w:font w:name="仿宋_GB2312">
    <w:altName w:val="仿宋"/>
    <w:panose1 w:val="02010609030101010101"/>
    <w:charset w:val="86"/>
    <w:family w:val="modern"/>
    <w:pitch w:val="default"/>
    <w:sig w:usb0="00000000" w:usb1="00000000" w:usb2="00000000" w:usb3="00000000" w:csb0="00040000" w:csb1="00000000"/>
    <w:embedRegular r:id="rId3" w:fontKey="{5994C737-AAD9-4E66-9552-99A5A8C01C2C}"/>
  </w:font>
  <w:font w:name="楷体_GB2312">
    <w:altName w:val="楷体"/>
    <w:panose1 w:val="00000000000000000000"/>
    <w:charset w:val="00"/>
    <w:family w:val="auto"/>
    <w:pitch w:val="default"/>
    <w:sig w:usb0="00000000" w:usb1="00000000" w:usb2="00000000" w:usb3="00000000" w:csb0="00000000" w:csb1="00000000"/>
    <w:embedRegular r:id="rId4" w:fontKey="{CDC7C6BF-CDD8-49F2-8D99-4A5F8C2737FA}"/>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666585"/>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4778</Words>
  <Characters>5380</Characters>
  <Lines>0</Lines>
  <Paragraphs>0</Paragraphs>
  <TotalTime>3</TotalTime>
  <ScaleCrop>false</ScaleCrop>
  <LinksUpToDate>false</LinksUpToDate>
  <CharactersWithSpaces>5388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2025-09-16T12:02:18Z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