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洛浦县国营苗圃2024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9AAC6E2">
      <w:r>
        <w:br w:type="page"/>
      </w:r>
    </w:p>
    <w:p w14:paraId="5DCF9AA5">
      <w:pPr>
        <w:spacing w:line="640" w:lineRule="exact"/>
        <w:jc w:val="center"/>
        <w:outlineLvl w:val="1"/>
      </w:pPr>
      <w:r>
        <w:rPr>
          <w:rFonts w:ascii="黑体" w:hAnsi="黑体" w:eastAsia="黑体"/>
          <w:sz w:val="32"/>
        </w:rPr>
        <w:t>第一部分 单位概况</w:t>
      </w:r>
    </w:p>
    <w:p w14:paraId="4AE73B2E">
      <w:pPr>
        <w:spacing w:line="640" w:lineRule="exact"/>
        <w:ind w:firstLine="640"/>
        <w:jc w:val="both"/>
        <w:outlineLvl w:val="2"/>
      </w:pPr>
      <w:r>
        <w:rPr>
          <w:rFonts w:ascii="黑体" w:hAnsi="黑体" w:eastAsia="黑体"/>
          <w:sz w:val="32"/>
        </w:rPr>
        <w:t>一、主要职能</w:t>
      </w:r>
    </w:p>
    <w:p w14:paraId="09B05509">
      <w:pPr>
        <w:spacing w:line="580" w:lineRule="exact"/>
        <w:ind w:firstLine="640"/>
        <w:jc w:val="both"/>
      </w:pPr>
      <w:r>
        <w:rPr>
          <w:rFonts w:ascii="仿宋_GB2312" w:hAnsi="仿宋_GB2312" w:eastAsia="仿宋_GB2312"/>
          <w:sz w:val="32"/>
        </w:rPr>
        <w:t>苗木培育、城市绿化苗木生产及销售：花卉，苗木种植，造林苗木，苗木种子，苗木后期管理。</w:t>
      </w:r>
    </w:p>
    <w:p w14:paraId="015A318A">
      <w:pPr>
        <w:spacing w:line="640" w:lineRule="exact"/>
        <w:ind w:firstLine="640"/>
        <w:jc w:val="both"/>
        <w:outlineLvl w:val="2"/>
      </w:pPr>
      <w:r>
        <w:rPr>
          <w:rFonts w:ascii="黑体" w:hAnsi="黑体" w:eastAsia="黑体"/>
          <w:sz w:val="32"/>
        </w:rPr>
        <w:t>二、机构设置及人员情况</w:t>
      </w:r>
    </w:p>
    <w:p w14:paraId="13F64817">
      <w:pPr>
        <w:spacing w:line="580" w:lineRule="exact"/>
        <w:ind w:firstLine="640"/>
        <w:jc w:val="both"/>
      </w:pPr>
      <w:r>
        <w:rPr>
          <w:rFonts w:ascii="仿宋_GB2312" w:hAnsi="仿宋_GB2312" w:eastAsia="仿宋_GB2312"/>
          <w:sz w:val="32"/>
        </w:rPr>
        <w:t>洛浦县国营苗圃2024年度，实有人数19人，其中：在职人员14人，增加2人；离休人员0人，增加0人；退休人员5人,增加0人。</w:t>
      </w:r>
    </w:p>
    <w:p w14:paraId="04DB9EFF">
      <w:pPr>
        <w:spacing w:line="580" w:lineRule="exact"/>
        <w:ind w:firstLine="640"/>
        <w:jc w:val="both"/>
      </w:pPr>
      <w:r>
        <w:rPr>
          <w:rFonts w:ascii="仿宋_GB2312" w:hAnsi="仿宋_GB2312" w:eastAsia="仿宋_GB2312"/>
          <w:sz w:val="32"/>
        </w:rPr>
        <w:t>洛浦县国营苗圃无下属预算单位，下设</w:t>
      </w:r>
      <w:r>
        <w:rPr>
          <w:rFonts w:hint="eastAsia" w:ascii="仿宋_GB2312" w:hAnsi="仿宋_GB2312" w:eastAsia="仿宋_GB2312"/>
          <w:sz w:val="32"/>
          <w:lang w:val="en-US" w:eastAsia="zh-CN"/>
        </w:rPr>
        <w:t>4</w:t>
      </w:r>
      <w:r>
        <w:rPr>
          <w:rFonts w:ascii="仿宋_GB2312" w:hAnsi="仿宋_GB2312" w:eastAsia="仿宋_GB2312"/>
          <w:sz w:val="32"/>
        </w:rPr>
        <w:t>个科室，分别是：办公室、党建办</w:t>
      </w:r>
      <w:r>
        <w:rPr>
          <w:rFonts w:hint="eastAsia" w:ascii="仿宋_GB2312" w:hAnsi="仿宋_GB2312" w:eastAsia="仿宋_GB2312"/>
          <w:sz w:val="32"/>
          <w:lang w:eastAsia="zh-CN"/>
        </w:rPr>
        <w:t>、</w:t>
      </w:r>
      <w:r>
        <w:rPr>
          <w:rFonts w:ascii="仿宋_GB2312" w:hAnsi="仿宋_GB2312" w:eastAsia="仿宋_GB2312"/>
          <w:sz w:val="32"/>
        </w:rPr>
        <w:t>总务科、后勤管理办公室。</w:t>
      </w:r>
    </w:p>
    <w:p w14:paraId="535B4020">
      <w:r>
        <w:br w:type="page"/>
      </w:r>
    </w:p>
    <w:p w14:paraId="48CEB3AF">
      <w:pPr>
        <w:spacing w:line="240" w:lineRule="auto"/>
        <w:jc w:val="center"/>
        <w:outlineLvl w:val="1"/>
      </w:pPr>
      <w:r>
        <w:rPr>
          <w:rFonts w:ascii="黑体" w:hAnsi="黑体" w:eastAsia="黑体"/>
          <w:sz w:val="32"/>
        </w:rPr>
        <w:t>第二部分 部门决算情况说明</w:t>
      </w:r>
    </w:p>
    <w:p w14:paraId="29731E51">
      <w:pPr>
        <w:spacing w:line="640" w:lineRule="exact"/>
        <w:ind w:firstLine="640"/>
        <w:jc w:val="both"/>
        <w:outlineLvl w:val="2"/>
      </w:pPr>
      <w:r>
        <w:rPr>
          <w:rFonts w:ascii="黑体" w:hAnsi="黑体" w:eastAsia="黑体"/>
          <w:sz w:val="32"/>
        </w:rPr>
        <w:t>一、收入支出决算总体情况说明</w:t>
      </w:r>
    </w:p>
    <w:p w14:paraId="38C21B3A">
      <w:pPr>
        <w:spacing w:line="580" w:lineRule="exact"/>
        <w:ind w:firstLine="640"/>
        <w:jc w:val="both"/>
      </w:pPr>
      <w:r>
        <w:rPr>
          <w:rFonts w:ascii="仿宋_GB2312" w:hAnsi="仿宋_GB2312" w:eastAsia="仿宋_GB2312"/>
          <w:b/>
          <w:sz w:val="32"/>
        </w:rPr>
        <w:t>2024年度收入总计256.06万元，</w:t>
      </w:r>
      <w:r>
        <w:rPr>
          <w:rFonts w:ascii="仿宋_GB2312" w:hAnsi="仿宋_GB2312" w:eastAsia="仿宋_GB2312"/>
          <w:b w:val="0"/>
          <w:sz w:val="32"/>
        </w:rPr>
        <w:t>其中：本年收入合计256.06万元，使用非财政拨款结余（含专用结余）0.00万元，年初结转和结余0.00万元。</w:t>
      </w:r>
    </w:p>
    <w:p w14:paraId="348B4E6A">
      <w:pPr>
        <w:spacing w:line="580" w:lineRule="exact"/>
        <w:ind w:firstLine="640"/>
        <w:jc w:val="both"/>
      </w:pPr>
      <w:r>
        <w:rPr>
          <w:rFonts w:ascii="仿宋_GB2312" w:hAnsi="仿宋_GB2312" w:eastAsia="仿宋_GB2312"/>
          <w:b/>
          <w:sz w:val="32"/>
        </w:rPr>
        <w:t>2024年度支出总计256.06万元，</w:t>
      </w:r>
      <w:r>
        <w:rPr>
          <w:rFonts w:ascii="仿宋_GB2312" w:hAnsi="仿宋_GB2312" w:eastAsia="仿宋_GB2312"/>
          <w:b w:val="0"/>
          <w:sz w:val="32"/>
        </w:rPr>
        <w:t>其中：本年支出合计256.06万元，结余分配0.00万元，年末结转和结余0.00万元。</w:t>
      </w:r>
    </w:p>
    <w:p w14:paraId="70C9C690">
      <w:pPr>
        <w:spacing w:line="580" w:lineRule="exact"/>
        <w:ind w:firstLine="640"/>
        <w:jc w:val="both"/>
      </w:pPr>
      <w:r>
        <w:rPr>
          <w:rFonts w:ascii="仿宋_GB2312" w:hAnsi="仿宋_GB2312" w:eastAsia="仿宋_GB2312"/>
          <w:b w:val="0"/>
          <w:sz w:val="32"/>
        </w:rPr>
        <w:t>收入支出总体与上年相比，增加21.26万元，增长9.05%，主要原因是：本年在职人员增加，在职人员工资调增、社保、公积金基数调增，人员经费增加。</w:t>
      </w:r>
    </w:p>
    <w:p w14:paraId="0784B650">
      <w:pPr>
        <w:spacing w:line="640" w:lineRule="exact"/>
        <w:ind w:firstLine="640"/>
        <w:jc w:val="both"/>
        <w:outlineLvl w:val="2"/>
      </w:pPr>
      <w:r>
        <w:rPr>
          <w:rFonts w:ascii="黑体" w:hAnsi="黑体" w:eastAsia="黑体"/>
          <w:sz w:val="32"/>
        </w:rPr>
        <w:t>二、收入决算情况说明</w:t>
      </w:r>
    </w:p>
    <w:p w14:paraId="4DEC94F2">
      <w:pPr>
        <w:spacing w:line="580" w:lineRule="exact"/>
        <w:ind w:firstLine="640"/>
        <w:jc w:val="both"/>
      </w:pPr>
      <w:r>
        <w:rPr>
          <w:rFonts w:ascii="仿宋_GB2312" w:hAnsi="仿宋_GB2312" w:eastAsia="仿宋_GB2312"/>
          <w:b/>
          <w:sz w:val="32"/>
        </w:rPr>
        <w:t>本年收入256.06万元，</w:t>
      </w:r>
      <w:r>
        <w:rPr>
          <w:rFonts w:ascii="仿宋_GB2312" w:hAnsi="仿宋_GB2312" w:eastAsia="仿宋_GB2312"/>
          <w:b w:val="0"/>
          <w:sz w:val="32"/>
        </w:rPr>
        <w:t>其中：财政拨款收入256.06万元，占100.00%；上级补助收入0.00万元，占0.00%；事业收入0.00万元，占0.00%；经营收入0.00万元，占0.00%；附属单位上缴收入0.00万元，占0.00%；其他收入0.00万元，占0.00%。</w:t>
      </w:r>
    </w:p>
    <w:p w14:paraId="6D1D381D">
      <w:pPr>
        <w:spacing w:line="640" w:lineRule="exact"/>
        <w:ind w:firstLine="640"/>
        <w:jc w:val="both"/>
        <w:outlineLvl w:val="2"/>
      </w:pPr>
      <w:r>
        <w:rPr>
          <w:rFonts w:ascii="黑体" w:hAnsi="黑体" w:eastAsia="黑体"/>
          <w:sz w:val="32"/>
        </w:rPr>
        <w:t>三、支出决算情况说明</w:t>
      </w:r>
    </w:p>
    <w:p w14:paraId="02E64DC4">
      <w:pPr>
        <w:spacing w:line="580" w:lineRule="exact"/>
        <w:ind w:firstLine="640"/>
        <w:jc w:val="both"/>
      </w:pPr>
      <w:r>
        <w:rPr>
          <w:rFonts w:ascii="仿宋_GB2312" w:hAnsi="仿宋_GB2312" w:eastAsia="仿宋_GB2312"/>
          <w:b/>
          <w:sz w:val="32"/>
        </w:rPr>
        <w:t>本年支出256.06万元，</w:t>
      </w:r>
      <w:r>
        <w:rPr>
          <w:rFonts w:ascii="仿宋_GB2312" w:hAnsi="仿宋_GB2312" w:eastAsia="仿宋_GB2312"/>
          <w:b w:val="0"/>
          <w:sz w:val="32"/>
        </w:rPr>
        <w:t>其中：基本支出231.30万元，占90.33%；项目支出24.76万元，占9.67%；上缴上级支出0.00万元，占0.00%；经营支出0.00万元，占0.00%；对附属单位补助支出0.00万元，占0.00%。</w:t>
      </w:r>
    </w:p>
    <w:p w14:paraId="154799E9">
      <w:pPr>
        <w:spacing w:line="640" w:lineRule="exact"/>
        <w:ind w:firstLine="640"/>
        <w:jc w:val="both"/>
        <w:outlineLvl w:val="2"/>
      </w:pPr>
      <w:r>
        <w:rPr>
          <w:rFonts w:ascii="黑体" w:hAnsi="黑体" w:eastAsia="黑体"/>
          <w:sz w:val="32"/>
        </w:rPr>
        <w:t>四、财政拨款收入支出决算总体情况说明</w:t>
      </w:r>
    </w:p>
    <w:p w14:paraId="246A5EC1">
      <w:pPr>
        <w:spacing w:line="580" w:lineRule="exact"/>
        <w:ind w:firstLine="640"/>
        <w:jc w:val="both"/>
      </w:pPr>
      <w:r>
        <w:rPr>
          <w:rFonts w:ascii="仿宋_GB2312" w:hAnsi="仿宋_GB2312" w:eastAsia="仿宋_GB2312"/>
          <w:b/>
          <w:sz w:val="32"/>
        </w:rPr>
        <w:t>2024年度财政拨款收入总计256.06万元，</w:t>
      </w:r>
      <w:r>
        <w:rPr>
          <w:rFonts w:ascii="仿宋_GB2312" w:hAnsi="仿宋_GB2312" w:eastAsia="仿宋_GB2312"/>
          <w:b w:val="0"/>
          <w:sz w:val="32"/>
        </w:rPr>
        <w:t>其中：年初财政拨款结转和结余0.00万元，本年财政拨款收入256.06万元。</w:t>
      </w:r>
      <w:r>
        <w:rPr>
          <w:rFonts w:ascii="仿宋_GB2312" w:hAnsi="仿宋_GB2312" w:eastAsia="仿宋_GB2312"/>
          <w:b/>
          <w:sz w:val="32"/>
        </w:rPr>
        <w:t>财政拨款支出总计256.06万元，</w:t>
      </w:r>
      <w:r>
        <w:rPr>
          <w:rFonts w:ascii="仿宋_GB2312" w:hAnsi="仿宋_GB2312" w:eastAsia="仿宋_GB2312"/>
          <w:b w:val="0"/>
          <w:sz w:val="32"/>
        </w:rPr>
        <w:t>其中：年末财政拨款结转和结余0.00万元，本年财政拨款支出256.06万元。</w:t>
      </w:r>
    </w:p>
    <w:p w14:paraId="70210CF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增加21.26万元，增长9.05%，主要原因是：本年在职人员增加，在职人员工资调增、社保、公积金基数调增，人员经费增加。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年初预算数264.71万元，决算数256.06万元，预决算差异率-3.27%，主要原因是：严格落实中央八项规定精神，厉行节约，减少不必要的开支，导致预决算差异。</w:t>
      </w:r>
    </w:p>
    <w:p w14:paraId="6F998D64">
      <w:pPr>
        <w:spacing w:line="640" w:lineRule="exact"/>
        <w:ind w:firstLine="640"/>
        <w:jc w:val="both"/>
        <w:outlineLvl w:val="2"/>
      </w:pPr>
      <w:r>
        <w:rPr>
          <w:rFonts w:ascii="黑体" w:hAnsi="黑体" w:eastAsia="黑体"/>
          <w:sz w:val="32"/>
        </w:rPr>
        <w:t>五、一般公共预算财政拨款支出决算情况说明</w:t>
      </w:r>
    </w:p>
    <w:p w14:paraId="70E8A8BC">
      <w:pPr>
        <w:spacing w:line="640" w:lineRule="exact"/>
        <w:ind w:firstLine="640"/>
        <w:jc w:val="both"/>
        <w:outlineLvl w:val="3"/>
      </w:pPr>
      <w:r>
        <w:rPr>
          <w:rFonts w:ascii="楷体_GB2312" w:hAnsi="楷体_GB2312" w:eastAsia="楷体_GB2312"/>
          <w:b/>
          <w:sz w:val="32"/>
        </w:rPr>
        <w:t>（一）一般公共预算财政拨款支出决算总体情况</w:t>
      </w:r>
    </w:p>
    <w:p w14:paraId="0C6FD832">
      <w:pPr>
        <w:spacing w:line="580" w:lineRule="exact"/>
        <w:ind w:firstLine="640"/>
        <w:jc w:val="both"/>
      </w:pPr>
      <w:r>
        <w:rPr>
          <w:rFonts w:ascii="仿宋_GB2312" w:hAnsi="仿宋_GB2312" w:eastAsia="仿宋_GB2312"/>
          <w:b/>
          <w:sz w:val="32"/>
        </w:rPr>
        <w:t>2024年度一般公共预算财政拨款支出256.06万元，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增加21.26万元，增长9.05%，主要原因是：本年在职人员增加，在职人员工资调增、社保、公积金基数调增，人员经费增加。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年初预算数264.71万元，决算数256.06万元，预决算差异率-3.27%，主要原因是：严格落实中央八项规定精神，厉行节约，减少不必要的开支，导致预决算差异。</w:t>
      </w:r>
    </w:p>
    <w:p w14:paraId="437AC4AF">
      <w:pPr>
        <w:spacing w:line="640" w:lineRule="exact"/>
        <w:ind w:firstLine="640"/>
        <w:jc w:val="both"/>
        <w:outlineLvl w:val="3"/>
      </w:pPr>
      <w:r>
        <w:rPr>
          <w:rFonts w:ascii="楷体_GB2312" w:hAnsi="楷体_GB2312" w:eastAsia="楷体_GB2312"/>
          <w:b/>
          <w:sz w:val="32"/>
        </w:rPr>
        <w:t>（二）一般公共预算财政拨款支出决算结构情况</w:t>
      </w:r>
    </w:p>
    <w:p w14:paraId="3E05EA28">
      <w:pPr>
        <w:spacing w:line="580" w:lineRule="exact"/>
        <w:ind w:firstLine="640"/>
        <w:jc w:val="both"/>
      </w:pPr>
      <w:r>
        <w:rPr>
          <w:rFonts w:ascii="仿宋_GB2312" w:hAnsi="仿宋_GB2312" w:eastAsia="仿宋_GB2312"/>
          <w:b w:val="0"/>
          <w:sz w:val="32"/>
        </w:rPr>
        <w:t>1.社会保障和就业支出(类)29.94万元,占11.69%。</w:t>
      </w:r>
    </w:p>
    <w:p w14:paraId="0C5354EE">
      <w:pPr>
        <w:spacing w:line="580" w:lineRule="exact"/>
        <w:ind w:firstLine="640"/>
        <w:jc w:val="both"/>
      </w:pPr>
      <w:r>
        <w:rPr>
          <w:rFonts w:ascii="仿宋_GB2312" w:hAnsi="仿宋_GB2312" w:eastAsia="仿宋_GB2312"/>
          <w:b w:val="0"/>
          <w:sz w:val="32"/>
        </w:rPr>
        <w:t>2.卫生健康支出(类)9.54万元,占3.73%。</w:t>
      </w:r>
    </w:p>
    <w:p w14:paraId="07F7B6B7">
      <w:pPr>
        <w:spacing w:line="580" w:lineRule="exact"/>
        <w:ind w:firstLine="640"/>
        <w:jc w:val="both"/>
      </w:pPr>
      <w:r>
        <w:rPr>
          <w:rFonts w:ascii="仿宋_GB2312" w:hAnsi="仿宋_GB2312" w:eastAsia="仿宋_GB2312"/>
          <w:b w:val="0"/>
          <w:sz w:val="32"/>
        </w:rPr>
        <w:t>3.农林水支出(类)199.12万元,占77.76%。</w:t>
      </w:r>
    </w:p>
    <w:p w14:paraId="6DE1DBB4">
      <w:pPr>
        <w:spacing w:line="580" w:lineRule="exact"/>
        <w:ind w:firstLine="640"/>
        <w:jc w:val="both"/>
      </w:pPr>
      <w:r>
        <w:rPr>
          <w:rFonts w:ascii="仿宋_GB2312" w:hAnsi="仿宋_GB2312" w:eastAsia="仿宋_GB2312"/>
          <w:b w:val="0"/>
          <w:sz w:val="32"/>
        </w:rPr>
        <w:t>4.住房保障支出(类)17.46万元,占6.82%。</w:t>
      </w:r>
    </w:p>
    <w:p w14:paraId="7C402134">
      <w:pPr>
        <w:spacing w:line="640" w:lineRule="exact"/>
        <w:ind w:firstLine="640"/>
        <w:jc w:val="both"/>
        <w:outlineLvl w:val="3"/>
      </w:pPr>
      <w:r>
        <w:rPr>
          <w:rFonts w:ascii="楷体_GB2312" w:hAnsi="楷体_GB2312" w:eastAsia="楷体_GB2312"/>
          <w:b/>
          <w:sz w:val="32"/>
        </w:rPr>
        <w:t>（三）一般公共预算财政拨款支出决算具体情况</w:t>
      </w:r>
    </w:p>
    <w:p w14:paraId="135B39ED">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6.47万元，比上年决算增加6.47万元，增长100.00%,主要原因是：本年功能科目调整，事业单位离退休上年度在主科目列支，本年单独列支，导致经费较上年增加。</w:t>
      </w:r>
    </w:p>
    <w:p w14:paraId="518D585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23.47万元，比上年决算增加4.54万元，增长23.98%,主要原因是：本年在职人员增加，在职人员工资基数调增，养老缴费基数上涨，养老保险缴费较上年增加。</w:t>
      </w:r>
    </w:p>
    <w:p w14:paraId="05DEF44F">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1.38万元，下降100.00%,主要原因是：2023年在职死亡一个人，缴纳人员职业年金，2024年本单位没有死亡人员。</w:t>
      </w:r>
    </w:p>
    <w:p w14:paraId="264656A4">
      <w:pPr>
        <w:spacing w:line="580" w:lineRule="exact"/>
        <w:ind w:firstLine="640"/>
        <w:jc w:val="both"/>
      </w:pPr>
      <w:r>
        <w:rPr>
          <w:rFonts w:ascii="仿宋_GB2312" w:hAnsi="仿宋_GB2312" w:eastAsia="仿宋_GB2312"/>
          <w:b w:val="0"/>
          <w:sz w:val="32"/>
        </w:rPr>
        <w:t>4.卫生健康支出(类)行政事业单位医疗(款)事业单位医疗(项):支出决算数为9.54万元，比上年决算增加9.54万元，增长100.00%,主要原因是：本年功能科目调整，事业单位医疗上年度在主科目列支，本年单独列支，导致经费较上年增加。</w:t>
      </w:r>
    </w:p>
    <w:p w14:paraId="2200D2FB">
      <w:pPr>
        <w:spacing w:line="580" w:lineRule="exact"/>
        <w:ind w:firstLine="640"/>
        <w:jc w:val="both"/>
      </w:pPr>
      <w:r>
        <w:rPr>
          <w:rFonts w:ascii="仿宋_GB2312" w:hAnsi="仿宋_GB2312" w:eastAsia="仿宋_GB2312"/>
          <w:b w:val="0"/>
          <w:sz w:val="32"/>
        </w:rPr>
        <w:t>5.农林水支出(类)林业和草原(款)事业机构(项):支出决算数为174.36万元，比上年决算减少20.18万元，下降10.37%,主要原因是：上年度退休人员经费，在职人员医疗缴费、离退休经费、住房公积金上年度在主科目列支，本年单独列支，导致本科目减少。</w:t>
      </w:r>
    </w:p>
    <w:p w14:paraId="017DE58F">
      <w:pPr>
        <w:spacing w:line="580" w:lineRule="exact"/>
        <w:ind w:firstLine="640"/>
        <w:jc w:val="both"/>
      </w:pPr>
      <w:r>
        <w:rPr>
          <w:rFonts w:ascii="仿宋_GB2312" w:hAnsi="仿宋_GB2312" w:eastAsia="仿宋_GB2312"/>
          <w:b w:val="0"/>
          <w:sz w:val="32"/>
        </w:rPr>
        <w:t>6.农林水支出(类)林业和草原(款)森林资源培育(项):支出决算数为24.76万元，比上年决算增加4.81万元，增长24.11%,主要原因是：2024年中央林业改革发展资金</w:t>
      </w:r>
      <w:r>
        <w:rPr>
          <w:rFonts w:hint="eastAsia" w:ascii="仿宋_GB2312" w:hAnsi="仿宋_GB2312" w:eastAsia="仿宋_GB2312"/>
          <w:b w:val="0"/>
          <w:sz w:val="32"/>
          <w:lang w:eastAsia="zh-CN"/>
        </w:rPr>
        <w:t>－</w:t>
      </w:r>
      <w:r>
        <w:rPr>
          <w:rFonts w:ascii="仿宋_GB2312" w:hAnsi="仿宋_GB2312" w:eastAsia="仿宋_GB2312"/>
          <w:b w:val="0"/>
          <w:sz w:val="32"/>
        </w:rPr>
        <w:t>良种苗木培育项目资金增加。</w:t>
      </w:r>
    </w:p>
    <w:p w14:paraId="450DDB18">
      <w:pPr>
        <w:spacing w:line="580" w:lineRule="exact"/>
        <w:ind w:firstLine="640"/>
        <w:jc w:val="both"/>
      </w:pPr>
      <w:r>
        <w:rPr>
          <w:rFonts w:ascii="仿宋_GB2312" w:hAnsi="仿宋_GB2312" w:eastAsia="仿宋_GB2312"/>
          <w:b w:val="0"/>
          <w:sz w:val="32"/>
        </w:rPr>
        <w:t>7.住房保障支出(类)住房改革支出(款)住房公积金(项):支出决算数为17.46万元，比上年决算增加17.46万元，增长100.00%,主要原因是：本年功能科目调整，住房公积金上年度在主科目列支，本年单独列支，导致经费较上年增加。</w:t>
      </w:r>
    </w:p>
    <w:p w14:paraId="491C108B">
      <w:pPr>
        <w:spacing w:line="640" w:lineRule="exact"/>
        <w:ind w:firstLine="640"/>
        <w:jc w:val="both"/>
        <w:outlineLvl w:val="2"/>
      </w:pPr>
      <w:r>
        <w:rPr>
          <w:rFonts w:ascii="黑体" w:hAnsi="黑体" w:eastAsia="黑体"/>
          <w:sz w:val="32"/>
        </w:rPr>
        <w:t>六、一般公共预算财政拨款基本支出决算情况说明</w:t>
      </w:r>
    </w:p>
    <w:p w14:paraId="67B943BE">
      <w:pPr>
        <w:spacing w:line="580" w:lineRule="exact"/>
        <w:ind w:firstLine="640"/>
        <w:jc w:val="both"/>
      </w:pPr>
      <w:r>
        <w:rPr>
          <w:rFonts w:ascii="仿宋_GB2312" w:hAnsi="仿宋_GB2312" w:eastAsia="仿宋_GB2312"/>
          <w:b w:val="0"/>
          <w:sz w:val="32"/>
        </w:rPr>
        <w:t>2024年度一般公共预算财政拨款基本支出231.30万元，其中：</w:t>
      </w:r>
      <w:r>
        <w:rPr>
          <w:rFonts w:ascii="仿宋_GB2312" w:hAnsi="仿宋_GB2312" w:eastAsia="仿宋_GB2312"/>
          <w:b/>
          <w:sz w:val="32"/>
        </w:rPr>
        <w:t>人员经费229.83万元，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7BA18261">
      <w:pPr>
        <w:spacing w:line="580" w:lineRule="exact"/>
        <w:ind w:firstLine="640"/>
        <w:jc w:val="both"/>
      </w:pPr>
      <w:r>
        <w:rPr>
          <w:rFonts w:ascii="仿宋_GB2312" w:hAnsi="仿宋_GB2312" w:eastAsia="仿宋_GB2312"/>
          <w:b/>
          <w:sz w:val="32"/>
        </w:rPr>
        <w:t>公用经费1.47万元，</w:t>
      </w:r>
      <w:r>
        <w:rPr>
          <w:rFonts w:ascii="仿宋_GB2312" w:hAnsi="仿宋_GB2312" w:eastAsia="仿宋_GB2312"/>
          <w:b w:val="0"/>
          <w:sz w:val="32"/>
        </w:rPr>
        <w:t>包括：办公费。</w:t>
      </w:r>
    </w:p>
    <w:p w14:paraId="233418F5">
      <w:pPr>
        <w:spacing w:line="640" w:lineRule="exact"/>
        <w:ind w:firstLine="640"/>
        <w:jc w:val="both"/>
        <w:outlineLvl w:val="2"/>
      </w:pPr>
      <w:r>
        <w:rPr>
          <w:rFonts w:ascii="黑体" w:hAnsi="黑体" w:eastAsia="黑体"/>
          <w:sz w:val="32"/>
        </w:rPr>
        <w:t>七、政府性基金预算财政拨款收入支出决算情况说明</w:t>
      </w:r>
    </w:p>
    <w:p w14:paraId="14B0EAA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045BB74">
      <w:pPr>
        <w:spacing w:line="640" w:lineRule="exact"/>
        <w:ind w:firstLine="640"/>
        <w:jc w:val="both"/>
        <w:outlineLvl w:val="2"/>
      </w:pPr>
      <w:r>
        <w:rPr>
          <w:rFonts w:ascii="黑体" w:hAnsi="黑体" w:eastAsia="黑体"/>
          <w:sz w:val="32"/>
        </w:rPr>
        <w:t>八、国有资本经营预算财政拨款收入支出决算情况说明</w:t>
      </w:r>
    </w:p>
    <w:p w14:paraId="6C1D473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6CB4CA3">
      <w:pPr>
        <w:spacing w:line="640" w:lineRule="exact"/>
        <w:ind w:firstLine="640"/>
        <w:jc w:val="both"/>
        <w:outlineLvl w:val="2"/>
      </w:pPr>
      <w:r>
        <w:rPr>
          <w:rFonts w:ascii="黑体" w:hAnsi="黑体" w:eastAsia="黑体"/>
          <w:sz w:val="32"/>
        </w:rPr>
        <w:t>九、财政拨款“三公”经费支出决算情况说明</w:t>
      </w:r>
    </w:p>
    <w:p w14:paraId="3D114AA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5DA9654">
      <w:pPr>
        <w:spacing w:line="580" w:lineRule="exact"/>
        <w:ind w:firstLine="640"/>
        <w:jc w:val="both"/>
      </w:pPr>
      <w:r>
        <w:rPr>
          <w:rFonts w:ascii="仿宋_GB2312" w:hAnsi="仿宋_GB2312" w:eastAsia="仿宋_GB2312"/>
          <w:b/>
          <w:sz w:val="32"/>
        </w:rPr>
        <w:t>具体情况如下：</w:t>
      </w:r>
    </w:p>
    <w:p w14:paraId="1B482D7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4C6CD1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4CE2297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6E8C41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FDC1B3A">
      <w:pPr>
        <w:spacing w:line="640" w:lineRule="exact"/>
        <w:ind w:firstLine="640"/>
        <w:jc w:val="both"/>
        <w:outlineLvl w:val="2"/>
      </w:pPr>
      <w:r>
        <w:rPr>
          <w:rFonts w:ascii="黑体" w:hAnsi="黑体" w:eastAsia="黑体"/>
          <w:sz w:val="32"/>
        </w:rPr>
        <w:t>十、其他重要事项的情况说明</w:t>
      </w:r>
    </w:p>
    <w:p w14:paraId="1BB69C0E">
      <w:pPr>
        <w:spacing w:line="640" w:lineRule="exact"/>
        <w:ind w:firstLine="640"/>
        <w:jc w:val="both"/>
        <w:outlineLvl w:val="3"/>
      </w:pPr>
      <w:r>
        <w:rPr>
          <w:rFonts w:ascii="楷体_GB2312" w:hAnsi="楷体_GB2312" w:eastAsia="楷体_GB2312"/>
          <w:b/>
          <w:sz w:val="32"/>
        </w:rPr>
        <w:t>（一）机关运行经费及公用经费支出情况</w:t>
      </w:r>
    </w:p>
    <w:p w14:paraId="52C1AA48">
      <w:pPr>
        <w:spacing w:line="580" w:lineRule="exact"/>
        <w:ind w:firstLine="640"/>
        <w:jc w:val="both"/>
      </w:pPr>
      <w:r>
        <w:rPr>
          <w:rFonts w:ascii="仿宋_GB2312" w:hAnsi="仿宋_GB2312" w:eastAsia="仿宋_GB2312"/>
          <w:b w:val="0"/>
          <w:sz w:val="32"/>
        </w:rPr>
        <w:t>2024年度洛浦县国营苗圃（事业单位）公用经费支出1.47万元，比上年增加0.59万元，增长67.05%，主要原因是：业务量增加，办公费用增加。</w:t>
      </w:r>
    </w:p>
    <w:p w14:paraId="0F61637F">
      <w:pPr>
        <w:spacing w:line="640" w:lineRule="exact"/>
        <w:ind w:firstLine="640"/>
        <w:jc w:val="both"/>
        <w:outlineLvl w:val="3"/>
      </w:pPr>
      <w:r>
        <w:rPr>
          <w:rFonts w:ascii="楷体_GB2312" w:hAnsi="楷体_GB2312" w:eastAsia="楷体_GB2312"/>
          <w:b/>
          <w:sz w:val="32"/>
        </w:rPr>
        <w:t>（二）政府采购情况</w:t>
      </w:r>
    </w:p>
    <w:p w14:paraId="24D0C444">
      <w:pPr>
        <w:spacing w:line="580" w:lineRule="exact"/>
        <w:ind w:firstLine="640"/>
        <w:jc w:val="both"/>
      </w:pPr>
      <w:r>
        <w:rPr>
          <w:rFonts w:ascii="仿宋_GB2312" w:hAnsi="仿宋_GB2312" w:eastAsia="仿宋_GB2312"/>
          <w:b w:val="0"/>
          <w:sz w:val="32"/>
        </w:rPr>
        <w:t>2024年度政府采购支出总额1.80万元，其中：政府采购货物支出1.80万元、政府采购工程支出0.00万元、政府采购服务支出0.00万元。</w:t>
      </w:r>
    </w:p>
    <w:p w14:paraId="2D020B54">
      <w:pPr>
        <w:spacing w:line="580" w:lineRule="exact"/>
        <w:ind w:firstLine="640"/>
        <w:jc w:val="both"/>
      </w:pPr>
      <w:r>
        <w:rPr>
          <w:rFonts w:ascii="仿宋_GB2312" w:hAnsi="仿宋_GB2312" w:eastAsia="仿宋_GB2312"/>
          <w:b w:val="0"/>
          <w:sz w:val="32"/>
        </w:rPr>
        <w:t>授予中小企业合同金额1.80万元，占政府采购支出总额的100.00%，其中：授予小微企业合同金额1.80万元，占政府采购支出总额的100.00%。</w:t>
      </w:r>
    </w:p>
    <w:p w14:paraId="07B4E537">
      <w:pPr>
        <w:spacing w:line="640" w:lineRule="exact"/>
        <w:ind w:firstLine="640"/>
        <w:jc w:val="both"/>
        <w:outlineLvl w:val="3"/>
      </w:pPr>
      <w:r>
        <w:rPr>
          <w:rFonts w:ascii="楷体_GB2312" w:hAnsi="楷体_GB2312" w:eastAsia="楷体_GB2312"/>
          <w:b/>
          <w:sz w:val="32"/>
        </w:rPr>
        <w:t>（三）国有资产占用情况说明</w:t>
      </w:r>
    </w:p>
    <w:p w14:paraId="79790FA4">
      <w:pPr>
        <w:spacing w:line="580" w:lineRule="exact"/>
        <w:ind w:firstLine="640"/>
        <w:jc w:val="both"/>
      </w:pPr>
      <w:r>
        <w:rPr>
          <w:rFonts w:ascii="仿宋_GB2312" w:hAnsi="仿宋_GB2312" w:eastAsia="仿宋_GB2312"/>
          <w:b w:val="0"/>
          <w:sz w:val="32"/>
        </w:rPr>
        <w:t>截至2024年12月31日，房屋775.32平方米，价值103.95万元。车辆1辆，价值3.00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5BAD8A5F">
      <w:pPr>
        <w:spacing w:line="640" w:lineRule="exact"/>
        <w:ind w:firstLine="640"/>
        <w:jc w:val="both"/>
        <w:outlineLvl w:val="2"/>
      </w:pPr>
      <w:r>
        <w:rPr>
          <w:rFonts w:ascii="黑体" w:hAnsi="黑体" w:eastAsia="黑体"/>
          <w:sz w:val="32"/>
        </w:rPr>
        <w:t>十一、预算绩效的情况说明</w:t>
      </w:r>
    </w:p>
    <w:p w14:paraId="6D8145C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256.06万元，实际执行总额256.06万元；预算绩效评价项目1个，全年预算数25.00万元，全年执行数25.00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w:t>
      </w:r>
      <w:bookmarkStart w:id="0" w:name="_GoBack"/>
      <w:r>
        <w:rPr>
          <w:rFonts w:ascii="仿宋_GB2312" w:hAnsi="仿宋_GB2312" w:eastAsia="仿宋_GB2312"/>
          <w:b w:val="0"/>
          <w:sz w:val="32"/>
        </w:rPr>
        <w:t>跟踪</w:t>
      </w:r>
      <w:bookmarkEnd w:id="0"/>
      <w:r>
        <w:rPr>
          <w:rFonts w:ascii="仿宋_GB2312" w:hAnsi="仿宋_GB2312" w:eastAsia="仿宋_GB2312"/>
          <w:b w:val="0"/>
          <w:sz w:val="32"/>
        </w:rPr>
        <w:t>，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034FC45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3F092D">
        <w:tblPrEx>
          <w:tblCellMar>
            <w:top w:w="0" w:type="dxa"/>
            <w:left w:w="108" w:type="dxa"/>
            <w:bottom w:w="0" w:type="dxa"/>
            <w:right w:w="108" w:type="dxa"/>
          </w:tblCellMar>
        </w:tblPrEx>
        <w:tc>
          <w:tcPr>
            <w:tcW w:w="8847" w:type="dxa"/>
            <w:gridSpan w:val="9"/>
            <w:vAlign w:val="center"/>
          </w:tcPr>
          <w:p w14:paraId="1B4819E3">
            <w:pPr>
              <w:jc w:val="center"/>
            </w:pPr>
            <w:r>
              <w:rPr>
                <w:rFonts w:ascii="宋体" w:hAnsi="宋体" w:eastAsia="宋体"/>
                <w:sz w:val="24"/>
              </w:rPr>
              <w:t>单位整体支出绩效自评表</w:t>
            </w:r>
          </w:p>
        </w:tc>
      </w:tr>
      <w:tr w14:paraId="0993577C">
        <w:tblPrEx>
          <w:tblCellMar>
            <w:top w:w="0" w:type="dxa"/>
            <w:left w:w="108" w:type="dxa"/>
            <w:bottom w:w="0" w:type="dxa"/>
            <w:right w:w="108" w:type="dxa"/>
          </w:tblCellMar>
        </w:tblPrEx>
        <w:tc>
          <w:tcPr>
            <w:tcW w:w="8847" w:type="dxa"/>
            <w:gridSpan w:val="9"/>
            <w:vAlign w:val="center"/>
          </w:tcPr>
          <w:p w14:paraId="1141ED09">
            <w:pPr>
              <w:jc w:val="center"/>
            </w:pPr>
            <w:r>
              <w:rPr>
                <w:rFonts w:ascii="宋体" w:hAnsi="宋体" w:eastAsia="宋体"/>
                <w:sz w:val="24"/>
              </w:rPr>
              <w:t>（2024年度）</w:t>
            </w:r>
          </w:p>
        </w:tc>
      </w:tr>
      <w:tr w14:paraId="07CCBA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946E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0277EF">
            <w:pPr>
              <w:jc w:val="center"/>
            </w:pPr>
            <w:r>
              <w:rPr>
                <w:rFonts w:ascii="宋体" w:hAnsi="宋体" w:eastAsia="宋体"/>
                <w:sz w:val="16"/>
              </w:rPr>
              <w:t>洛浦县国营苗圃</w:t>
            </w:r>
          </w:p>
        </w:tc>
      </w:tr>
      <w:tr w14:paraId="69A8DB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A2C31">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386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33CE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C767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F37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2BA8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239A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B9964">
            <w:pPr>
              <w:jc w:val="center"/>
            </w:pPr>
            <w:r>
              <w:rPr>
                <w:rFonts w:ascii="宋体" w:hAnsi="宋体" w:eastAsia="宋体"/>
                <w:sz w:val="16"/>
              </w:rPr>
              <w:t>得分</w:t>
            </w:r>
          </w:p>
        </w:tc>
      </w:tr>
      <w:tr w14:paraId="557A63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AB6B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5019F">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36405">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54EA2">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992E5">
            <w:pPr>
              <w:jc w:val="center"/>
            </w:pPr>
            <w:r>
              <w:rPr>
                <w:rFonts w:ascii="宋体" w:hAnsi="宋体" w:eastAsia="宋体"/>
                <w:sz w:val="16"/>
              </w:rPr>
              <w:t>24.76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9B82E">
            <w:pPr>
              <w:jc w:val="center"/>
            </w:pPr>
            <w:r>
              <w:rPr>
                <w:rFonts w:ascii="宋体" w:hAnsi="宋体" w:eastAsia="宋体"/>
                <w:sz w:val="16"/>
              </w:rPr>
              <w:t>24.76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E44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A78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183CC">
            <w:pPr>
              <w:jc w:val="center"/>
            </w:pPr>
            <w:r>
              <w:rPr>
                <w:rFonts w:ascii="宋体" w:hAnsi="宋体" w:eastAsia="宋体"/>
                <w:sz w:val="16"/>
              </w:rPr>
              <w:t>-</w:t>
            </w:r>
          </w:p>
        </w:tc>
      </w:tr>
      <w:tr w14:paraId="62406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AB0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625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B06E9">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15306">
            <w:pPr>
              <w:jc w:val="center"/>
            </w:pPr>
            <w:r>
              <w:rPr>
                <w:rFonts w:ascii="宋体" w:hAnsi="宋体" w:eastAsia="宋体"/>
                <w:sz w:val="16"/>
              </w:rPr>
              <w:t>239.71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D0FBA">
            <w:pPr>
              <w:jc w:val="center"/>
            </w:pPr>
            <w:r>
              <w:rPr>
                <w:rFonts w:ascii="宋体" w:hAnsi="宋体" w:eastAsia="宋体"/>
                <w:sz w:val="16"/>
              </w:rPr>
              <w:t>231.30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AFB96">
            <w:pPr>
              <w:jc w:val="center"/>
            </w:pPr>
            <w:r>
              <w:rPr>
                <w:rFonts w:ascii="宋体" w:hAnsi="宋体" w:eastAsia="宋体"/>
                <w:sz w:val="16"/>
              </w:rPr>
              <w:t>231.30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3FC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9D3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AF1C5">
            <w:pPr>
              <w:jc w:val="center"/>
            </w:pPr>
            <w:r>
              <w:rPr>
                <w:rFonts w:ascii="宋体" w:hAnsi="宋体" w:eastAsia="宋体"/>
                <w:sz w:val="16"/>
              </w:rPr>
              <w:t>-</w:t>
            </w:r>
          </w:p>
        </w:tc>
      </w:tr>
      <w:tr w14:paraId="2EEA1B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CE6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2CC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05545">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BCB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19F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C38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492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209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CA39C">
            <w:pPr>
              <w:jc w:val="center"/>
            </w:pPr>
            <w:r>
              <w:rPr>
                <w:rFonts w:ascii="宋体" w:hAnsi="宋体" w:eastAsia="宋体"/>
                <w:sz w:val="16"/>
              </w:rPr>
              <w:t>-</w:t>
            </w:r>
          </w:p>
        </w:tc>
      </w:tr>
      <w:tr w14:paraId="7DFB94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2A7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B03D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479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6F43E">
            <w:pPr>
              <w:jc w:val="center"/>
            </w:pPr>
            <w:r>
              <w:rPr>
                <w:rFonts w:ascii="宋体" w:hAnsi="宋体" w:eastAsia="宋体"/>
                <w:sz w:val="16"/>
              </w:rPr>
              <w:t>264.71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4275D">
            <w:pPr>
              <w:jc w:val="center"/>
            </w:pPr>
            <w:r>
              <w:rPr>
                <w:rFonts w:ascii="宋体" w:hAnsi="宋体" w:eastAsia="宋体"/>
                <w:sz w:val="16"/>
              </w:rPr>
              <w:t>256.06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71ACD">
            <w:pPr>
              <w:jc w:val="center"/>
            </w:pPr>
            <w:r>
              <w:rPr>
                <w:rFonts w:ascii="宋体" w:hAnsi="宋体" w:eastAsia="宋体"/>
                <w:sz w:val="16"/>
              </w:rPr>
              <w:t>256.06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50D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F7A1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1863E">
            <w:pPr>
              <w:jc w:val="center"/>
            </w:pPr>
            <w:r>
              <w:rPr>
                <w:rFonts w:ascii="宋体" w:hAnsi="宋体" w:eastAsia="宋体"/>
                <w:sz w:val="16"/>
              </w:rPr>
              <w:t>10</w:t>
            </w:r>
          </w:p>
        </w:tc>
      </w:tr>
      <w:tr w14:paraId="5942FA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AAF6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21C3D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AFC82">
            <w:pPr>
              <w:jc w:val="center"/>
            </w:pPr>
            <w:r>
              <w:rPr>
                <w:rFonts w:ascii="宋体" w:hAnsi="宋体" w:eastAsia="宋体"/>
                <w:sz w:val="16"/>
              </w:rPr>
              <w:t>实际完成情况</w:t>
            </w:r>
          </w:p>
        </w:tc>
      </w:tr>
      <w:tr w14:paraId="4F08E1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C40F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DF8AA9">
            <w:pPr>
              <w:jc w:val="both"/>
            </w:pPr>
            <w:r>
              <w:rPr>
                <w:rFonts w:hint="eastAsia" w:ascii="宋体" w:hAnsi="宋体"/>
                <w:sz w:val="16"/>
                <w:lang w:eastAsia="zh-CN"/>
              </w:rPr>
              <w:t>1.</w:t>
            </w:r>
            <w:r>
              <w:rPr>
                <w:rFonts w:ascii="宋体" w:hAnsi="宋体" w:eastAsia="宋体"/>
                <w:sz w:val="16"/>
              </w:rPr>
              <w:t>计划保障12名在职人员基本支出，保障公务用车1辆，苗木培育品种20种，开展10次培育技术培训，人员经费支出239.71万元。有效推进生态文明建设，持续促进经济社会发展，争取受益群众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3、严格执行《</w:t>
            </w:r>
            <w:r>
              <w:rPr>
                <w:rFonts w:hint="eastAsia" w:ascii="宋体" w:hAnsi="宋体"/>
                <w:sz w:val="16"/>
                <w:lang w:eastAsia="zh-CN"/>
              </w:rPr>
              <w:t>中华人民共和国森林法</w:t>
            </w:r>
            <w:r>
              <w:rPr>
                <w:rFonts w:ascii="宋体" w:hAnsi="宋体" w:eastAsia="宋体"/>
                <w:sz w:val="16"/>
              </w:rPr>
              <w:t>》和各项林业方针、政策。</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4、做好苗木培育；苗木嫁接、改造、苗木品种、技术、引进推广等工作。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5、完成上级下达的多项生产指标，为保护和培育森林资源提供优质、合格的苗木。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E119C4">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年初预算数264.71万元，调整后的预算数为256.06万元，通过实施该项目，保障单位12名在职人员工资按时发放，保障有效推进生态文明建设，持续促进经济社会发展，争取受益群众及受益在职人员满意度达到95%以上。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严格执行《</w:t>
            </w:r>
            <w:r>
              <w:rPr>
                <w:rFonts w:hint="eastAsia" w:ascii="宋体" w:hAnsi="宋体"/>
                <w:sz w:val="16"/>
                <w:lang w:eastAsia="zh-CN"/>
              </w:rPr>
              <w:t>中华人民共和国森林法</w:t>
            </w:r>
            <w:r>
              <w:rPr>
                <w:rFonts w:ascii="宋体" w:hAnsi="宋体" w:eastAsia="宋体"/>
                <w:sz w:val="16"/>
              </w:rPr>
              <w:t>》和各项林业方针、政策。做好苗木培育；苗木嫁接、改造、苗木品种、技术、引进推广等工作，完成上级下达的多项生产指标，为保护和培育森林资源提供优质、合格的苗木。任务已完成，完成率达到了100%。</w:t>
            </w:r>
          </w:p>
        </w:tc>
      </w:tr>
      <w:tr w14:paraId="6ADE25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8637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350D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36FE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5D3E8">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C5F1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E9D3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99F7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A5AE6">
            <w:pPr>
              <w:jc w:val="center"/>
            </w:pPr>
            <w:r>
              <w:rPr>
                <w:rFonts w:ascii="宋体" w:hAnsi="宋体" w:eastAsia="宋体"/>
                <w:sz w:val="16"/>
              </w:rPr>
              <w:t>得分</w:t>
            </w:r>
          </w:p>
        </w:tc>
      </w:tr>
      <w:tr w14:paraId="7FC732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B670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F283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6666D">
            <w:pPr>
              <w:jc w:val="center"/>
            </w:pPr>
            <w:r>
              <w:rPr>
                <w:rFonts w:ascii="宋体" w:hAnsi="宋体" w:eastAsia="宋体"/>
                <w:sz w:val="16"/>
              </w:rPr>
              <w:t>保障在职人员数量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535F6">
            <w:pPr>
              <w:jc w:val="center"/>
            </w:pPr>
            <w:r>
              <w:rPr>
                <w:rFonts w:ascii="宋体" w:hAnsi="宋体" w:eastAsia="宋体"/>
                <w:sz w:val="16"/>
              </w:rPr>
              <w: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B09D9">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FF57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F42AB">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6B9E3">
            <w:pPr>
              <w:jc w:val="center"/>
            </w:pPr>
            <w:r>
              <w:rPr>
                <w:rFonts w:ascii="宋体" w:hAnsi="宋体" w:eastAsia="宋体"/>
                <w:sz w:val="16"/>
              </w:rPr>
              <w:t>30</w:t>
            </w:r>
          </w:p>
        </w:tc>
      </w:tr>
      <w:tr w14:paraId="03BA59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6B1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F31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F5EB6">
            <w:pPr>
              <w:jc w:val="center"/>
            </w:pPr>
            <w:r>
              <w:rPr>
                <w:rFonts w:ascii="宋体" w:hAnsi="宋体" w:eastAsia="宋体"/>
                <w:sz w:val="16"/>
              </w:rPr>
              <w:t>苗木培育品种数量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720E2">
            <w:pPr>
              <w:jc w:val="center"/>
            </w:pPr>
            <w:r>
              <w:rPr>
                <w:rFonts w:ascii="宋体" w:hAnsi="宋体" w:eastAsia="宋体"/>
                <w:sz w:val="16"/>
              </w:rPr>
              <w:t>=20种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7D75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90A0D">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6FD57">
            <w:pPr>
              <w:jc w:val="center"/>
            </w:pPr>
            <w:r>
              <w:rPr>
                <w:rFonts w:ascii="宋体" w:hAnsi="宋体" w:eastAsia="宋体"/>
                <w:sz w:val="16"/>
              </w:rPr>
              <w:t>20种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69968">
            <w:pPr>
              <w:jc w:val="center"/>
            </w:pPr>
            <w:r>
              <w:rPr>
                <w:rFonts w:ascii="宋体" w:hAnsi="宋体" w:eastAsia="宋体"/>
                <w:sz w:val="16"/>
              </w:rPr>
              <w:t>30</w:t>
            </w:r>
          </w:p>
        </w:tc>
      </w:tr>
      <w:tr w14:paraId="48D2F3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9E2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78B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04F7E">
            <w:pPr>
              <w:jc w:val="center"/>
            </w:pPr>
            <w:r>
              <w:rPr>
                <w:rFonts w:ascii="宋体" w:hAnsi="宋体" w:eastAsia="宋体"/>
                <w:sz w:val="16"/>
              </w:rPr>
              <w:t>开展培育技术培训次数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02834">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8B6E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447E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E2301">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461B0">
            <w:pPr>
              <w:jc w:val="center"/>
            </w:pPr>
            <w:r>
              <w:rPr>
                <w:rFonts w:ascii="宋体" w:hAnsi="宋体" w:eastAsia="宋体"/>
                <w:sz w:val="16"/>
              </w:rPr>
              <w:t>15</w:t>
            </w:r>
          </w:p>
        </w:tc>
      </w:tr>
      <w:tr w14:paraId="43DF56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AEC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718F6">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08894">
            <w:pPr>
              <w:jc w:val="center"/>
            </w:pPr>
            <w:r>
              <w:rPr>
                <w:rFonts w:ascii="宋体" w:hAnsi="宋体" w:eastAsia="宋体"/>
                <w:sz w:val="16"/>
              </w:rPr>
              <w:t>开展培育技术培训合格率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AB0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1A1D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2987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92A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06F20">
            <w:pPr>
              <w:jc w:val="center"/>
            </w:pPr>
            <w:r>
              <w:rPr>
                <w:rFonts w:ascii="宋体" w:hAnsi="宋体" w:eastAsia="宋体"/>
                <w:sz w:val="16"/>
              </w:rPr>
              <w:t>15</w:t>
            </w:r>
          </w:p>
        </w:tc>
      </w:tr>
    </w:tbl>
    <w:p w14:paraId="3AD05EB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E07ACB">
        <w:tblPrEx>
          <w:tblCellMar>
            <w:top w:w="0" w:type="dxa"/>
            <w:left w:w="108" w:type="dxa"/>
            <w:bottom w:w="0" w:type="dxa"/>
            <w:right w:w="108" w:type="dxa"/>
          </w:tblCellMar>
        </w:tblPrEx>
        <w:tc>
          <w:tcPr>
            <w:tcW w:w="8847" w:type="dxa"/>
            <w:gridSpan w:val="9"/>
            <w:vAlign w:val="center"/>
          </w:tcPr>
          <w:p w14:paraId="0AE58390">
            <w:pPr>
              <w:jc w:val="center"/>
            </w:pPr>
            <w:r>
              <w:rPr>
                <w:rFonts w:ascii="宋体" w:hAnsi="宋体" w:eastAsia="宋体"/>
                <w:sz w:val="24"/>
              </w:rPr>
              <w:t>项目支出绩效自评表</w:t>
            </w:r>
          </w:p>
        </w:tc>
      </w:tr>
      <w:tr w14:paraId="3E0B13F9">
        <w:tblPrEx>
          <w:tblCellMar>
            <w:top w:w="0" w:type="dxa"/>
            <w:left w:w="108" w:type="dxa"/>
            <w:bottom w:w="0" w:type="dxa"/>
            <w:right w:w="108" w:type="dxa"/>
          </w:tblCellMar>
        </w:tblPrEx>
        <w:tc>
          <w:tcPr>
            <w:tcW w:w="8847" w:type="dxa"/>
            <w:gridSpan w:val="9"/>
            <w:vAlign w:val="center"/>
          </w:tcPr>
          <w:p w14:paraId="419FEE40">
            <w:pPr>
              <w:jc w:val="center"/>
            </w:pPr>
            <w:r>
              <w:rPr>
                <w:rFonts w:ascii="宋体" w:hAnsi="宋体" w:eastAsia="宋体"/>
                <w:sz w:val="24"/>
              </w:rPr>
              <w:t>(2024年度)</w:t>
            </w:r>
          </w:p>
        </w:tc>
      </w:tr>
      <w:tr w14:paraId="138802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443E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6930D5">
            <w:pPr>
              <w:jc w:val="center"/>
            </w:pPr>
            <w:r>
              <w:rPr>
                <w:rFonts w:ascii="宋体" w:hAnsi="宋体" w:eastAsia="宋体"/>
                <w:sz w:val="16"/>
              </w:rPr>
              <w:t>2024年林业草原改革发展资金</w:t>
            </w:r>
            <w:r>
              <w:rPr>
                <w:rFonts w:hint="eastAsia" w:ascii="宋体" w:hAnsi="宋体"/>
                <w:sz w:val="16"/>
                <w:lang w:eastAsia="zh-CN"/>
              </w:rPr>
              <w:t>－</w:t>
            </w:r>
            <w:r>
              <w:rPr>
                <w:rFonts w:ascii="宋体" w:hAnsi="宋体" w:eastAsia="宋体"/>
                <w:sz w:val="16"/>
              </w:rPr>
              <w:t>良种苗木培育</w:t>
            </w:r>
          </w:p>
        </w:tc>
      </w:tr>
      <w:tr w14:paraId="0BDD3A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81FF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704C10">
            <w:pPr>
              <w:jc w:val="center"/>
            </w:pPr>
            <w:r>
              <w:rPr>
                <w:rFonts w:ascii="宋体" w:hAnsi="宋体" w:eastAsia="宋体"/>
                <w:sz w:val="16"/>
              </w:rPr>
              <w:t>洛浦县国营苗圃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D4C2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FD8EC0">
            <w:pPr>
              <w:jc w:val="center"/>
            </w:pPr>
            <w:r>
              <w:rPr>
                <w:rFonts w:ascii="宋体" w:hAnsi="宋体" w:eastAsia="宋体"/>
                <w:sz w:val="16"/>
              </w:rPr>
              <w:t>洛浦县国营苗圃</w:t>
            </w:r>
          </w:p>
        </w:tc>
      </w:tr>
      <w:tr w14:paraId="6AD68A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2108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413E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495F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01C9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2496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953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2D4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6C9B5">
            <w:pPr>
              <w:jc w:val="center"/>
            </w:pPr>
            <w:r>
              <w:rPr>
                <w:rFonts w:ascii="宋体" w:hAnsi="宋体" w:eastAsia="宋体"/>
                <w:sz w:val="16"/>
              </w:rPr>
              <w:t>得分</w:t>
            </w:r>
          </w:p>
        </w:tc>
      </w:tr>
      <w:tr w14:paraId="6620EA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9CC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38CE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F3E83">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67C89">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A2940">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804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0A5C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03F77">
            <w:pPr>
              <w:jc w:val="center"/>
            </w:pPr>
            <w:r>
              <w:rPr>
                <w:rFonts w:ascii="宋体" w:hAnsi="宋体" w:eastAsia="宋体"/>
                <w:sz w:val="16"/>
              </w:rPr>
              <w:t>10.00分</w:t>
            </w:r>
          </w:p>
        </w:tc>
      </w:tr>
      <w:tr w14:paraId="4D2CB5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A285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AF82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E7A76">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FD353">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DE8BF">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477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46F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818AD">
            <w:pPr>
              <w:jc w:val="center"/>
            </w:pPr>
            <w:r>
              <w:rPr>
                <w:rFonts w:ascii="宋体" w:hAnsi="宋体" w:eastAsia="宋体"/>
                <w:sz w:val="16"/>
              </w:rPr>
              <w:t>—</w:t>
            </w:r>
          </w:p>
        </w:tc>
      </w:tr>
      <w:tr w14:paraId="4D5BCE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B1B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4A51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55C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D83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0DE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18D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AA4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73F0A">
            <w:pPr>
              <w:jc w:val="center"/>
            </w:pPr>
            <w:r>
              <w:rPr>
                <w:rFonts w:ascii="宋体" w:hAnsi="宋体" w:eastAsia="宋体"/>
                <w:sz w:val="16"/>
              </w:rPr>
              <w:t>—</w:t>
            </w:r>
          </w:p>
        </w:tc>
      </w:tr>
      <w:tr w14:paraId="2A3B28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7906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722F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5C9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73B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D09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8DA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D9A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E860C">
            <w:pPr>
              <w:jc w:val="center"/>
            </w:pPr>
            <w:r>
              <w:rPr>
                <w:rFonts w:ascii="宋体" w:hAnsi="宋体" w:eastAsia="宋体"/>
                <w:sz w:val="16"/>
              </w:rPr>
              <w:t>—</w:t>
            </w:r>
          </w:p>
        </w:tc>
      </w:tr>
      <w:tr w14:paraId="7D6CEC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50C1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8BAB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82D337">
            <w:pPr>
              <w:jc w:val="center"/>
            </w:pPr>
            <w:r>
              <w:rPr>
                <w:rFonts w:ascii="宋体" w:hAnsi="宋体" w:eastAsia="宋体"/>
                <w:sz w:val="16"/>
              </w:rPr>
              <w:t>实际完成情况</w:t>
            </w:r>
          </w:p>
        </w:tc>
      </w:tr>
      <w:tr w14:paraId="1AB696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2866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F4B0EB">
            <w:pPr>
              <w:jc w:val="both"/>
            </w:pPr>
            <w:r>
              <w:rPr>
                <w:rFonts w:ascii="宋体" w:hAnsi="宋体" w:eastAsia="宋体"/>
                <w:sz w:val="16"/>
              </w:rPr>
              <w:t>建设48亩苗圃，培育Ⅱ级以上良种苗木34万株。目标2：育苗、抚育及带动就业人数528人次。 目标3：实现经济效益、社会效益和生态效益全面提升。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E987DA">
            <w:pPr>
              <w:jc w:val="both"/>
            </w:pPr>
            <w:r>
              <w:rPr>
                <w:rFonts w:hint="eastAsia" w:ascii="宋体" w:hAnsi="宋体"/>
                <w:sz w:val="16"/>
                <w:lang w:eastAsia="zh-CN"/>
              </w:rPr>
              <w:t>截至</w:t>
            </w:r>
            <w:r>
              <w:rPr>
                <w:rFonts w:ascii="宋体" w:hAnsi="宋体" w:eastAsia="宋体"/>
                <w:sz w:val="16"/>
              </w:rPr>
              <w:t>2024年12月31日，已经完成林木良种培育面积48亩，生产二级以上良种苗木数量34万株。通过项目实施，为</w:t>
            </w:r>
            <w:r>
              <w:rPr>
                <w:rFonts w:hint="eastAsia" w:ascii="宋体" w:hAnsi="宋体"/>
                <w:sz w:val="16"/>
                <w:lang w:eastAsia="zh-CN"/>
              </w:rPr>
              <w:t>洛浦</w:t>
            </w:r>
            <w:r>
              <w:rPr>
                <w:rFonts w:ascii="宋体" w:hAnsi="宋体" w:eastAsia="宋体"/>
                <w:sz w:val="16"/>
              </w:rPr>
              <w:t xml:space="preserve">提供质量优良，品种对路的优质苗木，为生产建设的健康发展提供保障。同时通过本地育苗，规避苗木引进病虫害的风险，确保品种纯度和质量，降低苗木成本，减轻农民负担 </w:t>
            </w:r>
          </w:p>
        </w:tc>
      </w:tr>
      <w:tr w14:paraId="557FDC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DAD39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00A0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8404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AA1F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4AAB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7D20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6891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10FA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C11C8">
            <w:pPr>
              <w:jc w:val="center"/>
            </w:pPr>
            <w:r>
              <w:rPr>
                <w:rFonts w:ascii="宋体" w:hAnsi="宋体" w:eastAsia="宋体"/>
                <w:sz w:val="16"/>
              </w:rPr>
              <w:t>偏差原因分析及改进措施</w:t>
            </w:r>
          </w:p>
        </w:tc>
      </w:tr>
      <w:tr w14:paraId="16FD02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D7B5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20C0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DBE1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FA4FF">
            <w:pPr>
              <w:jc w:val="center"/>
            </w:pPr>
            <w:r>
              <w:rPr>
                <w:rFonts w:ascii="宋体" w:hAnsi="宋体" w:eastAsia="宋体"/>
                <w:sz w:val="16"/>
              </w:rPr>
              <w:t>林木良种培育数量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F5601">
            <w:pPr>
              <w:jc w:val="center"/>
            </w:pPr>
            <w:r>
              <w:rPr>
                <w:rFonts w:ascii="宋体" w:hAnsi="宋体" w:eastAsia="宋体"/>
                <w:sz w:val="16"/>
              </w:rPr>
              <w:t>=75万株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D54CF">
            <w:pPr>
              <w:jc w:val="center"/>
            </w:pPr>
            <w:r>
              <w:rPr>
                <w:rFonts w:ascii="宋体" w:hAnsi="宋体" w:eastAsia="宋体"/>
                <w:sz w:val="16"/>
              </w:rPr>
              <w:t>=75万株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9BD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0E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37FAD">
            <w:pPr>
              <w:jc w:val="center"/>
            </w:pPr>
          </w:p>
        </w:tc>
      </w:tr>
      <w:tr w14:paraId="3E03B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792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05A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3814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A8890">
            <w:pPr>
              <w:jc w:val="center"/>
            </w:pPr>
            <w:r>
              <w:rPr>
                <w:rFonts w:ascii="宋体" w:hAnsi="宋体" w:eastAsia="宋体"/>
                <w:sz w:val="16"/>
              </w:rPr>
              <w:t>林木良种培育完成率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E23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A1A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DB2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2E2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5811A">
            <w:pPr>
              <w:jc w:val="center"/>
            </w:pPr>
          </w:p>
        </w:tc>
      </w:tr>
      <w:tr w14:paraId="1CD0F1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AAB2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E64D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7D1D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B0C9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9EBA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F3A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7D6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0C5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BD3AA">
            <w:pPr>
              <w:jc w:val="center"/>
            </w:pPr>
          </w:p>
        </w:tc>
      </w:tr>
      <w:tr w14:paraId="613AED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800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75C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C8B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FC371">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310C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AD16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8C7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86E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5C745">
            <w:pPr>
              <w:jc w:val="center"/>
            </w:pPr>
          </w:p>
        </w:tc>
      </w:tr>
      <w:tr w14:paraId="205447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470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34F0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E967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EAE0A">
            <w:pPr>
              <w:jc w:val="center"/>
            </w:pPr>
            <w:r>
              <w:rPr>
                <w:rFonts w:ascii="宋体" w:hAnsi="宋体" w:eastAsia="宋体"/>
                <w:sz w:val="16"/>
              </w:rPr>
              <w:t>林木良种培育中央财政补助标准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C4039">
            <w:pPr>
              <w:jc w:val="center"/>
            </w:pPr>
            <w:r>
              <w:rPr>
                <w:rFonts w:ascii="宋体" w:hAnsi="宋体" w:eastAsia="宋体"/>
                <w:sz w:val="16"/>
              </w:rPr>
              <w:t>=1.5元/株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CAD3D">
            <w:pPr>
              <w:jc w:val="center"/>
            </w:pPr>
            <w:r>
              <w:rPr>
                <w:rFonts w:ascii="宋体" w:hAnsi="宋体" w:eastAsia="宋体"/>
                <w:sz w:val="16"/>
              </w:rPr>
              <w:t>=1.5元/株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258B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D69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79D21">
            <w:pPr>
              <w:jc w:val="center"/>
            </w:pPr>
          </w:p>
        </w:tc>
      </w:tr>
      <w:tr w14:paraId="091766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5B2E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98E5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25B0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D575B">
            <w:pPr>
              <w:jc w:val="center"/>
            </w:pPr>
            <w:r>
              <w:rPr>
                <w:rFonts w:ascii="宋体" w:hAnsi="宋体" w:eastAsia="宋体"/>
                <w:sz w:val="16"/>
              </w:rPr>
              <w:t>提高造林绿化苗木质量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52EF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ED59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2EE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23D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B6122">
            <w:pPr>
              <w:jc w:val="center"/>
            </w:pPr>
          </w:p>
        </w:tc>
      </w:tr>
      <w:tr w14:paraId="216FB3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7D7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F3E2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BFBB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8E766">
            <w:pPr>
              <w:jc w:val="center"/>
            </w:pPr>
            <w:r>
              <w:rPr>
                <w:rFonts w:ascii="宋体" w:hAnsi="宋体" w:eastAsia="宋体"/>
                <w:sz w:val="16"/>
              </w:rPr>
              <w:t>项目区群众满意度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588E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249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2E4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2FE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4FD43">
            <w:pPr>
              <w:jc w:val="center"/>
            </w:pPr>
          </w:p>
        </w:tc>
      </w:tr>
      <w:tr w14:paraId="64BC949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9AA2A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1A40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14E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07C1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A308C55"/>
        </w:tc>
      </w:tr>
    </w:tbl>
    <w:p w14:paraId="5B05C023">
      <w:r>
        <w:br w:type="page"/>
      </w:r>
    </w:p>
    <w:p w14:paraId="60613E61">
      <w:pPr>
        <w:spacing w:line="640" w:lineRule="exact"/>
        <w:ind w:firstLine="640"/>
        <w:jc w:val="both"/>
        <w:outlineLvl w:val="2"/>
      </w:pPr>
      <w:r>
        <w:rPr>
          <w:rFonts w:ascii="黑体" w:hAnsi="黑体" w:eastAsia="黑体"/>
          <w:sz w:val="32"/>
        </w:rPr>
        <w:t>十二、其他需说明的事项</w:t>
      </w:r>
    </w:p>
    <w:p w14:paraId="6F36EED9">
      <w:pPr>
        <w:spacing w:line="580" w:lineRule="exact"/>
        <w:ind w:firstLine="640"/>
        <w:jc w:val="both"/>
      </w:pPr>
      <w:r>
        <w:rPr>
          <w:rFonts w:ascii="仿宋_GB2312" w:hAnsi="仿宋_GB2312" w:eastAsia="仿宋_GB2312"/>
          <w:b w:val="0"/>
          <w:sz w:val="32"/>
        </w:rPr>
        <w:t>本单位无其他需说明的事项。</w:t>
      </w:r>
    </w:p>
    <w:p w14:paraId="647DCFFB">
      <w:r>
        <w:br w:type="page"/>
      </w:r>
    </w:p>
    <w:p w14:paraId="1488B629">
      <w:pPr>
        <w:spacing w:line="240" w:lineRule="auto"/>
        <w:jc w:val="center"/>
        <w:outlineLvl w:val="1"/>
      </w:pPr>
      <w:r>
        <w:rPr>
          <w:rFonts w:ascii="黑体" w:hAnsi="黑体" w:eastAsia="黑体"/>
          <w:sz w:val="32"/>
        </w:rPr>
        <w:t>第三部分 专业名词解释</w:t>
      </w:r>
    </w:p>
    <w:p w14:paraId="6937F6A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09BBB5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926A0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89466B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CCA7B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10B23A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0D3F2F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9EAAEB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F9FFE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E2F48B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EC3B16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0955F2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0770C4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6B721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4B60D62">
      <w:r>
        <w:br w:type="page"/>
      </w:r>
    </w:p>
    <w:p w14:paraId="688B7517">
      <w:pPr>
        <w:spacing w:line="240" w:lineRule="auto"/>
        <w:jc w:val="center"/>
        <w:outlineLvl w:val="1"/>
      </w:pPr>
      <w:r>
        <w:rPr>
          <w:rFonts w:ascii="黑体" w:hAnsi="黑体" w:eastAsia="黑体"/>
          <w:sz w:val="32"/>
        </w:rPr>
        <w:t>第四部分 部门决算报表（见附表）</w:t>
      </w:r>
    </w:p>
    <w:p w14:paraId="1F0B6171">
      <w:pPr>
        <w:spacing w:line="240" w:lineRule="auto"/>
        <w:ind w:firstLine="640"/>
        <w:jc w:val="both"/>
      </w:pPr>
      <w:r>
        <w:rPr>
          <w:rFonts w:ascii="仿宋_GB2312" w:hAnsi="仿宋_GB2312" w:eastAsia="仿宋_GB2312"/>
          <w:b w:val="0"/>
          <w:sz w:val="32"/>
        </w:rPr>
        <w:t>一、《收入支出决算总表》</w:t>
      </w:r>
    </w:p>
    <w:p w14:paraId="1D18FFB8">
      <w:pPr>
        <w:spacing w:line="240" w:lineRule="auto"/>
        <w:ind w:firstLine="640"/>
        <w:jc w:val="both"/>
      </w:pPr>
      <w:r>
        <w:rPr>
          <w:rFonts w:ascii="仿宋_GB2312" w:hAnsi="仿宋_GB2312" w:eastAsia="仿宋_GB2312"/>
          <w:b w:val="0"/>
          <w:sz w:val="32"/>
        </w:rPr>
        <w:t>二、《收入决算表》</w:t>
      </w:r>
    </w:p>
    <w:p w14:paraId="44C1ADE0">
      <w:pPr>
        <w:spacing w:line="240" w:lineRule="auto"/>
        <w:ind w:firstLine="640"/>
        <w:jc w:val="both"/>
      </w:pPr>
      <w:r>
        <w:rPr>
          <w:rFonts w:ascii="仿宋_GB2312" w:hAnsi="仿宋_GB2312" w:eastAsia="仿宋_GB2312"/>
          <w:b w:val="0"/>
          <w:sz w:val="32"/>
        </w:rPr>
        <w:t>三、《支出决算表》</w:t>
      </w:r>
    </w:p>
    <w:p w14:paraId="2D742FFC">
      <w:pPr>
        <w:spacing w:line="240" w:lineRule="auto"/>
        <w:ind w:firstLine="640"/>
        <w:jc w:val="both"/>
      </w:pPr>
      <w:r>
        <w:rPr>
          <w:rFonts w:ascii="仿宋_GB2312" w:hAnsi="仿宋_GB2312" w:eastAsia="仿宋_GB2312"/>
          <w:b w:val="0"/>
          <w:sz w:val="32"/>
        </w:rPr>
        <w:t>四、《财政拨款收入支出决算总表》</w:t>
      </w:r>
    </w:p>
    <w:p w14:paraId="54150CF2">
      <w:pPr>
        <w:spacing w:line="240" w:lineRule="auto"/>
        <w:ind w:firstLine="640"/>
        <w:jc w:val="both"/>
      </w:pPr>
      <w:r>
        <w:rPr>
          <w:rFonts w:ascii="仿宋_GB2312" w:hAnsi="仿宋_GB2312" w:eastAsia="仿宋_GB2312"/>
          <w:b w:val="0"/>
          <w:sz w:val="32"/>
        </w:rPr>
        <w:t>五、《一般公共预算财政拨款支出决算表》</w:t>
      </w:r>
    </w:p>
    <w:p w14:paraId="7E5FF609">
      <w:pPr>
        <w:spacing w:line="240" w:lineRule="auto"/>
        <w:ind w:firstLine="640"/>
        <w:jc w:val="both"/>
      </w:pPr>
      <w:r>
        <w:rPr>
          <w:rFonts w:ascii="仿宋_GB2312" w:hAnsi="仿宋_GB2312" w:eastAsia="仿宋_GB2312"/>
          <w:b w:val="0"/>
          <w:sz w:val="32"/>
        </w:rPr>
        <w:t>六、《一般公共预算财政拨款基本支出决算表》</w:t>
      </w:r>
    </w:p>
    <w:p w14:paraId="1BA5BB66">
      <w:pPr>
        <w:spacing w:line="240" w:lineRule="auto"/>
        <w:ind w:firstLine="640"/>
        <w:jc w:val="both"/>
      </w:pPr>
      <w:r>
        <w:rPr>
          <w:rFonts w:ascii="仿宋_GB2312" w:hAnsi="仿宋_GB2312" w:eastAsia="仿宋_GB2312"/>
          <w:b w:val="0"/>
          <w:sz w:val="32"/>
        </w:rPr>
        <w:t>七、《政府性基金预算财政拨款收入支出决算表》</w:t>
      </w:r>
    </w:p>
    <w:p w14:paraId="7F80955E">
      <w:pPr>
        <w:spacing w:line="240" w:lineRule="auto"/>
        <w:ind w:firstLine="640"/>
        <w:jc w:val="both"/>
      </w:pPr>
      <w:r>
        <w:rPr>
          <w:rFonts w:ascii="仿宋_GB2312" w:hAnsi="仿宋_GB2312" w:eastAsia="仿宋_GB2312"/>
          <w:b w:val="0"/>
          <w:sz w:val="32"/>
        </w:rPr>
        <w:t>八、《国有资本经营预算财政拨款收入支出决算表》</w:t>
      </w:r>
    </w:p>
    <w:p w14:paraId="6A827424">
      <w:pPr>
        <w:spacing w:line="240" w:lineRule="auto"/>
        <w:ind w:firstLine="640"/>
        <w:jc w:val="both"/>
      </w:pPr>
      <w:r>
        <w:rPr>
          <w:rFonts w:ascii="仿宋_GB2312" w:hAnsi="仿宋_GB2312" w:eastAsia="仿宋_GB2312"/>
          <w:b w:val="0"/>
          <w:sz w:val="32"/>
        </w:rPr>
        <w:t>九、《财政拨款“三公”经费支出决算表》</w:t>
      </w:r>
    </w:p>
    <w:p w14:paraId="3EABF18F">
      <w:pPr>
        <w:spacing w:line="240" w:lineRule="auto"/>
        <w:ind w:firstLine="640"/>
        <w:jc w:val="both"/>
      </w:pPr>
    </w:p>
    <w:p w14:paraId="1875C340">
      <w:pPr>
        <w:spacing w:line="240" w:lineRule="auto"/>
        <w:ind w:firstLine="640"/>
        <w:jc w:val="both"/>
      </w:pPr>
    </w:p>
    <w:p w14:paraId="1237EF4A">
      <w:pPr>
        <w:spacing w:line="240" w:lineRule="auto"/>
        <w:ind w:firstLine="640"/>
        <w:jc w:val="both"/>
      </w:pPr>
    </w:p>
    <w:p w14:paraId="034C701C">
      <w:pPr>
        <w:spacing w:line="240" w:lineRule="auto"/>
        <w:ind w:firstLine="640"/>
        <w:jc w:val="both"/>
      </w:pPr>
    </w:p>
    <w:p w14:paraId="447F0F8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193C39"/>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386B52"/>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4282</Words>
  <Characters>4931</Characters>
  <Lines>0</Lines>
  <Paragraphs>0</Paragraphs>
  <TotalTime>4</TotalTime>
  <ScaleCrop>false</ScaleCrop>
  <LinksUpToDate>false</LinksUpToDate>
  <CharactersWithSpaces>4939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2025-09-17T09:29:43Z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