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4F22E55">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洛浦县和佳幼儿园</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413459F">
      <w:r>
        <w:br w:type="page"/>
      </w:r>
    </w:p>
    <w:p w14:paraId="36F26877">
      <w:pPr>
        <w:spacing w:line="640" w:lineRule="exact"/>
        <w:jc w:val="center"/>
        <w:outlineLvl w:val="1"/>
      </w:pPr>
      <w:r>
        <w:rPr>
          <w:rFonts w:ascii="黑体" w:hAnsi="黑体" w:eastAsia="黑体"/>
          <w:sz w:val="32"/>
        </w:rPr>
        <w:t>第一部分 单位概况</w:t>
      </w:r>
    </w:p>
    <w:p w14:paraId="7555B0D4">
      <w:pPr>
        <w:spacing w:line="640" w:lineRule="exact"/>
        <w:ind w:firstLine="640"/>
        <w:jc w:val="both"/>
        <w:outlineLvl w:val="2"/>
      </w:pPr>
      <w:r>
        <w:rPr>
          <w:rFonts w:ascii="黑体" w:hAnsi="黑体" w:eastAsia="黑体"/>
          <w:sz w:val="32"/>
        </w:rPr>
        <w:t>一、主要职能</w:t>
      </w:r>
    </w:p>
    <w:p w14:paraId="3E32577D">
      <w:pPr>
        <w:spacing w:line="580" w:lineRule="exact"/>
        <w:ind w:firstLine="640"/>
        <w:jc w:val="both"/>
      </w:pPr>
      <w:r>
        <w:rPr>
          <w:rFonts w:ascii="仿宋_GB2312" w:hAnsi="仿宋_GB2312" w:eastAsia="仿宋_GB2312"/>
          <w:sz w:val="32"/>
        </w:rPr>
        <w:t>根据党的教育方针及教学大纲的要求，组织三年制全日幼儿教学，通过实施素质教育，为小学输送合格的毕业生，为社会培养合格接班人；培养德、智、体、美、劳全面发展的人才；招收适龄儿童，安排班级，组织教学；在当地党政部门的指导下，做好当地幼儿教育。</w:t>
      </w:r>
    </w:p>
    <w:p w14:paraId="5160C650">
      <w:pPr>
        <w:spacing w:line="640" w:lineRule="exact"/>
        <w:ind w:firstLine="640"/>
        <w:jc w:val="both"/>
        <w:outlineLvl w:val="2"/>
      </w:pPr>
      <w:r>
        <w:rPr>
          <w:rFonts w:ascii="黑体" w:hAnsi="黑体" w:eastAsia="黑体"/>
          <w:sz w:val="32"/>
        </w:rPr>
        <w:t>二、机构设置及人员情况</w:t>
      </w:r>
    </w:p>
    <w:p w14:paraId="3B3A4268">
      <w:pPr>
        <w:spacing w:line="580" w:lineRule="exact"/>
        <w:ind w:firstLine="640"/>
        <w:jc w:val="both"/>
      </w:pPr>
      <w:r>
        <w:rPr>
          <w:rFonts w:ascii="仿宋_GB2312" w:hAnsi="仿宋_GB2312" w:eastAsia="仿宋_GB2312"/>
          <w:sz w:val="32"/>
        </w:rPr>
        <w:t>洛浦县和佳幼儿园2024年度，实有人数14人，其中：在职人员14人，增加14人；离休人员0人，增加0人；退休人员0人,增加0人。</w:t>
      </w:r>
    </w:p>
    <w:p w14:paraId="782E1B54">
      <w:pPr>
        <w:spacing w:line="580" w:lineRule="exact"/>
        <w:ind w:firstLine="640"/>
        <w:jc w:val="both"/>
      </w:pPr>
      <w:r>
        <w:rPr>
          <w:rFonts w:ascii="仿宋_GB2312" w:hAnsi="仿宋_GB2312" w:eastAsia="仿宋_GB2312"/>
          <w:sz w:val="32"/>
        </w:rPr>
        <w:t>洛浦县和佳幼儿园无下属预算单位，下设5个科室，分别是：园长办公室、财务室、德育办公室、党建办公室、保健室。</w:t>
      </w:r>
    </w:p>
    <w:p w14:paraId="56805F26">
      <w:r>
        <w:br w:type="page"/>
      </w:r>
    </w:p>
    <w:p w14:paraId="409D70FB">
      <w:pPr>
        <w:spacing w:line="240" w:lineRule="auto"/>
        <w:jc w:val="center"/>
        <w:outlineLvl w:val="1"/>
      </w:pPr>
      <w:r>
        <w:rPr>
          <w:rFonts w:ascii="黑体" w:hAnsi="黑体" w:eastAsia="黑体"/>
          <w:sz w:val="32"/>
        </w:rPr>
        <w:t>第二部分 部门决算情况说明</w:t>
      </w:r>
    </w:p>
    <w:p w14:paraId="256E8AC3">
      <w:pPr>
        <w:spacing w:line="640" w:lineRule="exact"/>
        <w:ind w:firstLine="640"/>
        <w:jc w:val="both"/>
        <w:outlineLvl w:val="2"/>
      </w:pPr>
      <w:r>
        <w:rPr>
          <w:rFonts w:ascii="黑体" w:hAnsi="黑体" w:eastAsia="黑体"/>
          <w:sz w:val="32"/>
        </w:rPr>
        <w:t>一、收入支出决算总体情况说明</w:t>
      </w:r>
    </w:p>
    <w:p w14:paraId="67A0F056">
      <w:pPr>
        <w:spacing w:line="580" w:lineRule="exact"/>
        <w:ind w:firstLine="640"/>
        <w:jc w:val="both"/>
      </w:pPr>
      <w:r>
        <w:rPr>
          <w:rFonts w:ascii="仿宋_GB2312" w:hAnsi="仿宋_GB2312" w:eastAsia="仿宋_GB2312"/>
          <w:b/>
          <w:sz w:val="32"/>
        </w:rPr>
        <w:t>2024年度收入总计245.83万元，</w:t>
      </w:r>
      <w:r>
        <w:rPr>
          <w:rFonts w:ascii="仿宋_GB2312" w:hAnsi="仿宋_GB2312" w:eastAsia="仿宋_GB2312"/>
          <w:b w:val="0"/>
          <w:sz w:val="32"/>
        </w:rPr>
        <w:t>其中：本年收入合计245.83万元，使用非财政拨款结余（含专用结余）0.00万元，年初结转和结余0.00万元。</w:t>
      </w:r>
    </w:p>
    <w:p w14:paraId="2C9F6AE9">
      <w:pPr>
        <w:spacing w:line="580" w:lineRule="exact"/>
        <w:ind w:firstLine="640"/>
        <w:jc w:val="both"/>
      </w:pPr>
      <w:r>
        <w:rPr>
          <w:rFonts w:ascii="仿宋_GB2312" w:hAnsi="仿宋_GB2312" w:eastAsia="仿宋_GB2312"/>
          <w:b/>
          <w:sz w:val="32"/>
        </w:rPr>
        <w:t>2024年度支出总计245.83万元，</w:t>
      </w:r>
      <w:r>
        <w:rPr>
          <w:rFonts w:ascii="仿宋_GB2312" w:hAnsi="仿宋_GB2312" w:eastAsia="仿宋_GB2312"/>
          <w:b w:val="0"/>
          <w:sz w:val="32"/>
        </w:rPr>
        <w:t>其中：本年支出合计245.83万元，结余分配0.00万元，年末结转和结余0.00万元。</w:t>
      </w:r>
    </w:p>
    <w:p w14:paraId="30C238B6">
      <w:pPr>
        <w:spacing w:line="580" w:lineRule="exact"/>
        <w:ind w:firstLine="640"/>
        <w:jc w:val="both"/>
      </w:pPr>
      <w:r>
        <w:rPr>
          <w:rFonts w:ascii="仿宋_GB2312" w:hAnsi="仿宋_GB2312" w:eastAsia="仿宋_GB2312"/>
          <w:b w:val="0"/>
          <w:sz w:val="32"/>
        </w:rPr>
        <w:t>收入支出总体与上年相比，增加245.83万元，增长100.00%，主要原因是：本单位为新</w:t>
      </w:r>
      <w:r>
        <w:rPr>
          <w:rFonts w:hint="eastAsia" w:ascii="仿宋_GB2312" w:hAnsi="仿宋_GB2312" w:eastAsia="仿宋_GB2312"/>
          <w:b w:val="0"/>
          <w:sz w:val="32"/>
          <w:lang w:val="en-US" w:eastAsia="zh-CN"/>
        </w:rPr>
        <w:t>成立</w:t>
      </w:r>
      <w:r>
        <w:rPr>
          <w:rFonts w:ascii="仿宋_GB2312" w:hAnsi="仿宋_GB2312" w:eastAsia="仿宋_GB2312"/>
          <w:b w:val="0"/>
          <w:sz w:val="32"/>
        </w:rPr>
        <w:t>单位，无上年对比数据。</w:t>
      </w:r>
    </w:p>
    <w:p w14:paraId="11265428">
      <w:pPr>
        <w:spacing w:line="640" w:lineRule="exact"/>
        <w:ind w:firstLine="640"/>
        <w:jc w:val="both"/>
        <w:outlineLvl w:val="2"/>
      </w:pPr>
      <w:r>
        <w:rPr>
          <w:rFonts w:ascii="黑体" w:hAnsi="黑体" w:eastAsia="黑体"/>
          <w:sz w:val="32"/>
        </w:rPr>
        <w:t>二、收入决算情况说明</w:t>
      </w:r>
    </w:p>
    <w:p w14:paraId="4AE89910">
      <w:pPr>
        <w:spacing w:line="580" w:lineRule="exact"/>
        <w:ind w:firstLine="640"/>
        <w:jc w:val="both"/>
      </w:pPr>
      <w:r>
        <w:rPr>
          <w:rFonts w:ascii="仿宋_GB2312" w:hAnsi="仿宋_GB2312" w:eastAsia="仿宋_GB2312"/>
          <w:b/>
          <w:sz w:val="32"/>
        </w:rPr>
        <w:t>本年收入245.83万元，</w:t>
      </w:r>
      <w:r>
        <w:rPr>
          <w:rFonts w:ascii="仿宋_GB2312" w:hAnsi="仿宋_GB2312" w:eastAsia="仿宋_GB2312"/>
          <w:b w:val="0"/>
          <w:sz w:val="32"/>
        </w:rPr>
        <w:t>其中：财政拨款收入240.56万元，占97.86%；上级补助收入0.00万元，占0.00%；事业收入0.00万元，占0.00%；经营收入0.00万元，占0.00%；附属单位上缴收入0.00万元，占0.00%；其他收入5.27万元，占2.14%。</w:t>
      </w:r>
    </w:p>
    <w:p w14:paraId="07657941">
      <w:pPr>
        <w:spacing w:line="640" w:lineRule="exact"/>
        <w:ind w:firstLine="640"/>
        <w:jc w:val="both"/>
        <w:outlineLvl w:val="2"/>
      </w:pPr>
      <w:r>
        <w:rPr>
          <w:rFonts w:ascii="黑体" w:hAnsi="黑体" w:eastAsia="黑体"/>
          <w:sz w:val="32"/>
        </w:rPr>
        <w:t>三、支出决算情况说明</w:t>
      </w:r>
    </w:p>
    <w:p w14:paraId="3DB7C111">
      <w:pPr>
        <w:spacing w:line="580" w:lineRule="exact"/>
        <w:ind w:firstLine="640"/>
        <w:jc w:val="both"/>
      </w:pPr>
      <w:r>
        <w:rPr>
          <w:rFonts w:ascii="仿宋_GB2312" w:hAnsi="仿宋_GB2312" w:eastAsia="仿宋_GB2312"/>
          <w:b/>
          <w:sz w:val="32"/>
        </w:rPr>
        <w:t>本年支出245.83万元，</w:t>
      </w:r>
      <w:r>
        <w:rPr>
          <w:rFonts w:ascii="仿宋_GB2312" w:hAnsi="仿宋_GB2312" w:eastAsia="仿宋_GB2312"/>
          <w:b w:val="0"/>
          <w:sz w:val="32"/>
        </w:rPr>
        <w:t>其中：基本支出245.83万元，占100.00%；项目支出0.00万元，占0.00%；上缴上级支出0.00万元，占0.00%；经营支出0.00万元，占0.00%；对附属单位补助支出0.00万元，占0.00%。</w:t>
      </w:r>
    </w:p>
    <w:p w14:paraId="37F7AF50">
      <w:pPr>
        <w:spacing w:line="640" w:lineRule="exact"/>
        <w:ind w:firstLine="640"/>
        <w:jc w:val="both"/>
        <w:outlineLvl w:val="2"/>
      </w:pPr>
      <w:r>
        <w:rPr>
          <w:rFonts w:ascii="黑体" w:hAnsi="黑体" w:eastAsia="黑体"/>
          <w:sz w:val="32"/>
        </w:rPr>
        <w:t>四、财政拨款收入支出决算总体情况说明</w:t>
      </w:r>
    </w:p>
    <w:p w14:paraId="371B8C61">
      <w:pPr>
        <w:spacing w:line="580" w:lineRule="exact"/>
        <w:ind w:firstLine="640"/>
        <w:jc w:val="both"/>
      </w:pPr>
      <w:r>
        <w:rPr>
          <w:rFonts w:ascii="仿宋_GB2312" w:hAnsi="仿宋_GB2312" w:eastAsia="仿宋_GB2312"/>
          <w:b/>
          <w:sz w:val="32"/>
        </w:rPr>
        <w:t>2024年度财政拨款收入总计240.56万元，</w:t>
      </w:r>
      <w:r>
        <w:rPr>
          <w:rFonts w:ascii="仿宋_GB2312" w:hAnsi="仿宋_GB2312" w:eastAsia="仿宋_GB2312"/>
          <w:b w:val="0"/>
          <w:sz w:val="32"/>
        </w:rPr>
        <w:t>其中：年初财政拨款结转和结余0.00万元，本年财政拨款收入240.56万元。</w:t>
      </w:r>
      <w:r>
        <w:rPr>
          <w:rFonts w:ascii="仿宋_GB2312" w:hAnsi="仿宋_GB2312" w:eastAsia="仿宋_GB2312"/>
          <w:b/>
          <w:sz w:val="32"/>
        </w:rPr>
        <w:t>财政拨款支出总计240.56万元，</w:t>
      </w:r>
      <w:r>
        <w:rPr>
          <w:rFonts w:ascii="仿宋_GB2312" w:hAnsi="仿宋_GB2312" w:eastAsia="仿宋_GB2312"/>
          <w:b w:val="0"/>
          <w:sz w:val="32"/>
        </w:rPr>
        <w:t>其中：年末财政拨款结转和结余0.00万元，本年财政拨款支出240.56万元。</w:t>
      </w:r>
    </w:p>
    <w:p w14:paraId="41C0F08F">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增加240.56万元，增长100.00%，主要原因是：本单位为新</w:t>
      </w:r>
      <w:r>
        <w:rPr>
          <w:rFonts w:hint="eastAsia" w:ascii="仿宋_GB2312" w:hAnsi="仿宋_GB2312" w:eastAsia="仿宋_GB2312"/>
          <w:b w:val="0"/>
          <w:sz w:val="32"/>
          <w:lang w:val="en-US" w:eastAsia="zh-CN"/>
        </w:rPr>
        <w:t>成立</w:t>
      </w:r>
      <w:r>
        <w:rPr>
          <w:rFonts w:ascii="仿宋_GB2312" w:hAnsi="仿宋_GB2312" w:eastAsia="仿宋_GB2312"/>
          <w:b w:val="0"/>
          <w:sz w:val="32"/>
        </w:rPr>
        <w:t>单位，无上年对比数据。</w:t>
      </w:r>
      <w:r>
        <w:rPr>
          <w:rFonts w:ascii="仿宋_GB2312" w:hAnsi="仿宋_GB2312" w:eastAsia="仿宋_GB2312"/>
          <w:b/>
          <w:sz w:val="32"/>
        </w:rPr>
        <w:t>与年初预算相比，</w:t>
      </w:r>
      <w:r>
        <w:rPr>
          <w:rFonts w:ascii="仿宋_GB2312" w:hAnsi="仿宋_GB2312" w:eastAsia="仿宋_GB2312"/>
          <w:b w:val="0"/>
          <w:sz w:val="32"/>
        </w:rPr>
        <w:t>年初预算数0.00万元，决算数240.56万元，预决算差异率100.00%，主要原因是：本单位为新</w:t>
      </w:r>
      <w:r>
        <w:rPr>
          <w:rFonts w:hint="eastAsia" w:ascii="仿宋_GB2312" w:hAnsi="仿宋_GB2312" w:eastAsia="仿宋_GB2312"/>
          <w:b w:val="0"/>
          <w:sz w:val="32"/>
          <w:lang w:val="en-US" w:eastAsia="zh-CN"/>
        </w:rPr>
        <w:t>成立</w:t>
      </w:r>
      <w:r>
        <w:rPr>
          <w:rFonts w:ascii="仿宋_GB2312" w:hAnsi="仿宋_GB2312" w:eastAsia="仿宋_GB2312"/>
          <w:b w:val="0"/>
          <w:sz w:val="32"/>
        </w:rPr>
        <w:t>单位</w:t>
      </w:r>
      <w:r>
        <w:rPr>
          <w:rFonts w:hint="eastAsia" w:ascii="仿宋_GB2312" w:hAnsi="仿宋_GB2312" w:eastAsia="仿宋_GB2312"/>
          <w:b w:val="0"/>
          <w:sz w:val="32"/>
          <w:lang w:eastAsia="zh-CN"/>
        </w:rPr>
        <w:t>，</w:t>
      </w:r>
      <w:r>
        <w:rPr>
          <w:rFonts w:ascii="仿宋_GB2312" w:hAnsi="仿宋_GB2312" w:eastAsia="仿宋_GB2312"/>
          <w:b w:val="0"/>
          <w:sz w:val="32"/>
        </w:rPr>
        <w:t>无年初预算数据，导致预决算差异。</w:t>
      </w:r>
    </w:p>
    <w:p w14:paraId="7A731A2F">
      <w:pPr>
        <w:spacing w:line="640" w:lineRule="exact"/>
        <w:ind w:firstLine="640"/>
        <w:jc w:val="both"/>
        <w:outlineLvl w:val="2"/>
      </w:pPr>
      <w:r>
        <w:rPr>
          <w:rFonts w:ascii="黑体" w:hAnsi="黑体" w:eastAsia="黑体"/>
          <w:sz w:val="32"/>
        </w:rPr>
        <w:t>五、一般公共预算财政拨款支出决算情况说明</w:t>
      </w:r>
    </w:p>
    <w:p w14:paraId="26129B0A">
      <w:pPr>
        <w:spacing w:line="640" w:lineRule="exact"/>
        <w:ind w:firstLine="640"/>
        <w:jc w:val="both"/>
        <w:outlineLvl w:val="3"/>
      </w:pPr>
      <w:r>
        <w:rPr>
          <w:rFonts w:ascii="楷体_GB2312" w:hAnsi="楷体_GB2312" w:eastAsia="楷体_GB2312"/>
          <w:b/>
          <w:sz w:val="32"/>
        </w:rPr>
        <w:t>（一）一般公共预算财政拨款支出决算总体情况</w:t>
      </w:r>
    </w:p>
    <w:p w14:paraId="1A24D011">
      <w:pPr>
        <w:spacing w:line="580" w:lineRule="exact"/>
        <w:ind w:firstLine="640"/>
        <w:jc w:val="both"/>
      </w:pPr>
      <w:r>
        <w:rPr>
          <w:rFonts w:ascii="仿宋_GB2312" w:hAnsi="仿宋_GB2312" w:eastAsia="仿宋_GB2312"/>
          <w:b/>
          <w:sz w:val="32"/>
        </w:rPr>
        <w:t>2024年度一般公共预算财政拨款支出240.56万元，</w:t>
      </w:r>
      <w:r>
        <w:rPr>
          <w:rFonts w:ascii="仿宋_GB2312" w:hAnsi="仿宋_GB2312" w:eastAsia="仿宋_GB2312"/>
          <w:b w:val="0"/>
          <w:sz w:val="32"/>
        </w:rPr>
        <w:t>占本年支出合计的97.86%。</w:t>
      </w:r>
      <w:r>
        <w:rPr>
          <w:rFonts w:ascii="仿宋_GB2312" w:hAnsi="仿宋_GB2312" w:eastAsia="仿宋_GB2312"/>
          <w:b/>
          <w:sz w:val="32"/>
        </w:rPr>
        <w:t>与上年相比，</w:t>
      </w:r>
      <w:r>
        <w:rPr>
          <w:rFonts w:ascii="仿宋_GB2312" w:hAnsi="仿宋_GB2312" w:eastAsia="仿宋_GB2312"/>
          <w:b w:val="0"/>
          <w:sz w:val="32"/>
        </w:rPr>
        <w:t>增加240.56万元，增长100.00%，主要原因是：本单位为新</w:t>
      </w:r>
      <w:r>
        <w:rPr>
          <w:rFonts w:hint="eastAsia" w:ascii="仿宋_GB2312" w:hAnsi="仿宋_GB2312" w:eastAsia="仿宋_GB2312"/>
          <w:b w:val="0"/>
          <w:sz w:val="32"/>
          <w:lang w:val="en-US" w:eastAsia="zh-CN"/>
        </w:rPr>
        <w:t>成立</w:t>
      </w:r>
      <w:r>
        <w:rPr>
          <w:rFonts w:ascii="仿宋_GB2312" w:hAnsi="仿宋_GB2312" w:eastAsia="仿宋_GB2312"/>
          <w:b w:val="0"/>
          <w:sz w:val="32"/>
        </w:rPr>
        <w:t>单位，无上年对比数据。</w:t>
      </w:r>
      <w:r>
        <w:rPr>
          <w:rFonts w:ascii="仿宋_GB2312" w:hAnsi="仿宋_GB2312" w:eastAsia="仿宋_GB2312"/>
          <w:b/>
          <w:sz w:val="32"/>
        </w:rPr>
        <w:t>与年初预算相比,</w:t>
      </w:r>
      <w:r>
        <w:rPr>
          <w:rFonts w:ascii="仿宋_GB2312" w:hAnsi="仿宋_GB2312" w:eastAsia="仿宋_GB2312"/>
          <w:b w:val="0"/>
          <w:sz w:val="32"/>
        </w:rPr>
        <w:t>年初预算数0.00万元，决算数240.56万元，预决算差异率100.00%，主要原因是：本单位为新</w:t>
      </w:r>
      <w:r>
        <w:rPr>
          <w:rFonts w:hint="eastAsia" w:ascii="仿宋_GB2312" w:hAnsi="仿宋_GB2312" w:eastAsia="仿宋_GB2312"/>
          <w:b w:val="0"/>
          <w:sz w:val="32"/>
          <w:lang w:val="en-US" w:eastAsia="zh-CN"/>
        </w:rPr>
        <w:t>成立</w:t>
      </w:r>
      <w:r>
        <w:rPr>
          <w:rFonts w:ascii="仿宋_GB2312" w:hAnsi="仿宋_GB2312" w:eastAsia="仿宋_GB2312"/>
          <w:b w:val="0"/>
          <w:sz w:val="32"/>
        </w:rPr>
        <w:t>单位</w:t>
      </w:r>
      <w:r>
        <w:rPr>
          <w:rFonts w:hint="eastAsia" w:ascii="仿宋_GB2312" w:hAnsi="仿宋_GB2312" w:eastAsia="仿宋_GB2312"/>
          <w:b w:val="0"/>
          <w:sz w:val="32"/>
          <w:lang w:eastAsia="zh-CN"/>
        </w:rPr>
        <w:t>，</w:t>
      </w:r>
      <w:r>
        <w:rPr>
          <w:rFonts w:ascii="仿宋_GB2312" w:hAnsi="仿宋_GB2312" w:eastAsia="仿宋_GB2312"/>
          <w:b w:val="0"/>
          <w:sz w:val="32"/>
        </w:rPr>
        <w:t>无年初预算数据，导致预决算差异。</w:t>
      </w:r>
    </w:p>
    <w:p w14:paraId="29BBB0A6">
      <w:pPr>
        <w:spacing w:line="640" w:lineRule="exact"/>
        <w:ind w:firstLine="640"/>
        <w:jc w:val="both"/>
        <w:outlineLvl w:val="3"/>
      </w:pPr>
      <w:r>
        <w:rPr>
          <w:rFonts w:ascii="楷体_GB2312" w:hAnsi="楷体_GB2312" w:eastAsia="楷体_GB2312"/>
          <w:b/>
          <w:sz w:val="32"/>
        </w:rPr>
        <w:t>（二）一般公共预算财政拨款支出决算结构情况</w:t>
      </w:r>
    </w:p>
    <w:p w14:paraId="7B0BC80D">
      <w:pPr>
        <w:spacing w:line="580" w:lineRule="exact"/>
        <w:ind w:firstLine="640"/>
        <w:jc w:val="both"/>
      </w:pPr>
      <w:r>
        <w:rPr>
          <w:rFonts w:ascii="仿宋_GB2312" w:hAnsi="仿宋_GB2312" w:eastAsia="仿宋_GB2312"/>
          <w:b w:val="0"/>
          <w:sz w:val="32"/>
        </w:rPr>
        <w:t>1.教育支出(类)240.56万元,占100.00%。</w:t>
      </w:r>
    </w:p>
    <w:p w14:paraId="733C75EA">
      <w:pPr>
        <w:spacing w:line="640" w:lineRule="exact"/>
        <w:ind w:firstLine="640"/>
        <w:jc w:val="both"/>
        <w:outlineLvl w:val="3"/>
      </w:pPr>
      <w:r>
        <w:rPr>
          <w:rFonts w:ascii="楷体_GB2312" w:hAnsi="楷体_GB2312" w:eastAsia="楷体_GB2312"/>
          <w:b/>
          <w:sz w:val="32"/>
        </w:rPr>
        <w:t>（三）一般公共预算财政拨款支出决算具体情况</w:t>
      </w:r>
    </w:p>
    <w:p w14:paraId="3E37A38A">
      <w:pPr>
        <w:spacing w:line="580" w:lineRule="exact"/>
        <w:ind w:firstLine="640"/>
        <w:jc w:val="both"/>
      </w:pPr>
      <w:r>
        <w:rPr>
          <w:rFonts w:ascii="仿宋_GB2312" w:hAnsi="仿宋_GB2312" w:eastAsia="仿宋_GB2312"/>
          <w:b w:val="0"/>
          <w:sz w:val="32"/>
        </w:rPr>
        <w:t>1.教育支出(类)普通教育(款)学前教育(项):支出决算数为240.56万元，比上年决算增加240.56万元，增长100.00%,主要原因是：本单位为新</w:t>
      </w:r>
      <w:r>
        <w:rPr>
          <w:rFonts w:hint="eastAsia" w:ascii="仿宋_GB2312" w:hAnsi="仿宋_GB2312" w:eastAsia="仿宋_GB2312"/>
          <w:b w:val="0"/>
          <w:sz w:val="32"/>
          <w:lang w:val="en-US" w:eastAsia="zh-CN"/>
        </w:rPr>
        <w:t>成立</w:t>
      </w:r>
      <w:r>
        <w:rPr>
          <w:rFonts w:ascii="仿宋_GB2312" w:hAnsi="仿宋_GB2312" w:eastAsia="仿宋_GB2312"/>
          <w:b w:val="0"/>
          <w:sz w:val="32"/>
        </w:rPr>
        <w:t>单位，无上年对比数据。</w:t>
      </w:r>
    </w:p>
    <w:p w14:paraId="766E1B93">
      <w:pPr>
        <w:spacing w:line="640" w:lineRule="exact"/>
        <w:ind w:firstLine="640"/>
        <w:jc w:val="both"/>
        <w:outlineLvl w:val="2"/>
      </w:pPr>
      <w:r>
        <w:rPr>
          <w:rFonts w:ascii="黑体" w:hAnsi="黑体" w:eastAsia="黑体"/>
          <w:sz w:val="32"/>
        </w:rPr>
        <w:t>六、一般公共预算财政拨款基本支出决算情况说明</w:t>
      </w:r>
    </w:p>
    <w:p w14:paraId="1AFAC0C7">
      <w:pPr>
        <w:spacing w:line="580" w:lineRule="exact"/>
        <w:ind w:firstLine="640"/>
        <w:jc w:val="both"/>
      </w:pPr>
      <w:r>
        <w:rPr>
          <w:rFonts w:ascii="仿宋_GB2312" w:hAnsi="仿宋_GB2312" w:eastAsia="仿宋_GB2312"/>
          <w:b w:val="0"/>
          <w:sz w:val="32"/>
        </w:rPr>
        <w:t>2024年度一般公共预算财政拨款基本支出240.56万元，其中：</w:t>
      </w:r>
      <w:r>
        <w:rPr>
          <w:rFonts w:ascii="仿宋_GB2312" w:hAnsi="仿宋_GB2312" w:eastAsia="仿宋_GB2312"/>
          <w:b/>
          <w:sz w:val="32"/>
        </w:rPr>
        <w:t>人员经费210.63万元，</w:t>
      </w:r>
      <w:r>
        <w:rPr>
          <w:rFonts w:ascii="仿宋_GB2312" w:hAnsi="仿宋_GB2312" w:eastAsia="仿宋_GB2312"/>
          <w:b w:val="0"/>
          <w:sz w:val="32"/>
        </w:rPr>
        <w:t>包括：基本工资、津贴补贴、绩效工资、机关事业单位基本养老保险缴费、职工基本医疗保险缴费、其他社会保障缴费、住房公积金、生活补助。</w:t>
      </w:r>
    </w:p>
    <w:p w14:paraId="2588DFFD">
      <w:pPr>
        <w:spacing w:line="580" w:lineRule="exact"/>
        <w:ind w:firstLine="640"/>
        <w:jc w:val="both"/>
      </w:pPr>
      <w:r>
        <w:rPr>
          <w:rFonts w:ascii="仿宋_GB2312" w:hAnsi="仿宋_GB2312" w:eastAsia="仿宋_GB2312"/>
          <w:b/>
          <w:sz w:val="32"/>
        </w:rPr>
        <w:t>公用经费29.92万元，</w:t>
      </w:r>
      <w:r>
        <w:rPr>
          <w:rFonts w:ascii="仿宋_GB2312" w:hAnsi="仿宋_GB2312" w:eastAsia="仿宋_GB2312"/>
          <w:b w:val="0"/>
          <w:sz w:val="32"/>
        </w:rPr>
        <w:t>包括：办公费、印刷费、手续费、水费、电费、邮电费、物业管理费、维修（护）费、培训费、劳务费、其他商品和服务支出。</w:t>
      </w:r>
    </w:p>
    <w:p w14:paraId="18965002">
      <w:pPr>
        <w:spacing w:line="640" w:lineRule="exact"/>
        <w:ind w:firstLine="640"/>
        <w:jc w:val="both"/>
        <w:outlineLvl w:val="2"/>
      </w:pPr>
      <w:r>
        <w:rPr>
          <w:rFonts w:ascii="黑体" w:hAnsi="黑体" w:eastAsia="黑体"/>
          <w:sz w:val="32"/>
        </w:rPr>
        <w:t>七、政府性基金预算财政拨款收入支出决算情况说明</w:t>
      </w:r>
    </w:p>
    <w:p w14:paraId="141669C1">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0506B54">
      <w:pPr>
        <w:spacing w:line="640" w:lineRule="exact"/>
        <w:ind w:firstLine="640"/>
        <w:jc w:val="both"/>
        <w:outlineLvl w:val="2"/>
      </w:pPr>
      <w:r>
        <w:rPr>
          <w:rFonts w:ascii="黑体" w:hAnsi="黑体" w:eastAsia="黑体"/>
          <w:sz w:val="32"/>
        </w:rPr>
        <w:t>八、国有资本经营预算财政拨款收入支出决算情况说明</w:t>
      </w:r>
    </w:p>
    <w:p w14:paraId="42F0DBEA">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23A6D7C">
      <w:pPr>
        <w:spacing w:line="640" w:lineRule="exact"/>
        <w:ind w:firstLine="640"/>
        <w:jc w:val="both"/>
        <w:outlineLvl w:val="2"/>
      </w:pPr>
      <w:r>
        <w:rPr>
          <w:rFonts w:ascii="黑体" w:hAnsi="黑体" w:eastAsia="黑体"/>
          <w:sz w:val="32"/>
        </w:rPr>
        <w:t>九、财政拨款“三公”经费支出决算情况说明</w:t>
      </w:r>
    </w:p>
    <w:p w14:paraId="20B7BD82">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2024年未安排财政拨款“三公”经费支出。其中：因公出国（境）费支出0.00万元，占0.00%，比上年增加0.00万元，增长0.00%，主要原因是：2024年均未安排因公出国（境）费支出。公务用车购置及运行维护费支出0.00万元，占0.00%，比上年增加0.00万元，增长0.00%，主要原因是：2024年</w:t>
      </w:r>
      <w:r>
        <w:rPr>
          <w:rFonts w:hint="eastAsia" w:ascii="仿宋_GB2312" w:hAnsi="仿宋_GB2312" w:eastAsia="仿宋_GB2312"/>
          <w:b w:val="0"/>
          <w:sz w:val="32"/>
          <w:lang w:val="en-US" w:eastAsia="zh-CN"/>
        </w:rPr>
        <w:t>未</w:t>
      </w:r>
      <w:r>
        <w:rPr>
          <w:rFonts w:ascii="仿宋_GB2312" w:hAnsi="仿宋_GB2312" w:eastAsia="仿宋_GB2312"/>
          <w:b w:val="0"/>
          <w:sz w:val="32"/>
        </w:rPr>
        <w:t>安排公务用车购置及运行维护费支出。公务接待费支出0.00万元，占0.00%，比上年增加0.00万元，增长0.00%，主要原因是：2024年未安排公务接待费支出。</w:t>
      </w:r>
    </w:p>
    <w:p w14:paraId="5B9CE498">
      <w:pPr>
        <w:spacing w:line="580" w:lineRule="exact"/>
        <w:ind w:firstLine="640"/>
        <w:jc w:val="both"/>
      </w:pPr>
      <w:r>
        <w:rPr>
          <w:rFonts w:ascii="仿宋_GB2312" w:hAnsi="仿宋_GB2312" w:eastAsia="仿宋_GB2312"/>
          <w:b/>
          <w:sz w:val="32"/>
        </w:rPr>
        <w:t>具体情况如下：</w:t>
      </w:r>
    </w:p>
    <w:p w14:paraId="21E6FD32">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43D35DC">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72835264">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6323AB5">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6BA7FF0C">
      <w:pPr>
        <w:spacing w:line="640" w:lineRule="exact"/>
        <w:ind w:firstLine="640"/>
        <w:jc w:val="both"/>
        <w:outlineLvl w:val="2"/>
      </w:pPr>
      <w:r>
        <w:rPr>
          <w:rFonts w:ascii="黑体" w:hAnsi="黑体" w:eastAsia="黑体"/>
          <w:sz w:val="32"/>
        </w:rPr>
        <w:t>十、其他重要事项的情况说明</w:t>
      </w:r>
    </w:p>
    <w:p w14:paraId="702F0F14">
      <w:pPr>
        <w:spacing w:line="640" w:lineRule="exact"/>
        <w:ind w:firstLine="640"/>
        <w:jc w:val="both"/>
        <w:outlineLvl w:val="3"/>
      </w:pPr>
      <w:r>
        <w:rPr>
          <w:rFonts w:ascii="楷体_GB2312" w:hAnsi="楷体_GB2312" w:eastAsia="楷体_GB2312"/>
          <w:b/>
          <w:sz w:val="32"/>
        </w:rPr>
        <w:t>（一）机关运行经费及公用经费支出情况</w:t>
      </w:r>
    </w:p>
    <w:p w14:paraId="687CF95F">
      <w:pPr>
        <w:spacing w:line="580" w:lineRule="exact"/>
        <w:ind w:firstLine="640"/>
        <w:jc w:val="both"/>
      </w:pPr>
      <w:r>
        <w:rPr>
          <w:rFonts w:ascii="仿宋_GB2312" w:hAnsi="仿宋_GB2312" w:eastAsia="仿宋_GB2312"/>
          <w:b w:val="0"/>
          <w:sz w:val="32"/>
        </w:rPr>
        <w:t>2024年度洛浦县和佳幼儿园（事业单位）公用经费支出29.92万元，比上年增加29.92万元，增长100.00%，主要原因是：本单位为</w:t>
      </w:r>
      <w:r>
        <w:rPr>
          <w:rFonts w:hint="eastAsia" w:ascii="仿宋_GB2312" w:hAnsi="仿宋_GB2312" w:eastAsia="仿宋_GB2312"/>
          <w:b w:val="0"/>
          <w:sz w:val="32"/>
          <w:lang w:val="en-US" w:eastAsia="zh-CN"/>
        </w:rPr>
        <w:t>本年</w:t>
      </w:r>
      <w:r>
        <w:rPr>
          <w:rFonts w:ascii="仿宋_GB2312" w:hAnsi="仿宋_GB2312" w:eastAsia="仿宋_GB2312"/>
          <w:b w:val="0"/>
          <w:sz w:val="32"/>
        </w:rPr>
        <w:t>新增单位，无上年公用经费数据。</w:t>
      </w:r>
    </w:p>
    <w:p w14:paraId="1F0B86E4">
      <w:pPr>
        <w:spacing w:line="640" w:lineRule="exact"/>
        <w:ind w:firstLine="640"/>
        <w:jc w:val="both"/>
        <w:outlineLvl w:val="3"/>
      </w:pPr>
      <w:r>
        <w:rPr>
          <w:rFonts w:ascii="楷体_GB2312" w:hAnsi="楷体_GB2312" w:eastAsia="楷体_GB2312"/>
          <w:b/>
          <w:sz w:val="32"/>
        </w:rPr>
        <w:t>（二）政府采购情况</w:t>
      </w:r>
    </w:p>
    <w:p w14:paraId="47F368EE">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54C40416">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28F3DD4C">
      <w:pPr>
        <w:spacing w:line="640" w:lineRule="exact"/>
        <w:ind w:firstLine="640"/>
        <w:jc w:val="both"/>
        <w:outlineLvl w:val="3"/>
      </w:pPr>
      <w:r>
        <w:rPr>
          <w:rFonts w:ascii="楷体_GB2312" w:hAnsi="楷体_GB2312" w:eastAsia="楷体_GB2312"/>
          <w:b/>
          <w:sz w:val="32"/>
        </w:rPr>
        <w:t>（三）国有资产占用情况说明</w:t>
      </w:r>
    </w:p>
    <w:p w14:paraId="3B99EBE6">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50D68704">
      <w:pPr>
        <w:spacing w:line="640" w:lineRule="exact"/>
        <w:ind w:firstLine="640"/>
        <w:jc w:val="both"/>
        <w:outlineLvl w:val="2"/>
      </w:pPr>
      <w:r>
        <w:rPr>
          <w:rFonts w:ascii="黑体" w:hAnsi="黑体" w:eastAsia="黑体"/>
          <w:sz w:val="32"/>
        </w:rPr>
        <w:t>十一、预算绩效的情况说明</w:t>
      </w:r>
    </w:p>
    <w:p w14:paraId="055A26C5">
      <w:pPr>
        <w:spacing w:line="580" w:lineRule="exact"/>
        <w:ind w:firstLine="640"/>
        <w:jc w:val="both"/>
      </w:pPr>
      <w:r>
        <w:rPr>
          <w:rFonts w:ascii="仿宋_GB2312" w:hAnsi="仿宋_GB2312" w:eastAsia="仿宋_GB2312"/>
          <w:b w:val="0"/>
          <w:sz w:val="32"/>
        </w:rPr>
        <w:t>根据预算绩效管理要求，本单位预算绩效评价项目2个，全年预算数72.87万元，全年执行数72.39万元。预算绩效管理取得的成效：一是确保资金的高效使用，切实发挥财政资金的使用效果；二是严格按照工作职责和相关文件依据，确保专款专用；三是严格控制资金的流出方向，确保资金的合规性。发现的问题及原因：绩效管理工作人员的业务能力水平</w:t>
      </w:r>
      <w:r>
        <w:rPr>
          <w:rFonts w:hint="eastAsia" w:ascii="仿宋_GB2312" w:hAnsi="仿宋_GB2312" w:eastAsia="仿宋_GB2312"/>
          <w:b w:val="0"/>
          <w:sz w:val="32"/>
          <w:lang w:val="en-US" w:eastAsia="zh-CN"/>
        </w:rPr>
        <w:t>不足</w:t>
      </w:r>
      <w:r>
        <w:rPr>
          <w:rFonts w:ascii="仿宋_GB2312" w:hAnsi="仿宋_GB2312" w:eastAsia="仿宋_GB2312"/>
          <w:b w:val="0"/>
          <w:sz w:val="32"/>
        </w:rPr>
        <w:t>。下一步改进措施：一是加强学习，进一步明确如何参照考核体系，科学合理设定绩效目标，充分发挥预算绩效管理工作效用。二是财务上会计核算要更加详细，为本单位各项工作的开展、总结、评估提供有效数据资料支撑,为各项业务工作更好</w:t>
      </w:r>
      <w:r>
        <w:rPr>
          <w:rFonts w:hint="eastAsia" w:ascii="仿宋_GB2312" w:hAnsi="仿宋_GB2312" w:eastAsia="仿宋_GB2312"/>
          <w:b w:val="0"/>
          <w:sz w:val="32"/>
          <w:lang w:eastAsia="zh-CN"/>
        </w:rPr>
        <w:t>地</w:t>
      </w:r>
      <w:r>
        <w:rPr>
          <w:rFonts w:ascii="仿宋_GB2312" w:hAnsi="仿宋_GB2312" w:eastAsia="仿宋_GB2312"/>
          <w:b w:val="0"/>
          <w:sz w:val="32"/>
        </w:rPr>
        <w:t>开展提供帮助。三是从源头上强化对专项资金预算管理，实行专项资金预算管理，结合单位实际,按轻重缓急统筹安排编制预算,提高预算编制科学性和合理性，优化资金结构。具体附项目支出绩效自评表。</w:t>
      </w:r>
    </w:p>
    <w:p w14:paraId="79D4966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E8BF22E">
        <w:tblPrEx>
          <w:tblCellMar>
            <w:top w:w="0" w:type="dxa"/>
            <w:left w:w="108" w:type="dxa"/>
            <w:bottom w:w="0" w:type="dxa"/>
            <w:right w:w="108" w:type="dxa"/>
          </w:tblCellMar>
        </w:tblPrEx>
        <w:tc>
          <w:tcPr>
            <w:tcW w:w="8847" w:type="dxa"/>
            <w:gridSpan w:val="9"/>
            <w:vAlign w:val="center"/>
          </w:tcPr>
          <w:p w14:paraId="33E108DB">
            <w:pPr>
              <w:jc w:val="center"/>
            </w:pPr>
            <w:r>
              <w:rPr>
                <w:rFonts w:ascii="宋体" w:hAnsi="宋体" w:eastAsia="宋体"/>
                <w:sz w:val="24"/>
              </w:rPr>
              <w:t>项目支出绩效自评表</w:t>
            </w:r>
          </w:p>
        </w:tc>
      </w:tr>
      <w:tr w14:paraId="79C43C8C">
        <w:tblPrEx>
          <w:tblCellMar>
            <w:top w:w="0" w:type="dxa"/>
            <w:left w:w="108" w:type="dxa"/>
            <w:bottom w:w="0" w:type="dxa"/>
            <w:right w:w="108" w:type="dxa"/>
          </w:tblCellMar>
        </w:tblPrEx>
        <w:tc>
          <w:tcPr>
            <w:tcW w:w="8847" w:type="dxa"/>
            <w:gridSpan w:val="9"/>
            <w:vAlign w:val="center"/>
          </w:tcPr>
          <w:p w14:paraId="2A7D06DA">
            <w:pPr>
              <w:jc w:val="center"/>
            </w:pPr>
            <w:r>
              <w:rPr>
                <w:rFonts w:ascii="宋体" w:hAnsi="宋体" w:eastAsia="宋体"/>
                <w:sz w:val="24"/>
              </w:rPr>
              <w:t>(2024年度)</w:t>
            </w:r>
          </w:p>
        </w:tc>
      </w:tr>
      <w:tr w14:paraId="578CAA2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0E9C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1818707">
            <w:pPr>
              <w:jc w:val="center"/>
            </w:pPr>
            <w:r>
              <w:rPr>
                <w:rFonts w:ascii="宋体" w:hAnsi="宋体" w:eastAsia="宋体"/>
                <w:sz w:val="16"/>
              </w:rPr>
              <w:t>2024年新疆西藏等地区教育特殊补助资金</w:t>
            </w:r>
            <w:r>
              <w:rPr>
                <w:rFonts w:hint="eastAsia" w:ascii="宋体" w:hAnsi="宋体"/>
                <w:sz w:val="16"/>
                <w:lang w:eastAsia="zh-CN"/>
              </w:rPr>
              <w:t>－</w:t>
            </w:r>
            <w:r>
              <w:rPr>
                <w:rFonts w:ascii="宋体" w:hAnsi="宋体" w:eastAsia="宋体"/>
                <w:sz w:val="16"/>
              </w:rPr>
              <w:t>学前三年免费保障经费</w:t>
            </w:r>
          </w:p>
        </w:tc>
      </w:tr>
      <w:tr w14:paraId="64563BC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1BE5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DA29BFD">
            <w:pPr>
              <w:jc w:val="center"/>
            </w:pPr>
            <w:r>
              <w:rPr>
                <w:rFonts w:ascii="宋体" w:hAnsi="宋体" w:eastAsia="宋体"/>
                <w:sz w:val="16"/>
              </w:rPr>
              <w:t>洛浦县教育局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A6FCA">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C50A7C6">
            <w:pPr>
              <w:jc w:val="center"/>
            </w:pPr>
            <w:r>
              <w:rPr>
                <w:rFonts w:ascii="宋体" w:hAnsi="宋体" w:eastAsia="宋体"/>
                <w:sz w:val="16"/>
              </w:rPr>
              <w:t>洛浦县和佳幼儿园</w:t>
            </w:r>
          </w:p>
        </w:tc>
      </w:tr>
      <w:tr w14:paraId="29D77B6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F67B50">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1731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8721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1EBD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EF45A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40D4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17B9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B905B">
            <w:pPr>
              <w:jc w:val="center"/>
            </w:pPr>
            <w:r>
              <w:rPr>
                <w:rFonts w:ascii="宋体" w:hAnsi="宋体" w:eastAsia="宋体"/>
                <w:sz w:val="16"/>
              </w:rPr>
              <w:t>得分</w:t>
            </w:r>
          </w:p>
        </w:tc>
      </w:tr>
      <w:tr w14:paraId="24F36A1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24387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D5E88">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C8933">
            <w:pPr>
              <w:jc w:val="center"/>
            </w:pPr>
            <w:r>
              <w:rPr>
                <w:rFonts w:ascii="宋体" w:hAnsi="宋体" w:eastAsia="宋体"/>
                <w:sz w:val="16"/>
              </w:rPr>
              <w:t>67.60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79C73">
            <w:pPr>
              <w:jc w:val="center"/>
            </w:pPr>
            <w:r>
              <w:rPr>
                <w:rFonts w:ascii="宋体" w:hAnsi="宋体" w:eastAsia="宋体"/>
                <w:sz w:val="16"/>
              </w:rPr>
              <w:t>67.60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955F3">
            <w:pPr>
              <w:jc w:val="center"/>
            </w:pPr>
            <w:r>
              <w:rPr>
                <w:rFonts w:ascii="宋体" w:hAnsi="宋体" w:eastAsia="宋体"/>
                <w:sz w:val="16"/>
              </w:rPr>
              <w:t>67.12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DF39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3E16E2">
            <w:pPr>
              <w:jc w:val="center"/>
            </w:pPr>
            <w:r>
              <w:rPr>
                <w:rFonts w:ascii="宋体" w:hAnsi="宋体" w:eastAsia="宋体"/>
                <w:sz w:val="16"/>
              </w:rPr>
              <w:t>99.29%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A80FF">
            <w:pPr>
              <w:jc w:val="center"/>
            </w:pPr>
            <w:r>
              <w:rPr>
                <w:rFonts w:ascii="宋体" w:hAnsi="宋体" w:eastAsia="宋体"/>
                <w:sz w:val="16"/>
              </w:rPr>
              <w:t>9.93</w:t>
            </w:r>
          </w:p>
        </w:tc>
      </w:tr>
      <w:tr w14:paraId="362B8A1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91025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7167C">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2B3F3">
            <w:pPr>
              <w:jc w:val="center"/>
            </w:pPr>
            <w:r>
              <w:rPr>
                <w:rFonts w:ascii="宋体" w:hAnsi="宋体" w:eastAsia="宋体"/>
                <w:sz w:val="16"/>
              </w:rPr>
              <w:t>67.60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37335">
            <w:pPr>
              <w:jc w:val="center"/>
            </w:pPr>
            <w:r>
              <w:rPr>
                <w:rFonts w:ascii="宋体" w:hAnsi="宋体" w:eastAsia="宋体"/>
                <w:sz w:val="16"/>
              </w:rPr>
              <w:t>67.60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48475">
            <w:pPr>
              <w:jc w:val="center"/>
            </w:pPr>
            <w:r>
              <w:rPr>
                <w:rFonts w:ascii="宋体" w:hAnsi="宋体" w:eastAsia="宋体"/>
                <w:sz w:val="16"/>
              </w:rPr>
              <w:t>67.12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448A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30DF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1813E">
            <w:pPr>
              <w:jc w:val="center"/>
            </w:pPr>
            <w:r>
              <w:rPr>
                <w:rFonts w:ascii="宋体" w:hAnsi="宋体" w:eastAsia="宋体"/>
                <w:sz w:val="16"/>
              </w:rPr>
              <w:t>—</w:t>
            </w:r>
          </w:p>
        </w:tc>
      </w:tr>
      <w:tr w14:paraId="7A998E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A16E8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ED7E9">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AFA45">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BFA6C">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D6DED">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A826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A650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569EC">
            <w:pPr>
              <w:jc w:val="center"/>
            </w:pPr>
            <w:r>
              <w:rPr>
                <w:rFonts w:ascii="宋体" w:hAnsi="宋体" w:eastAsia="宋体"/>
                <w:sz w:val="16"/>
              </w:rPr>
              <w:t>—</w:t>
            </w:r>
          </w:p>
        </w:tc>
      </w:tr>
      <w:tr w14:paraId="0A6634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787BA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8261A">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4633B">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A3D7D">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A56D5">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6B1A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83E0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7298F">
            <w:pPr>
              <w:jc w:val="center"/>
            </w:pPr>
            <w:r>
              <w:rPr>
                <w:rFonts w:ascii="宋体" w:hAnsi="宋体" w:eastAsia="宋体"/>
                <w:sz w:val="16"/>
              </w:rPr>
              <w:t>—</w:t>
            </w:r>
          </w:p>
        </w:tc>
      </w:tr>
      <w:tr w14:paraId="08F7005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46B45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79EE68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CB05E3">
            <w:pPr>
              <w:jc w:val="center"/>
            </w:pPr>
            <w:r>
              <w:rPr>
                <w:rFonts w:ascii="宋体" w:hAnsi="宋体" w:eastAsia="宋体"/>
                <w:sz w:val="16"/>
              </w:rPr>
              <w:t>实际完成情况</w:t>
            </w:r>
          </w:p>
        </w:tc>
      </w:tr>
      <w:tr w14:paraId="694CB0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8A304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59FAB34">
            <w:pPr>
              <w:jc w:val="both"/>
            </w:pPr>
            <w:r>
              <w:rPr>
                <w:rFonts w:ascii="宋体" w:hAnsi="宋体" w:eastAsia="宋体"/>
                <w:sz w:val="16"/>
              </w:rPr>
              <w:t>根据（和地财教</w:t>
            </w:r>
            <w:r>
              <w:rPr>
                <w:rFonts w:hint="eastAsia" w:ascii="宋体" w:hAnsi="宋体"/>
                <w:sz w:val="16"/>
                <w:lang w:eastAsia="zh-CN"/>
              </w:rPr>
              <w:t>〔2023〕73号</w:t>
            </w:r>
            <w:r>
              <w:rPr>
                <w:rFonts w:ascii="宋体" w:hAnsi="宋体" w:eastAsia="宋体"/>
                <w:sz w:val="16"/>
              </w:rPr>
              <w:t>）《关于提前下达2024年新疆西藏等地区教育特殊补助资金的通知》文件实施此项目，为259个学生提供补助。通过项目的实施，提升学生生活质量。</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6CAB67">
            <w:pPr>
              <w:jc w:val="both"/>
            </w:pPr>
            <w:r>
              <w:rPr>
                <w:rFonts w:hint="eastAsia" w:ascii="宋体" w:hAnsi="宋体"/>
                <w:sz w:val="16"/>
                <w:lang w:eastAsia="zh-CN"/>
              </w:rPr>
              <w:t>截至</w:t>
            </w:r>
            <w:r>
              <w:rPr>
                <w:rFonts w:ascii="宋体" w:hAnsi="宋体" w:eastAsia="宋体"/>
                <w:sz w:val="16"/>
              </w:rPr>
              <w:t>2024年12月31日，项目已完成为259个学生提供补助。通过项目的实施，提升学生生活质量。</w:t>
            </w:r>
          </w:p>
        </w:tc>
      </w:tr>
      <w:tr w14:paraId="5BBA5D4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350E4F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E681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CFE1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1102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E42A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C206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6556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4F89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FEBF0A">
            <w:pPr>
              <w:jc w:val="center"/>
            </w:pPr>
            <w:r>
              <w:rPr>
                <w:rFonts w:ascii="宋体" w:hAnsi="宋体" w:eastAsia="宋体"/>
                <w:sz w:val="16"/>
              </w:rPr>
              <w:t>偏差原因分析及改进措施</w:t>
            </w:r>
          </w:p>
        </w:tc>
      </w:tr>
      <w:tr w14:paraId="052D588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B70C6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1C3404">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3682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8B4EF">
            <w:pPr>
              <w:jc w:val="center"/>
            </w:pPr>
            <w:r>
              <w:rPr>
                <w:rFonts w:ascii="宋体" w:hAnsi="宋体" w:eastAsia="宋体"/>
                <w:sz w:val="16"/>
              </w:rPr>
              <w:t>保障学生人数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E0CF8">
            <w:pPr>
              <w:jc w:val="center"/>
            </w:pPr>
            <w:r>
              <w:rPr>
                <w:rFonts w:ascii="宋体" w:hAnsi="宋体" w:eastAsia="宋体"/>
                <w:sz w:val="16"/>
              </w:rPr>
              <w:t>≥259人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03287">
            <w:pPr>
              <w:jc w:val="center"/>
            </w:pPr>
            <w:r>
              <w:rPr>
                <w:rFonts w:ascii="宋体" w:hAnsi="宋体" w:eastAsia="宋体"/>
                <w:sz w:val="16"/>
              </w:rPr>
              <w:t>≥259人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11CB0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96679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9D972">
            <w:pPr>
              <w:jc w:val="center"/>
            </w:pPr>
          </w:p>
        </w:tc>
      </w:tr>
      <w:tr w14:paraId="460630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7D50B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491DB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5867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1D330">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33BC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28F8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E612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1EC7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AD693">
            <w:pPr>
              <w:jc w:val="center"/>
            </w:pPr>
          </w:p>
        </w:tc>
      </w:tr>
      <w:tr w14:paraId="4BD228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469F3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C6092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13038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BB939">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2B729">
            <w:pPr>
              <w:jc w:val="center"/>
            </w:pPr>
            <w:r>
              <w:rPr>
                <w:rFonts w:hint="eastAsia" w:ascii="宋体" w:hAnsi="宋体"/>
                <w:sz w:val="16"/>
                <w:lang w:eastAsia="zh-CN"/>
              </w:rPr>
              <w:t>2024年1月1日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9BE6B">
            <w:pPr>
              <w:jc w:val="center"/>
            </w:pPr>
            <w:r>
              <w:rPr>
                <w:rFonts w:hint="eastAsia" w:ascii="宋体" w:hAnsi="宋体"/>
                <w:sz w:val="16"/>
                <w:lang w:eastAsia="zh-CN"/>
              </w:rPr>
              <w:t>2024年1月1日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1E81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AE1F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2B5DA">
            <w:pPr>
              <w:jc w:val="center"/>
            </w:pPr>
          </w:p>
        </w:tc>
      </w:tr>
      <w:tr w14:paraId="369F3F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AD016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8E082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7EBFE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F7B8F">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18E100">
            <w:pPr>
              <w:jc w:val="center"/>
            </w:pPr>
            <w:r>
              <w:rPr>
                <w:rFonts w:hint="eastAsia" w:ascii="宋体" w:hAnsi="宋体"/>
                <w:sz w:val="16"/>
                <w:lang w:eastAsia="zh-CN"/>
              </w:rPr>
              <w:t>2024年12月1日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E4A3C">
            <w:pPr>
              <w:jc w:val="center"/>
            </w:pPr>
            <w:r>
              <w:rPr>
                <w:rFonts w:hint="eastAsia" w:ascii="宋体" w:hAnsi="宋体"/>
                <w:sz w:val="16"/>
                <w:lang w:eastAsia="zh-CN"/>
              </w:rPr>
              <w:t>2024年12月1日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733F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ACEB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02B41">
            <w:pPr>
              <w:jc w:val="center"/>
            </w:pPr>
          </w:p>
        </w:tc>
      </w:tr>
      <w:tr w14:paraId="1FD7827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2A30D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4B5C4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56BF1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F0402">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5A55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E3B5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44A3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1CDE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8955A">
            <w:pPr>
              <w:jc w:val="center"/>
            </w:pPr>
          </w:p>
        </w:tc>
      </w:tr>
      <w:tr w14:paraId="72C691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44950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81608">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0A1A4">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AC52D">
            <w:pPr>
              <w:jc w:val="center"/>
            </w:pPr>
            <w:r>
              <w:rPr>
                <w:rFonts w:ascii="宋体" w:hAnsi="宋体" w:eastAsia="宋体"/>
                <w:sz w:val="16"/>
              </w:rPr>
              <w:t>保障经费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F28EC">
            <w:pPr>
              <w:jc w:val="center"/>
            </w:pPr>
            <w:r>
              <w:rPr>
                <w:rFonts w:ascii="宋体" w:hAnsi="宋体" w:eastAsia="宋体"/>
                <w:sz w:val="16"/>
              </w:rPr>
              <w:t>≤67.6万元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E826C">
            <w:pPr>
              <w:jc w:val="center"/>
            </w:pPr>
            <w:r>
              <w:rPr>
                <w:rFonts w:ascii="宋体" w:hAnsi="宋体" w:eastAsia="宋体"/>
                <w:sz w:val="16"/>
              </w:rPr>
              <w:t>67.12万元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D222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C01E4D">
            <w:pPr>
              <w:jc w:val="center"/>
            </w:pPr>
            <w:r>
              <w:rPr>
                <w:rFonts w:ascii="宋体" w:hAnsi="宋体" w:eastAsia="宋体"/>
                <w:sz w:val="16"/>
              </w:rPr>
              <w:t>19.86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FC39C">
            <w:pPr>
              <w:jc w:val="center"/>
            </w:pPr>
          </w:p>
        </w:tc>
      </w:tr>
      <w:tr w14:paraId="484BD73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0B269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5E0F9">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CD010D">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B053B">
            <w:pPr>
              <w:jc w:val="center"/>
            </w:pPr>
            <w:r>
              <w:rPr>
                <w:rFonts w:ascii="宋体" w:hAnsi="宋体" w:eastAsia="宋体"/>
                <w:sz w:val="16"/>
              </w:rPr>
              <w:t>提升学生生活质量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C3882">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A6645">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ACD3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742D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2A4A5">
            <w:pPr>
              <w:jc w:val="center"/>
            </w:pPr>
          </w:p>
        </w:tc>
      </w:tr>
      <w:tr w14:paraId="3A4F69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FE0E1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C513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039A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B8450">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DB302">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42EF6">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D465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5F53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BD48A">
            <w:pPr>
              <w:jc w:val="center"/>
            </w:pPr>
          </w:p>
        </w:tc>
      </w:tr>
      <w:tr w14:paraId="2E048533">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38E9B9">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B50F7A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7EE0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5D5D5">
            <w:pPr>
              <w:jc w:val="center"/>
            </w:pPr>
            <w:r>
              <w:rPr>
                <w:rFonts w:ascii="宋体" w:hAnsi="宋体" w:eastAsia="宋体"/>
                <w:sz w:val="16"/>
              </w:rPr>
              <w:t xml:space="preserve">99.79 </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E7B0AEE"/>
        </w:tc>
      </w:tr>
    </w:tbl>
    <w:p w14:paraId="69C5DDA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CADF767">
        <w:tblPrEx>
          <w:tblCellMar>
            <w:top w:w="0" w:type="dxa"/>
            <w:left w:w="108" w:type="dxa"/>
            <w:bottom w:w="0" w:type="dxa"/>
            <w:right w:w="108" w:type="dxa"/>
          </w:tblCellMar>
        </w:tblPrEx>
        <w:tc>
          <w:tcPr>
            <w:tcW w:w="8847" w:type="dxa"/>
            <w:gridSpan w:val="9"/>
            <w:vAlign w:val="center"/>
          </w:tcPr>
          <w:p w14:paraId="755C0124">
            <w:pPr>
              <w:jc w:val="center"/>
            </w:pPr>
            <w:r>
              <w:rPr>
                <w:rFonts w:ascii="宋体" w:hAnsi="宋体" w:eastAsia="宋体"/>
                <w:sz w:val="24"/>
              </w:rPr>
              <w:t>项目支出绩效自评表</w:t>
            </w:r>
          </w:p>
        </w:tc>
      </w:tr>
      <w:tr w14:paraId="04598E00">
        <w:tblPrEx>
          <w:tblCellMar>
            <w:top w:w="0" w:type="dxa"/>
            <w:left w:w="108" w:type="dxa"/>
            <w:bottom w:w="0" w:type="dxa"/>
            <w:right w:w="108" w:type="dxa"/>
          </w:tblCellMar>
        </w:tblPrEx>
        <w:tc>
          <w:tcPr>
            <w:tcW w:w="8847" w:type="dxa"/>
            <w:gridSpan w:val="9"/>
            <w:vAlign w:val="center"/>
          </w:tcPr>
          <w:p w14:paraId="72752187">
            <w:pPr>
              <w:jc w:val="center"/>
            </w:pPr>
            <w:r>
              <w:rPr>
                <w:rFonts w:ascii="宋体" w:hAnsi="宋体" w:eastAsia="宋体"/>
                <w:sz w:val="24"/>
              </w:rPr>
              <w:t>(2024年度)</w:t>
            </w:r>
          </w:p>
        </w:tc>
      </w:tr>
      <w:tr w14:paraId="2084E09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3B18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724F201">
            <w:pPr>
              <w:jc w:val="center"/>
            </w:pPr>
            <w:r>
              <w:rPr>
                <w:rFonts w:ascii="宋体" w:hAnsi="宋体" w:eastAsia="宋体"/>
                <w:sz w:val="16"/>
              </w:rPr>
              <w:t>存量资金</w:t>
            </w:r>
            <w:r>
              <w:rPr>
                <w:rFonts w:hint="eastAsia" w:ascii="宋体" w:hAnsi="宋体"/>
                <w:sz w:val="16"/>
                <w:lang w:eastAsia="zh-CN"/>
              </w:rPr>
              <w:t>－</w:t>
            </w:r>
            <w:r>
              <w:rPr>
                <w:rFonts w:ascii="宋体" w:hAnsi="宋体" w:eastAsia="宋体"/>
                <w:sz w:val="16"/>
              </w:rPr>
              <w:t>学生伙食费</w:t>
            </w:r>
          </w:p>
        </w:tc>
      </w:tr>
      <w:tr w14:paraId="54880E8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0F327">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DDE4E32">
            <w:pPr>
              <w:jc w:val="center"/>
            </w:pPr>
            <w:r>
              <w:rPr>
                <w:rFonts w:ascii="宋体" w:hAnsi="宋体" w:eastAsia="宋体"/>
                <w:sz w:val="16"/>
              </w:rPr>
              <w:t>洛浦县教育局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57E65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64242DB">
            <w:pPr>
              <w:jc w:val="center"/>
            </w:pPr>
            <w:r>
              <w:rPr>
                <w:rFonts w:ascii="宋体" w:hAnsi="宋体" w:eastAsia="宋体"/>
                <w:sz w:val="16"/>
              </w:rPr>
              <w:t>洛浦县和佳幼儿园</w:t>
            </w:r>
          </w:p>
        </w:tc>
      </w:tr>
      <w:tr w14:paraId="40CCA19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F652BA">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7E57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59D4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4D1F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93A90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2ED5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B03E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A17D6">
            <w:pPr>
              <w:jc w:val="center"/>
            </w:pPr>
            <w:r>
              <w:rPr>
                <w:rFonts w:ascii="宋体" w:hAnsi="宋体" w:eastAsia="宋体"/>
                <w:sz w:val="16"/>
              </w:rPr>
              <w:t>得分</w:t>
            </w:r>
          </w:p>
        </w:tc>
      </w:tr>
      <w:tr w14:paraId="43A880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DE77B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F0F9F">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64C71">
            <w:pPr>
              <w:jc w:val="center"/>
            </w:pPr>
            <w:r>
              <w:rPr>
                <w:rFonts w:ascii="宋体" w:hAnsi="宋体" w:eastAsia="宋体"/>
                <w:sz w:val="16"/>
              </w:rPr>
              <w:t>5.27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C65D5">
            <w:pPr>
              <w:jc w:val="center"/>
            </w:pPr>
            <w:r>
              <w:rPr>
                <w:rFonts w:ascii="宋体" w:hAnsi="宋体" w:eastAsia="宋体"/>
                <w:sz w:val="16"/>
              </w:rPr>
              <w:t>5.27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84A47">
            <w:pPr>
              <w:jc w:val="center"/>
            </w:pPr>
            <w:r>
              <w:rPr>
                <w:rFonts w:ascii="宋体" w:hAnsi="宋体" w:eastAsia="宋体"/>
                <w:sz w:val="16"/>
              </w:rPr>
              <w:t>5.27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6472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55743">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7E052">
            <w:pPr>
              <w:jc w:val="center"/>
            </w:pPr>
            <w:r>
              <w:rPr>
                <w:rFonts w:ascii="宋体" w:hAnsi="宋体" w:eastAsia="宋体"/>
                <w:sz w:val="16"/>
              </w:rPr>
              <w:t>10.00</w:t>
            </w:r>
          </w:p>
        </w:tc>
      </w:tr>
      <w:tr w14:paraId="6D8EE5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DB2D7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287EB">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0DB419">
            <w:pPr>
              <w:jc w:val="center"/>
            </w:pPr>
            <w:r>
              <w:rPr>
                <w:rFonts w:ascii="宋体" w:hAnsi="宋体" w:eastAsia="宋体"/>
                <w:sz w:val="16"/>
              </w:rPr>
              <w:t>5.27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BEA2D">
            <w:pPr>
              <w:jc w:val="center"/>
            </w:pPr>
            <w:r>
              <w:rPr>
                <w:rFonts w:ascii="宋体" w:hAnsi="宋体" w:eastAsia="宋体"/>
                <w:sz w:val="16"/>
              </w:rPr>
              <w:t>5.27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C2D7CC">
            <w:pPr>
              <w:jc w:val="center"/>
            </w:pPr>
            <w:r>
              <w:rPr>
                <w:rFonts w:ascii="宋体" w:hAnsi="宋体" w:eastAsia="宋体"/>
                <w:sz w:val="16"/>
              </w:rPr>
              <w:t>5.27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9137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9CAF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A3D4E">
            <w:pPr>
              <w:jc w:val="center"/>
            </w:pPr>
            <w:r>
              <w:rPr>
                <w:rFonts w:ascii="宋体" w:hAnsi="宋体" w:eastAsia="宋体"/>
                <w:sz w:val="16"/>
              </w:rPr>
              <w:t>—</w:t>
            </w:r>
          </w:p>
        </w:tc>
      </w:tr>
      <w:tr w14:paraId="7141AF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5F57A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28E42">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D00C0">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4DB79">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010A0">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62DC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C475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0FCB2">
            <w:pPr>
              <w:jc w:val="center"/>
            </w:pPr>
            <w:r>
              <w:rPr>
                <w:rFonts w:ascii="宋体" w:hAnsi="宋体" w:eastAsia="宋体"/>
                <w:sz w:val="16"/>
              </w:rPr>
              <w:t>—</w:t>
            </w:r>
          </w:p>
        </w:tc>
      </w:tr>
      <w:tr w14:paraId="0625F62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191DF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0A80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29288">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6F413">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28D35">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5B94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043E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5C2CA">
            <w:pPr>
              <w:jc w:val="center"/>
            </w:pPr>
            <w:r>
              <w:rPr>
                <w:rFonts w:ascii="宋体" w:hAnsi="宋体" w:eastAsia="宋体"/>
                <w:sz w:val="16"/>
              </w:rPr>
              <w:t>—</w:t>
            </w:r>
          </w:p>
        </w:tc>
      </w:tr>
      <w:tr w14:paraId="1515F64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C10B5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89794E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4FD269">
            <w:pPr>
              <w:jc w:val="center"/>
            </w:pPr>
            <w:r>
              <w:rPr>
                <w:rFonts w:ascii="宋体" w:hAnsi="宋体" w:eastAsia="宋体"/>
                <w:sz w:val="16"/>
              </w:rPr>
              <w:t>实际完成情况</w:t>
            </w:r>
          </w:p>
        </w:tc>
      </w:tr>
      <w:tr w14:paraId="1227F9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0EB0C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79F58A4">
            <w:pPr>
              <w:jc w:val="both"/>
            </w:pPr>
            <w:r>
              <w:rPr>
                <w:rFonts w:ascii="宋体" w:hAnsi="宋体" w:eastAsia="宋体"/>
                <w:sz w:val="16"/>
              </w:rPr>
              <w:t>根据文件实施此项目，为259个学生提供补助。通过项目的实施，提升学生生活质量。</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6A0DE6">
            <w:pPr>
              <w:jc w:val="both"/>
            </w:pPr>
            <w:r>
              <w:rPr>
                <w:rFonts w:hint="eastAsia" w:ascii="宋体" w:hAnsi="宋体"/>
                <w:sz w:val="16"/>
                <w:lang w:eastAsia="zh-CN"/>
              </w:rPr>
              <w:t>截至</w:t>
            </w:r>
            <w:r>
              <w:rPr>
                <w:rFonts w:ascii="宋体" w:hAnsi="宋体" w:eastAsia="宋体"/>
                <w:sz w:val="16"/>
              </w:rPr>
              <w:t>2024年12月，该项目已完成为259个学生提供补助。通过项目的实施，提升学生生活质量。</w:t>
            </w:r>
          </w:p>
        </w:tc>
      </w:tr>
      <w:tr w14:paraId="4A468BA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666A73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7358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9A52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9302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ED78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7EC9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9502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08AF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012B5">
            <w:pPr>
              <w:jc w:val="center"/>
            </w:pPr>
            <w:r>
              <w:rPr>
                <w:rFonts w:ascii="宋体" w:hAnsi="宋体" w:eastAsia="宋体"/>
                <w:sz w:val="16"/>
              </w:rPr>
              <w:t>偏差原因分析及改进措施</w:t>
            </w:r>
          </w:p>
        </w:tc>
      </w:tr>
      <w:tr w14:paraId="3FB58D9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12F71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857DB5">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D7AB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55BF8">
            <w:pPr>
              <w:jc w:val="center"/>
            </w:pPr>
            <w:r>
              <w:rPr>
                <w:rFonts w:ascii="宋体" w:hAnsi="宋体" w:eastAsia="宋体"/>
                <w:sz w:val="16"/>
              </w:rPr>
              <w:t>保障学生人数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E8EEF">
            <w:pPr>
              <w:jc w:val="center"/>
            </w:pPr>
            <w:r>
              <w:rPr>
                <w:rFonts w:ascii="宋体" w:hAnsi="宋体" w:eastAsia="宋体"/>
                <w:sz w:val="16"/>
              </w:rPr>
              <w:t>≥259人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7C823">
            <w:pPr>
              <w:jc w:val="center"/>
            </w:pPr>
            <w:r>
              <w:rPr>
                <w:rFonts w:ascii="宋体" w:hAnsi="宋体" w:eastAsia="宋体"/>
                <w:sz w:val="16"/>
              </w:rPr>
              <w:t>259人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72093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9F3B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1E63F">
            <w:pPr>
              <w:jc w:val="center"/>
            </w:pPr>
          </w:p>
        </w:tc>
      </w:tr>
      <w:tr w14:paraId="1CCEC71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1A29F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A8DD5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EDC3A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0C25A">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2B8C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32A2F">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580D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757D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5D1E7">
            <w:pPr>
              <w:jc w:val="center"/>
            </w:pPr>
          </w:p>
        </w:tc>
      </w:tr>
      <w:tr w14:paraId="70A09B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B50FD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3EB97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2DE253">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E77B1">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62D60">
            <w:pPr>
              <w:jc w:val="center"/>
            </w:pPr>
            <w:r>
              <w:rPr>
                <w:rFonts w:hint="eastAsia" w:ascii="宋体" w:hAnsi="宋体"/>
                <w:sz w:val="16"/>
                <w:lang w:eastAsia="zh-CN"/>
              </w:rPr>
              <w:t>2024年1月1日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12973">
            <w:pPr>
              <w:jc w:val="center"/>
            </w:pPr>
            <w:r>
              <w:rPr>
                <w:rFonts w:hint="eastAsia" w:ascii="宋体" w:hAnsi="宋体"/>
                <w:sz w:val="16"/>
                <w:lang w:eastAsia="zh-CN"/>
              </w:rPr>
              <w:t>2024年11月1日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9AD5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41C1B">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3431A">
            <w:pPr>
              <w:jc w:val="center"/>
            </w:pPr>
          </w:p>
        </w:tc>
      </w:tr>
      <w:tr w14:paraId="6671DD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836DD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F4C26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DB2B0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BF86F">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10DFA">
            <w:pPr>
              <w:jc w:val="center"/>
            </w:pPr>
            <w:r>
              <w:rPr>
                <w:rFonts w:hint="eastAsia" w:ascii="宋体" w:hAnsi="宋体"/>
                <w:sz w:val="16"/>
                <w:lang w:eastAsia="zh-CN"/>
              </w:rPr>
              <w:t>2024年12月1日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8C680">
            <w:pPr>
              <w:jc w:val="center"/>
            </w:pPr>
            <w:bookmarkStart w:id="0" w:name="_GoBack"/>
            <w:r>
              <w:rPr>
                <w:rFonts w:hint="eastAsia" w:ascii="宋体" w:hAnsi="宋体"/>
                <w:sz w:val="16"/>
                <w:lang w:eastAsia="zh-CN"/>
              </w:rPr>
              <w:t>2024年12月1日</w:t>
            </w:r>
            <w:bookmarkEnd w:id="0"/>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6D0A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68BE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622856">
            <w:pPr>
              <w:jc w:val="center"/>
            </w:pPr>
          </w:p>
        </w:tc>
      </w:tr>
      <w:tr w14:paraId="46AC3C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400F2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FA518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36513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89DDB">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0A68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1AABD">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F121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477C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57D9D">
            <w:pPr>
              <w:jc w:val="center"/>
            </w:pPr>
          </w:p>
        </w:tc>
      </w:tr>
      <w:tr w14:paraId="162EA7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A57E6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4803A">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0D87C">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5C023">
            <w:pPr>
              <w:jc w:val="center"/>
            </w:pPr>
            <w:r>
              <w:rPr>
                <w:rFonts w:ascii="宋体" w:hAnsi="宋体" w:eastAsia="宋体"/>
                <w:sz w:val="16"/>
              </w:rPr>
              <w:t>保障经费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07A01">
            <w:pPr>
              <w:jc w:val="center"/>
            </w:pPr>
            <w:r>
              <w:rPr>
                <w:rFonts w:ascii="宋体" w:hAnsi="宋体" w:eastAsia="宋体"/>
                <w:sz w:val="16"/>
              </w:rPr>
              <w:t>≤5.27万元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0CBC3">
            <w:pPr>
              <w:jc w:val="center"/>
            </w:pPr>
            <w:r>
              <w:rPr>
                <w:rFonts w:ascii="宋体" w:hAnsi="宋体" w:eastAsia="宋体"/>
                <w:sz w:val="16"/>
              </w:rPr>
              <w:t>5.27万元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A26D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103D7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4AEB9">
            <w:pPr>
              <w:jc w:val="center"/>
            </w:pPr>
          </w:p>
        </w:tc>
      </w:tr>
      <w:tr w14:paraId="6C59F6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8E95D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C878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05B03">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59038">
            <w:pPr>
              <w:jc w:val="center"/>
            </w:pPr>
            <w:r>
              <w:rPr>
                <w:rFonts w:ascii="宋体" w:hAnsi="宋体" w:eastAsia="宋体"/>
                <w:sz w:val="16"/>
              </w:rPr>
              <w:t>提升学生生活质量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BD7F8">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04507">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FD00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CDD4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EAFD7">
            <w:pPr>
              <w:jc w:val="center"/>
            </w:pPr>
          </w:p>
        </w:tc>
      </w:tr>
      <w:tr w14:paraId="13C2FF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8F85E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1E35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1A08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AF1978">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E495B">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6BE33">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C424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2E69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81A4D">
            <w:pPr>
              <w:jc w:val="center"/>
            </w:pPr>
          </w:p>
        </w:tc>
      </w:tr>
      <w:tr w14:paraId="25370021">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EF41EF">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439445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B94C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C1C18">
            <w:pPr>
              <w:jc w:val="center"/>
            </w:pPr>
            <w:r>
              <w:rPr>
                <w:rFonts w:ascii="宋体" w:hAnsi="宋体" w:eastAsia="宋体"/>
                <w:sz w:val="16"/>
              </w:rPr>
              <w:t>92</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1113A43"/>
        </w:tc>
      </w:tr>
    </w:tbl>
    <w:p w14:paraId="1131B62C">
      <w:r>
        <w:br w:type="page"/>
      </w:r>
    </w:p>
    <w:p w14:paraId="4CBE7D1B">
      <w:pPr>
        <w:spacing w:line="640" w:lineRule="exact"/>
        <w:ind w:firstLine="640"/>
        <w:jc w:val="both"/>
        <w:outlineLvl w:val="2"/>
      </w:pPr>
      <w:r>
        <w:rPr>
          <w:rFonts w:ascii="黑体" w:hAnsi="黑体" w:eastAsia="黑体"/>
          <w:sz w:val="32"/>
        </w:rPr>
        <w:t>十二、其他需说明的事项</w:t>
      </w:r>
    </w:p>
    <w:p w14:paraId="29131C45">
      <w:pPr>
        <w:spacing w:line="580" w:lineRule="exact"/>
        <w:ind w:firstLine="640"/>
        <w:jc w:val="both"/>
        <w:rPr>
          <w:rFonts w:ascii="仿宋_GB2312" w:hAnsi="仿宋_GB2312" w:eastAsia="仿宋_GB2312"/>
          <w:b w:val="0"/>
          <w:sz w:val="32"/>
        </w:rPr>
      </w:pPr>
      <w:r>
        <w:rPr>
          <w:rFonts w:ascii="仿宋_GB2312" w:hAnsi="仿宋_GB2312" w:eastAsia="仿宋_GB2312"/>
          <w:b w:val="0"/>
          <w:sz w:val="32"/>
        </w:rPr>
        <w:t>本单位为2024年4月新增单位，无整体支出绩效自评表。</w:t>
      </w:r>
    </w:p>
    <w:p w14:paraId="6B694DDC">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566FBF05">
      <w:r>
        <w:br w:type="page"/>
      </w:r>
    </w:p>
    <w:p w14:paraId="7C705CD2">
      <w:pPr>
        <w:spacing w:line="240" w:lineRule="auto"/>
        <w:jc w:val="center"/>
        <w:outlineLvl w:val="1"/>
      </w:pPr>
      <w:r>
        <w:rPr>
          <w:rFonts w:ascii="黑体" w:hAnsi="黑体" w:eastAsia="黑体"/>
          <w:sz w:val="32"/>
        </w:rPr>
        <w:t>第三部分 专业名词解释</w:t>
      </w:r>
    </w:p>
    <w:p w14:paraId="7462E51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83D96B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FA52720">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9DE990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1C613B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2E3F2D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B5B4EB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1B137A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D4BF907">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EEFDDC9">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997C5A4">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BB44754">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112A33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BFABA7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6938C2F">
      <w:r>
        <w:br w:type="page"/>
      </w:r>
    </w:p>
    <w:p w14:paraId="30A2FD41">
      <w:pPr>
        <w:spacing w:line="240" w:lineRule="auto"/>
        <w:jc w:val="center"/>
        <w:outlineLvl w:val="1"/>
      </w:pPr>
      <w:r>
        <w:rPr>
          <w:rFonts w:ascii="黑体" w:hAnsi="黑体" w:eastAsia="黑体"/>
          <w:sz w:val="32"/>
        </w:rPr>
        <w:t>第四部分 部门决算报表（见附表）</w:t>
      </w:r>
    </w:p>
    <w:p w14:paraId="32B1A461">
      <w:pPr>
        <w:spacing w:line="240" w:lineRule="auto"/>
        <w:ind w:firstLine="640"/>
        <w:jc w:val="both"/>
      </w:pPr>
      <w:r>
        <w:rPr>
          <w:rFonts w:ascii="仿宋_GB2312" w:hAnsi="仿宋_GB2312" w:eastAsia="仿宋_GB2312"/>
          <w:b w:val="0"/>
          <w:sz w:val="32"/>
        </w:rPr>
        <w:t>一、《收入支出决算总表》</w:t>
      </w:r>
    </w:p>
    <w:p w14:paraId="53BB541C">
      <w:pPr>
        <w:spacing w:line="240" w:lineRule="auto"/>
        <w:ind w:firstLine="640"/>
        <w:jc w:val="both"/>
      </w:pPr>
      <w:r>
        <w:rPr>
          <w:rFonts w:ascii="仿宋_GB2312" w:hAnsi="仿宋_GB2312" w:eastAsia="仿宋_GB2312"/>
          <w:b w:val="0"/>
          <w:sz w:val="32"/>
        </w:rPr>
        <w:t>二、《收入决算表》</w:t>
      </w:r>
    </w:p>
    <w:p w14:paraId="459541A5">
      <w:pPr>
        <w:spacing w:line="240" w:lineRule="auto"/>
        <w:ind w:firstLine="640"/>
        <w:jc w:val="both"/>
      </w:pPr>
      <w:r>
        <w:rPr>
          <w:rFonts w:ascii="仿宋_GB2312" w:hAnsi="仿宋_GB2312" w:eastAsia="仿宋_GB2312"/>
          <w:b w:val="0"/>
          <w:sz w:val="32"/>
        </w:rPr>
        <w:t>三、《支出决算表》</w:t>
      </w:r>
    </w:p>
    <w:p w14:paraId="75204869">
      <w:pPr>
        <w:spacing w:line="240" w:lineRule="auto"/>
        <w:ind w:firstLine="640"/>
        <w:jc w:val="both"/>
      </w:pPr>
      <w:r>
        <w:rPr>
          <w:rFonts w:ascii="仿宋_GB2312" w:hAnsi="仿宋_GB2312" w:eastAsia="仿宋_GB2312"/>
          <w:b w:val="0"/>
          <w:sz w:val="32"/>
        </w:rPr>
        <w:t>四、《财政拨款收入支出决算总表》</w:t>
      </w:r>
    </w:p>
    <w:p w14:paraId="61F6F662">
      <w:pPr>
        <w:spacing w:line="240" w:lineRule="auto"/>
        <w:ind w:firstLine="640"/>
        <w:jc w:val="both"/>
      </w:pPr>
      <w:r>
        <w:rPr>
          <w:rFonts w:ascii="仿宋_GB2312" w:hAnsi="仿宋_GB2312" w:eastAsia="仿宋_GB2312"/>
          <w:b w:val="0"/>
          <w:sz w:val="32"/>
        </w:rPr>
        <w:t>五、《一般公共预算财政拨款支出决算表》</w:t>
      </w:r>
    </w:p>
    <w:p w14:paraId="16143434">
      <w:pPr>
        <w:spacing w:line="240" w:lineRule="auto"/>
        <w:ind w:firstLine="640"/>
        <w:jc w:val="both"/>
      </w:pPr>
      <w:r>
        <w:rPr>
          <w:rFonts w:ascii="仿宋_GB2312" w:hAnsi="仿宋_GB2312" w:eastAsia="仿宋_GB2312"/>
          <w:b w:val="0"/>
          <w:sz w:val="32"/>
        </w:rPr>
        <w:t>六、《一般公共预算财政拨款基本支出决算表》</w:t>
      </w:r>
    </w:p>
    <w:p w14:paraId="5EBA816C">
      <w:pPr>
        <w:spacing w:line="240" w:lineRule="auto"/>
        <w:ind w:firstLine="640"/>
        <w:jc w:val="both"/>
      </w:pPr>
      <w:r>
        <w:rPr>
          <w:rFonts w:ascii="仿宋_GB2312" w:hAnsi="仿宋_GB2312" w:eastAsia="仿宋_GB2312"/>
          <w:b w:val="0"/>
          <w:sz w:val="32"/>
        </w:rPr>
        <w:t>七、《政府性基金预算财政拨款收入支出决算表》</w:t>
      </w:r>
    </w:p>
    <w:p w14:paraId="00EE5A5C">
      <w:pPr>
        <w:spacing w:line="240" w:lineRule="auto"/>
        <w:ind w:firstLine="640"/>
        <w:jc w:val="both"/>
      </w:pPr>
      <w:r>
        <w:rPr>
          <w:rFonts w:ascii="仿宋_GB2312" w:hAnsi="仿宋_GB2312" w:eastAsia="仿宋_GB2312"/>
          <w:b w:val="0"/>
          <w:sz w:val="32"/>
        </w:rPr>
        <w:t>八、《国有资本经营预算财政拨款收入支出决算表》</w:t>
      </w:r>
    </w:p>
    <w:p w14:paraId="712D6E16">
      <w:pPr>
        <w:spacing w:line="240" w:lineRule="auto"/>
        <w:ind w:firstLine="640"/>
        <w:jc w:val="both"/>
      </w:pPr>
      <w:r>
        <w:rPr>
          <w:rFonts w:ascii="仿宋_GB2312" w:hAnsi="仿宋_GB2312" w:eastAsia="仿宋_GB2312"/>
          <w:b w:val="0"/>
          <w:sz w:val="32"/>
        </w:rPr>
        <w:t>九、《财政拨款“三公”经费支出决算表》</w:t>
      </w:r>
    </w:p>
    <w:p w14:paraId="1AA2B90E">
      <w:pPr>
        <w:spacing w:line="240" w:lineRule="auto"/>
        <w:ind w:firstLine="640"/>
        <w:jc w:val="both"/>
      </w:pPr>
    </w:p>
    <w:p w14:paraId="68897956">
      <w:pPr>
        <w:spacing w:line="240" w:lineRule="auto"/>
        <w:ind w:firstLine="640"/>
        <w:jc w:val="both"/>
      </w:pPr>
    </w:p>
    <w:p w14:paraId="12DB2B22">
      <w:pPr>
        <w:spacing w:line="240" w:lineRule="auto"/>
        <w:ind w:firstLine="640"/>
        <w:jc w:val="both"/>
      </w:pPr>
    </w:p>
    <w:p w14:paraId="1A332F61">
      <w:pPr>
        <w:spacing w:line="240" w:lineRule="auto"/>
        <w:ind w:firstLine="640"/>
        <w:jc w:val="both"/>
      </w:pPr>
    </w:p>
    <w:p w14:paraId="2EF4ECC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870641C-B920-4F4A-A811-FCA4BF1FAD7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2FA48052-1F90-4799-A91D-50C3496AF752}"/>
  </w:font>
  <w:font w:name="仿宋_GB2312">
    <w:panose1 w:val="02010609030101010101"/>
    <w:charset w:val="86"/>
    <w:family w:val="modern"/>
    <w:pitch w:val="default"/>
    <w:sig w:usb0="00000001" w:usb1="080E0000" w:usb2="00000000" w:usb3="00000000" w:csb0="00040000" w:csb1="00000000"/>
    <w:embedRegular r:id="rId3" w:fontKey="{1C3965AE-B066-4669-BC78-2B3643CDB2A2}"/>
  </w:font>
  <w:font w:name="楷体_GB2312">
    <w:panose1 w:val="02010609030101010101"/>
    <w:charset w:val="86"/>
    <w:family w:val="auto"/>
    <w:pitch w:val="default"/>
    <w:sig w:usb0="00000001" w:usb1="080E0000" w:usb2="00000000" w:usb3="00000000" w:csb0="00040000" w:csb1="00000000"/>
    <w:embedRegular r:id="rId4" w:fontKey="{853DDD83-CB39-43BA-9A00-1D0318D5F7FA}"/>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6157A01"/>
    <w:rsid w:val="19071D6C"/>
    <w:rsid w:val="198C47C6"/>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7BC523A"/>
    <w:rsid w:val="38006E2C"/>
    <w:rsid w:val="3914510A"/>
    <w:rsid w:val="3B1220C9"/>
    <w:rsid w:val="3B5B2CB7"/>
    <w:rsid w:val="3D5275AC"/>
    <w:rsid w:val="3EA7725F"/>
    <w:rsid w:val="3EC014A1"/>
    <w:rsid w:val="40834692"/>
    <w:rsid w:val="423A32B2"/>
    <w:rsid w:val="423C0CB4"/>
    <w:rsid w:val="427B5743"/>
    <w:rsid w:val="42E64542"/>
    <w:rsid w:val="43AC2EA4"/>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BA11EA3"/>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4072</Words>
  <Characters>4720</Characters>
  <Lines>0</Lines>
  <Paragraphs>0</Paragraphs>
  <TotalTime>4</TotalTime>
  <ScaleCrop>false</ScaleCrop>
  <LinksUpToDate>false</LinksUpToDate>
  <CharactersWithSpaces>4738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2025-09-17T07:57:58Z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eyJoZGlkIjoiMGIxZTI3ODM4ZmVjOGE5NDFiYmE3OTRiMjQ5OTEyNzIiLCJ1c2VySWQiOiIzNzI2MDMzNTYifQ==</vt:lpwstr>
  </property>
</Properties>
</file>