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洛浦县后勤服务中心（招待所）2024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C2C0A48">
      <w:r>
        <w:br w:type="page"/>
      </w:r>
    </w:p>
    <w:p w14:paraId="78AF236B">
      <w:pPr>
        <w:spacing w:line="640" w:lineRule="exact"/>
        <w:jc w:val="center"/>
        <w:outlineLvl w:val="1"/>
      </w:pPr>
      <w:r>
        <w:rPr>
          <w:rFonts w:ascii="黑体" w:hAnsi="黑体" w:eastAsia="黑体"/>
          <w:sz w:val="32"/>
        </w:rPr>
        <w:t>第一部分 单位概况</w:t>
      </w:r>
    </w:p>
    <w:p w14:paraId="55231B16">
      <w:pPr>
        <w:spacing w:line="640" w:lineRule="exact"/>
        <w:ind w:firstLine="640"/>
        <w:jc w:val="both"/>
        <w:outlineLvl w:val="2"/>
      </w:pPr>
      <w:r>
        <w:rPr>
          <w:rFonts w:ascii="黑体" w:hAnsi="黑体" w:eastAsia="黑体"/>
          <w:sz w:val="32"/>
        </w:rPr>
        <w:t>一、主要职能</w:t>
      </w:r>
    </w:p>
    <w:p w14:paraId="347545F2">
      <w:pPr>
        <w:spacing w:line="580" w:lineRule="exact"/>
        <w:ind w:firstLine="640"/>
        <w:jc w:val="both"/>
      </w:pPr>
      <w:r>
        <w:rPr>
          <w:rFonts w:ascii="仿宋_GB2312" w:hAnsi="仿宋_GB2312" w:eastAsia="仿宋_GB2312"/>
          <w:sz w:val="32"/>
        </w:rPr>
        <w:t>（1）洛浦县后勤服务</w:t>
      </w:r>
      <w:r>
        <w:rPr>
          <w:rFonts w:hint="eastAsia" w:ascii="仿宋_GB2312" w:hAnsi="仿宋_GB2312" w:eastAsia="仿宋_GB2312"/>
          <w:sz w:val="32"/>
          <w:lang w:eastAsia="zh-CN"/>
        </w:rPr>
        <w:t>中心</w:t>
      </w:r>
      <w:r>
        <w:rPr>
          <w:rFonts w:ascii="仿宋_GB2312" w:hAnsi="仿宋_GB2312" w:eastAsia="仿宋_GB2312"/>
          <w:sz w:val="32"/>
        </w:rPr>
        <w:t>是县委、县政府的接待单位，工作必须紧紧围绕县委、县政府下达的指令，为了更好地适应新形势下接待工作的需要，我中心不断更新思想观念，积极跳出狭隘封闭的“小接待”圈子，不断改进工作方法，提前考虑，统筹谋划，牢牢掌握接待工作的主动权。</w:t>
      </w:r>
    </w:p>
    <w:p w14:paraId="4839FB86">
      <w:pPr>
        <w:spacing w:line="580" w:lineRule="exact"/>
        <w:ind w:firstLine="640"/>
        <w:jc w:val="both"/>
      </w:pPr>
      <w:r>
        <w:rPr>
          <w:rFonts w:ascii="仿宋_GB2312" w:hAnsi="仿宋_GB2312" w:eastAsia="仿宋_GB2312"/>
          <w:sz w:val="32"/>
        </w:rPr>
        <w:t>（2）严格按照县委、县政府规定的标准执行，既保证了接待工作的圆满完成，又节省了支出，我洛浦会务接待中心从各方面考虑节约成本和费用支出，加大员工的培训力度，增加了中心的硬件设施，为提高洛浦县的公务接待做出了一份贡献。</w:t>
      </w:r>
    </w:p>
    <w:p w14:paraId="11FF23EC">
      <w:pPr>
        <w:spacing w:line="640" w:lineRule="exact"/>
        <w:ind w:firstLine="640"/>
        <w:jc w:val="both"/>
        <w:outlineLvl w:val="2"/>
      </w:pPr>
      <w:r>
        <w:rPr>
          <w:rFonts w:ascii="黑体" w:hAnsi="黑体" w:eastAsia="黑体"/>
          <w:sz w:val="32"/>
        </w:rPr>
        <w:t>二、机构设置及人员情况</w:t>
      </w:r>
    </w:p>
    <w:p w14:paraId="1AE5AC38">
      <w:pPr>
        <w:spacing w:line="580" w:lineRule="exact"/>
        <w:ind w:firstLine="640"/>
        <w:jc w:val="both"/>
      </w:pPr>
      <w:r>
        <w:rPr>
          <w:rFonts w:ascii="仿宋_GB2312" w:hAnsi="仿宋_GB2312" w:eastAsia="仿宋_GB2312"/>
          <w:sz w:val="32"/>
        </w:rPr>
        <w:t>洛浦县后勤服务中心（招待所）2024年度，实有人数33人，其中：在职人员24人，减少1人；离休人员0人，增加0人；退休人员9人,增加1人。</w:t>
      </w:r>
    </w:p>
    <w:p w14:paraId="4C6737D3">
      <w:pPr>
        <w:spacing w:line="580" w:lineRule="exact"/>
        <w:ind w:firstLine="640"/>
        <w:jc w:val="both"/>
      </w:pPr>
      <w:r>
        <w:rPr>
          <w:rFonts w:ascii="仿宋_GB2312" w:hAnsi="仿宋_GB2312" w:eastAsia="仿宋_GB2312"/>
          <w:sz w:val="32"/>
        </w:rPr>
        <w:t>洛浦县后勤服务中心（招待所）无下属预算单位，下设3个科室，分别是：办公室、后勤服务科、财务室。</w:t>
      </w:r>
    </w:p>
    <w:p w14:paraId="48006E11">
      <w:r>
        <w:br w:type="page"/>
      </w:r>
    </w:p>
    <w:p w14:paraId="62867EBD">
      <w:pPr>
        <w:spacing w:line="240" w:lineRule="auto"/>
        <w:jc w:val="center"/>
        <w:outlineLvl w:val="1"/>
      </w:pPr>
      <w:r>
        <w:rPr>
          <w:rFonts w:ascii="黑体" w:hAnsi="黑体" w:eastAsia="黑体"/>
          <w:sz w:val="32"/>
        </w:rPr>
        <w:t>第二部分 部门决算情况说明</w:t>
      </w:r>
    </w:p>
    <w:p w14:paraId="5AE0AD7C">
      <w:pPr>
        <w:spacing w:line="640" w:lineRule="exact"/>
        <w:ind w:firstLine="640"/>
        <w:jc w:val="both"/>
        <w:outlineLvl w:val="2"/>
      </w:pPr>
      <w:r>
        <w:rPr>
          <w:rFonts w:ascii="黑体" w:hAnsi="黑体" w:eastAsia="黑体"/>
          <w:sz w:val="32"/>
        </w:rPr>
        <w:t>一、收入支出决算总体情况说明</w:t>
      </w:r>
    </w:p>
    <w:p w14:paraId="5A67A3E0">
      <w:pPr>
        <w:spacing w:line="580" w:lineRule="exact"/>
        <w:ind w:firstLine="640"/>
        <w:jc w:val="both"/>
      </w:pPr>
      <w:r>
        <w:rPr>
          <w:rFonts w:ascii="仿宋_GB2312" w:hAnsi="仿宋_GB2312" w:eastAsia="仿宋_GB2312"/>
          <w:b/>
          <w:sz w:val="32"/>
        </w:rPr>
        <w:t>2024年度收入总计555.16万元，</w:t>
      </w:r>
      <w:r>
        <w:rPr>
          <w:rFonts w:ascii="仿宋_GB2312" w:hAnsi="仿宋_GB2312" w:eastAsia="仿宋_GB2312"/>
          <w:b w:val="0"/>
          <w:sz w:val="32"/>
        </w:rPr>
        <w:t>其中：本年收入合计555.16万元，使用非财政拨款结余（含专用结余）0.00万元，年初结转和结余0.00万元。</w:t>
      </w:r>
    </w:p>
    <w:p w14:paraId="36D983AF">
      <w:pPr>
        <w:spacing w:line="580" w:lineRule="exact"/>
        <w:ind w:firstLine="640"/>
        <w:jc w:val="both"/>
      </w:pPr>
      <w:r>
        <w:rPr>
          <w:rFonts w:ascii="仿宋_GB2312" w:hAnsi="仿宋_GB2312" w:eastAsia="仿宋_GB2312"/>
          <w:b/>
          <w:sz w:val="32"/>
        </w:rPr>
        <w:t>2024年度支出总计555.16万元，</w:t>
      </w:r>
      <w:r>
        <w:rPr>
          <w:rFonts w:ascii="仿宋_GB2312" w:hAnsi="仿宋_GB2312" w:eastAsia="仿宋_GB2312"/>
          <w:b w:val="0"/>
          <w:sz w:val="32"/>
        </w:rPr>
        <w:t>其中：本年支出合计555.16万元，结余分配0.00万元，年末结转和结余0.00万元。</w:t>
      </w:r>
    </w:p>
    <w:p w14:paraId="45B48B77">
      <w:pPr>
        <w:spacing w:line="580" w:lineRule="exact"/>
        <w:ind w:firstLine="640"/>
        <w:jc w:val="both"/>
      </w:pPr>
      <w:r>
        <w:rPr>
          <w:rFonts w:ascii="仿宋_GB2312" w:hAnsi="仿宋_GB2312" w:eastAsia="仿宋_GB2312"/>
          <w:b w:val="0"/>
          <w:sz w:val="32"/>
        </w:rPr>
        <w:t>收入支出总体与上年相比，减少14.04万元，下降2.47%，主要原因是：本年较上年减少存量资金用于支付前期预约酒店改造欠款。</w:t>
      </w:r>
    </w:p>
    <w:p w14:paraId="23A2140A">
      <w:pPr>
        <w:spacing w:line="640" w:lineRule="exact"/>
        <w:ind w:firstLine="640"/>
        <w:jc w:val="both"/>
        <w:outlineLvl w:val="2"/>
      </w:pPr>
      <w:r>
        <w:rPr>
          <w:rFonts w:ascii="黑体" w:hAnsi="黑体" w:eastAsia="黑体"/>
          <w:sz w:val="32"/>
        </w:rPr>
        <w:t>二、收入决算情况说明</w:t>
      </w:r>
    </w:p>
    <w:p w14:paraId="42C91108">
      <w:pPr>
        <w:spacing w:line="580" w:lineRule="exact"/>
        <w:ind w:firstLine="640"/>
        <w:jc w:val="both"/>
      </w:pPr>
      <w:r>
        <w:rPr>
          <w:rFonts w:ascii="仿宋_GB2312" w:hAnsi="仿宋_GB2312" w:eastAsia="仿宋_GB2312"/>
          <w:b/>
          <w:sz w:val="32"/>
        </w:rPr>
        <w:t>本年收入555.16万元，</w:t>
      </w:r>
      <w:r>
        <w:rPr>
          <w:rFonts w:ascii="仿宋_GB2312" w:hAnsi="仿宋_GB2312" w:eastAsia="仿宋_GB2312"/>
          <w:b w:val="0"/>
          <w:sz w:val="32"/>
        </w:rPr>
        <w:t>其中：财政拨款收入549.98万元，占99.07%；上级补助收入0.00万元，占0.00%；事业收入0.00万元，占0.00%；经营收入0.00万元，占0.00%；附属单位上缴收入0.00万元，占0.00%；其他收入5.18万元，占0.93%。</w:t>
      </w:r>
    </w:p>
    <w:p w14:paraId="02BD0718">
      <w:pPr>
        <w:spacing w:line="640" w:lineRule="exact"/>
        <w:ind w:firstLine="640"/>
        <w:jc w:val="both"/>
        <w:outlineLvl w:val="2"/>
      </w:pPr>
      <w:r>
        <w:rPr>
          <w:rFonts w:ascii="黑体" w:hAnsi="黑体" w:eastAsia="黑体"/>
          <w:sz w:val="32"/>
        </w:rPr>
        <w:t>三、支出决算情况说明</w:t>
      </w:r>
    </w:p>
    <w:p w14:paraId="7571651A">
      <w:pPr>
        <w:spacing w:line="580" w:lineRule="exact"/>
        <w:ind w:firstLine="640"/>
        <w:jc w:val="both"/>
      </w:pPr>
      <w:r>
        <w:rPr>
          <w:rFonts w:ascii="仿宋_GB2312" w:hAnsi="仿宋_GB2312" w:eastAsia="仿宋_GB2312"/>
          <w:b/>
          <w:sz w:val="32"/>
        </w:rPr>
        <w:t>本年支出555.16万元，</w:t>
      </w:r>
      <w:r>
        <w:rPr>
          <w:rFonts w:ascii="仿宋_GB2312" w:hAnsi="仿宋_GB2312" w:eastAsia="仿宋_GB2312"/>
          <w:b w:val="0"/>
          <w:sz w:val="32"/>
        </w:rPr>
        <w:t>其中：基本支出551.95万元，占99.42%；项目支出3.21万元，占0.58%；上缴上级支出0.00万元，占0.00%；经营支出0.00万元，占0.00%；对附属单位补助支出0.00万元，占0.00%。</w:t>
      </w:r>
    </w:p>
    <w:p w14:paraId="39F3D562">
      <w:pPr>
        <w:spacing w:line="640" w:lineRule="exact"/>
        <w:ind w:firstLine="640"/>
        <w:jc w:val="both"/>
        <w:outlineLvl w:val="2"/>
      </w:pPr>
      <w:r>
        <w:rPr>
          <w:rFonts w:ascii="黑体" w:hAnsi="黑体" w:eastAsia="黑体"/>
          <w:sz w:val="32"/>
        </w:rPr>
        <w:t>四、财政拨款收入支出决算总体情况说明</w:t>
      </w:r>
    </w:p>
    <w:p w14:paraId="2CE4C845">
      <w:pPr>
        <w:spacing w:line="580" w:lineRule="exact"/>
        <w:ind w:firstLine="640"/>
        <w:jc w:val="both"/>
      </w:pPr>
      <w:r>
        <w:rPr>
          <w:rFonts w:ascii="仿宋_GB2312" w:hAnsi="仿宋_GB2312" w:eastAsia="仿宋_GB2312"/>
          <w:b/>
          <w:sz w:val="32"/>
        </w:rPr>
        <w:t>2024年度财政拨款收入总计549.98万元，</w:t>
      </w:r>
      <w:r>
        <w:rPr>
          <w:rFonts w:ascii="仿宋_GB2312" w:hAnsi="仿宋_GB2312" w:eastAsia="仿宋_GB2312"/>
          <w:b w:val="0"/>
          <w:sz w:val="32"/>
        </w:rPr>
        <w:t>其中：年初财政拨款结转和结余0.00万元，本年财政拨款收入549.98万元。</w:t>
      </w:r>
      <w:r>
        <w:rPr>
          <w:rFonts w:ascii="仿宋_GB2312" w:hAnsi="仿宋_GB2312" w:eastAsia="仿宋_GB2312"/>
          <w:b/>
          <w:sz w:val="32"/>
        </w:rPr>
        <w:t>财政拨款支出总计549.98万元，</w:t>
      </w:r>
      <w:r>
        <w:rPr>
          <w:rFonts w:ascii="仿宋_GB2312" w:hAnsi="仿宋_GB2312" w:eastAsia="仿宋_GB2312"/>
          <w:b w:val="0"/>
          <w:sz w:val="32"/>
        </w:rPr>
        <w:t>其中：年末财政拨款结转和结余0.00万元，本年财政拨款支出549.98万元。</w:t>
      </w:r>
    </w:p>
    <w:p w14:paraId="33A7B1C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增加0.78万元，增长0.14%，主要原因是：1.本年在职人员工资调增，社保、公积金基数调增，人员经费增加。2.本年增加为民办实事工作经费。</w:t>
      </w:r>
      <w:r>
        <w:rPr>
          <w:rFonts w:ascii="仿宋_GB2312" w:hAnsi="仿宋_GB2312" w:eastAsia="仿宋_GB2312"/>
          <w:b/>
          <w:sz w:val="32"/>
        </w:rPr>
        <w:t>与年初预算相比，</w:t>
      </w:r>
      <w:r>
        <w:rPr>
          <w:rFonts w:ascii="仿宋_GB2312" w:hAnsi="仿宋_GB2312" w:eastAsia="仿宋_GB2312"/>
          <w:b w:val="0"/>
          <w:sz w:val="32"/>
        </w:rPr>
        <w:t>年初预算数552.20万元，决算数549.98万元，预决算差异率-0.40%，主要原因是：本年在职人员减少，年中调减人员经费，导致预决算存在差异。</w:t>
      </w:r>
    </w:p>
    <w:p w14:paraId="341A7817">
      <w:pPr>
        <w:spacing w:line="640" w:lineRule="exact"/>
        <w:ind w:firstLine="640"/>
        <w:jc w:val="both"/>
        <w:outlineLvl w:val="2"/>
      </w:pPr>
      <w:r>
        <w:rPr>
          <w:rFonts w:ascii="黑体" w:hAnsi="黑体" w:eastAsia="黑体"/>
          <w:sz w:val="32"/>
        </w:rPr>
        <w:t>五、一般公共预算财政拨款支出决算情况说明</w:t>
      </w:r>
    </w:p>
    <w:p w14:paraId="0959D5D8">
      <w:pPr>
        <w:spacing w:line="640" w:lineRule="exact"/>
        <w:ind w:firstLine="640"/>
        <w:jc w:val="both"/>
        <w:outlineLvl w:val="3"/>
      </w:pPr>
      <w:r>
        <w:rPr>
          <w:rFonts w:ascii="楷体_GB2312" w:hAnsi="楷体_GB2312" w:eastAsia="楷体_GB2312"/>
          <w:b/>
          <w:sz w:val="32"/>
        </w:rPr>
        <w:t>（一）一般公共预算财政拨款支出决算总体情况</w:t>
      </w:r>
    </w:p>
    <w:p w14:paraId="1E1240CB">
      <w:pPr>
        <w:spacing w:line="580" w:lineRule="exact"/>
        <w:ind w:firstLine="640"/>
        <w:jc w:val="both"/>
      </w:pPr>
      <w:r>
        <w:rPr>
          <w:rFonts w:ascii="仿宋_GB2312" w:hAnsi="仿宋_GB2312" w:eastAsia="仿宋_GB2312"/>
          <w:b/>
          <w:sz w:val="32"/>
        </w:rPr>
        <w:t>2024年度一般公共预算财政拨款支出549.98万元，</w:t>
      </w:r>
      <w:r>
        <w:rPr>
          <w:rFonts w:ascii="仿宋_GB2312" w:hAnsi="仿宋_GB2312" w:eastAsia="仿宋_GB2312"/>
          <w:b w:val="0"/>
          <w:sz w:val="32"/>
        </w:rPr>
        <w:t>占本年支出合计的99.07%。</w:t>
      </w:r>
      <w:r>
        <w:rPr>
          <w:rFonts w:ascii="仿宋_GB2312" w:hAnsi="仿宋_GB2312" w:eastAsia="仿宋_GB2312"/>
          <w:b/>
          <w:sz w:val="32"/>
        </w:rPr>
        <w:t>与上年相比，</w:t>
      </w:r>
      <w:r>
        <w:rPr>
          <w:rFonts w:ascii="仿宋_GB2312" w:hAnsi="仿宋_GB2312" w:eastAsia="仿宋_GB2312"/>
          <w:b w:val="0"/>
          <w:sz w:val="32"/>
        </w:rPr>
        <w:t>增加0.78万元，增长0.14%，主要原因是：1.本年在职人员工资调增，社保、公积金基数调增，人员经费增加。2.本年增加为民办实事工作经费。</w:t>
      </w:r>
      <w:r>
        <w:rPr>
          <w:rFonts w:ascii="仿宋_GB2312" w:hAnsi="仿宋_GB2312" w:eastAsia="仿宋_GB2312"/>
          <w:b/>
          <w:sz w:val="32"/>
        </w:rPr>
        <w:t>与年初预算相比,</w:t>
      </w:r>
      <w:r>
        <w:rPr>
          <w:rFonts w:ascii="仿宋_GB2312" w:hAnsi="仿宋_GB2312" w:eastAsia="仿宋_GB2312"/>
          <w:b w:val="0"/>
          <w:sz w:val="32"/>
        </w:rPr>
        <w:t>年初预算数552.20万元，决算数549.98万元，预决算差异率-0.40%，主要原因是：本年在职人员减少，年中调减人员经费，导致预决算存在差异。</w:t>
      </w:r>
    </w:p>
    <w:p w14:paraId="5AE46846">
      <w:pPr>
        <w:spacing w:line="640" w:lineRule="exact"/>
        <w:ind w:firstLine="640"/>
        <w:jc w:val="both"/>
        <w:outlineLvl w:val="3"/>
      </w:pPr>
      <w:r>
        <w:rPr>
          <w:rFonts w:ascii="楷体_GB2312" w:hAnsi="楷体_GB2312" w:eastAsia="楷体_GB2312"/>
          <w:b/>
          <w:sz w:val="32"/>
        </w:rPr>
        <w:t>（二）一般公共预算财政拨款支出决算结构情况</w:t>
      </w:r>
    </w:p>
    <w:p w14:paraId="19DD27CD">
      <w:pPr>
        <w:spacing w:line="580" w:lineRule="exact"/>
        <w:ind w:firstLine="640"/>
        <w:jc w:val="both"/>
      </w:pPr>
      <w:r>
        <w:rPr>
          <w:rFonts w:ascii="仿宋_GB2312" w:hAnsi="仿宋_GB2312" w:eastAsia="仿宋_GB2312"/>
          <w:b w:val="0"/>
          <w:sz w:val="32"/>
        </w:rPr>
        <w:t>1.一般公共服务支出(类)442.02万元,占80.37%。</w:t>
      </w:r>
    </w:p>
    <w:p w14:paraId="380402E9">
      <w:pPr>
        <w:spacing w:line="580" w:lineRule="exact"/>
        <w:ind w:firstLine="640"/>
        <w:jc w:val="both"/>
      </w:pPr>
      <w:r>
        <w:rPr>
          <w:rFonts w:ascii="仿宋_GB2312" w:hAnsi="仿宋_GB2312" w:eastAsia="仿宋_GB2312"/>
          <w:b w:val="0"/>
          <w:sz w:val="32"/>
        </w:rPr>
        <w:t>2.社会保障和就业支出(类)53.42万元,占9.71%。</w:t>
      </w:r>
    </w:p>
    <w:p w14:paraId="51C3E4E0">
      <w:pPr>
        <w:spacing w:line="580" w:lineRule="exact"/>
        <w:ind w:firstLine="640"/>
        <w:jc w:val="both"/>
      </w:pPr>
      <w:r>
        <w:rPr>
          <w:rFonts w:ascii="仿宋_GB2312" w:hAnsi="仿宋_GB2312" w:eastAsia="仿宋_GB2312"/>
          <w:b w:val="0"/>
          <w:sz w:val="32"/>
        </w:rPr>
        <w:t>3.卫生健康支出(类)17.63万元,占3.21%。</w:t>
      </w:r>
    </w:p>
    <w:p w14:paraId="5AD3DB02">
      <w:pPr>
        <w:spacing w:line="580" w:lineRule="exact"/>
        <w:ind w:firstLine="640"/>
        <w:jc w:val="both"/>
      </w:pPr>
      <w:r>
        <w:rPr>
          <w:rFonts w:ascii="仿宋_GB2312" w:hAnsi="仿宋_GB2312" w:eastAsia="仿宋_GB2312"/>
          <w:b w:val="0"/>
          <w:sz w:val="32"/>
        </w:rPr>
        <w:t>4.住房保障支出(类)33.71万元,占6.13%。</w:t>
      </w:r>
    </w:p>
    <w:p w14:paraId="3D707531">
      <w:pPr>
        <w:spacing w:line="580" w:lineRule="exact"/>
        <w:ind w:firstLine="640"/>
        <w:jc w:val="both"/>
      </w:pPr>
      <w:r>
        <w:rPr>
          <w:rFonts w:ascii="仿宋_GB2312" w:hAnsi="仿宋_GB2312" w:eastAsia="仿宋_GB2312"/>
          <w:b w:val="0"/>
          <w:sz w:val="32"/>
        </w:rPr>
        <w:t>5.其他支出(类)3.21万元,占0.58%。</w:t>
      </w:r>
    </w:p>
    <w:p w14:paraId="370BCCFF">
      <w:pPr>
        <w:spacing w:line="640" w:lineRule="exact"/>
        <w:ind w:firstLine="640"/>
        <w:jc w:val="both"/>
        <w:outlineLvl w:val="3"/>
      </w:pPr>
      <w:r>
        <w:rPr>
          <w:rFonts w:ascii="楷体_GB2312" w:hAnsi="楷体_GB2312" w:eastAsia="楷体_GB2312"/>
          <w:b/>
          <w:sz w:val="32"/>
        </w:rPr>
        <w:t>（三）一般公共预算财政拨款支出决算具体情况</w:t>
      </w:r>
    </w:p>
    <w:p w14:paraId="4B534BEB">
      <w:pPr>
        <w:spacing w:line="580" w:lineRule="exact"/>
        <w:ind w:firstLine="640"/>
        <w:jc w:val="both"/>
      </w:pPr>
      <w:r>
        <w:rPr>
          <w:rFonts w:ascii="仿宋_GB2312" w:hAnsi="仿宋_GB2312" w:eastAsia="仿宋_GB2312"/>
          <w:b w:val="0"/>
          <w:sz w:val="32"/>
        </w:rPr>
        <w:t>1.一般公共服务支出(类)政府办公厅（室）及相关机构事务(款)机关服务(项):支出决算数为442.02万元，比上年决算减少59.61万元，下降11.88%,主要原因是：本年功能科目调整，事业单位医疗，事业单位离退休，住房公积金上年度在主科目列支，本年单独列支，导致经费较上年减少。</w:t>
      </w:r>
    </w:p>
    <w:p w14:paraId="36ECB61A">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9.48万元，比上年决算增加9.48万元，增长100.00%,主要原因是：本年功能科目调整，事业单位离退休上年度在主科目列支，本年单独列支，导致经费较上年增加。</w:t>
      </w:r>
    </w:p>
    <w:p w14:paraId="3F6BD506">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43.94万元，比上年决算增加5.74万元，增长15.03%,主要原因是：本年在职人员工资基数调增，养老缴费基数上涨，相应支出增加。</w:t>
      </w:r>
    </w:p>
    <w:p w14:paraId="28096B45">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9.32万元，下降100.00%,主要原因是：本年退休人员职业年金次年做实，导致经费下降。</w:t>
      </w:r>
    </w:p>
    <w:p w14:paraId="06A7E03C">
      <w:pPr>
        <w:spacing w:line="580" w:lineRule="exact"/>
        <w:ind w:firstLine="640"/>
        <w:jc w:val="both"/>
      </w:pPr>
      <w:r>
        <w:rPr>
          <w:rFonts w:ascii="仿宋_GB2312" w:hAnsi="仿宋_GB2312" w:eastAsia="仿宋_GB2312"/>
          <w:b w:val="0"/>
          <w:sz w:val="32"/>
        </w:rPr>
        <w:t>5.卫生健康支出(类)行政事业单位医疗(款)事业单位医疗(项):支出决算数为17.63万元，比上年决算增加17.63万元，增长100.00%,主要原因是：本年功能科目调整，事业单位医疗支出上年度在主科目列支，本年单独列支，导致经费较上年增加。</w:t>
      </w:r>
    </w:p>
    <w:p w14:paraId="635AAB36">
      <w:pPr>
        <w:spacing w:line="580" w:lineRule="exact"/>
        <w:ind w:firstLine="640"/>
        <w:jc w:val="both"/>
      </w:pPr>
      <w:r>
        <w:rPr>
          <w:rFonts w:ascii="仿宋_GB2312" w:hAnsi="仿宋_GB2312" w:eastAsia="仿宋_GB2312"/>
          <w:b w:val="0"/>
          <w:sz w:val="32"/>
        </w:rPr>
        <w:t>6.住房保障支出(类)住房改革支出(款)住房公积金(项):支出决算数为33.71万元，比上年决算增加33.71万元，增长100.00%,主要原因是：本年功能科目调整，住房公积金上年度在主科目列支，本年单独列支，导致经费较上年增加。</w:t>
      </w:r>
    </w:p>
    <w:p w14:paraId="5DC9DD6F">
      <w:pPr>
        <w:spacing w:line="580" w:lineRule="exact"/>
        <w:ind w:firstLine="640"/>
        <w:jc w:val="both"/>
      </w:pPr>
      <w:r>
        <w:rPr>
          <w:rFonts w:ascii="仿宋_GB2312" w:hAnsi="仿宋_GB2312" w:eastAsia="仿宋_GB2312"/>
          <w:b w:val="0"/>
          <w:sz w:val="32"/>
        </w:rPr>
        <w:t>7.其他支出(类)其他支出(款)其他支出(项):支出决算数为3.21万元，比上年决算增加3.15万元，增长5,250.00%,主要原因是：本年增加为民办实事工作经费。</w:t>
      </w:r>
    </w:p>
    <w:p w14:paraId="19F9819D">
      <w:pPr>
        <w:spacing w:line="640" w:lineRule="exact"/>
        <w:ind w:firstLine="640"/>
        <w:jc w:val="both"/>
        <w:outlineLvl w:val="2"/>
      </w:pPr>
      <w:r>
        <w:rPr>
          <w:rFonts w:ascii="黑体" w:hAnsi="黑体" w:eastAsia="黑体"/>
          <w:sz w:val="32"/>
        </w:rPr>
        <w:t>六、一般公共预算财政拨款基本支出决算情况说明</w:t>
      </w:r>
    </w:p>
    <w:p w14:paraId="6A64CEC3">
      <w:pPr>
        <w:spacing w:line="580" w:lineRule="exact"/>
        <w:ind w:firstLine="640"/>
        <w:jc w:val="both"/>
      </w:pPr>
      <w:r>
        <w:rPr>
          <w:rFonts w:ascii="仿宋_GB2312" w:hAnsi="仿宋_GB2312" w:eastAsia="仿宋_GB2312"/>
          <w:b w:val="0"/>
          <w:sz w:val="32"/>
        </w:rPr>
        <w:t>2024年度一般公共预算财政拨款基本支出546.77万元，其中：</w:t>
      </w:r>
      <w:r>
        <w:rPr>
          <w:rFonts w:ascii="仿宋_GB2312" w:hAnsi="仿宋_GB2312" w:eastAsia="仿宋_GB2312"/>
          <w:b/>
          <w:sz w:val="32"/>
        </w:rPr>
        <w:t>人员经费401.40万元，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包括：基本工资、津贴补贴、绩效工资、机关事业单位基本养老保险缴费、职工基本医疗保险缴费、其他社会保障缴费、住房公积金、退休费、生活补助。</w:t>
      </w:r>
    </w:p>
    <w:p w14:paraId="3D4B69F7">
      <w:pPr>
        <w:spacing w:line="580" w:lineRule="exact"/>
        <w:ind w:firstLine="640"/>
        <w:jc w:val="both"/>
      </w:pPr>
      <w:r>
        <w:rPr>
          <w:rFonts w:ascii="仿宋_GB2312" w:hAnsi="仿宋_GB2312" w:eastAsia="仿宋_GB2312"/>
          <w:b/>
          <w:sz w:val="32"/>
        </w:rPr>
        <w:t>公用经费145.38万元，</w:t>
      </w:r>
      <w:r>
        <w:rPr>
          <w:rFonts w:ascii="仿宋_GB2312" w:hAnsi="仿宋_GB2312" w:eastAsia="仿宋_GB2312"/>
          <w:b w:val="0"/>
          <w:sz w:val="32"/>
        </w:rPr>
        <w:t>包括：水费、取暖费、公务接待费。</w:t>
      </w:r>
    </w:p>
    <w:p w14:paraId="25C0EDBA">
      <w:pPr>
        <w:spacing w:line="640" w:lineRule="exact"/>
        <w:ind w:firstLine="640"/>
        <w:jc w:val="both"/>
        <w:outlineLvl w:val="2"/>
      </w:pPr>
      <w:r>
        <w:rPr>
          <w:rFonts w:ascii="黑体" w:hAnsi="黑体" w:eastAsia="黑体"/>
          <w:sz w:val="32"/>
        </w:rPr>
        <w:t>七、政府性基金预算财政拨款收入支出决算情况说明</w:t>
      </w:r>
    </w:p>
    <w:p w14:paraId="5AD9352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D74F1EF">
      <w:pPr>
        <w:spacing w:line="640" w:lineRule="exact"/>
        <w:ind w:firstLine="640"/>
        <w:jc w:val="both"/>
        <w:outlineLvl w:val="2"/>
      </w:pPr>
      <w:r>
        <w:rPr>
          <w:rFonts w:ascii="黑体" w:hAnsi="黑体" w:eastAsia="黑体"/>
          <w:sz w:val="32"/>
        </w:rPr>
        <w:t>八、国有资本经营预算财政拨款收入支出决算情况说明</w:t>
      </w:r>
    </w:p>
    <w:p w14:paraId="29A67AA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DC13132">
      <w:pPr>
        <w:spacing w:line="640" w:lineRule="exact"/>
        <w:ind w:firstLine="640"/>
        <w:jc w:val="both"/>
        <w:outlineLvl w:val="2"/>
      </w:pPr>
      <w:r>
        <w:rPr>
          <w:rFonts w:ascii="黑体" w:hAnsi="黑体" w:eastAsia="黑体"/>
          <w:sz w:val="32"/>
        </w:rPr>
        <w:t>九、财政拨款“三公”经费支出决算情况说明</w:t>
      </w:r>
    </w:p>
    <w:p w14:paraId="2C90ED42">
      <w:pPr>
        <w:spacing w:line="580" w:lineRule="exact"/>
        <w:ind w:firstLine="640"/>
        <w:jc w:val="both"/>
      </w:pPr>
      <w:r>
        <w:rPr>
          <w:rFonts w:ascii="仿宋_GB2312" w:hAnsi="仿宋_GB2312" w:eastAsia="仿宋_GB2312"/>
          <w:b/>
          <w:sz w:val="32"/>
        </w:rPr>
        <w:t>2024年度财政拨款“三公”经费支出124.32万元，</w:t>
      </w:r>
      <w:r>
        <w:rPr>
          <w:rFonts w:ascii="仿宋_GB2312" w:hAnsi="仿宋_GB2312" w:eastAsia="仿宋_GB2312"/>
          <w:b w:val="0"/>
          <w:sz w:val="32"/>
        </w:rPr>
        <w:t>比上年增加4.32万元，增长3.60%，主要原因是：本年因业务需求，增加公务接待工作，导致公务接待费较上年增加。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124.32万元，占100.00%，比上年增加4.32万元，增长3.60%，主要原因是：本年因业务需求，增加公务接待工作，导致公务接待费较上年增加。</w:t>
      </w:r>
    </w:p>
    <w:p w14:paraId="6DAF352D">
      <w:pPr>
        <w:spacing w:line="580" w:lineRule="exact"/>
        <w:ind w:firstLine="640"/>
        <w:jc w:val="both"/>
      </w:pPr>
      <w:r>
        <w:rPr>
          <w:rFonts w:ascii="仿宋_GB2312" w:hAnsi="仿宋_GB2312" w:eastAsia="仿宋_GB2312"/>
          <w:b/>
          <w:sz w:val="32"/>
        </w:rPr>
        <w:t>具体情况如下：</w:t>
      </w:r>
    </w:p>
    <w:p w14:paraId="59EE18C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D21112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待报废车辆，未产生费用。</w:t>
      </w:r>
    </w:p>
    <w:p w14:paraId="6F87764C">
      <w:pPr>
        <w:spacing w:line="580" w:lineRule="exact"/>
        <w:ind w:firstLine="640"/>
        <w:jc w:val="both"/>
      </w:pPr>
      <w:r>
        <w:rPr>
          <w:rFonts w:ascii="仿宋_GB2312" w:hAnsi="仿宋_GB2312" w:eastAsia="仿宋_GB2312"/>
          <w:b w:val="0"/>
          <w:sz w:val="32"/>
        </w:rPr>
        <w:t>公务接待费124.32万元，开支内容包括因业务量增加，接待上级领导检查产生的就餐费。单位全年安排的国内公务接待367批次，8,300人次。</w:t>
      </w:r>
    </w:p>
    <w:p w14:paraId="052AE27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124.32万元，决算数124.32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124.32万元，决算数124.32万元，预决算差异率0.00%，主要原因是：严格按照预算执行，预决算无差异。</w:t>
      </w:r>
    </w:p>
    <w:p w14:paraId="14E13120">
      <w:pPr>
        <w:spacing w:line="640" w:lineRule="exact"/>
        <w:ind w:firstLine="640"/>
        <w:jc w:val="both"/>
        <w:outlineLvl w:val="2"/>
      </w:pPr>
      <w:r>
        <w:rPr>
          <w:rFonts w:ascii="黑体" w:hAnsi="黑体" w:eastAsia="黑体"/>
          <w:sz w:val="32"/>
        </w:rPr>
        <w:t>十、其他重要事项的情况说明</w:t>
      </w:r>
    </w:p>
    <w:p w14:paraId="79862EE1">
      <w:pPr>
        <w:spacing w:line="640" w:lineRule="exact"/>
        <w:ind w:firstLine="640"/>
        <w:jc w:val="both"/>
        <w:outlineLvl w:val="3"/>
      </w:pPr>
      <w:r>
        <w:rPr>
          <w:rFonts w:ascii="楷体_GB2312" w:hAnsi="楷体_GB2312" w:eastAsia="楷体_GB2312"/>
          <w:b/>
          <w:sz w:val="32"/>
        </w:rPr>
        <w:t>（一）机关运行经费及公用经费支出情况</w:t>
      </w:r>
    </w:p>
    <w:p w14:paraId="51B8B0A4">
      <w:pPr>
        <w:spacing w:line="580" w:lineRule="exact"/>
        <w:ind w:firstLine="640"/>
        <w:jc w:val="both"/>
      </w:pPr>
      <w:r>
        <w:rPr>
          <w:rFonts w:ascii="仿宋_GB2312" w:hAnsi="仿宋_GB2312" w:eastAsia="仿宋_GB2312"/>
          <w:b w:val="0"/>
          <w:sz w:val="32"/>
        </w:rPr>
        <w:t>2024年度洛浦县后勤服务中心（招待所）（事业单位）公用经费支出145.38万元，比上年增加4.28万元，增长3.03%，主要原因是：本年业务量增加，公务接待费增加，公用经费增加。</w:t>
      </w:r>
    </w:p>
    <w:p w14:paraId="12C3E636">
      <w:pPr>
        <w:spacing w:line="640" w:lineRule="exact"/>
        <w:ind w:firstLine="640"/>
        <w:jc w:val="both"/>
        <w:outlineLvl w:val="3"/>
      </w:pPr>
      <w:r>
        <w:rPr>
          <w:rFonts w:ascii="楷体_GB2312" w:hAnsi="楷体_GB2312" w:eastAsia="楷体_GB2312"/>
          <w:b/>
          <w:sz w:val="32"/>
        </w:rPr>
        <w:t>（二）政府采购情况</w:t>
      </w:r>
    </w:p>
    <w:p w14:paraId="305A3D1E">
      <w:pPr>
        <w:spacing w:line="580" w:lineRule="exact"/>
        <w:ind w:firstLine="640"/>
        <w:jc w:val="both"/>
      </w:pPr>
      <w:r>
        <w:rPr>
          <w:rFonts w:ascii="仿宋_GB2312" w:hAnsi="仿宋_GB2312" w:eastAsia="仿宋_GB2312"/>
          <w:b w:val="0"/>
          <w:sz w:val="32"/>
        </w:rPr>
        <w:t>2024年度政府采购支出总额0.70万元，其中：政府采购货物支出0.70万元、政府采购工程支出0.00万元、政府采购服务支出0.00万元。</w:t>
      </w:r>
    </w:p>
    <w:p w14:paraId="46A325CD">
      <w:pPr>
        <w:spacing w:line="580" w:lineRule="exact"/>
        <w:ind w:firstLine="640"/>
        <w:jc w:val="both"/>
      </w:pPr>
      <w:r>
        <w:rPr>
          <w:rFonts w:ascii="仿宋_GB2312" w:hAnsi="仿宋_GB2312" w:eastAsia="仿宋_GB2312"/>
          <w:b w:val="0"/>
          <w:sz w:val="32"/>
        </w:rPr>
        <w:t>授予中小企业合同金额0.70万元，占政府采购支出总额的100.00%，其中：授予小微企业合同金额0.70万元，占政府采购支出总额的100.00%。</w:t>
      </w:r>
    </w:p>
    <w:p w14:paraId="6202E11A">
      <w:pPr>
        <w:spacing w:line="640" w:lineRule="exact"/>
        <w:ind w:firstLine="640"/>
        <w:jc w:val="both"/>
        <w:outlineLvl w:val="3"/>
      </w:pPr>
      <w:r>
        <w:rPr>
          <w:rFonts w:ascii="楷体_GB2312" w:hAnsi="楷体_GB2312" w:eastAsia="楷体_GB2312"/>
          <w:b/>
          <w:sz w:val="32"/>
        </w:rPr>
        <w:t>（三）国有资产占用情况说明</w:t>
      </w:r>
    </w:p>
    <w:p w14:paraId="1F4A1C3B">
      <w:pPr>
        <w:spacing w:line="580" w:lineRule="exact"/>
        <w:ind w:firstLine="640"/>
        <w:jc w:val="both"/>
      </w:pPr>
      <w:r>
        <w:rPr>
          <w:rFonts w:ascii="仿宋_GB2312" w:hAnsi="仿宋_GB2312" w:eastAsia="仿宋_GB2312"/>
          <w:b w:val="0"/>
          <w:sz w:val="32"/>
        </w:rPr>
        <w:t>截至2024年12月31日，房屋565.67平方米，价值138.58万元。车辆1辆，价值11.38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48B6C6AE">
      <w:pPr>
        <w:spacing w:line="640" w:lineRule="exact"/>
        <w:ind w:firstLine="640"/>
        <w:jc w:val="both"/>
        <w:outlineLvl w:val="2"/>
      </w:pPr>
      <w:r>
        <w:rPr>
          <w:rFonts w:ascii="黑体" w:hAnsi="黑体" w:eastAsia="黑体"/>
          <w:sz w:val="32"/>
        </w:rPr>
        <w:t>十一、预算绩效的情况说明</w:t>
      </w:r>
    </w:p>
    <w:p w14:paraId="0C6582A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根据预算绩效管理要求，本单位2024年度预算绩效管理形成整体支出绩效自评表1个，全年预算总额555.16万元，实际执行总额555.16万元；预算绩效评价项目</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8.39</w:t>
      </w:r>
      <w:r>
        <w:rPr>
          <w:rFonts w:ascii="仿宋_GB2312" w:hAnsi="仿宋_GB2312" w:eastAsia="仿宋_GB2312"/>
          <w:b w:val="0"/>
          <w:sz w:val="32"/>
        </w:rPr>
        <w:t>万元，全年执行数</w:t>
      </w:r>
      <w:r>
        <w:rPr>
          <w:rFonts w:hint="eastAsia" w:ascii="仿宋_GB2312" w:hAnsi="仿宋_GB2312" w:eastAsia="仿宋_GB2312"/>
          <w:b w:val="0"/>
          <w:sz w:val="32"/>
          <w:lang w:val="en-US" w:eastAsia="zh-CN"/>
        </w:rPr>
        <w:t>8.39</w:t>
      </w:r>
      <w:r>
        <w:rPr>
          <w:rFonts w:ascii="仿宋_GB2312" w:hAnsi="仿宋_GB2312" w:eastAsia="仿宋_GB2312"/>
          <w:b w:val="0"/>
          <w:sz w:val="32"/>
        </w:rPr>
        <w:t>万元。预算绩效管理取得的成效：1.本项目实施效果较好的原因主要是管理制度完善、责任落实到位，跟踪考核机制完善且运行有效，在项目实施过程中创新管理办法，使项目取得了良好的效果。2.管理制度健全性，本单位为加强预算管理，规范财务行为，已制定《洛浦县后勤服务中心预算绩效管理工作实施办法》，《洛浦县后勤服务中心财务管理制度》等健全完整的各项管理制度，有效保障了我单位</w:t>
      </w:r>
      <w:r>
        <w:rPr>
          <w:rFonts w:hint="eastAsia" w:ascii="仿宋_GB2312" w:hAnsi="仿宋_GB2312" w:eastAsia="仿宋_GB2312"/>
          <w:b w:val="0"/>
          <w:sz w:val="32"/>
          <w:lang w:eastAsia="zh-CN"/>
        </w:rPr>
        <w:t>高效地</w:t>
      </w:r>
      <w:r>
        <w:rPr>
          <w:rFonts w:ascii="仿宋_GB2312" w:hAnsi="仿宋_GB2312" w:eastAsia="仿宋_GB2312"/>
          <w:b w:val="0"/>
          <w:sz w:val="32"/>
        </w:rPr>
        <w:t>履行工作职能，较</w:t>
      </w:r>
      <w:r>
        <w:rPr>
          <w:rFonts w:hint="eastAsia" w:ascii="仿宋_GB2312" w:hAnsi="仿宋_GB2312" w:eastAsia="仿宋_GB2312"/>
          <w:b w:val="0"/>
          <w:sz w:val="32"/>
          <w:lang w:eastAsia="zh-CN"/>
        </w:rPr>
        <w:t>好地</w:t>
      </w:r>
      <w:r>
        <w:rPr>
          <w:rFonts w:ascii="仿宋_GB2312" w:hAnsi="仿宋_GB2312" w:eastAsia="仿宋_GB2312"/>
          <w:b w:val="0"/>
          <w:sz w:val="32"/>
        </w:rPr>
        <w:t>促进事业发展。3.资金使</w:t>
      </w:r>
      <w:r>
        <w:rPr>
          <w:rFonts w:hint="eastAsia" w:ascii="仿宋_GB2312" w:hAnsi="仿宋_GB2312" w:eastAsia="仿宋_GB2312"/>
          <w:b w:val="0"/>
          <w:sz w:val="32"/>
          <w:lang w:eastAsia="zh-CN"/>
        </w:rPr>
        <w:t>用的</w:t>
      </w:r>
      <w:r>
        <w:rPr>
          <w:rFonts w:ascii="仿宋_GB2312" w:hAnsi="仿宋_GB2312" w:eastAsia="仿宋_GB2312"/>
          <w:b w:val="0"/>
          <w:sz w:val="32"/>
        </w:rPr>
        <w:t>合规性和安全性，部门预算资金使用符合国家法规和财务管理制度；预算资金拨付有完整的审批程序和手续，符合项目预算批复或合同规定的用途；不存在截留、挤占、挪用、虚列支出等情况，确保我单位预算资金规范运行。发现的问题及原因：1</w:t>
      </w:r>
      <w:r>
        <w:rPr>
          <w:rFonts w:hint="eastAsia" w:ascii="仿宋_GB2312" w:hAnsi="仿宋_GB2312" w:eastAsia="仿宋_GB2312"/>
          <w:b w:val="0"/>
          <w:sz w:val="32"/>
          <w:lang w:val="en-US" w:eastAsia="zh-CN"/>
        </w:rPr>
        <w:t>.</w:t>
      </w:r>
      <w:r>
        <w:rPr>
          <w:rFonts w:ascii="仿宋_GB2312" w:hAnsi="仿宋_GB2312" w:eastAsia="仿宋_GB2312"/>
          <w:b w:val="0"/>
          <w:sz w:val="32"/>
        </w:rPr>
        <w:t>执行方面：不断强化预算意识，并结合工作实际，进行科学合理分配细化，及时跟踪项目预算执行进度，科学合理安排支出，降低支出的波动幅度。2</w:t>
      </w:r>
      <w:r>
        <w:rPr>
          <w:rFonts w:hint="eastAsia" w:ascii="仿宋_GB2312" w:hAnsi="仿宋_GB2312" w:eastAsia="仿宋_GB2312"/>
          <w:b w:val="0"/>
          <w:sz w:val="32"/>
          <w:lang w:val="en-US" w:eastAsia="zh-CN"/>
        </w:rPr>
        <w:t>.</w:t>
      </w:r>
      <w:r>
        <w:rPr>
          <w:rFonts w:ascii="仿宋_GB2312" w:hAnsi="仿宋_GB2312" w:eastAsia="仿宋_GB2312"/>
          <w:b w:val="0"/>
          <w:sz w:val="32"/>
        </w:rPr>
        <w:t>完善制度保障方面：健全完善内控制度，全面梳理业务流程，明确业务环节，确保资金安全、合理、有效使用，最大限度发挥财政资金使用效益。3</w:t>
      </w:r>
      <w:r>
        <w:rPr>
          <w:rFonts w:hint="eastAsia" w:ascii="仿宋_GB2312" w:hAnsi="仿宋_GB2312" w:eastAsia="仿宋_GB2312"/>
          <w:b w:val="0"/>
          <w:sz w:val="32"/>
          <w:lang w:val="en-US" w:eastAsia="zh-CN"/>
        </w:rPr>
        <w:t>.</w:t>
      </w:r>
      <w:r>
        <w:rPr>
          <w:rFonts w:ascii="仿宋_GB2312" w:hAnsi="仿宋_GB2312" w:eastAsia="仿宋_GB2312"/>
          <w:b w:val="0"/>
          <w:sz w:val="32"/>
        </w:rPr>
        <w:t>项目管理及实施方面：严格执行项目支出预算，积极推进项目实施。加强对预算执行过程的控制和结果的反馈，对预算执行差异及时分析成因和影响，并及时向领导进行反馈，以采取措施纠正执行偏差，促进预算目标的全面完成。下一步改进措施：1.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w:t>
      </w:r>
      <w:r>
        <w:rPr>
          <w:rFonts w:hint="eastAsia" w:ascii="仿宋_GB2312" w:hAnsi="仿宋_GB2312" w:eastAsia="仿宋_GB2312"/>
          <w:b w:val="0"/>
          <w:sz w:val="32"/>
          <w:lang w:val="en-US" w:eastAsia="zh-CN"/>
        </w:rPr>
        <w:t>2.</w:t>
      </w:r>
      <w:r>
        <w:rPr>
          <w:rFonts w:ascii="仿宋_GB2312" w:hAnsi="仿宋_GB2312" w:eastAsia="仿宋_GB2312"/>
          <w:b w:val="0"/>
          <w:sz w:val="32"/>
        </w:rPr>
        <w:t>进一步完善项目申报、审核、公示、审批等程序，严格审核切实做好项目信息公开，公开内容要及时、完整、真实，确保项目公平、公开、公正。3.健全制度，加强督促。针对项目实施中存在的问题，进一步完善相关制度，加强督促检查，确保质量安全和建设进度；同时及时完善资料。具体附整体支出绩效自评表，项目支出绩效自评表。</w:t>
      </w:r>
    </w:p>
    <w:p w14:paraId="033E802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CE10AAE">
        <w:tblPrEx>
          <w:tblCellMar>
            <w:top w:w="0" w:type="dxa"/>
            <w:left w:w="108" w:type="dxa"/>
            <w:bottom w:w="0" w:type="dxa"/>
            <w:right w:w="108" w:type="dxa"/>
          </w:tblCellMar>
        </w:tblPrEx>
        <w:tc>
          <w:tcPr>
            <w:tcW w:w="8847" w:type="dxa"/>
            <w:gridSpan w:val="9"/>
            <w:vAlign w:val="center"/>
          </w:tcPr>
          <w:p w14:paraId="03DF7BAC">
            <w:pPr>
              <w:jc w:val="center"/>
            </w:pPr>
            <w:r>
              <w:rPr>
                <w:rFonts w:ascii="宋体" w:hAnsi="宋体" w:eastAsia="宋体"/>
                <w:sz w:val="24"/>
              </w:rPr>
              <w:t>单位整体支出绩效自评表</w:t>
            </w:r>
          </w:p>
        </w:tc>
      </w:tr>
      <w:tr w14:paraId="08752096">
        <w:tblPrEx>
          <w:tblCellMar>
            <w:top w:w="0" w:type="dxa"/>
            <w:left w:w="108" w:type="dxa"/>
            <w:bottom w:w="0" w:type="dxa"/>
            <w:right w:w="108" w:type="dxa"/>
          </w:tblCellMar>
        </w:tblPrEx>
        <w:tc>
          <w:tcPr>
            <w:tcW w:w="8847" w:type="dxa"/>
            <w:gridSpan w:val="9"/>
            <w:vAlign w:val="center"/>
          </w:tcPr>
          <w:p w14:paraId="404E8670">
            <w:pPr>
              <w:jc w:val="center"/>
            </w:pPr>
            <w:r>
              <w:rPr>
                <w:rFonts w:ascii="宋体" w:hAnsi="宋体" w:eastAsia="宋体"/>
                <w:sz w:val="24"/>
              </w:rPr>
              <w:t>（2024年度）</w:t>
            </w:r>
          </w:p>
        </w:tc>
      </w:tr>
      <w:tr w14:paraId="54EAEB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2BC8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3CFBF0">
            <w:pPr>
              <w:jc w:val="center"/>
            </w:pPr>
            <w:r>
              <w:rPr>
                <w:rFonts w:ascii="宋体" w:hAnsi="宋体" w:eastAsia="宋体"/>
                <w:sz w:val="16"/>
              </w:rPr>
              <w:t>洛浦县后勤服务中心（招待所）</w:t>
            </w:r>
          </w:p>
        </w:tc>
      </w:tr>
      <w:tr w14:paraId="0D514F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89B22">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AE1D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D4A5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596D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F920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B9B2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B9B5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714F9">
            <w:pPr>
              <w:jc w:val="center"/>
            </w:pPr>
            <w:r>
              <w:rPr>
                <w:rFonts w:ascii="宋体" w:hAnsi="宋体" w:eastAsia="宋体"/>
                <w:sz w:val="16"/>
              </w:rPr>
              <w:t>得分</w:t>
            </w:r>
          </w:p>
        </w:tc>
      </w:tr>
      <w:tr w14:paraId="5C5456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F5B49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5773C">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04D78">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B64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5B3C5">
            <w:pPr>
              <w:jc w:val="center"/>
            </w:pPr>
            <w:r>
              <w:rPr>
                <w:rFonts w:ascii="宋体" w:hAnsi="宋体" w:eastAsia="宋体"/>
                <w:sz w:val="16"/>
              </w:rPr>
              <w:t>3.21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7468A">
            <w:pPr>
              <w:jc w:val="center"/>
            </w:pPr>
            <w:r>
              <w:rPr>
                <w:rFonts w:ascii="宋体" w:hAnsi="宋体" w:eastAsia="宋体"/>
                <w:sz w:val="16"/>
              </w:rPr>
              <w:t>3.21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C5D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7C2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94A15">
            <w:pPr>
              <w:jc w:val="center"/>
            </w:pPr>
            <w:r>
              <w:rPr>
                <w:rFonts w:ascii="宋体" w:hAnsi="宋体" w:eastAsia="宋体"/>
                <w:sz w:val="16"/>
              </w:rPr>
              <w:t>-</w:t>
            </w:r>
          </w:p>
        </w:tc>
      </w:tr>
      <w:tr w14:paraId="412753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94B7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051D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4093E">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E062C">
            <w:pPr>
              <w:jc w:val="center"/>
            </w:pPr>
            <w:r>
              <w:rPr>
                <w:rFonts w:ascii="宋体" w:hAnsi="宋体" w:eastAsia="宋体"/>
                <w:sz w:val="16"/>
              </w:rPr>
              <w:t>552.20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5FA62">
            <w:pPr>
              <w:jc w:val="center"/>
            </w:pPr>
            <w:r>
              <w:rPr>
                <w:rFonts w:ascii="宋体" w:hAnsi="宋体" w:eastAsia="宋体"/>
                <w:sz w:val="16"/>
              </w:rPr>
              <w:t>551.95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AFCE9">
            <w:pPr>
              <w:jc w:val="center"/>
            </w:pPr>
            <w:r>
              <w:rPr>
                <w:rFonts w:ascii="宋体" w:hAnsi="宋体" w:eastAsia="宋体"/>
                <w:sz w:val="16"/>
              </w:rPr>
              <w:t>551.95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B27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A4D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97F01">
            <w:pPr>
              <w:jc w:val="center"/>
            </w:pPr>
            <w:r>
              <w:rPr>
                <w:rFonts w:ascii="宋体" w:hAnsi="宋体" w:eastAsia="宋体"/>
                <w:sz w:val="16"/>
              </w:rPr>
              <w:t>-</w:t>
            </w:r>
          </w:p>
        </w:tc>
      </w:tr>
      <w:tr w14:paraId="13DBDB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8C1E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063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1B61C">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36F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3CD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F3F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72D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ECC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807CE">
            <w:pPr>
              <w:jc w:val="center"/>
            </w:pPr>
            <w:r>
              <w:rPr>
                <w:rFonts w:ascii="宋体" w:hAnsi="宋体" w:eastAsia="宋体"/>
                <w:sz w:val="16"/>
              </w:rPr>
              <w:t>-</w:t>
            </w:r>
          </w:p>
        </w:tc>
      </w:tr>
      <w:tr w14:paraId="01CE8F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1D9E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5E50A">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02B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D7643">
            <w:pPr>
              <w:jc w:val="center"/>
            </w:pPr>
            <w:r>
              <w:rPr>
                <w:rFonts w:ascii="宋体" w:hAnsi="宋体" w:eastAsia="宋体"/>
                <w:sz w:val="16"/>
              </w:rPr>
              <w:t>552.20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C8AFB">
            <w:pPr>
              <w:jc w:val="center"/>
            </w:pPr>
            <w:r>
              <w:rPr>
                <w:rFonts w:ascii="宋体" w:hAnsi="宋体" w:eastAsia="宋体"/>
                <w:sz w:val="16"/>
              </w:rPr>
              <w:t>555.16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BF253">
            <w:pPr>
              <w:jc w:val="center"/>
            </w:pPr>
            <w:r>
              <w:rPr>
                <w:rFonts w:ascii="宋体" w:hAnsi="宋体" w:eastAsia="宋体"/>
                <w:sz w:val="16"/>
              </w:rPr>
              <w:t>555.16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191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C6061">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219A0">
            <w:pPr>
              <w:jc w:val="center"/>
            </w:pPr>
            <w:r>
              <w:rPr>
                <w:rFonts w:ascii="宋体" w:hAnsi="宋体" w:eastAsia="宋体"/>
                <w:sz w:val="16"/>
              </w:rPr>
              <w:t>10</w:t>
            </w:r>
          </w:p>
        </w:tc>
      </w:tr>
      <w:tr w14:paraId="1BEE303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037AC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C6DF5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81B6A1">
            <w:pPr>
              <w:jc w:val="center"/>
            </w:pPr>
            <w:r>
              <w:rPr>
                <w:rFonts w:ascii="宋体" w:hAnsi="宋体" w:eastAsia="宋体"/>
                <w:sz w:val="16"/>
              </w:rPr>
              <w:t>实际完成情况</w:t>
            </w:r>
          </w:p>
        </w:tc>
      </w:tr>
      <w:tr w14:paraId="4420BC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C1B4F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522954">
            <w:pPr>
              <w:jc w:val="both"/>
            </w:pPr>
            <w:r>
              <w:rPr>
                <w:rFonts w:ascii="宋体" w:hAnsi="宋体" w:eastAsia="宋体"/>
                <w:sz w:val="16"/>
              </w:rPr>
              <w:t>单位基本职能：1、洛浦县后勤服务</w:t>
            </w:r>
            <w:r>
              <w:rPr>
                <w:rFonts w:hint="eastAsia" w:ascii="宋体" w:hAnsi="宋体"/>
                <w:sz w:val="16"/>
                <w:lang w:eastAsia="zh-CN"/>
              </w:rPr>
              <w:t>中心</w:t>
            </w:r>
            <w:r>
              <w:rPr>
                <w:rFonts w:ascii="宋体" w:hAnsi="宋体" w:eastAsia="宋体"/>
                <w:sz w:val="16"/>
              </w:rPr>
              <w:t xml:space="preserve">是县委、县政府的接待单 位，工作必须紧紧围绕县委、县政府下达的指令，为了更 好地适应新形势下接待工作的需要，我中心不断更新思 想观念，积极跳出狭隘封闭的“小接待”圈子，不断改 进工作方法，提前考虑，统筹谋划，牢牢掌握接待工作 的主动权。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2、严格按照县委、县政府规定的标准执行，既保证了接待 工作的圆满完成，又节省了支出，我洛浦会务接待中心 从各方面考虑节约成本和费用支出，加大员工的培训力 度，增加了中心的硬件设施，为提高洛浦县的公务接待 做出了一份贡献。</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机构设置及人员配置：洛浦县后勤服务中心无科室，编制数32，实有人数32人，在职25人，退休7人。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中长期规划：1.严格执行规章制度和后勤服务保障，降低用餐标准提高用餐质量。2.加大对外经营宣传力度，提高服务质量积极寻找新的创收途径。3.加强队伍建设，培养后备人才。</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目标1：保障单位在职25人，退休8人的工资福利及各项补助正常发放及部门正常运转；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目标2：保障单位预算正常运转，不断提高接待服务水平和菜品质量，有效提升后勤保障能力，持续保障县委、县政府正常运转，使受益群众满意度95%以上，工作人员满意度达到95%以上。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7F389F">
            <w:pPr>
              <w:jc w:val="both"/>
            </w:pPr>
            <w:r>
              <w:rPr>
                <w:rFonts w:ascii="宋体" w:hAnsi="宋体" w:eastAsia="宋体"/>
                <w:sz w:val="16"/>
              </w:rPr>
              <w:t>已完成保障单位在职24人，退休9人的工资福利及各项补助正常发放及部门正常运转；完成开展岗位培训4次，全年接待367批次，后勤保障服务工作3项，本年度不断提高接待服务水平和菜品质量，有效提升后勤保障能力，持续保障县委、县政府正常运转，使受益群众满意度100%，工作人员满意度达到100%。</w:t>
            </w:r>
          </w:p>
        </w:tc>
      </w:tr>
      <w:tr w14:paraId="4D95C7C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0843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44D69">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ECB8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61323">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5443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D049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3526A">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79F94">
            <w:pPr>
              <w:jc w:val="center"/>
            </w:pPr>
            <w:r>
              <w:rPr>
                <w:rFonts w:ascii="宋体" w:hAnsi="宋体" w:eastAsia="宋体"/>
                <w:sz w:val="16"/>
              </w:rPr>
              <w:t>得分</w:t>
            </w:r>
          </w:p>
        </w:tc>
      </w:tr>
      <w:tr w14:paraId="042D33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A94D9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C4B8F">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D9EC2">
            <w:pPr>
              <w:jc w:val="center"/>
            </w:pPr>
            <w:r>
              <w:rPr>
                <w:rFonts w:ascii="宋体" w:hAnsi="宋体" w:eastAsia="宋体"/>
                <w:sz w:val="16"/>
              </w:rPr>
              <w:t>开展职工岗位培训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38F92">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F07A9">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4BB36">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B967E">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FE93D">
            <w:pPr>
              <w:jc w:val="center"/>
            </w:pPr>
            <w:r>
              <w:rPr>
                <w:rFonts w:ascii="宋体" w:hAnsi="宋体" w:eastAsia="宋体"/>
                <w:sz w:val="16"/>
              </w:rPr>
              <w:t>30</w:t>
            </w:r>
          </w:p>
        </w:tc>
      </w:tr>
      <w:tr w14:paraId="788D19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E1B6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4630F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A21D1">
            <w:pPr>
              <w:jc w:val="center"/>
            </w:pPr>
            <w:r>
              <w:rPr>
                <w:rFonts w:ascii="宋体" w:hAnsi="宋体" w:eastAsia="宋体"/>
                <w:sz w:val="16"/>
              </w:rPr>
              <w:t>全年接待批次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FB12D">
            <w:pPr>
              <w:jc w:val="center"/>
            </w:pPr>
            <w:r>
              <w:rPr>
                <w:rFonts w:ascii="宋体" w:hAnsi="宋体" w:eastAsia="宋体"/>
                <w:sz w:val="16"/>
              </w:rPr>
              <w:t>&gt;=328批次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B9C1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09C8E">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8F394">
            <w:pPr>
              <w:jc w:val="center"/>
            </w:pPr>
            <w:r>
              <w:rPr>
                <w:rFonts w:ascii="宋体" w:hAnsi="宋体" w:eastAsia="宋体"/>
                <w:sz w:val="16"/>
              </w:rPr>
              <w:t>367批次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1CF04">
            <w:pPr>
              <w:jc w:val="center"/>
            </w:pPr>
            <w:r>
              <w:rPr>
                <w:rFonts w:ascii="宋体" w:hAnsi="宋体" w:eastAsia="宋体"/>
                <w:sz w:val="16"/>
              </w:rPr>
              <w:t>30</w:t>
            </w:r>
          </w:p>
        </w:tc>
      </w:tr>
      <w:tr w14:paraId="7F7C17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F875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9DB91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1F101">
            <w:pPr>
              <w:jc w:val="center"/>
            </w:pPr>
            <w:r>
              <w:rPr>
                <w:rFonts w:ascii="宋体" w:hAnsi="宋体" w:eastAsia="宋体"/>
                <w:sz w:val="16"/>
              </w:rPr>
              <w:t>拓展宣传单位线上app</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32278">
            <w:pPr>
              <w:jc w:val="center"/>
            </w:pPr>
            <w:r>
              <w:rPr>
                <w:rFonts w:ascii="宋体" w:hAnsi="宋体" w:eastAsia="宋体"/>
                <w:sz w:val="16"/>
              </w:rPr>
              <w:t>=3项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12E3C">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F9214">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5CC66">
            <w:pPr>
              <w:jc w:val="center"/>
            </w:pPr>
            <w:r>
              <w:rPr>
                <w:rFonts w:ascii="宋体" w:hAnsi="宋体" w:eastAsia="宋体"/>
                <w:sz w:val="16"/>
              </w:rPr>
              <w:t>3项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E109F">
            <w:pPr>
              <w:jc w:val="center"/>
            </w:pPr>
            <w:r>
              <w:rPr>
                <w:rFonts w:ascii="宋体" w:hAnsi="宋体" w:eastAsia="宋体"/>
                <w:sz w:val="16"/>
              </w:rPr>
              <w:t>30</w:t>
            </w:r>
          </w:p>
        </w:tc>
      </w:tr>
    </w:tbl>
    <w:p w14:paraId="7A02BBF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674"/>
        <w:gridCol w:w="1427"/>
        <w:gridCol w:w="848"/>
        <w:gridCol w:w="983"/>
        <w:gridCol w:w="983"/>
        <w:gridCol w:w="983"/>
        <w:gridCol w:w="983"/>
      </w:tblGrid>
      <w:tr w14:paraId="366BEDEC">
        <w:tblPrEx>
          <w:tblCellMar>
            <w:top w:w="0" w:type="dxa"/>
            <w:left w:w="108" w:type="dxa"/>
            <w:bottom w:w="0" w:type="dxa"/>
            <w:right w:w="108" w:type="dxa"/>
          </w:tblCellMar>
        </w:tblPrEx>
        <w:tc>
          <w:tcPr>
            <w:tcW w:w="8847" w:type="dxa"/>
            <w:gridSpan w:val="9"/>
            <w:vAlign w:val="center"/>
          </w:tcPr>
          <w:p w14:paraId="1208930A">
            <w:pPr>
              <w:jc w:val="center"/>
            </w:pPr>
            <w:r>
              <w:rPr>
                <w:rFonts w:ascii="宋体" w:hAnsi="宋体" w:eastAsia="宋体"/>
                <w:sz w:val="24"/>
              </w:rPr>
              <w:t>项目支出绩效自评表</w:t>
            </w:r>
          </w:p>
        </w:tc>
      </w:tr>
      <w:tr w14:paraId="7686CC3D">
        <w:tblPrEx>
          <w:tblCellMar>
            <w:top w:w="0" w:type="dxa"/>
            <w:left w:w="108" w:type="dxa"/>
            <w:bottom w:w="0" w:type="dxa"/>
            <w:right w:w="108" w:type="dxa"/>
          </w:tblCellMar>
        </w:tblPrEx>
        <w:tc>
          <w:tcPr>
            <w:tcW w:w="8847" w:type="dxa"/>
            <w:gridSpan w:val="9"/>
            <w:vAlign w:val="center"/>
          </w:tcPr>
          <w:p w14:paraId="03FDE5B3">
            <w:pPr>
              <w:jc w:val="center"/>
            </w:pPr>
            <w:r>
              <w:rPr>
                <w:rFonts w:ascii="宋体" w:hAnsi="宋体" w:eastAsia="宋体"/>
                <w:sz w:val="24"/>
              </w:rPr>
              <w:t>(2024年度)</w:t>
            </w:r>
          </w:p>
        </w:tc>
      </w:tr>
      <w:tr w14:paraId="02205D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9DCE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FF3DE05">
            <w:pPr>
              <w:jc w:val="center"/>
            </w:pPr>
            <w:r>
              <w:rPr>
                <w:rFonts w:ascii="宋体" w:hAnsi="宋体" w:eastAsia="宋体"/>
                <w:sz w:val="16"/>
              </w:rPr>
              <w:t>预约酒店电视机尾款</w:t>
            </w:r>
          </w:p>
        </w:tc>
      </w:tr>
      <w:tr w14:paraId="05CE6D4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1DA96">
            <w:pPr>
              <w:jc w:val="center"/>
            </w:pPr>
            <w:r>
              <w:rPr>
                <w:rFonts w:ascii="宋体" w:hAnsi="宋体" w:eastAsia="宋体"/>
                <w:sz w:val="16"/>
              </w:rPr>
              <w:t>主管部门</w:t>
            </w:r>
          </w:p>
        </w:tc>
        <w:tc>
          <w:tcPr>
            <w:tcW w:w="308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97A438">
            <w:pPr>
              <w:jc w:val="center"/>
            </w:pPr>
            <w:r>
              <w:rPr>
                <w:rFonts w:ascii="宋体" w:hAnsi="宋体" w:eastAsia="宋体"/>
                <w:sz w:val="16"/>
              </w:rPr>
              <w:t>洛浦县人民政府</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68A8199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D3EDFF">
            <w:pPr>
              <w:jc w:val="center"/>
            </w:pPr>
            <w:r>
              <w:rPr>
                <w:rFonts w:ascii="宋体" w:hAnsi="宋体" w:eastAsia="宋体"/>
                <w:sz w:val="16"/>
              </w:rPr>
              <w:t>洛浦县后勤服务中心（招待所）</w:t>
            </w:r>
          </w:p>
        </w:tc>
      </w:tr>
      <w:tr w14:paraId="0A2A2A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4EB56">
            <w:pPr>
              <w:jc w:val="center"/>
            </w:pPr>
            <w:r>
              <w:rPr>
                <w:rFonts w:ascii="宋体" w:hAnsi="宋体" w:eastAsia="宋体"/>
                <w:sz w:val="16"/>
              </w:rPr>
              <w:t>项目资金 （万元）</w:t>
            </w:r>
          </w:p>
        </w:tc>
        <w:tc>
          <w:tcPr>
            <w:tcW w:w="16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E04B7">
            <w:pPr>
              <w:jc w:val="center"/>
            </w:pPr>
          </w:p>
        </w:tc>
        <w:tc>
          <w:tcPr>
            <w:tcW w:w="1427" w:type="dxa"/>
            <w:tcBorders>
              <w:top w:val="single" w:color="auto" w:sz="10" w:space="0"/>
              <w:left w:val="single" w:color="auto" w:sz="10" w:space="0"/>
              <w:bottom w:val="single" w:color="auto" w:sz="10" w:space="0"/>
              <w:right w:val="single" w:color="auto" w:sz="10" w:space="0"/>
              <w:insideV w:val="single" w:sz="10" w:space="0"/>
            </w:tcBorders>
            <w:vAlign w:val="center"/>
          </w:tcPr>
          <w:p w14:paraId="18A87ECC">
            <w:pPr>
              <w:jc w:val="center"/>
            </w:pPr>
            <w:r>
              <w:rPr>
                <w:rFonts w:ascii="宋体" w:hAnsi="宋体" w:eastAsia="宋体"/>
                <w:sz w:val="16"/>
              </w:rPr>
              <w:t>年初预算数</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75E28C5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604C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D46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A5AD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FFDF4">
            <w:pPr>
              <w:jc w:val="center"/>
            </w:pPr>
            <w:r>
              <w:rPr>
                <w:rFonts w:ascii="宋体" w:hAnsi="宋体" w:eastAsia="宋体"/>
                <w:sz w:val="16"/>
              </w:rPr>
              <w:t>得分</w:t>
            </w:r>
          </w:p>
        </w:tc>
      </w:tr>
      <w:tr w14:paraId="5784F7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AE445B"/>
        </w:tc>
        <w:tc>
          <w:tcPr>
            <w:tcW w:w="16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96525">
            <w:pPr>
              <w:jc w:val="center"/>
            </w:pPr>
            <w:r>
              <w:rPr>
                <w:rFonts w:ascii="宋体" w:hAnsi="宋体" w:eastAsia="宋体"/>
                <w:sz w:val="16"/>
              </w:rPr>
              <w:t>年度资金总额</w:t>
            </w:r>
          </w:p>
        </w:tc>
        <w:tc>
          <w:tcPr>
            <w:tcW w:w="1427" w:type="dxa"/>
            <w:tcBorders>
              <w:top w:val="single" w:color="auto" w:sz="10" w:space="0"/>
              <w:left w:val="single" w:color="auto" w:sz="10" w:space="0"/>
              <w:bottom w:val="single" w:color="auto" w:sz="10" w:space="0"/>
              <w:right w:val="single" w:color="auto" w:sz="10" w:space="0"/>
              <w:insideV w:val="single" w:sz="10" w:space="0"/>
            </w:tcBorders>
            <w:vAlign w:val="center"/>
          </w:tcPr>
          <w:p w14:paraId="5B278DA0">
            <w:pPr>
              <w:jc w:val="center"/>
            </w:pPr>
            <w:r>
              <w:rPr>
                <w:rFonts w:ascii="宋体" w:hAnsi="宋体" w:eastAsia="宋体"/>
                <w:sz w:val="16"/>
              </w:rPr>
              <w:t>5.18</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0BD81F4C">
            <w:pPr>
              <w:jc w:val="center"/>
            </w:pPr>
            <w:r>
              <w:rPr>
                <w:rFonts w:ascii="宋体" w:hAnsi="宋体" w:eastAsia="宋体"/>
                <w:sz w:val="16"/>
              </w:rPr>
              <w:t>5.18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BE63C">
            <w:pPr>
              <w:jc w:val="center"/>
            </w:pPr>
            <w:r>
              <w:rPr>
                <w:rFonts w:ascii="宋体" w:hAnsi="宋体" w:eastAsia="宋体"/>
                <w:sz w:val="16"/>
              </w:rPr>
              <w:t>5.18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480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16D0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2EFC7">
            <w:pPr>
              <w:jc w:val="center"/>
            </w:pPr>
            <w:r>
              <w:rPr>
                <w:rFonts w:ascii="宋体" w:hAnsi="宋体" w:eastAsia="宋体"/>
                <w:sz w:val="16"/>
              </w:rPr>
              <w:t>10.00</w:t>
            </w:r>
          </w:p>
        </w:tc>
      </w:tr>
      <w:tr w14:paraId="179F81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DE3193"/>
        </w:tc>
        <w:tc>
          <w:tcPr>
            <w:tcW w:w="16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EC5EC">
            <w:pPr>
              <w:jc w:val="center"/>
            </w:pPr>
            <w:r>
              <w:rPr>
                <w:rFonts w:ascii="宋体" w:hAnsi="宋体" w:eastAsia="宋体"/>
                <w:sz w:val="16"/>
              </w:rPr>
              <w:t>其中：当年财政拨款</w:t>
            </w:r>
          </w:p>
        </w:tc>
        <w:tc>
          <w:tcPr>
            <w:tcW w:w="1427" w:type="dxa"/>
            <w:tcBorders>
              <w:top w:val="single" w:color="auto" w:sz="10" w:space="0"/>
              <w:left w:val="single" w:color="auto" w:sz="10" w:space="0"/>
              <w:bottom w:val="single" w:color="auto" w:sz="10" w:space="0"/>
              <w:right w:val="single" w:color="auto" w:sz="10" w:space="0"/>
              <w:insideV w:val="single" w:sz="10" w:space="0"/>
            </w:tcBorders>
            <w:vAlign w:val="center"/>
          </w:tcPr>
          <w:p w14:paraId="0C7EF4BE">
            <w:pPr>
              <w:jc w:val="center"/>
            </w:pPr>
            <w:r>
              <w:rPr>
                <w:rFonts w:ascii="宋体" w:hAnsi="宋体" w:eastAsia="宋体"/>
                <w:sz w:val="16"/>
              </w:rPr>
              <w:t>5.18</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08C4F08B">
            <w:pPr>
              <w:jc w:val="center"/>
            </w:pPr>
            <w:r>
              <w:rPr>
                <w:rFonts w:ascii="宋体" w:hAnsi="宋体" w:eastAsia="宋体"/>
                <w:sz w:val="16"/>
              </w:rPr>
              <w:t>5.18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B2273">
            <w:pPr>
              <w:jc w:val="center"/>
            </w:pPr>
            <w:r>
              <w:rPr>
                <w:rFonts w:ascii="宋体" w:hAnsi="宋体" w:eastAsia="宋体"/>
                <w:sz w:val="16"/>
              </w:rPr>
              <w:t>5.18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8BE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129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2AABA">
            <w:pPr>
              <w:jc w:val="center"/>
            </w:pPr>
            <w:r>
              <w:rPr>
                <w:rFonts w:ascii="宋体" w:hAnsi="宋体" w:eastAsia="宋体"/>
                <w:sz w:val="16"/>
              </w:rPr>
              <w:t>—</w:t>
            </w:r>
          </w:p>
        </w:tc>
      </w:tr>
      <w:tr w14:paraId="316D96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3C9871"/>
        </w:tc>
        <w:tc>
          <w:tcPr>
            <w:tcW w:w="16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4D5D6">
            <w:pPr>
              <w:jc w:val="center"/>
            </w:pPr>
            <w:r>
              <w:rPr>
                <w:rFonts w:ascii="宋体" w:hAnsi="宋体" w:eastAsia="宋体"/>
                <w:sz w:val="16"/>
              </w:rPr>
              <w:t xml:space="preserve">      上年结转资金</w:t>
            </w:r>
          </w:p>
        </w:tc>
        <w:tc>
          <w:tcPr>
            <w:tcW w:w="1427" w:type="dxa"/>
            <w:tcBorders>
              <w:top w:val="single" w:color="auto" w:sz="10" w:space="0"/>
              <w:left w:val="single" w:color="auto" w:sz="10" w:space="0"/>
              <w:bottom w:val="single" w:color="auto" w:sz="10" w:space="0"/>
              <w:right w:val="single" w:color="auto" w:sz="10" w:space="0"/>
              <w:insideV w:val="single" w:sz="10" w:space="0"/>
            </w:tcBorders>
            <w:vAlign w:val="center"/>
          </w:tcPr>
          <w:p w14:paraId="011D1F8B">
            <w:pPr>
              <w:jc w:val="center"/>
            </w:pPr>
            <w:r>
              <w:rPr>
                <w:rFonts w:ascii="宋体" w:hAnsi="宋体" w:eastAsia="宋体"/>
                <w:sz w:val="16"/>
              </w:rPr>
              <w:t>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5F83C79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B832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1A9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F4B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C6F20">
            <w:pPr>
              <w:jc w:val="center"/>
            </w:pPr>
            <w:r>
              <w:rPr>
                <w:rFonts w:ascii="宋体" w:hAnsi="宋体" w:eastAsia="宋体"/>
                <w:sz w:val="16"/>
              </w:rPr>
              <w:t>—</w:t>
            </w:r>
          </w:p>
        </w:tc>
      </w:tr>
      <w:tr w14:paraId="50CB83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9572AB"/>
        </w:tc>
        <w:tc>
          <w:tcPr>
            <w:tcW w:w="16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08D3C">
            <w:pPr>
              <w:jc w:val="center"/>
            </w:pPr>
            <w:r>
              <w:rPr>
                <w:rFonts w:ascii="宋体" w:hAnsi="宋体" w:eastAsia="宋体"/>
                <w:sz w:val="16"/>
              </w:rPr>
              <w:t xml:space="preserve">  其他资金</w:t>
            </w:r>
          </w:p>
        </w:tc>
        <w:tc>
          <w:tcPr>
            <w:tcW w:w="1427" w:type="dxa"/>
            <w:tcBorders>
              <w:top w:val="single" w:color="auto" w:sz="10" w:space="0"/>
              <w:left w:val="single" w:color="auto" w:sz="10" w:space="0"/>
              <w:bottom w:val="single" w:color="auto" w:sz="10" w:space="0"/>
              <w:right w:val="single" w:color="auto" w:sz="10" w:space="0"/>
              <w:insideV w:val="single" w:sz="10" w:space="0"/>
            </w:tcBorders>
            <w:vAlign w:val="center"/>
          </w:tcPr>
          <w:p w14:paraId="2EE261AD">
            <w:pPr>
              <w:jc w:val="center"/>
            </w:pPr>
            <w:r>
              <w:rPr>
                <w:rFonts w:ascii="宋体" w:hAnsi="宋体" w:eastAsia="宋体"/>
                <w:sz w:val="16"/>
              </w:rPr>
              <w:t>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6ACDF9F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E03A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405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862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8F322">
            <w:pPr>
              <w:jc w:val="center"/>
            </w:pPr>
            <w:r>
              <w:rPr>
                <w:rFonts w:ascii="宋体" w:hAnsi="宋体" w:eastAsia="宋体"/>
                <w:sz w:val="16"/>
              </w:rPr>
              <w:t>—</w:t>
            </w:r>
          </w:p>
        </w:tc>
      </w:tr>
      <w:tr w14:paraId="02C5C4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31007">
            <w:pPr>
              <w:jc w:val="center"/>
            </w:pPr>
            <w:r>
              <w:rPr>
                <w:rFonts w:ascii="宋体" w:hAnsi="宋体" w:eastAsia="宋体"/>
                <w:sz w:val="16"/>
              </w:rPr>
              <w:t>年度总体目标</w:t>
            </w:r>
          </w:p>
        </w:tc>
        <w:tc>
          <w:tcPr>
            <w:tcW w:w="308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63000B">
            <w:pPr>
              <w:jc w:val="center"/>
            </w:pPr>
            <w:r>
              <w:rPr>
                <w:rFonts w:ascii="宋体" w:hAnsi="宋体" w:eastAsia="宋体"/>
                <w:sz w:val="16"/>
              </w:rPr>
              <w:t>预期目标</w:t>
            </w:r>
          </w:p>
        </w:tc>
        <w:tc>
          <w:tcPr>
            <w:tcW w:w="47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7E2536">
            <w:pPr>
              <w:jc w:val="center"/>
            </w:pPr>
            <w:r>
              <w:rPr>
                <w:rFonts w:ascii="宋体" w:hAnsi="宋体" w:eastAsia="宋体"/>
                <w:sz w:val="16"/>
              </w:rPr>
              <w:t>实际完成情况</w:t>
            </w:r>
          </w:p>
        </w:tc>
      </w:tr>
      <w:tr w14:paraId="25EEF5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0A9ADF"/>
        </w:tc>
        <w:tc>
          <w:tcPr>
            <w:tcW w:w="308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B81559">
            <w:pPr>
              <w:jc w:val="both"/>
            </w:pPr>
            <w:r>
              <w:rPr>
                <w:rFonts w:ascii="宋体" w:hAnsi="宋体" w:eastAsia="宋体"/>
                <w:sz w:val="16"/>
              </w:rPr>
              <w:t>本项目主要用于保障支付前期预约酒店改造设备时产生的电视机部分尾款按时支付。总资金为5.18万元，全部用于支付37台电视机每台0.14万元。资金使用合规率大于98%，经费支付及时率大于98%，通过该项目实施提升预约酒店入住人员舒适度，提升接待服务质量，确保我单位接待业务正常运转。</w:t>
            </w:r>
          </w:p>
        </w:tc>
        <w:tc>
          <w:tcPr>
            <w:tcW w:w="47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54DB83">
            <w:pPr>
              <w:jc w:val="both"/>
            </w:pPr>
            <w:r>
              <w:rPr>
                <w:rFonts w:hint="eastAsia" w:ascii="宋体" w:hAnsi="宋体"/>
                <w:sz w:val="16"/>
                <w:lang w:eastAsia="zh-CN"/>
              </w:rPr>
              <w:t>截至</w:t>
            </w:r>
            <w:r>
              <w:rPr>
                <w:rFonts w:ascii="宋体" w:hAnsi="宋体" w:eastAsia="宋体"/>
                <w:sz w:val="16"/>
              </w:rPr>
              <w:t>2024年12月31日，我单位已完成37台电视机每台0.14万元的购买，资金已使用5.18万元。通过该项目实施提升预约酒店入住人员舒适度，提升接待服务质量，确保我单位接待业务正常运转。</w:t>
            </w:r>
          </w:p>
        </w:tc>
      </w:tr>
      <w:tr w14:paraId="24FCCD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40B86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B5880">
            <w:pPr>
              <w:jc w:val="center"/>
            </w:pPr>
            <w:r>
              <w:rPr>
                <w:rFonts w:ascii="宋体" w:hAnsi="宋体" w:eastAsia="宋体"/>
                <w:sz w:val="16"/>
              </w:rPr>
              <w:t>一级指标</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1D4620A0">
            <w:pPr>
              <w:jc w:val="center"/>
            </w:pPr>
            <w:r>
              <w:rPr>
                <w:rFonts w:ascii="宋体" w:hAnsi="宋体" w:eastAsia="宋体"/>
                <w:sz w:val="16"/>
              </w:rPr>
              <w:t>二级指标</w:t>
            </w:r>
          </w:p>
        </w:tc>
        <w:tc>
          <w:tcPr>
            <w:tcW w:w="1427" w:type="dxa"/>
            <w:tcBorders>
              <w:top w:val="single" w:color="auto" w:sz="10" w:space="0"/>
              <w:left w:val="single" w:color="auto" w:sz="10" w:space="0"/>
              <w:bottom w:val="single" w:color="auto" w:sz="10" w:space="0"/>
              <w:right w:val="single" w:color="auto" w:sz="10" w:space="0"/>
              <w:insideV w:val="single" w:sz="10" w:space="0"/>
            </w:tcBorders>
            <w:vAlign w:val="center"/>
          </w:tcPr>
          <w:p w14:paraId="47C731B4">
            <w:pPr>
              <w:jc w:val="center"/>
            </w:pPr>
            <w:r>
              <w:rPr>
                <w:rFonts w:ascii="宋体" w:hAnsi="宋体" w:eastAsia="宋体"/>
                <w:sz w:val="16"/>
              </w:rPr>
              <w:t>三级指标</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416AAA9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78A3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E97E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B8C0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92717">
            <w:pPr>
              <w:jc w:val="center"/>
            </w:pPr>
            <w:r>
              <w:rPr>
                <w:rFonts w:ascii="宋体" w:hAnsi="宋体" w:eastAsia="宋体"/>
                <w:sz w:val="16"/>
              </w:rPr>
              <w:t>偏差原因分析及改进措施</w:t>
            </w:r>
          </w:p>
        </w:tc>
      </w:tr>
      <w:tr w14:paraId="1F1ED6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BC2E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CCB06">
            <w:pPr>
              <w:jc w:val="center"/>
            </w:pPr>
            <w:r>
              <w:rPr>
                <w:rFonts w:ascii="宋体" w:hAnsi="宋体" w:eastAsia="宋体"/>
                <w:sz w:val="16"/>
              </w:rPr>
              <w:t>产出指标</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224D0C73">
            <w:pPr>
              <w:jc w:val="center"/>
            </w:pPr>
            <w:r>
              <w:rPr>
                <w:rFonts w:ascii="宋体" w:hAnsi="宋体" w:eastAsia="宋体"/>
                <w:sz w:val="16"/>
              </w:rPr>
              <w:t>数量指标</w:t>
            </w:r>
          </w:p>
        </w:tc>
        <w:tc>
          <w:tcPr>
            <w:tcW w:w="1427" w:type="dxa"/>
            <w:tcBorders>
              <w:top w:val="single" w:color="auto" w:sz="10" w:space="0"/>
              <w:left w:val="single" w:color="auto" w:sz="10" w:space="0"/>
              <w:bottom w:val="single" w:color="auto" w:sz="10" w:space="0"/>
              <w:right w:val="single" w:color="auto" w:sz="10" w:space="0"/>
              <w:insideV w:val="single" w:sz="10" w:space="0"/>
            </w:tcBorders>
            <w:vAlign w:val="center"/>
          </w:tcPr>
          <w:p w14:paraId="3949CB2C">
            <w:pPr>
              <w:jc w:val="center"/>
            </w:pPr>
            <w:r>
              <w:rPr>
                <w:rFonts w:ascii="宋体" w:hAnsi="宋体" w:eastAsia="宋体"/>
                <w:sz w:val="16"/>
              </w:rPr>
              <w:t>购置电视机数量</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3DAFC863">
            <w:pPr>
              <w:jc w:val="center"/>
            </w:pPr>
            <w:r>
              <w:rPr>
                <w:rFonts w:ascii="宋体" w:hAnsi="宋体" w:eastAsia="宋体"/>
                <w:sz w:val="16"/>
              </w:rPr>
              <w:t>&gt;=37台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8B83B">
            <w:pPr>
              <w:jc w:val="center"/>
            </w:pPr>
            <w:r>
              <w:rPr>
                <w:rFonts w:ascii="宋体" w:hAnsi="宋体" w:eastAsia="宋体"/>
                <w:sz w:val="16"/>
              </w:rPr>
              <w:t>37台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F129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386E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79417">
            <w:pPr>
              <w:jc w:val="center"/>
            </w:pPr>
          </w:p>
        </w:tc>
      </w:tr>
      <w:tr w14:paraId="378971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66D5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187159"/>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561048D3">
            <w:pPr>
              <w:jc w:val="center"/>
            </w:pPr>
            <w:r>
              <w:rPr>
                <w:rFonts w:ascii="宋体" w:hAnsi="宋体" w:eastAsia="宋体"/>
                <w:sz w:val="16"/>
              </w:rPr>
              <w:t>质量指标</w:t>
            </w:r>
          </w:p>
        </w:tc>
        <w:tc>
          <w:tcPr>
            <w:tcW w:w="1427" w:type="dxa"/>
            <w:tcBorders>
              <w:top w:val="single" w:color="auto" w:sz="10" w:space="0"/>
              <w:left w:val="single" w:color="auto" w:sz="10" w:space="0"/>
              <w:bottom w:val="single" w:color="auto" w:sz="10" w:space="0"/>
              <w:right w:val="single" w:color="auto" w:sz="10" w:space="0"/>
              <w:insideV w:val="single" w:sz="10" w:space="0"/>
            </w:tcBorders>
            <w:vAlign w:val="center"/>
          </w:tcPr>
          <w:p w14:paraId="2B1547B8">
            <w:pPr>
              <w:jc w:val="center"/>
            </w:pPr>
            <w:r>
              <w:rPr>
                <w:rFonts w:ascii="宋体" w:hAnsi="宋体" w:eastAsia="宋体"/>
                <w:sz w:val="16"/>
              </w:rPr>
              <w:t>资金使用合规律</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02E6E9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A7D59">
            <w:pPr>
              <w:jc w:val="center"/>
            </w:pPr>
            <w:r>
              <w:rPr>
                <w:rFonts w:ascii="宋体" w:hAnsi="宋体" w:eastAsia="宋体"/>
                <w:sz w:val="16"/>
              </w:rPr>
              <w:t>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7E8A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18DB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83728">
            <w:pPr>
              <w:jc w:val="center"/>
            </w:pPr>
          </w:p>
        </w:tc>
      </w:tr>
      <w:tr w14:paraId="3A26B7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D41F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9A52A"/>
        </w:tc>
        <w:tc>
          <w:tcPr>
            <w:tcW w:w="67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D1887">
            <w:pPr>
              <w:jc w:val="center"/>
            </w:pPr>
            <w:r>
              <w:rPr>
                <w:rFonts w:ascii="宋体" w:hAnsi="宋体" w:eastAsia="宋体"/>
                <w:sz w:val="16"/>
              </w:rPr>
              <w:t>时效指标</w:t>
            </w:r>
          </w:p>
        </w:tc>
        <w:tc>
          <w:tcPr>
            <w:tcW w:w="1427" w:type="dxa"/>
            <w:tcBorders>
              <w:top w:val="single" w:color="auto" w:sz="10" w:space="0"/>
              <w:left w:val="single" w:color="auto" w:sz="10" w:space="0"/>
              <w:bottom w:val="single" w:color="auto" w:sz="10" w:space="0"/>
              <w:right w:val="single" w:color="auto" w:sz="10" w:space="0"/>
              <w:insideV w:val="single" w:sz="10" w:space="0"/>
            </w:tcBorders>
            <w:vAlign w:val="center"/>
          </w:tcPr>
          <w:p w14:paraId="38CAC4F3">
            <w:pPr>
              <w:jc w:val="center"/>
            </w:pPr>
            <w:r>
              <w:rPr>
                <w:rFonts w:ascii="宋体" w:hAnsi="宋体" w:eastAsia="宋体"/>
                <w:sz w:val="16"/>
              </w:rPr>
              <w:t>资金到位及时率</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219DFC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DEA6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CB05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E39E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92E3C">
            <w:pPr>
              <w:jc w:val="center"/>
            </w:pPr>
          </w:p>
        </w:tc>
      </w:tr>
      <w:tr w14:paraId="519857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362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8B1914"/>
        </w:tc>
        <w:tc>
          <w:tcPr>
            <w:tcW w:w="674" w:type="dxa"/>
            <w:vMerge w:val="continue"/>
            <w:tcBorders>
              <w:top w:val="single" w:color="auto" w:sz="10" w:space="0"/>
              <w:left w:val="single" w:color="auto" w:sz="10" w:space="0"/>
              <w:bottom w:val="single" w:color="auto" w:sz="10" w:space="0"/>
              <w:right w:val="single" w:color="auto" w:sz="10" w:space="0"/>
              <w:insideV w:val="single" w:sz="10" w:space="0"/>
            </w:tcBorders>
          </w:tcPr>
          <w:p w14:paraId="0C8626A5"/>
        </w:tc>
        <w:tc>
          <w:tcPr>
            <w:tcW w:w="1427" w:type="dxa"/>
            <w:tcBorders>
              <w:top w:val="single" w:color="auto" w:sz="10" w:space="0"/>
              <w:left w:val="single" w:color="auto" w:sz="10" w:space="0"/>
              <w:bottom w:val="single" w:color="auto" w:sz="10" w:space="0"/>
              <w:right w:val="single" w:color="auto" w:sz="10" w:space="0"/>
              <w:insideV w:val="single" w:sz="10" w:space="0"/>
            </w:tcBorders>
            <w:vAlign w:val="center"/>
          </w:tcPr>
          <w:p w14:paraId="4C3D4235">
            <w:pPr>
              <w:jc w:val="center"/>
            </w:pPr>
            <w:r>
              <w:rPr>
                <w:rFonts w:ascii="宋体" w:hAnsi="宋体" w:eastAsia="宋体"/>
                <w:sz w:val="16"/>
              </w:rPr>
              <w:t>项目完成时间</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1D3F3725">
            <w:pPr>
              <w:jc w:val="center"/>
            </w:pPr>
            <w:r>
              <w:rPr>
                <w:rFonts w:hint="eastAsia" w:ascii="宋体" w:hAnsi="宋体"/>
                <w:sz w:val="16"/>
                <w:lang w:eastAsia="zh-CN"/>
              </w:rPr>
              <w:t>2024年8月1日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CF192">
            <w:pPr>
              <w:jc w:val="center"/>
            </w:pPr>
            <w:r>
              <w:rPr>
                <w:rFonts w:hint="eastAsia" w:ascii="宋体" w:hAnsi="宋体"/>
                <w:sz w:val="16"/>
                <w:lang w:eastAsia="zh-CN"/>
              </w:rPr>
              <w:t>2024年7月1日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AC7D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CB34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A7B9C">
            <w:pPr>
              <w:jc w:val="center"/>
            </w:pPr>
          </w:p>
        </w:tc>
      </w:tr>
      <w:tr w14:paraId="0B9149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A95E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01CEB3"/>
        </w:tc>
        <w:tc>
          <w:tcPr>
            <w:tcW w:w="674" w:type="dxa"/>
            <w:vMerge w:val="continue"/>
            <w:tcBorders>
              <w:top w:val="single" w:color="auto" w:sz="10" w:space="0"/>
              <w:left w:val="single" w:color="auto" w:sz="10" w:space="0"/>
              <w:bottom w:val="single" w:color="auto" w:sz="10" w:space="0"/>
              <w:right w:val="single" w:color="auto" w:sz="10" w:space="0"/>
              <w:insideV w:val="single" w:sz="10" w:space="0"/>
            </w:tcBorders>
          </w:tcPr>
          <w:p w14:paraId="1D26D7AF"/>
        </w:tc>
        <w:tc>
          <w:tcPr>
            <w:tcW w:w="1427" w:type="dxa"/>
            <w:tcBorders>
              <w:top w:val="single" w:color="auto" w:sz="10" w:space="0"/>
              <w:left w:val="single" w:color="auto" w:sz="10" w:space="0"/>
              <w:bottom w:val="single" w:color="auto" w:sz="10" w:space="0"/>
              <w:right w:val="single" w:color="auto" w:sz="10" w:space="0"/>
              <w:insideV w:val="single" w:sz="10" w:space="0"/>
            </w:tcBorders>
            <w:vAlign w:val="center"/>
          </w:tcPr>
          <w:p w14:paraId="03FB0BE6">
            <w:pPr>
              <w:jc w:val="center"/>
            </w:pPr>
            <w:r>
              <w:rPr>
                <w:rFonts w:ascii="宋体" w:hAnsi="宋体" w:eastAsia="宋体"/>
                <w:sz w:val="16"/>
              </w:rPr>
              <w:t>资金拨付及时率</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2B1640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80A8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E6BB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009F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0704E">
            <w:pPr>
              <w:jc w:val="center"/>
            </w:pPr>
          </w:p>
        </w:tc>
      </w:tr>
      <w:tr w14:paraId="717EC6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ED8D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305FB">
            <w:pPr>
              <w:jc w:val="center"/>
            </w:pPr>
            <w:r>
              <w:rPr>
                <w:rFonts w:ascii="宋体" w:hAnsi="宋体" w:eastAsia="宋体"/>
                <w:sz w:val="16"/>
              </w:rPr>
              <w:t>成本指标</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2DE02FE5">
            <w:pPr>
              <w:jc w:val="center"/>
            </w:pPr>
            <w:r>
              <w:rPr>
                <w:rFonts w:ascii="宋体" w:hAnsi="宋体" w:eastAsia="宋体"/>
                <w:sz w:val="16"/>
              </w:rPr>
              <w:t>经济成本指标</w:t>
            </w:r>
          </w:p>
        </w:tc>
        <w:tc>
          <w:tcPr>
            <w:tcW w:w="1427" w:type="dxa"/>
            <w:tcBorders>
              <w:top w:val="single" w:color="auto" w:sz="10" w:space="0"/>
              <w:left w:val="single" w:color="auto" w:sz="10" w:space="0"/>
              <w:bottom w:val="single" w:color="auto" w:sz="10" w:space="0"/>
              <w:right w:val="single" w:color="auto" w:sz="10" w:space="0"/>
              <w:insideV w:val="single" w:sz="10" w:space="0"/>
            </w:tcBorders>
            <w:vAlign w:val="center"/>
          </w:tcPr>
          <w:p w14:paraId="7E9F87A2">
            <w:pPr>
              <w:jc w:val="center"/>
            </w:pPr>
            <w:r>
              <w:rPr>
                <w:rFonts w:ascii="宋体" w:hAnsi="宋体" w:eastAsia="宋体"/>
                <w:sz w:val="16"/>
              </w:rPr>
              <w:t>购置电视机成本</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2EDFB190">
            <w:pPr>
              <w:jc w:val="center"/>
            </w:pPr>
            <w:r>
              <w:rPr>
                <w:rFonts w:ascii="宋体" w:hAnsi="宋体" w:eastAsia="宋体"/>
                <w:sz w:val="16"/>
              </w:rPr>
              <w:t>&lt;=1400元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F4DA7">
            <w:pPr>
              <w:jc w:val="center"/>
            </w:pPr>
            <w:r>
              <w:rPr>
                <w:rFonts w:ascii="宋体" w:hAnsi="宋体" w:eastAsia="宋体"/>
                <w:sz w:val="16"/>
              </w:rPr>
              <w:t>1400元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9D54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CDC7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0AD5A">
            <w:pPr>
              <w:jc w:val="center"/>
            </w:pPr>
          </w:p>
        </w:tc>
      </w:tr>
      <w:tr w14:paraId="6CD6BA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07E4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1CD9E">
            <w:pPr>
              <w:jc w:val="center"/>
            </w:pPr>
            <w:r>
              <w:rPr>
                <w:rFonts w:ascii="宋体" w:hAnsi="宋体" w:eastAsia="宋体"/>
                <w:sz w:val="16"/>
              </w:rPr>
              <w:t>效益指标</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21AD9B4F">
            <w:pPr>
              <w:jc w:val="center"/>
            </w:pPr>
            <w:r>
              <w:rPr>
                <w:rFonts w:ascii="宋体" w:hAnsi="宋体" w:eastAsia="宋体"/>
                <w:sz w:val="16"/>
              </w:rPr>
              <w:t>社会效益指标</w:t>
            </w:r>
          </w:p>
        </w:tc>
        <w:tc>
          <w:tcPr>
            <w:tcW w:w="1427" w:type="dxa"/>
            <w:tcBorders>
              <w:top w:val="single" w:color="auto" w:sz="10" w:space="0"/>
              <w:left w:val="single" w:color="auto" w:sz="10" w:space="0"/>
              <w:bottom w:val="single" w:color="auto" w:sz="10" w:space="0"/>
              <w:right w:val="single" w:color="auto" w:sz="10" w:space="0"/>
              <w:insideV w:val="single" w:sz="10" w:space="0"/>
            </w:tcBorders>
            <w:vAlign w:val="center"/>
          </w:tcPr>
          <w:p w14:paraId="0193FF28">
            <w:pPr>
              <w:jc w:val="center"/>
            </w:pPr>
            <w:r>
              <w:rPr>
                <w:rFonts w:ascii="宋体" w:hAnsi="宋体" w:eastAsia="宋体"/>
                <w:sz w:val="16"/>
              </w:rPr>
              <w:t>提升接待服务质量</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6D4AA7C1">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38B58">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183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49C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75301">
            <w:pPr>
              <w:jc w:val="center"/>
            </w:pPr>
          </w:p>
        </w:tc>
      </w:tr>
      <w:tr w14:paraId="4B4402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6FBE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CBE67">
            <w:pPr>
              <w:jc w:val="center"/>
            </w:pPr>
            <w:r>
              <w:rPr>
                <w:rFonts w:ascii="宋体" w:hAnsi="宋体" w:eastAsia="宋体"/>
                <w:sz w:val="16"/>
              </w:rPr>
              <w:t>满意度指标</w:t>
            </w:r>
          </w:p>
        </w:tc>
        <w:tc>
          <w:tcPr>
            <w:tcW w:w="674" w:type="dxa"/>
            <w:tcBorders>
              <w:top w:val="single" w:color="auto" w:sz="10" w:space="0"/>
              <w:left w:val="single" w:color="auto" w:sz="10" w:space="0"/>
              <w:bottom w:val="single" w:color="auto" w:sz="10" w:space="0"/>
              <w:right w:val="single" w:color="auto" w:sz="10" w:space="0"/>
              <w:insideV w:val="single" w:sz="10" w:space="0"/>
            </w:tcBorders>
            <w:vAlign w:val="center"/>
          </w:tcPr>
          <w:p w14:paraId="0F775923">
            <w:pPr>
              <w:jc w:val="center"/>
            </w:pPr>
            <w:r>
              <w:rPr>
                <w:rFonts w:ascii="宋体" w:hAnsi="宋体" w:eastAsia="宋体"/>
                <w:sz w:val="16"/>
              </w:rPr>
              <w:t>满意度指标</w:t>
            </w:r>
          </w:p>
        </w:tc>
        <w:tc>
          <w:tcPr>
            <w:tcW w:w="1427" w:type="dxa"/>
            <w:tcBorders>
              <w:top w:val="single" w:color="auto" w:sz="10" w:space="0"/>
              <w:left w:val="single" w:color="auto" w:sz="10" w:space="0"/>
              <w:bottom w:val="single" w:color="auto" w:sz="10" w:space="0"/>
              <w:right w:val="single" w:color="auto" w:sz="10" w:space="0"/>
              <w:insideV w:val="single" w:sz="10" w:space="0"/>
            </w:tcBorders>
            <w:vAlign w:val="center"/>
          </w:tcPr>
          <w:p w14:paraId="0A29A7BD">
            <w:pPr>
              <w:jc w:val="center"/>
            </w:pPr>
            <w:r>
              <w:rPr>
                <w:rFonts w:ascii="宋体" w:hAnsi="宋体" w:eastAsia="宋体"/>
                <w:sz w:val="16"/>
              </w:rPr>
              <w:t>接待人员满意度指标</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21F80AB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DDFE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53F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511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808F1">
            <w:pPr>
              <w:jc w:val="center"/>
            </w:pPr>
          </w:p>
        </w:tc>
      </w:tr>
      <w:tr w14:paraId="123E42B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095A4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E0052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82B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887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4D1162C"/>
        </w:tc>
      </w:tr>
    </w:tbl>
    <w:p w14:paraId="71CDBF5E">
      <w:r>
        <w:br w:type="page"/>
      </w:r>
    </w:p>
    <w:p w14:paraId="4B655CD5">
      <w:pPr>
        <w:spacing w:line="640" w:lineRule="exact"/>
        <w:ind w:firstLine="640"/>
        <w:jc w:val="both"/>
        <w:outlineLvl w:val="2"/>
      </w:pPr>
      <w:r>
        <w:rPr>
          <w:rFonts w:ascii="黑体" w:hAnsi="黑体" w:eastAsia="黑体"/>
          <w:sz w:val="32"/>
        </w:rPr>
        <w:t>十二、其他需说明的事项</w:t>
      </w:r>
    </w:p>
    <w:p w14:paraId="1ACCE9CF">
      <w:pPr>
        <w:spacing w:line="580" w:lineRule="exact"/>
        <w:ind w:firstLine="640"/>
        <w:jc w:val="both"/>
      </w:pPr>
      <w:r>
        <w:rPr>
          <w:rFonts w:ascii="仿宋_GB2312" w:hAnsi="仿宋_GB2312" w:eastAsia="仿宋_GB2312"/>
          <w:b w:val="0"/>
          <w:sz w:val="32"/>
        </w:rPr>
        <w:t>本年本单位SM项目1个，全年预算数3.21万元，全年执行数3.21万元。</w:t>
      </w:r>
    </w:p>
    <w:p w14:paraId="23BC4DE7">
      <w:r>
        <w:br w:type="page"/>
      </w:r>
    </w:p>
    <w:p w14:paraId="5190EB79">
      <w:pPr>
        <w:spacing w:line="240" w:lineRule="auto"/>
        <w:jc w:val="center"/>
        <w:outlineLvl w:val="1"/>
      </w:pPr>
      <w:r>
        <w:rPr>
          <w:rFonts w:ascii="黑体" w:hAnsi="黑体" w:eastAsia="黑体"/>
          <w:sz w:val="32"/>
        </w:rPr>
        <w:t>第三部分 专业名词解释</w:t>
      </w:r>
    </w:p>
    <w:p w14:paraId="56AB7F0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D4BD98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F08541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159473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A649C9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1B9992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6540D21">
      <w:pPr>
        <w:spacing w:line="240" w:lineRule="auto"/>
        <w:ind w:firstLine="640"/>
        <w:jc w:val="both"/>
      </w:pPr>
      <w:r>
        <w:rPr>
          <w:rFonts w:ascii="仿宋_GB2312" w:hAnsi="仿宋_GB2312" w:eastAsia="仿宋_GB2312"/>
          <w:b/>
          <w:sz w:val="32"/>
        </w:rPr>
        <w:t>七、年初结转和</w:t>
      </w:r>
      <w:bookmarkStart w:id="0" w:name="_GoBack"/>
      <w:r>
        <w:rPr>
          <w:rFonts w:ascii="仿宋_GB2312" w:hAnsi="仿宋_GB2312" w:eastAsia="仿宋_GB2312"/>
          <w:b/>
          <w:sz w:val="32"/>
        </w:rPr>
        <w:t>结余</w:t>
      </w:r>
      <w:bookmarkEnd w:id="0"/>
      <w:r>
        <w:rPr>
          <w:rFonts w:ascii="仿宋_GB2312" w:hAnsi="仿宋_GB2312" w:eastAsia="仿宋_GB2312"/>
          <w:b/>
          <w:sz w:val="32"/>
        </w:rPr>
        <w:t>：</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20124B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3EE9A8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1C14F5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0B3EAC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338259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7B9DC1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F66FA2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D8EC38E">
      <w:r>
        <w:br w:type="page"/>
      </w:r>
    </w:p>
    <w:p w14:paraId="4A013F00">
      <w:pPr>
        <w:spacing w:line="240" w:lineRule="auto"/>
        <w:jc w:val="center"/>
        <w:outlineLvl w:val="1"/>
      </w:pPr>
      <w:r>
        <w:rPr>
          <w:rFonts w:ascii="黑体" w:hAnsi="黑体" w:eastAsia="黑体"/>
          <w:sz w:val="32"/>
        </w:rPr>
        <w:t>第四部分 部门决算报表（见附表）</w:t>
      </w:r>
    </w:p>
    <w:p w14:paraId="44E37B3A">
      <w:pPr>
        <w:spacing w:line="240" w:lineRule="auto"/>
        <w:ind w:firstLine="640"/>
        <w:jc w:val="both"/>
      </w:pPr>
      <w:r>
        <w:rPr>
          <w:rFonts w:ascii="仿宋_GB2312" w:hAnsi="仿宋_GB2312" w:eastAsia="仿宋_GB2312"/>
          <w:b w:val="0"/>
          <w:sz w:val="32"/>
        </w:rPr>
        <w:t>一、《收入支出决算总表》</w:t>
      </w:r>
    </w:p>
    <w:p w14:paraId="730A9CE9">
      <w:pPr>
        <w:spacing w:line="240" w:lineRule="auto"/>
        <w:ind w:firstLine="640"/>
        <w:jc w:val="both"/>
      </w:pPr>
      <w:r>
        <w:rPr>
          <w:rFonts w:ascii="仿宋_GB2312" w:hAnsi="仿宋_GB2312" w:eastAsia="仿宋_GB2312"/>
          <w:b w:val="0"/>
          <w:sz w:val="32"/>
        </w:rPr>
        <w:t>二、《收入决算表》</w:t>
      </w:r>
    </w:p>
    <w:p w14:paraId="23836511">
      <w:pPr>
        <w:spacing w:line="240" w:lineRule="auto"/>
        <w:ind w:firstLine="640"/>
        <w:jc w:val="both"/>
      </w:pPr>
      <w:r>
        <w:rPr>
          <w:rFonts w:ascii="仿宋_GB2312" w:hAnsi="仿宋_GB2312" w:eastAsia="仿宋_GB2312"/>
          <w:b w:val="0"/>
          <w:sz w:val="32"/>
        </w:rPr>
        <w:t>三、《支出决算表》</w:t>
      </w:r>
    </w:p>
    <w:p w14:paraId="4C918677">
      <w:pPr>
        <w:spacing w:line="240" w:lineRule="auto"/>
        <w:ind w:firstLine="640"/>
        <w:jc w:val="both"/>
      </w:pPr>
      <w:r>
        <w:rPr>
          <w:rFonts w:ascii="仿宋_GB2312" w:hAnsi="仿宋_GB2312" w:eastAsia="仿宋_GB2312"/>
          <w:b w:val="0"/>
          <w:sz w:val="32"/>
        </w:rPr>
        <w:t>四、《财政拨款收入支出决算总表》</w:t>
      </w:r>
    </w:p>
    <w:p w14:paraId="402D2CE5">
      <w:pPr>
        <w:spacing w:line="240" w:lineRule="auto"/>
        <w:ind w:firstLine="640"/>
        <w:jc w:val="both"/>
      </w:pPr>
      <w:r>
        <w:rPr>
          <w:rFonts w:ascii="仿宋_GB2312" w:hAnsi="仿宋_GB2312" w:eastAsia="仿宋_GB2312"/>
          <w:b w:val="0"/>
          <w:sz w:val="32"/>
        </w:rPr>
        <w:t>五、《一般公共预算财政拨款支出决算表》</w:t>
      </w:r>
    </w:p>
    <w:p w14:paraId="00915A0E">
      <w:pPr>
        <w:spacing w:line="240" w:lineRule="auto"/>
        <w:ind w:firstLine="640"/>
        <w:jc w:val="both"/>
      </w:pPr>
      <w:r>
        <w:rPr>
          <w:rFonts w:ascii="仿宋_GB2312" w:hAnsi="仿宋_GB2312" w:eastAsia="仿宋_GB2312"/>
          <w:b w:val="0"/>
          <w:sz w:val="32"/>
        </w:rPr>
        <w:t>六、《一般公共预算财政拨款基本支出决算表》</w:t>
      </w:r>
    </w:p>
    <w:p w14:paraId="39E796A8">
      <w:pPr>
        <w:spacing w:line="240" w:lineRule="auto"/>
        <w:ind w:firstLine="640"/>
        <w:jc w:val="both"/>
      </w:pPr>
      <w:r>
        <w:rPr>
          <w:rFonts w:ascii="仿宋_GB2312" w:hAnsi="仿宋_GB2312" w:eastAsia="仿宋_GB2312"/>
          <w:b w:val="0"/>
          <w:sz w:val="32"/>
        </w:rPr>
        <w:t>七、《政府性基金预算财政拨款收入支出决算表》</w:t>
      </w:r>
    </w:p>
    <w:p w14:paraId="36233F2C">
      <w:pPr>
        <w:spacing w:line="240" w:lineRule="auto"/>
        <w:ind w:firstLine="640"/>
        <w:jc w:val="both"/>
      </w:pPr>
      <w:r>
        <w:rPr>
          <w:rFonts w:ascii="仿宋_GB2312" w:hAnsi="仿宋_GB2312" w:eastAsia="仿宋_GB2312"/>
          <w:b w:val="0"/>
          <w:sz w:val="32"/>
        </w:rPr>
        <w:t>八、《国有资本经营预算财政拨款收入支出决算表》</w:t>
      </w:r>
    </w:p>
    <w:p w14:paraId="413B67EC">
      <w:pPr>
        <w:spacing w:line="240" w:lineRule="auto"/>
        <w:ind w:firstLine="640"/>
        <w:jc w:val="both"/>
      </w:pPr>
      <w:r>
        <w:rPr>
          <w:rFonts w:ascii="仿宋_GB2312" w:hAnsi="仿宋_GB2312" w:eastAsia="仿宋_GB2312"/>
          <w:b w:val="0"/>
          <w:sz w:val="32"/>
        </w:rPr>
        <w:t>九、《财政拨款“三公”经费支出决算表》</w:t>
      </w:r>
    </w:p>
    <w:p w14:paraId="4CBDE9CE">
      <w:pPr>
        <w:spacing w:line="240" w:lineRule="auto"/>
        <w:ind w:firstLine="640"/>
        <w:jc w:val="both"/>
      </w:pPr>
    </w:p>
    <w:p w14:paraId="64E40E27">
      <w:pPr>
        <w:spacing w:line="240" w:lineRule="auto"/>
        <w:ind w:firstLine="640"/>
        <w:jc w:val="both"/>
      </w:pPr>
    </w:p>
    <w:p w14:paraId="062B8BD3">
      <w:pPr>
        <w:spacing w:line="240" w:lineRule="auto"/>
        <w:ind w:firstLine="640"/>
        <w:jc w:val="both"/>
      </w:pPr>
    </w:p>
    <w:p w14:paraId="065BBAB8">
      <w:pPr>
        <w:spacing w:line="240" w:lineRule="auto"/>
        <w:ind w:firstLine="640"/>
        <w:jc w:val="both"/>
      </w:pPr>
    </w:p>
    <w:p w14:paraId="6680C16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6B2672"/>
    <w:rsid w:val="06792773"/>
    <w:rsid w:val="09A729D8"/>
    <w:rsid w:val="0A3C58E8"/>
    <w:rsid w:val="0A7B4867"/>
    <w:rsid w:val="0B8C3ECC"/>
    <w:rsid w:val="0C3613A3"/>
    <w:rsid w:val="0C7227A7"/>
    <w:rsid w:val="0DCA6EF7"/>
    <w:rsid w:val="0E4B1576"/>
    <w:rsid w:val="0EA04331"/>
    <w:rsid w:val="0EA0672E"/>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4D6C1C"/>
    <w:rsid w:val="23BC04D2"/>
    <w:rsid w:val="25275618"/>
    <w:rsid w:val="2650503D"/>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1F223CA"/>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907</Words>
  <Characters>915</Characters>
  <Lines>0</Lines>
  <Paragraphs>0</Paragraphs>
  <TotalTime>3</TotalTime>
  <ScaleCrop>false</ScaleCrop>
  <LinksUpToDate>false</LinksUpToDate>
  <CharactersWithSpaces>922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2025-09-17T09:43:51Z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