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洛浦县发展和改革委员会2024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6C51C0">
      <w:r>
        <w:br w:type="page"/>
      </w:r>
    </w:p>
    <w:p w14:paraId="478C752B">
      <w:pPr>
        <w:spacing w:line="640" w:lineRule="exact"/>
        <w:jc w:val="center"/>
        <w:outlineLvl w:val="1"/>
      </w:pPr>
      <w:r>
        <w:rPr>
          <w:rFonts w:ascii="黑体" w:hAnsi="黑体" w:eastAsia="黑体"/>
          <w:sz w:val="32"/>
        </w:rPr>
        <w:t>第一部分 单位概况</w:t>
      </w:r>
    </w:p>
    <w:p w14:paraId="76D8C18D">
      <w:pPr>
        <w:spacing w:line="640" w:lineRule="exact"/>
        <w:ind w:firstLine="640"/>
        <w:jc w:val="both"/>
        <w:outlineLvl w:val="2"/>
      </w:pPr>
      <w:r>
        <w:rPr>
          <w:rFonts w:ascii="黑体" w:hAnsi="黑体" w:eastAsia="黑体"/>
          <w:sz w:val="32"/>
        </w:rPr>
        <w:t>一、主要职能</w:t>
      </w:r>
    </w:p>
    <w:p w14:paraId="54F7768D">
      <w:pPr>
        <w:spacing w:line="580" w:lineRule="exact"/>
        <w:ind w:firstLine="640"/>
        <w:jc w:val="both"/>
      </w:pPr>
      <w:r>
        <w:rPr>
          <w:rFonts w:ascii="仿宋_GB2312" w:hAnsi="仿宋_GB2312" w:eastAsia="仿宋_GB2312"/>
          <w:sz w:val="32"/>
        </w:rPr>
        <w:t>(一)贯彻执行国家、自治区的国民经济和社会发展方针、政策，研究提出洛浦县国民经济和社会发展战略、中长期规划和年度发展计划；统筹协调洛浦县经济社会发展，提出国民经济发展、价格总水平调控和优化重大经济结构的目标，提出综合运用各种经济手段和政策的建议；组织研究、协调实施重点专项规划，衔接、平衡主要行业的规划；受政府委托向县人大提交国民经济和社会发展计划的报告。</w:t>
      </w:r>
    </w:p>
    <w:p w14:paraId="6A1FF883">
      <w:pPr>
        <w:spacing w:line="580" w:lineRule="exact"/>
        <w:ind w:firstLine="640"/>
        <w:jc w:val="both"/>
      </w:pPr>
      <w:r>
        <w:rPr>
          <w:rFonts w:ascii="仿宋_GB2312" w:hAnsi="仿宋_GB2312" w:eastAsia="仿宋_GB2312"/>
          <w:sz w:val="32"/>
        </w:rPr>
        <w:t>(二)负责监测宏观经济和社会发展态势，承担预测预警和信息引导的责任；提出促进洛浦县国民经济持续快速协调健康发展政策建议；研究涉及国家经济安全及总体产业安全等重要问题并提出措施和建议；负责洛浦县国民经济动员办公室的工作。</w:t>
      </w:r>
    </w:p>
    <w:p w14:paraId="7B2CE71C">
      <w:pPr>
        <w:spacing w:line="580" w:lineRule="exact"/>
        <w:ind w:firstLine="640"/>
        <w:jc w:val="both"/>
      </w:pPr>
      <w:r>
        <w:rPr>
          <w:rFonts w:ascii="仿宋_GB2312" w:hAnsi="仿宋_GB2312" w:eastAsia="仿宋_GB2312"/>
          <w:sz w:val="32"/>
        </w:rPr>
        <w:t>(三)承担指导推进和综合协调经济体制改革的责任，研究洛浦县经济体制改革和对外开放的重大问题，组织实施县综合性经济体制改革方案，协调有关专项经济体制改革方案，指导经济体制改革试点工作；组织制定县域经济协调发展规划。推进对口支援战略和重大政策的实施，负责对口支援工作协调领导小组办公室的日常工作；负责对口支援项目管理服务、衔接、协调工作。</w:t>
      </w:r>
    </w:p>
    <w:p w14:paraId="382F51E9">
      <w:pPr>
        <w:spacing w:line="580" w:lineRule="exact"/>
        <w:ind w:firstLine="640"/>
        <w:jc w:val="both"/>
      </w:pPr>
      <w:r>
        <w:rPr>
          <w:rFonts w:ascii="仿宋_GB2312" w:hAnsi="仿宋_GB2312" w:eastAsia="仿宋_GB2312"/>
          <w:sz w:val="32"/>
        </w:rPr>
        <w:t>(四)承担规划重大建设项目和生产力布局的责任，研究提出洛浦县全社会固定资产投资总规模和投资结构的目标政策及措施，规划重大项目和生产力布局；衔接平衡需要中央财政和自治区财政投资及涉及重大建设项目的专项规划；编制、下达洛浦县固定资产投资计划、重点项目建设计划和前期项目计划；负责洛浦县重大项目的管理和组织协调；安排洛浦县财政预算内建设资金，引导社会投资方向；按照管理权限，负责审核上报、审批、核准、备案固定资产投资项目，审查、审批项目可研、初步设计；组织实施洛浦县固定资产投资项目节能评估审查工作；指导和协调洛浦县招投标工作;会同有关部门拟订洛浦县招投标配套方案、综合性政策；负责重大项目招投标活动有关监督管理工作；负责洛浦县重大建设项目领导小组办公室的日常工作。</w:t>
      </w:r>
    </w:p>
    <w:p w14:paraId="593E0C53">
      <w:pPr>
        <w:spacing w:line="580" w:lineRule="exact"/>
        <w:ind w:firstLine="640"/>
        <w:jc w:val="both"/>
      </w:pPr>
      <w:r>
        <w:rPr>
          <w:rFonts w:ascii="仿宋_GB2312" w:hAnsi="仿宋_GB2312" w:eastAsia="仿宋_GB2312"/>
          <w:sz w:val="32"/>
        </w:rPr>
        <w:t>(五)推进产业结构战略性调整和升级。组织拟订洛浦县综合性产业政策，负责协调第</w:t>
      </w:r>
      <w:r>
        <w:rPr>
          <w:rFonts w:hint="eastAsia" w:ascii="仿宋_GB2312" w:hAnsi="仿宋_GB2312" w:eastAsia="仿宋_GB2312"/>
          <w:sz w:val="32"/>
          <w:lang w:eastAsia="zh-CN"/>
        </w:rPr>
        <w:t>一二三产业</w:t>
      </w:r>
      <w:r>
        <w:rPr>
          <w:rFonts w:ascii="仿宋_GB2312" w:hAnsi="仿宋_GB2312" w:eastAsia="仿宋_GB2312"/>
          <w:sz w:val="32"/>
        </w:rPr>
        <w:t>发展的重大问题，并衔接平衡相关发展规划和政策，做好与国民经济和社会发展规划、计划的衔接平衡；提出洛浦县国民经济重要产业的发展战略规划，组织审核上报、审批专项规划；研究并协调农业和农村经济社会发展的有关重大问题，衔接农村专项规划和政策；拟订并实施以工代赈规划和计划；研究提出能源发展战略、规划；组织拟订高技术产业发展、产业技术进步的战略、规划和政策，推动高技术产业化发展；规划、指导服务业的建设与发展。</w:t>
      </w:r>
    </w:p>
    <w:p w14:paraId="595D1B8C">
      <w:pPr>
        <w:spacing w:line="580" w:lineRule="exact"/>
        <w:ind w:firstLine="640"/>
        <w:jc w:val="both"/>
      </w:pPr>
      <w:r>
        <w:rPr>
          <w:rFonts w:ascii="仿宋_GB2312" w:hAnsi="仿宋_GB2312" w:eastAsia="仿宋_GB2312"/>
          <w:sz w:val="32"/>
        </w:rPr>
        <w:t>(六)研究提出利用外资的发展战略、结构优化的目标；监测国外资金利用和境外投资情况；按照管理权限，负责审核上报、审批、核准国外贷款、外商直接投资和境外投资项目；会同有关部门协调和审查利用重大内外资项目；会同有关部门做好</w:t>
      </w:r>
      <w:r>
        <w:rPr>
          <w:rFonts w:hint="eastAsia" w:ascii="仿宋_GB2312" w:hAnsi="仿宋_GB2312" w:eastAsia="仿宋_GB2312"/>
          <w:sz w:val="32"/>
          <w:lang w:eastAsia="zh-CN"/>
        </w:rPr>
        <w:t>招</w:t>
      </w:r>
      <w:r>
        <w:rPr>
          <w:rFonts w:ascii="仿宋_GB2312" w:hAnsi="仿宋_GB2312" w:eastAsia="仿宋_GB2312"/>
          <w:sz w:val="32"/>
        </w:rPr>
        <w:t>商引资工作。</w:t>
      </w:r>
    </w:p>
    <w:p w14:paraId="39243303">
      <w:pPr>
        <w:spacing w:line="580" w:lineRule="exact"/>
        <w:ind w:firstLine="640"/>
        <w:jc w:val="both"/>
      </w:pPr>
      <w:r>
        <w:rPr>
          <w:rFonts w:ascii="仿宋_GB2312" w:hAnsi="仿宋_GB2312" w:eastAsia="仿宋_GB2312"/>
          <w:sz w:val="32"/>
        </w:rPr>
        <w:t>(七)负责洛浦县社会发展与国民经济发展的政策衔接，组织拟订社会发展战略、总体规划和年度计划，参与拟订科学技术、教育、文化、卫生、民政等发展措施，协调洛浦县社会事业发展的重大问题；研究提出促进就业、调整收入分配、完善社会保障与经济协调发展的措施。负责洛浦县深化医药卫生体制改革领导小组办公室的工作。</w:t>
      </w:r>
    </w:p>
    <w:p w14:paraId="13140E46">
      <w:pPr>
        <w:spacing w:line="580" w:lineRule="exact"/>
        <w:ind w:firstLine="640"/>
        <w:jc w:val="both"/>
      </w:pPr>
      <w:r>
        <w:rPr>
          <w:rFonts w:ascii="仿宋_GB2312" w:hAnsi="仿宋_GB2312" w:eastAsia="仿宋_GB2312"/>
          <w:sz w:val="32"/>
        </w:rPr>
        <w:t>(八)推进可持续发展战略，负责洛浦县全社会节能减排综合协调工作，组织拟订发展循环经济、全社会能源资源节约和综合利用规划及政策措施并协调实施。会同有关部门研究提出洛浦县生态建设、环境保护规划、资源节约综合利用规划和措施；协调生态建设、环保产业和资源节约综合利用的重大问题，综合协调环保产业和清洁生产促进有关工作。负责洛浦县节能减排领导小组办公室的日常工作。</w:t>
      </w:r>
    </w:p>
    <w:p w14:paraId="72CD6BEF">
      <w:pPr>
        <w:spacing w:line="580" w:lineRule="exact"/>
        <w:ind w:firstLine="640"/>
        <w:jc w:val="both"/>
      </w:pPr>
      <w:r>
        <w:rPr>
          <w:rFonts w:ascii="仿宋_GB2312" w:hAnsi="仿宋_GB2312" w:eastAsia="仿宋_GB2312"/>
          <w:sz w:val="32"/>
        </w:rPr>
        <w:t>(九)起草洛浦县国民经济和社会发展以及经济体制改革、对外开放的规范性文件。</w:t>
      </w:r>
    </w:p>
    <w:p w14:paraId="431F8C9A">
      <w:pPr>
        <w:spacing w:line="580" w:lineRule="exact"/>
        <w:ind w:firstLine="640"/>
        <w:jc w:val="both"/>
      </w:pPr>
      <w:r>
        <w:rPr>
          <w:rFonts w:ascii="仿宋_GB2312" w:hAnsi="仿宋_GB2312" w:eastAsia="仿宋_GB2312"/>
          <w:sz w:val="32"/>
        </w:rPr>
        <w:t>(十)承办县政府和上级业务主管部门交办的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43E39373">
      <w:pPr>
        <w:spacing w:line="640" w:lineRule="exact"/>
        <w:ind w:firstLine="640"/>
        <w:jc w:val="both"/>
        <w:outlineLvl w:val="2"/>
      </w:pPr>
      <w:r>
        <w:rPr>
          <w:rFonts w:ascii="黑体" w:hAnsi="黑体" w:eastAsia="黑体"/>
          <w:sz w:val="32"/>
        </w:rPr>
        <w:t>二、机构设置及人员情况</w:t>
      </w:r>
    </w:p>
    <w:p w14:paraId="649146D2">
      <w:pPr>
        <w:spacing w:line="580" w:lineRule="exact"/>
        <w:ind w:firstLine="640"/>
        <w:jc w:val="both"/>
      </w:pPr>
      <w:r>
        <w:rPr>
          <w:rFonts w:ascii="仿宋_GB2312" w:hAnsi="仿宋_GB2312" w:eastAsia="仿宋_GB2312"/>
          <w:sz w:val="32"/>
        </w:rPr>
        <w:t>洛浦县发展和改革委员会2024年度，实有人数44人，其中：在职人员30人，增加9人；离休人员0人，增加0人；退休人员14人,减少2人。</w:t>
      </w:r>
    </w:p>
    <w:p w14:paraId="0AA0651F">
      <w:pPr>
        <w:spacing w:line="580" w:lineRule="exact"/>
        <w:ind w:firstLine="640"/>
        <w:jc w:val="both"/>
      </w:pPr>
      <w:r>
        <w:rPr>
          <w:rFonts w:ascii="仿宋_GB2312" w:hAnsi="仿宋_GB2312" w:eastAsia="仿宋_GB2312"/>
          <w:sz w:val="32"/>
        </w:rPr>
        <w:t>洛浦县发展和改革委员会无下属预算单位，下设4个科室，分别是：办公室、项目办、财务室、数据资源和政务服务中心。</w:t>
      </w:r>
    </w:p>
    <w:p w14:paraId="348CA627">
      <w:r>
        <w:br w:type="page"/>
      </w:r>
    </w:p>
    <w:p w14:paraId="7E4B97F4">
      <w:pPr>
        <w:spacing w:line="240" w:lineRule="auto"/>
        <w:jc w:val="center"/>
        <w:outlineLvl w:val="1"/>
      </w:pPr>
      <w:r>
        <w:rPr>
          <w:rFonts w:ascii="黑体" w:hAnsi="黑体" w:eastAsia="黑体"/>
          <w:sz w:val="32"/>
        </w:rPr>
        <w:t>第二部分 部门决算情况说明</w:t>
      </w:r>
    </w:p>
    <w:p w14:paraId="44A4EAEA">
      <w:pPr>
        <w:spacing w:line="640" w:lineRule="exact"/>
        <w:ind w:firstLine="640"/>
        <w:jc w:val="both"/>
        <w:outlineLvl w:val="2"/>
      </w:pPr>
      <w:r>
        <w:rPr>
          <w:rFonts w:ascii="黑体" w:hAnsi="黑体" w:eastAsia="黑体"/>
          <w:sz w:val="32"/>
        </w:rPr>
        <w:t>一、收入支出决算总体情况说明</w:t>
      </w:r>
    </w:p>
    <w:p w14:paraId="483ECBAA">
      <w:pPr>
        <w:spacing w:line="580" w:lineRule="exact"/>
        <w:ind w:firstLine="640"/>
        <w:jc w:val="both"/>
      </w:pPr>
      <w:r>
        <w:rPr>
          <w:rFonts w:ascii="仿宋_GB2312" w:hAnsi="仿宋_GB2312" w:eastAsia="仿宋_GB2312"/>
          <w:b/>
          <w:sz w:val="32"/>
        </w:rPr>
        <w:t>2024年度收入总计1,666.35万元，</w:t>
      </w:r>
      <w:r>
        <w:rPr>
          <w:rFonts w:ascii="仿宋_GB2312" w:hAnsi="仿宋_GB2312" w:eastAsia="仿宋_GB2312"/>
          <w:b w:val="0"/>
          <w:sz w:val="32"/>
        </w:rPr>
        <w:t>其中：本年收入合计1,666.35万元，使用非财政拨款结余（含专用结余）0.00万元，年初结转和结余0.00万元。</w:t>
      </w:r>
    </w:p>
    <w:p w14:paraId="537AF704">
      <w:pPr>
        <w:spacing w:line="580" w:lineRule="exact"/>
        <w:ind w:firstLine="640"/>
        <w:jc w:val="both"/>
      </w:pPr>
      <w:r>
        <w:rPr>
          <w:rFonts w:ascii="仿宋_GB2312" w:hAnsi="仿宋_GB2312" w:eastAsia="仿宋_GB2312"/>
          <w:b/>
          <w:sz w:val="32"/>
        </w:rPr>
        <w:t>2024年度支出总计1,666.35万元，</w:t>
      </w:r>
      <w:r>
        <w:rPr>
          <w:rFonts w:ascii="仿宋_GB2312" w:hAnsi="仿宋_GB2312" w:eastAsia="仿宋_GB2312"/>
          <w:b w:val="0"/>
          <w:sz w:val="32"/>
        </w:rPr>
        <w:t>其中：本年支出合计1,666.35万元，结余分配0.00万元，年末结转和结余0.00万元。</w:t>
      </w:r>
    </w:p>
    <w:p w14:paraId="6B900253">
      <w:pPr>
        <w:spacing w:line="580" w:lineRule="exact"/>
        <w:ind w:firstLine="640"/>
        <w:jc w:val="both"/>
      </w:pPr>
      <w:r>
        <w:rPr>
          <w:rFonts w:ascii="仿宋_GB2312" w:hAnsi="仿宋_GB2312" w:eastAsia="仿宋_GB2312"/>
          <w:b w:val="0"/>
          <w:sz w:val="32"/>
        </w:rPr>
        <w:t>收入支出总体与上年相比，增加198.03万元，增长13.49%，主要原因是：1.本年在职人员增加，在职人员工资调增、社保、公积金基数调增。2.洛浦县2024年第七批自治区预算内投资项目，2024年第一批自治区预算内投资项目，2023年第六批自治区预算内项目投资前期费较上年增加。</w:t>
      </w:r>
    </w:p>
    <w:p w14:paraId="243C3EBC">
      <w:pPr>
        <w:spacing w:line="640" w:lineRule="exact"/>
        <w:ind w:firstLine="640"/>
        <w:jc w:val="both"/>
        <w:outlineLvl w:val="2"/>
      </w:pPr>
      <w:r>
        <w:rPr>
          <w:rFonts w:ascii="黑体" w:hAnsi="黑体" w:eastAsia="黑体"/>
          <w:sz w:val="32"/>
        </w:rPr>
        <w:t>二、收入决算情况说明</w:t>
      </w:r>
    </w:p>
    <w:p w14:paraId="662CF166">
      <w:pPr>
        <w:spacing w:line="580" w:lineRule="exact"/>
        <w:ind w:firstLine="640"/>
        <w:jc w:val="both"/>
      </w:pPr>
      <w:r>
        <w:rPr>
          <w:rFonts w:ascii="仿宋_GB2312" w:hAnsi="仿宋_GB2312" w:eastAsia="仿宋_GB2312"/>
          <w:b/>
          <w:sz w:val="32"/>
        </w:rPr>
        <w:t>本年收入1,666.35万元，</w:t>
      </w:r>
      <w:r>
        <w:rPr>
          <w:rFonts w:ascii="仿宋_GB2312" w:hAnsi="仿宋_GB2312" w:eastAsia="仿宋_GB2312"/>
          <w:b w:val="0"/>
          <w:sz w:val="32"/>
        </w:rPr>
        <w:t>其中：财政拨款收入1,293.82万元，占77.64%；上级补助收入0.00万元，占0.00%；事业收入0.00万元，占0.00%；经营收入0.00万元，占0.00%；附属单位上缴收入0.00万元，占0.00%；其他收入372.53万元，占22.36%。</w:t>
      </w:r>
    </w:p>
    <w:p w14:paraId="115BD7A6">
      <w:pPr>
        <w:spacing w:line="640" w:lineRule="exact"/>
        <w:ind w:firstLine="640"/>
        <w:jc w:val="both"/>
        <w:outlineLvl w:val="2"/>
      </w:pPr>
      <w:r>
        <w:rPr>
          <w:rFonts w:ascii="黑体" w:hAnsi="黑体" w:eastAsia="黑体"/>
          <w:sz w:val="32"/>
        </w:rPr>
        <w:t>三、支出决算情况说明</w:t>
      </w:r>
    </w:p>
    <w:p w14:paraId="0EC44BA1">
      <w:pPr>
        <w:spacing w:line="580" w:lineRule="exact"/>
        <w:ind w:firstLine="640"/>
        <w:jc w:val="both"/>
      </w:pPr>
      <w:r>
        <w:rPr>
          <w:rFonts w:ascii="仿宋_GB2312" w:hAnsi="仿宋_GB2312" w:eastAsia="仿宋_GB2312"/>
          <w:b/>
          <w:sz w:val="32"/>
        </w:rPr>
        <w:t>本年支出1,666.35万元，</w:t>
      </w:r>
      <w:r>
        <w:rPr>
          <w:rFonts w:ascii="仿宋_GB2312" w:hAnsi="仿宋_GB2312" w:eastAsia="仿宋_GB2312"/>
          <w:b w:val="0"/>
          <w:sz w:val="32"/>
        </w:rPr>
        <w:t>其中：基本支出460.42万元，占27.63%；项目支出1,205.93万元，占72.37%；上缴上级支出0.00万元，占0.00%；经营支出0.00万元，占0.00%；对附属单位补助支出0.00万元，占0.00%。</w:t>
      </w:r>
    </w:p>
    <w:p w14:paraId="60A4E17C">
      <w:pPr>
        <w:spacing w:line="640" w:lineRule="exact"/>
        <w:ind w:firstLine="640"/>
        <w:jc w:val="both"/>
        <w:outlineLvl w:val="2"/>
      </w:pPr>
      <w:r>
        <w:rPr>
          <w:rFonts w:ascii="黑体" w:hAnsi="黑体" w:eastAsia="黑体"/>
          <w:sz w:val="32"/>
        </w:rPr>
        <w:t>四、财政拨款收入支出决算总体情况说明</w:t>
      </w:r>
    </w:p>
    <w:p w14:paraId="54173BEC">
      <w:pPr>
        <w:spacing w:line="580" w:lineRule="exact"/>
        <w:ind w:firstLine="640"/>
        <w:jc w:val="both"/>
      </w:pPr>
      <w:r>
        <w:rPr>
          <w:rFonts w:ascii="仿宋_GB2312" w:hAnsi="仿宋_GB2312" w:eastAsia="仿宋_GB2312"/>
          <w:b/>
          <w:sz w:val="32"/>
        </w:rPr>
        <w:t>2024年度财政拨款收入总计1,293.82万元，</w:t>
      </w:r>
      <w:r>
        <w:rPr>
          <w:rFonts w:ascii="仿宋_GB2312" w:hAnsi="仿宋_GB2312" w:eastAsia="仿宋_GB2312"/>
          <w:b w:val="0"/>
          <w:sz w:val="32"/>
        </w:rPr>
        <w:t>其中：年初财政拨款结转和结余0.00万元，本年财政拨款收入1,293.82万元。</w:t>
      </w:r>
      <w:r>
        <w:rPr>
          <w:rFonts w:ascii="仿宋_GB2312" w:hAnsi="仿宋_GB2312" w:eastAsia="仿宋_GB2312"/>
          <w:b/>
          <w:sz w:val="32"/>
        </w:rPr>
        <w:t>财政拨款支出总计1,293.82万元，</w:t>
      </w:r>
      <w:r>
        <w:rPr>
          <w:rFonts w:ascii="仿宋_GB2312" w:hAnsi="仿宋_GB2312" w:eastAsia="仿宋_GB2312"/>
          <w:b w:val="0"/>
          <w:sz w:val="32"/>
        </w:rPr>
        <w:t>其中：年末财政拨款结转和结余0.00万元，本年财政拨款支出1,293.82万元。</w:t>
      </w:r>
    </w:p>
    <w:p w14:paraId="5A7A319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449.98万元，增长53.33%，主要原因是：1.本年在职人员增加，在职人员工资调增、社保、公积金基数调增。2.洛浦县2024年第七批自治区预算内投资项目，2024年第一批自治区预算内投资项目，2023年第六批自治区预算内项目投资前期费较上年增加。</w:t>
      </w:r>
      <w:r>
        <w:rPr>
          <w:rFonts w:ascii="仿宋_GB2312" w:hAnsi="仿宋_GB2312" w:eastAsia="仿宋_GB2312"/>
          <w:b/>
          <w:sz w:val="32"/>
        </w:rPr>
        <w:t>与年初预算相比，</w:t>
      </w:r>
      <w:r>
        <w:rPr>
          <w:rFonts w:ascii="仿宋_GB2312" w:hAnsi="仿宋_GB2312" w:eastAsia="仿宋_GB2312"/>
          <w:b w:val="0"/>
          <w:sz w:val="32"/>
        </w:rPr>
        <w:t>年初预算数961.51万元，决算数1,293.82万元，预决算差异率34.56%，主要原因是：年中追加自治区预算内项目前期费，导致预决算存在差异。</w:t>
      </w:r>
    </w:p>
    <w:p w14:paraId="2F8621CD">
      <w:pPr>
        <w:spacing w:line="640" w:lineRule="exact"/>
        <w:ind w:firstLine="640"/>
        <w:jc w:val="both"/>
        <w:outlineLvl w:val="2"/>
      </w:pPr>
      <w:r>
        <w:rPr>
          <w:rFonts w:ascii="黑体" w:hAnsi="黑体" w:eastAsia="黑体"/>
          <w:sz w:val="32"/>
        </w:rPr>
        <w:t>五、一般公共预算财政拨款支出决算情况说明</w:t>
      </w:r>
    </w:p>
    <w:p w14:paraId="414738E8">
      <w:pPr>
        <w:spacing w:line="640" w:lineRule="exact"/>
        <w:ind w:firstLine="640"/>
        <w:jc w:val="both"/>
        <w:outlineLvl w:val="3"/>
      </w:pPr>
      <w:r>
        <w:rPr>
          <w:rFonts w:ascii="楷体_GB2312" w:hAnsi="楷体_GB2312" w:eastAsia="楷体_GB2312"/>
          <w:b/>
          <w:sz w:val="32"/>
        </w:rPr>
        <w:t>（一）一般公共预算财政拨款支出决算总体情况</w:t>
      </w:r>
    </w:p>
    <w:p w14:paraId="56EBF295">
      <w:pPr>
        <w:spacing w:line="580" w:lineRule="exact"/>
        <w:ind w:firstLine="640"/>
        <w:jc w:val="both"/>
      </w:pPr>
      <w:r>
        <w:rPr>
          <w:rFonts w:ascii="仿宋_GB2312" w:hAnsi="仿宋_GB2312" w:eastAsia="仿宋_GB2312"/>
          <w:b/>
          <w:sz w:val="32"/>
        </w:rPr>
        <w:t>2024年度一般公共预算财政拨款支出1,293.82万元，</w:t>
      </w:r>
      <w:r>
        <w:rPr>
          <w:rFonts w:ascii="仿宋_GB2312" w:hAnsi="仿宋_GB2312" w:eastAsia="仿宋_GB2312"/>
          <w:b w:val="0"/>
          <w:sz w:val="32"/>
        </w:rPr>
        <w:t>占本年支出合计的77.64%。</w:t>
      </w:r>
      <w:r>
        <w:rPr>
          <w:rFonts w:ascii="仿宋_GB2312" w:hAnsi="仿宋_GB2312" w:eastAsia="仿宋_GB2312"/>
          <w:b/>
          <w:sz w:val="32"/>
        </w:rPr>
        <w:t>与上年相比，</w:t>
      </w:r>
      <w:r>
        <w:rPr>
          <w:rFonts w:ascii="仿宋_GB2312" w:hAnsi="仿宋_GB2312" w:eastAsia="仿宋_GB2312"/>
          <w:b w:val="0"/>
          <w:sz w:val="32"/>
        </w:rPr>
        <w:t>增加449.98万元，增长53.33%，主要原因是：1.本年在职人员增加，在职人员工资调增、社保、公积金基数调增。2.洛浦县2024年第七批自治区预算内投资项目，2024年第一批自治区预算内投资项目，2023年第六批自治区预算内项目投资前期费较上年增加。</w:t>
      </w:r>
      <w:r>
        <w:rPr>
          <w:rFonts w:ascii="仿宋_GB2312" w:hAnsi="仿宋_GB2312" w:eastAsia="仿宋_GB2312"/>
          <w:b/>
          <w:sz w:val="32"/>
        </w:rPr>
        <w:t>与年初预算相比,</w:t>
      </w:r>
      <w:r>
        <w:rPr>
          <w:rFonts w:ascii="仿宋_GB2312" w:hAnsi="仿宋_GB2312" w:eastAsia="仿宋_GB2312"/>
          <w:b w:val="0"/>
          <w:sz w:val="32"/>
        </w:rPr>
        <w:t>年初预算数961.51万元，决算数1,293.82万元，预决算差异率34.56%，主要原因是：年中追加自治区预算内项目前期费，导致预决算存在差异。</w:t>
      </w:r>
    </w:p>
    <w:p w14:paraId="6CD783D8">
      <w:pPr>
        <w:spacing w:line="640" w:lineRule="exact"/>
        <w:ind w:firstLine="640"/>
        <w:jc w:val="both"/>
        <w:outlineLvl w:val="3"/>
      </w:pPr>
      <w:r>
        <w:rPr>
          <w:rFonts w:ascii="楷体_GB2312" w:hAnsi="楷体_GB2312" w:eastAsia="楷体_GB2312"/>
          <w:b/>
          <w:sz w:val="32"/>
        </w:rPr>
        <w:t>（二）一般公共预算财政拨款支出决算结构情况</w:t>
      </w:r>
    </w:p>
    <w:p w14:paraId="45B2F590">
      <w:pPr>
        <w:spacing w:line="580" w:lineRule="exact"/>
        <w:ind w:firstLine="640"/>
        <w:jc w:val="both"/>
      </w:pPr>
      <w:r>
        <w:rPr>
          <w:rFonts w:ascii="仿宋_GB2312" w:hAnsi="仿宋_GB2312" w:eastAsia="仿宋_GB2312"/>
          <w:b w:val="0"/>
          <w:sz w:val="32"/>
        </w:rPr>
        <w:t>1.一般公共服务支出(类)1,074.53万元,占83.05%。</w:t>
      </w:r>
    </w:p>
    <w:p w14:paraId="10430CA2">
      <w:pPr>
        <w:spacing w:line="580" w:lineRule="exact"/>
        <w:ind w:firstLine="640"/>
        <w:jc w:val="both"/>
      </w:pPr>
      <w:r>
        <w:rPr>
          <w:rFonts w:ascii="仿宋_GB2312" w:hAnsi="仿宋_GB2312" w:eastAsia="仿宋_GB2312"/>
          <w:b w:val="0"/>
          <w:sz w:val="32"/>
        </w:rPr>
        <w:t>2.社会保障和就业支出(类)65.78万元,占5.08%。</w:t>
      </w:r>
    </w:p>
    <w:p w14:paraId="7DD7ED2F">
      <w:pPr>
        <w:spacing w:line="580" w:lineRule="exact"/>
        <w:ind w:firstLine="640"/>
        <w:jc w:val="both"/>
      </w:pPr>
      <w:r>
        <w:rPr>
          <w:rFonts w:ascii="仿宋_GB2312" w:hAnsi="仿宋_GB2312" w:eastAsia="仿宋_GB2312"/>
          <w:b w:val="0"/>
          <w:sz w:val="32"/>
        </w:rPr>
        <w:t>3.卫生健康支出(类)24.01万元,占1.86%。</w:t>
      </w:r>
    </w:p>
    <w:p w14:paraId="0D8A86C3">
      <w:pPr>
        <w:spacing w:line="580" w:lineRule="exact"/>
        <w:ind w:firstLine="640"/>
        <w:jc w:val="both"/>
      </w:pPr>
      <w:r>
        <w:rPr>
          <w:rFonts w:ascii="仿宋_GB2312" w:hAnsi="仿宋_GB2312" w:eastAsia="仿宋_GB2312"/>
          <w:b w:val="0"/>
          <w:sz w:val="32"/>
        </w:rPr>
        <w:t>4.农林水支出(类)1.34万元,占0.10%。</w:t>
      </w:r>
    </w:p>
    <w:p w14:paraId="3E2C9610">
      <w:pPr>
        <w:spacing w:line="580" w:lineRule="exact"/>
        <w:ind w:firstLine="640"/>
        <w:jc w:val="both"/>
      </w:pPr>
      <w:r>
        <w:rPr>
          <w:rFonts w:ascii="仿宋_GB2312" w:hAnsi="仿宋_GB2312" w:eastAsia="仿宋_GB2312"/>
          <w:b w:val="0"/>
          <w:sz w:val="32"/>
        </w:rPr>
        <w:t>5.住房保障支出(类)33.95万元,占2.62%。</w:t>
      </w:r>
    </w:p>
    <w:p w14:paraId="29DD08F6">
      <w:pPr>
        <w:spacing w:line="580" w:lineRule="exact"/>
        <w:ind w:firstLine="640"/>
        <w:jc w:val="both"/>
      </w:pPr>
      <w:r>
        <w:rPr>
          <w:rFonts w:ascii="仿宋_GB2312" w:hAnsi="仿宋_GB2312" w:eastAsia="仿宋_GB2312"/>
          <w:b w:val="0"/>
          <w:sz w:val="32"/>
        </w:rPr>
        <w:t>6.粮油物资储备支出(类)81.74万元,占6.32%。</w:t>
      </w:r>
    </w:p>
    <w:p w14:paraId="5F8C4574">
      <w:pPr>
        <w:spacing w:line="580" w:lineRule="exact"/>
        <w:ind w:firstLine="640"/>
        <w:jc w:val="both"/>
      </w:pPr>
      <w:r>
        <w:rPr>
          <w:rFonts w:ascii="仿宋_GB2312" w:hAnsi="仿宋_GB2312" w:eastAsia="仿宋_GB2312"/>
          <w:b w:val="0"/>
          <w:sz w:val="32"/>
        </w:rPr>
        <w:t>7.其他支出(类)12.46万元,占0.96%。</w:t>
      </w:r>
    </w:p>
    <w:p w14:paraId="24349D03">
      <w:pPr>
        <w:spacing w:line="640" w:lineRule="exact"/>
        <w:ind w:firstLine="640"/>
        <w:jc w:val="both"/>
        <w:outlineLvl w:val="3"/>
      </w:pPr>
      <w:r>
        <w:rPr>
          <w:rFonts w:ascii="楷体_GB2312" w:hAnsi="楷体_GB2312" w:eastAsia="楷体_GB2312"/>
          <w:b/>
          <w:sz w:val="32"/>
        </w:rPr>
        <w:t>（三）一般公共预算财政拨款支出决算具体情况</w:t>
      </w:r>
    </w:p>
    <w:p w14:paraId="2AC77212">
      <w:pPr>
        <w:spacing w:line="580" w:lineRule="exact"/>
        <w:ind w:firstLine="640"/>
        <w:jc w:val="both"/>
      </w:pPr>
      <w:r>
        <w:rPr>
          <w:rFonts w:ascii="仿宋_GB2312" w:hAnsi="仿宋_GB2312" w:eastAsia="仿宋_GB2312"/>
          <w:b w:val="0"/>
          <w:sz w:val="32"/>
        </w:rPr>
        <w:t>1.一般公共服务支出(类)发展与改革事务(款)行政运行(项):支出决算数为336.68万元，比上年决算减少107.99万元，下降24.29%,主要原因是：本年功能科目调整，行政单位离退休经费，行政单位医疗，公务员医疗补助，住房公积金上年度在主科目列支，本年单独列支，导致经费较上年减少。</w:t>
      </w:r>
    </w:p>
    <w:p w14:paraId="34B4AFE8">
      <w:pPr>
        <w:spacing w:line="580" w:lineRule="exact"/>
        <w:ind w:firstLine="640"/>
        <w:jc w:val="both"/>
      </w:pPr>
      <w:r>
        <w:rPr>
          <w:rFonts w:ascii="仿宋_GB2312" w:hAnsi="仿宋_GB2312" w:eastAsia="仿宋_GB2312"/>
          <w:b w:val="0"/>
          <w:sz w:val="32"/>
        </w:rPr>
        <w:t>2.一般公共服务支出(类)发展与改革事务(款)社会事业发展规划(项):支出决算数为280.59万元，比上年决算增加161.18万元，增长134.98%,主要原因是：本年增加2023年第六批自治区预算内项目投资前期费。</w:t>
      </w:r>
    </w:p>
    <w:p w14:paraId="761CDB8A">
      <w:pPr>
        <w:spacing w:line="580" w:lineRule="exact"/>
        <w:ind w:firstLine="640"/>
        <w:jc w:val="both"/>
      </w:pPr>
      <w:r>
        <w:rPr>
          <w:rFonts w:ascii="仿宋_GB2312" w:hAnsi="仿宋_GB2312" w:eastAsia="仿宋_GB2312"/>
          <w:b w:val="0"/>
          <w:sz w:val="32"/>
        </w:rPr>
        <w:t>3.一般公共服务支出(类)发展与改革事务(款)其他发展与改革事务支出(项):支出决算数为457.27万元，比上年决算增加323.32万元，增长241.37%,主要原因是：本年增加洛浦县2024年第七批自治区预算内投资项目，2024年第一批自治区预算内投资项目。</w:t>
      </w:r>
    </w:p>
    <w:p w14:paraId="6A76689E">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20.40万元，比上年决算增加20.40万元，增长100.00%,主要原因是：本年功能科目调整，行政单位离退休上年度在主科目列支，本年单独列支，导致经费较上年增加。</w:t>
      </w:r>
    </w:p>
    <w:p w14:paraId="616E316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45.38万元，比上年决算增加10.21万元，增长29.03%,主要原因是：本年在职人员工资基数调增，养老缴费基数上涨，相应支出增加。</w:t>
      </w:r>
    </w:p>
    <w:p w14:paraId="0F4B4BB5">
      <w:pPr>
        <w:spacing w:line="580" w:lineRule="exact"/>
        <w:ind w:firstLine="640"/>
        <w:jc w:val="both"/>
      </w:pPr>
      <w:r>
        <w:rPr>
          <w:rFonts w:ascii="仿宋_GB2312" w:hAnsi="仿宋_GB2312" w:eastAsia="仿宋_GB2312"/>
          <w:b w:val="0"/>
          <w:sz w:val="32"/>
        </w:rPr>
        <w:t>6.卫生健康支出(类)行政事业单位医疗(款)行政单位医疗(项):支出决算数为18.44万元，比上年决算增加18.44万元，增长100.00%,主要原因是：本年功能科目调整，行政单位医疗支出上年度在主科目列支，本年单独列支，导致经费较上年增加。</w:t>
      </w:r>
    </w:p>
    <w:p w14:paraId="3C26BEA0">
      <w:pPr>
        <w:spacing w:line="580" w:lineRule="exact"/>
        <w:ind w:firstLine="640"/>
        <w:jc w:val="both"/>
      </w:pPr>
      <w:r>
        <w:rPr>
          <w:rFonts w:ascii="仿宋_GB2312" w:hAnsi="仿宋_GB2312" w:eastAsia="仿宋_GB2312"/>
          <w:b w:val="0"/>
          <w:sz w:val="32"/>
        </w:rPr>
        <w:t>7.卫生健康支出(类)行政事业单位医疗(款)公务员医疗补助(项):支出决算数为5.57万元，比上年决算增加5.57万元，增长100.00%,主要原因是：本年功能科目调整，公务员医疗补助上年度在主科目列支，本年单独列支，导致经费较上年增加。</w:t>
      </w:r>
    </w:p>
    <w:p w14:paraId="48BF19FD">
      <w:pPr>
        <w:spacing w:line="580" w:lineRule="exact"/>
        <w:ind w:firstLine="640"/>
        <w:jc w:val="both"/>
      </w:pPr>
      <w:r>
        <w:rPr>
          <w:rFonts w:ascii="仿宋_GB2312" w:hAnsi="仿宋_GB2312" w:eastAsia="仿宋_GB2312"/>
          <w:b w:val="0"/>
          <w:sz w:val="32"/>
        </w:rPr>
        <w:t>8.农林水支出(类)巩固脱贫攻坚成果衔接乡村振兴(款)其他巩固脱贫攻坚成果衔接乡村振兴支出(项):支出决算数为1.34万元，比上年决算增加1.34万元，增长100.00%,主要原因是：本年增加</w:t>
      </w:r>
      <w:r>
        <w:rPr>
          <w:rFonts w:hint="eastAsia" w:ascii="仿宋_GB2312" w:hAnsi="仿宋_GB2312" w:eastAsia="仿宋_GB2312"/>
          <w:b w:val="0"/>
          <w:sz w:val="32"/>
          <w:lang w:eastAsia="zh-CN"/>
        </w:rPr>
        <w:t>易地扶贫搬迁</w:t>
      </w:r>
      <w:r>
        <w:rPr>
          <w:rFonts w:ascii="仿宋_GB2312" w:hAnsi="仿宋_GB2312" w:eastAsia="仿宋_GB2312"/>
          <w:b w:val="0"/>
          <w:sz w:val="32"/>
        </w:rPr>
        <w:t>尾款支出。</w:t>
      </w:r>
    </w:p>
    <w:p w14:paraId="77F6F01C">
      <w:pPr>
        <w:spacing w:line="580" w:lineRule="exact"/>
        <w:ind w:firstLine="640"/>
        <w:jc w:val="both"/>
      </w:pPr>
      <w:r>
        <w:rPr>
          <w:rFonts w:ascii="仿宋_GB2312" w:hAnsi="仿宋_GB2312" w:eastAsia="仿宋_GB2312"/>
          <w:b w:val="0"/>
          <w:sz w:val="32"/>
        </w:rPr>
        <w:t>9.住房保障支出(类)住房改革支出(款)住房公积金(项):支出决算数为33.95万元，比上年决算增加33.95万元，增长100.00%,主要原因是：本年功能科目调整，住房公积金上年度在主科目列支，本年单独列支，导致经费较上年增加。</w:t>
      </w:r>
    </w:p>
    <w:p w14:paraId="65EA007C">
      <w:pPr>
        <w:spacing w:line="580" w:lineRule="exact"/>
        <w:ind w:firstLine="640"/>
        <w:jc w:val="both"/>
      </w:pPr>
      <w:r>
        <w:rPr>
          <w:rFonts w:ascii="仿宋_GB2312" w:hAnsi="仿宋_GB2312" w:eastAsia="仿宋_GB2312"/>
          <w:b w:val="0"/>
          <w:sz w:val="32"/>
        </w:rPr>
        <w:t>10.粮油物资储备支出(类)粮油物资事务(款)粮食风险基金(项):支出决算数为81.74万元，比上年决算增加81.74万元，增长100.00%,主要原因是：本年粮食风险金从其他粮油储备支出科目调整至本科目列支，相应支出增加。</w:t>
      </w:r>
    </w:p>
    <w:p w14:paraId="04429A74">
      <w:pPr>
        <w:spacing w:line="580" w:lineRule="exact"/>
        <w:ind w:firstLine="640"/>
        <w:jc w:val="both"/>
      </w:pPr>
      <w:r>
        <w:rPr>
          <w:rFonts w:ascii="仿宋_GB2312" w:hAnsi="仿宋_GB2312" w:eastAsia="仿宋_GB2312"/>
          <w:b w:val="0"/>
          <w:sz w:val="32"/>
        </w:rPr>
        <w:t>11.粮油物资储备支出(类)粮油物资事务(款)其他粮油物资事务支出(项):支出决算数为0.00万元，比上年决算减少9.07万元，下降100.00%,主要原因是：本年减少产粮大县奖励资金尾款。</w:t>
      </w:r>
    </w:p>
    <w:p w14:paraId="31A58819">
      <w:pPr>
        <w:spacing w:line="580" w:lineRule="exact"/>
        <w:ind w:firstLine="640"/>
        <w:jc w:val="both"/>
      </w:pPr>
      <w:r>
        <w:rPr>
          <w:rFonts w:ascii="仿宋_GB2312" w:hAnsi="仿宋_GB2312" w:eastAsia="仿宋_GB2312"/>
          <w:b w:val="0"/>
          <w:sz w:val="32"/>
        </w:rPr>
        <w:t>12.粮油物资储备支出(类)粮油储备(款)其他粮油储备支出(项):支出决算数为0.00万元，比上年决算减少89.40万元，下降100.00%,主要原因是：科目调整，粮食风险金本年在粮油物资储备支出(类)粮油物资事务(款)粮食风险基金(项)列支，导致经费下降。</w:t>
      </w:r>
    </w:p>
    <w:p w14:paraId="359652AA">
      <w:pPr>
        <w:spacing w:line="580" w:lineRule="exact"/>
        <w:ind w:firstLine="640"/>
        <w:jc w:val="both"/>
      </w:pPr>
      <w:r>
        <w:rPr>
          <w:rFonts w:ascii="仿宋_GB2312" w:hAnsi="仿宋_GB2312" w:eastAsia="仿宋_GB2312"/>
          <w:b w:val="0"/>
          <w:sz w:val="32"/>
        </w:rPr>
        <w:t>13.其他支出(类)其他支出(款)其他支出(项):支出决算数为12.46万元，比上年决算增加0.29万元，增长2.38%,主要原因是：本年增加为民办实事经费支出。</w:t>
      </w:r>
    </w:p>
    <w:p w14:paraId="6A201F0C">
      <w:pPr>
        <w:spacing w:line="640" w:lineRule="exact"/>
        <w:ind w:firstLine="640"/>
        <w:jc w:val="both"/>
        <w:outlineLvl w:val="2"/>
      </w:pPr>
      <w:r>
        <w:rPr>
          <w:rFonts w:ascii="黑体" w:hAnsi="黑体" w:eastAsia="黑体"/>
          <w:sz w:val="32"/>
        </w:rPr>
        <w:t>六、一般公共预算财政拨款基本支出决算情况说明</w:t>
      </w:r>
    </w:p>
    <w:p w14:paraId="72644688">
      <w:pPr>
        <w:spacing w:line="580" w:lineRule="exact"/>
        <w:ind w:firstLine="640"/>
        <w:jc w:val="both"/>
      </w:pPr>
      <w:r>
        <w:rPr>
          <w:rFonts w:ascii="仿宋_GB2312" w:hAnsi="仿宋_GB2312" w:eastAsia="仿宋_GB2312"/>
          <w:b w:val="0"/>
          <w:sz w:val="32"/>
        </w:rPr>
        <w:t>2024年度一般公共预算财政拨款基本支出460.42万元，其中：</w:t>
      </w:r>
      <w:r>
        <w:rPr>
          <w:rFonts w:ascii="仿宋_GB2312" w:hAnsi="仿宋_GB2312" w:eastAsia="仿宋_GB2312"/>
          <w:b/>
          <w:sz w:val="32"/>
        </w:rPr>
        <w:t>人员经费452.00万元，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7DE17857">
      <w:pPr>
        <w:spacing w:line="580" w:lineRule="exact"/>
        <w:ind w:firstLine="640"/>
        <w:jc w:val="both"/>
      </w:pPr>
      <w:r>
        <w:rPr>
          <w:rFonts w:ascii="仿宋_GB2312" w:hAnsi="仿宋_GB2312" w:eastAsia="仿宋_GB2312"/>
          <w:b/>
          <w:sz w:val="32"/>
        </w:rPr>
        <w:t>公用经费8.41万元，</w:t>
      </w:r>
      <w:r>
        <w:rPr>
          <w:rFonts w:ascii="仿宋_GB2312" w:hAnsi="仿宋_GB2312" w:eastAsia="仿宋_GB2312"/>
          <w:b w:val="0"/>
          <w:sz w:val="32"/>
        </w:rPr>
        <w:t>包括：办公费、水费、电费、邮电费、差旅费、工会经费、公务用车运行维护费。</w:t>
      </w:r>
    </w:p>
    <w:p w14:paraId="65D56B77">
      <w:pPr>
        <w:spacing w:line="640" w:lineRule="exact"/>
        <w:ind w:firstLine="640"/>
        <w:jc w:val="both"/>
        <w:outlineLvl w:val="2"/>
      </w:pPr>
      <w:r>
        <w:rPr>
          <w:rFonts w:ascii="黑体" w:hAnsi="黑体" w:eastAsia="黑体"/>
          <w:sz w:val="32"/>
        </w:rPr>
        <w:t>七、政府性基金预算财政拨款收入支出决算情况说明</w:t>
      </w:r>
    </w:p>
    <w:p w14:paraId="0DDD387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79B6C12">
      <w:pPr>
        <w:spacing w:line="640" w:lineRule="exact"/>
        <w:ind w:firstLine="640"/>
        <w:jc w:val="both"/>
        <w:outlineLvl w:val="2"/>
      </w:pPr>
      <w:r>
        <w:rPr>
          <w:rFonts w:ascii="黑体" w:hAnsi="黑体" w:eastAsia="黑体"/>
          <w:sz w:val="32"/>
        </w:rPr>
        <w:t>八、国有资本经营预算财政拨款收入支出决算情况说明</w:t>
      </w:r>
    </w:p>
    <w:p w14:paraId="0BE9ED4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9F43D2">
      <w:pPr>
        <w:spacing w:line="640" w:lineRule="exact"/>
        <w:ind w:firstLine="640"/>
        <w:jc w:val="both"/>
        <w:outlineLvl w:val="2"/>
      </w:pPr>
      <w:r>
        <w:rPr>
          <w:rFonts w:ascii="黑体" w:hAnsi="黑体" w:eastAsia="黑体"/>
          <w:sz w:val="32"/>
        </w:rPr>
        <w:t>九、财政拨款“三公”经费支出决算情况说明</w:t>
      </w:r>
    </w:p>
    <w:p w14:paraId="300FF040">
      <w:pPr>
        <w:spacing w:line="580" w:lineRule="exact"/>
        <w:ind w:firstLine="640"/>
        <w:jc w:val="both"/>
      </w:pPr>
      <w:r>
        <w:rPr>
          <w:rFonts w:ascii="仿宋_GB2312" w:hAnsi="仿宋_GB2312" w:eastAsia="仿宋_GB2312"/>
          <w:b/>
          <w:sz w:val="32"/>
        </w:rPr>
        <w:t>2024年度财政拨款“三公”经费支出2.11万元，</w:t>
      </w:r>
      <w:r>
        <w:rPr>
          <w:rFonts w:ascii="仿宋_GB2312" w:hAnsi="仿宋_GB2312" w:eastAsia="仿宋_GB2312"/>
          <w:b w:val="0"/>
          <w:sz w:val="32"/>
        </w:rPr>
        <w:t>比上年增加0.01万元，增长0.48%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2.11万元，占100.00%，比上年增加0.01万元，增长0.48%，主要原因是：本年因业务需求，用车次数增加，燃油费增加，导致公务用车运行维护费较上年增加。公务接待费支出0.00万元，占0.00%，比上年增加0.00万元，增长0.00%，主要原因是：2023年与2024年均未安排公务接待费支出。</w:t>
      </w:r>
    </w:p>
    <w:p w14:paraId="28E44605">
      <w:pPr>
        <w:spacing w:line="580" w:lineRule="exact"/>
        <w:ind w:firstLine="640"/>
        <w:jc w:val="both"/>
      </w:pPr>
      <w:r>
        <w:rPr>
          <w:rFonts w:ascii="仿宋_GB2312" w:hAnsi="仿宋_GB2312" w:eastAsia="仿宋_GB2312"/>
          <w:b/>
          <w:sz w:val="32"/>
        </w:rPr>
        <w:t>具体情况如下：</w:t>
      </w:r>
    </w:p>
    <w:p w14:paraId="65BAB1F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EA35E7">
      <w:pPr>
        <w:spacing w:line="580" w:lineRule="exact"/>
        <w:ind w:firstLine="640"/>
        <w:jc w:val="both"/>
      </w:pPr>
      <w:r>
        <w:rPr>
          <w:rFonts w:ascii="仿宋_GB2312" w:hAnsi="仿宋_GB2312" w:eastAsia="仿宋_GB2312"/>
          <w:b w:val="0"/>
          <w:sz w:val="32"/>
        </w:rPr>
        <w:t>公务用车购置及运行维护费2.11万元，其中：公务用车购置费0.00万元，公务用车运行维护费2.11万元。公务用车运行维护费开支内容包括车辆加油费、维修费、保险费、审车费。公务用车购置数0辆，公务用车保有量2辆。国有资产占用情况中固定资产车辆4辆，与公务用车保有量差异原因是：差异车辆为一般业务用车，预算未安排公务用车运行维护费。</w:t>
      </w:r>
    </w:p>
    <w:p w14:paraId="7ED4B52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C8F17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2.11万元，决算数2.11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2.11万元，决算数2.11万元，预决算差异率0.00%，主要原因是：严格按照预算执行，预决算无差异。公务接待费全年预算数0.00万元，决算数0.00万元，预决算差异率0.00%，主要原因是：本单位无公务接待费。</w:t>
      </w:r>
    </w:p>
    <w:p w14:paraId="713ED129">
      <w:pPr>
        <w:spacing w:line="640" w:lineRule="exact"/>
        <w:ind w:firstLine="640"/>
        <w:jc w:val="both"/>
        <w:outlineLvl w:val="2"/>
      </w:pPr>
      <w:r>
        <w:rPr>
          <w:rFonts w:ascii="黑体" w:hAnsi="黑体" w:eastAsia="黑体"/>
          <w:sz w:val="32"/>
        </w:rPr>
        <w:t>十、其他重要事项的情况说明</w:t>
      </w:r>
    </w:p>
    <w:p w14:paraId="0CC229DF">
      <w:pPr>
        <w:spacing w:line="640" w:lineRule="exact"/>
        <w:ind w:firstLine="640"/>
        <w:jc w:val="both"/>
        <w:outlineLvl w:val="3"/>
      </w:pPr>
      <w:r>
        <w:rPr>
          <w:rFonts w:ascii="楷体_GB2312" w:hAnsi="楷体_GB2312" w:eastAsia="楷体_GB2312"/>
          <w:b/>
          <w:sz w:val="32"/>
        </w:rPr>
        <w:t>（一）机关运行经费及公用经费支出情况</w:t>
      </w:r>
    </w:p>
    <w:p w14:paraId="2D6F200D">
      <w:pPr>
        <w:spacing w:line="580" w:lineRule="exact"/>
        <w:ind w:firstLine="640"/>
        <w:jc w:val="both"/>
      </w:pPr>
      <w:r>
        <w:rPr>
          <w:rFonts w:ascii="仿宋_GB2312" w:hAnsi="仿宋_GB2312" w:eastAsia="仿宋_GB2312"/>
          <w:b w:val="0"/>
          <w:sz w:val="32"/>
        </w:rPr>
        <w:t>2024年度洛浦县发展和改革委员会（行政单位和参照公务员法管理事业单位）机关运行经费支出8.41万元，比上年增加4.17万元，增长98.35%，主要原因是：本年在职人员增加，办公费用增加。</w:t>
      </w:r>
    </w:p>
    <w:p w14:paraId="494CBBD9">
      <w:pPr>
        <w:spacing w:line="640" w:lineRule="exact"/>
        <w:ind w:firstLine="640"/>
        <w:jc w:val="both"/>
        <w:outlineLvl w:val="3"/>
      </w:pPr>
      <w:r>
        <w:rPr>
          <w:rFonts w:ascii="楷体_GB2312" w:hAnsi="楷体_GB2312" w:eastAsia="楷体_GB2312"/>
          <w:b/>
          <w:sz w:val="32"/>
        </w:rPr>
        <w:t>（二）政府采购情况</w:t>
      </w:r>
    </w:p>
    <w:p w14:paraId="0531C0E0">
      <w:pPr>
        <w:spacing w:line="580" w:lineRule="exact"/>
        <w:ind w:firstLine="640"/>
        <w:jc w:val="both"/>
      </w:pPr>
      <w:r>
        <w:rPr>
          <w:rFonts w:ascii="仿宋_GB2312" w:hAnsi="仿宋_GB2312" w:eastAsia="仿宋_GB2312"/>
          <w:b w:val="0"/>
          <w:sz w:val="32"/>
        </w:rPr>
        <w:t>2024年度政府采购支出总额176.93万元，其中：政府采购货物支出2.64万元、政府采购工程支出0.00万元、政府采购服务支出174.29万元。</w:t>
      </w:r>
    </w:p>
    <w:p w14:paraId="551D5E4D">
      <w:pPr>
        <w:spacing w:line="580" w:lineRule="exact"/>
        <w:ind w:firstLine="640"/>
        <w:jc w:val="both"/>
      </w:pPr>
      <w:r>
        <w:rPr>
          <w:rFonts w:ascii="仿宋_GB2312" w:hAnsi="仿宋_GB2312" w:eastAsia="仿宋_GB2312"/>
          <w:b w:val="0"/>
          <w:sz w:val="32"/>
        </w:rPr>
        <w:t>授予中小企业合同金额92.93万元，占政府采购支出总额的52.52%，其中：授予小微企业合同金额92.24万元，占政府采购支出总额的52.13%。</w:t>
      </w:r>
    </w:p>
    <w:p w14:paraId="29A8CEB0">
      <w:pPr>
        <w:spacing w:line="640" w:lineRule="exact"/>
        <w:ind w:firstLine="640"/>
        <w:jc w:val="both"/>
        <w:outlineLvl w:val="3"/>
      </w:pPr>
      <w:r>
        <w:rPr>
          <w:rFonts w:ascii="楷体_GB2312" w:hAnsi="楷体_GB2312" w:eastAsia="楷体_GB2312"/>
          <w:b/>
          <w:sz w:val="32"/>
        </w:rPr>
        <w:t>（三）国有资产占用情况说明</w:t>
      </w:r>
    </w:p>
    <w:p w14:paraId="4EC799A3">
      <w:pPr>
        <w:spacing w:line="580" w:lineRule="exact"/>
        <w:ind w:firstLine="640"/>
        <w:jc w:val="both"/>
      </w:pPr>
      <w:r>
        <w:rPr>
          <w:rFonts w:ascii="仿宋_GB2312" w:hAnsi="仿宋_GB2312" w:eastAsia="仿宋_GB2312"/>
          <w:b w:val="0"/>
          <w:sz w:val="32"/>
        </w:rPr>
        <w:t>截至2024年12月31日，房屋1,562.23平方米，价值313.16万元。车辆4辆，价值69.51万元，其中：副部（省）级及以上领导用车0辆、主要负责人用车0辆、机要通信用车0辆、应急保障用车0辆、执法执勤用车0辆、特种专业技术用车0辆、离退休干部服务用车0辆、其他用车4辆，其他用车主要是：一般公务用车和单位业务用车。单价100万元（含）以上设备（不含车辆）0台（套）。</w:t>
      </w:r>
    </w:p>
    <w:p w14:paraId="3EF57DD7">
      <w:pPr>
        <w:spacing w:line="640" w:lineRule="exact"/>
        <w:ind w:firstLine="640"/>
        <w:jc w:val="both"/>
        <w:outlineLvl w:val="2"/>
      </w:pPr>
      <w:r>
        <w:rPr>
          <w:rFonts w:ascii="黑体" w:hAnsi="黑体" w:eastAsia="黑体"/>
          <w:sz w:val="32"/>
        </w:rPr>
        <w:t>十一、预算绩效的情况说明</w:t>
      </w:r>
    </w:p>
    <w:p w14:paraId="070D255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根据预算绩效管理要求，本单位2024年度预算绩效管理形成整体支出绩效自评表1个，全年预算总额1,666.35万元，实际执行总额1,666.35万元；预算绩效评价项目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833.55</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833.40</w:t>
      </w:r>
      <w:r>
        <w:rPr>
          <w:rFonts w:ascii="仿宋_GB2312" w:hAnsi="仿宋_GB2312" w:eastAsia="仿宋_GB2312"/>
          <w:b w:val="0"/>
          <w:sz w:val="32"/>
        </w:rPr>
        <w:t>万元。预算绩效管理取得的成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发现的问题及原因：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下一步改进措施：一是抓好“两员”考核选聘，加强业务培训，提高其业务知识和技能，保证普查工作高质量</w:t>
      </w:r>
      <w:r>
        <w:rPr>
          <w:rFonts w:hint="eastAsia" w:ascii="仿宋_GB2312" w:hAnsi="仿宋_GB2312" w:eastAsia="仿宋_GB2312"/>
          <w:b w:val="0"/>
          <w:sz w:val="32"/>
          <w:lang w:eastAsia="zh-CN"/>
        </w:rPr>
        <w:t>地</w:t>
      </w:r>
      <w:r>
        <w:rPr>
          <w:rFonts w:ascii="仿宋_GB2312" w:hAnsi="仿宋_GB2312" w:eastAsia="仿宋_GB2312"/>
          <w:b w:val="0"/>
          <w:sz w:val="32"/>
        </w:rPr>
        <w:t>进行。二是要秉承“让群众满意是我们党做好一切工作的价值取向和根本标准。”的观念，在开展工作过程中要做到“接地气”，与人民群众形成良好的互动，及时听取群众呼声，做到让群众满意。具体附整体支出绩效自评表，项目支出绩效自评表和评价报告。</w:t>
      </w:r>
    </w:p>
    <w:p w14:paraId="4FF1FFB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EEA701">
        <w:tblPrEx>
          <w:tblCellMar>
            <w:top w:w="0" w:type="dxa"/>
            <w:left w:w="108" w:type="dxa"/>
            <w:bottom w:w="0" w:type="dxa"/>
            <w:right w:w="108" w:type="dxa"/>
          </w:tblCellMar>
        </w:tblPrEx>
        <w:tc>
          <w:tcPr>
            <w:tcW w:w="8847" w:type="dxa"/>
            <w:gridSpan w:val="9"/>
            <w:vAlign w:val="center"/>
          </w:tcPr>
          <w:p w14:paraId="6388BA4B">
            <w:pPr>
              <w:jc w:val="center"/>
            </w:pPr>
            <w:r>
              <w:rPr>
                <w:rFonts w:ascii="宋体" w:hAnsi="宋体" w:eastAsia="宋体"/>
                <w:sz w:val="24"/>
              </w:rPr>
              <w:t>单位整体支出绩效自评表</w:t>
            </w:r>
          </w:p>
        </w:tc>
      </w:tr>
      <w:tr w14:paraId="7C32FE43">
        <w:tblPrEx>
          <w:tblCellMar>
            <w:top w:w="0" w:type="dxa"/>
            <w:left w:w="108" w:type="dxa"/>
            <w:bottom w:w="0" w:type="dxa"/>
            <w:right w:w="108" w:type="dxa"/>
          </w:tblCellMar>
        </w:tblPrEx>
        <w:tc>
          <w:tcPr>
            <w:tcW w:w="8847" w:type="dxa"/>
            <w:gridSpan w:val="9"/>
            <w:vAlign w:val="center"/>
          </w:tcPr>
          <w:p w14:paraId="0A1D7BBD">
            <w:pPr>
              <w:jc w:val="center"/>
            </w:pPr>
            <w:r>
              <w:rPr>
                <w:rFonts w:ascii="宋体" w:hAnsi="宋体" w:eastAsia="宋体"/>
                <w:sz w:val="24"/>
              </w:rPr>
              <w:t>（2024年度）</w:t>
            </w:r>
          </w:p>
        </w:tc>
      </w:tr>
      <w:tr w14:paraId="64547B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FF95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88B5C1">
            <w:pPr>
              <w:jc w:val="center"/>
            </w:pPr>
            <w:r>
              <w:rPr>
                <w:rFonts w:ascii="宋体" w:hAnsi="宋体" w:eastAsia="宋体"/>
                <w:sz w:val="16"/>
              </w:rPr>
              <w:t>洛浦县发展和改革委员会</w:t>
            </w:r>
          </w:p>
        </w:tc>
      </w:tr>
      <w:tr w14:paraId="5A9EEA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7485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B06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66B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3D4F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76E0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E96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F697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E78A5">
            <w:pPr>
              <w:jc w:val="center"/>
            </w:pPr>
            <w:r>
              <w:rPr>
                <w:rFonts w:ascii="宋体" w:hAnsi="宋体" w:eastAsia="宋体"/>
                <w:sz w:val="16"/>
              </w:rPr>
              <w:t>得分</w:t>
            </w:r>
          </w:p>
        </w:tc>
      </w:tr>
      <w:tr w14:paraId="3F95D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E1A0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A345D">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D508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F860C">
            <w:pPr>
              <w:jc w:val="center"/>
            </w:pPr>
            <w:r>
              <w:rPr>
                <w:rFonts w:ascii="宋体" w:hAnsi="宋体" w:eastAsia="宋体"/>
                <w:sz w:val="16"/>
              </w:rPr>
              <w:t>1,410.04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949F6">
            <w:pPr>
              <w:jc w:val="center"/>
            </w:pPr>
            <w:r>
              <w:rPr>
                <w:rFonts w:ascii="宋体" w:hAnsi="宋体" w:eastAsia="宋体"/>
                <w:sz w:val="16"/>
              </w:rPr>
              <w:t>1,205.93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EA7AF">
            <w:pPr>
              <w:jc w:val="center"/>
            </w:pPr>
            <w:r>
              <w:rPr>
                <w:rFonts w:ascii="宋体" w:hAnsi="宋体" w:eastAsia="宋体"/>
                <w:sz w:val="16"/>
              </w:rPr>
              <w:t>1,205.93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11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16A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F04ED">
            <w:pPr>
              <w:jc w:val="center"/>
            </w:pPr>
            <w:r>
              <w:rPr>
                <w:rFonts w:ascii="宋体" w:hAnsi="宋体" w:eastAsia="宋体"/>
                <w:sz w:val="16"/>
              </w:rPr>
              <w:t>-</w:t>
            </w:r>
          </w:p>
        </w:tc>
      </w:tr>
      <w:tr w14:paraId="2C5DE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679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EF8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D038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E068B">
            <w:pPr>
              <w:jc w:val="center"/>
            </w:pPr>
            <w:r>
              <w:rPr>
                <w:rFonts w:ascii="宋体" w:hAnsi="宋体" w:eastAsia="宋体"/>
                <w:sz w:val="16"/>
              </w:rPr>
              <w:t>426.47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48E9A">
            <w:pPr>
              <w:jc w:val="center"/>
            </w:pPr>
            <w:r>
              <w:rPr>
                <w:rFonts w:ascii="宋体" w:hAnsi="宋体" w:eastAsia="宋体"/>
                <w:sz w:val="16"/>
              </w:rPr>
              <w:t>460.42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17E98">
            <w:pPr>
              <w:jc w:val="center"/>
            </w:pPr>
            <w:r>
              <w:rPr>
                <w:rFonts w:ascii="宋体" w:hAnsi="宋体" w:eastAsia="宋体"/>
                <w:sz w:val="16"/>
              </w:rPr>
              <w:t>460.42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C04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51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E9358">
            <w:pPr>
              <w:jc w:val="center"/>
            </w:pPr>
            <w:r>
              <w:rPr>
                <w:rFonts w:ascii="宋体" w:hAnsi="宋体" w:eastAsia="宋体"/>
                <w:sz w:val="16"/>
              </w:rPr>
              <w:t>-</w:t>
            </w:r>
          </w:p>
        </w:tc>
      </w:tr>
      <w:tr w14:paraId="3485C2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DEE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042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00B0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2A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42C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8A6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D62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AEA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8A94">
            <w:pPr>
              <w:jc w:val="center"/>
            </w:pPr>
            <w:r>
              <w:rPr>
                <w:rFonts w:ascii="宋体" w:hAnsi="宋体" w:eastAsia="宋体"/>
                <w:sz w:val="16"/>
              </w:rPr>
              <w:t>-</w:t>
            </w:r>
          </w:p>
        </w:tc>
      </w:tr>
      <w:tr w14:paraId="0DBEA3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022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7737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2E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7E040">
            <w:pPr>
              <w:jc w:val="center"/>
            </w:pPr>
            <w:r>
              <w:rPr>
                <w:rFonts w:ascii="宋体" w:hAnsi="宋体" w:eastAsia="宋体"/>
                <w:sz w:val="16"/>
              </w:rPr>
              <w:t>1,836.51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281E5">
            <w:pPr>
              <w:jc w:val="center"/>
            </w:pPr>
            <w:r>
              <w:rPr>
                <w:rFonts w:ascii="宋体" w:hAnsi="宋体" w:eastAsia="宋体"/>
                <w:sz w:val="16"/>
              </w:rPr>
              <w:t>1,666.35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5BA5">
            <w:pPr>
              <w:jc w:val="center"/>
            </w:pPr>
            <w:r>
              <w:rPr>
                <w:rFonts w:ascii="宋体" w:hAnsi="宋体" w:eastAsia="宋体"/>
                <w:sz w:val="16"/>
              </w:rPr>
              <w:t>1,666.35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297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C5F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89B8E">
            <w:pPr>
              <w:jc w:val="center"/>
            </w:pPr>
            <w:r>
              <w:rPr>
                <w:rFonts w:ascii="宋体" w:hAnsi="宋体" w:eastAsia="宋体"/>
                <w:sz w:val="16"/>
              </w:rPr>
              <w:t>10</w:t>
            </w:r>
          </w:p>
        </w:tc>
      </w:tr>
      <w:tr w14:paraId="55A3B6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F41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00D62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EA343">
            <w:pPr>
              <w:jc w:val="center"/>
            </w:pPr>
            <w:r>
              <w:rPr>
                <w:rFonts w:ascii="宋体" w:hAnsi="宋体" w:eastAsia="宋体"/>
                <w:sz w:val="16"/>
              </w:rPr>
              <w:t>实际完成情况</w:t>
            </w:r>
          </w:p>
        </w:tc>
      </w:tr>
      <w:tr w14:paraId="6259B5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52E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E19ED6">
            <w:pPr>
              <w:jc w:val="both"/>
            </w:pPr>
            <w:r>
              <w:rPr>
                <w:rFonts w:ascii="宋体" w:hAnsi="宋体" w:eastAsia="宋体"/>
                <w:sz w:val="16"/>
              </w:rPr>
              <w:t>单位基本职能：贯彻执行国家、自治区的国民经济和社会发展 方针、政策，研究提出洛浦县国民经济和社会发展战略 、中长期规划和年度发展计划；负责监测宏观经济和社会发展态势，承担预测预 警和信息引导的责任；承担指导推进和综合协调经济体制改革的责任 ，研究洛浦县经济体制改革和对外开放的重大问题，组织实施县综合性经济体制改革方案，协调有关专项经济体制改革方案，指导经济体制改革试点工作；承担规划重大建设项目和生产力布局的责任，研究提出洛浦县全社会固定资产投资总规模和投资结构的 目标政策及措施，规划重大项目和生产力布局。                                                       机构设置及人员配置：洛浦县发展和改革委员会单位无下属预算单位，下设4个处室，分别是：办公室、项目办、援疆办、财务室。单位编制数25人，实有人数40人，其中：在职21人； 退休16人；离休0人。                                                                                         中长期规划：承担指导推进和综合协调经济体制改革的责任，研究经济体制改革和对外开放的重要问题;组织拟订综合性经济体制改革方案，协调有关专项经济体制改革工作，会同有关部门搞好重要专项经济体制改革之间的衔接，指导经济体制改革试点工作。承担规划重大建设项目和生产力布局的责任，拟订全社会固定资产投资总规模和投资结构的调控目标和措施;综合编制全县财政预算内固定资产年度投资计划，安排财政性建设资金、政府性各种专项建设基金;指导和监督政策性贷款、国外贷款建设资金的使用方向;按规定权限审批、核准、审核重大建设项目、重大外资项目、境外投资项目;鼓励和引导民间投资;组织开展重大建设项目稽察;指导工程咨询业发展。                                                                                                      目标1：保障单位在职22人，退休18人的工资福利及各项补助正常发放及部门正常运转。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C0D6B">
            <w:pPr>
              <w:jc w:val="both"/>
            </w:pPr>
            <w:r>
              <w:rPr>
                <w:rFonts w:hint="eastAsia" w:ascii="宋体" w:hAnsi="宋体"/>
                <w:sz w:val="16"/>
                <w:lang w:eastAsia="zh-CN"/>
              </w:rPr>
              <w:t>截至2024</w:t>
            </w:r>
            <w:r>
              <w:rPr>
                <w:rFonts w:ascii="宋体" w:hAnsi="宋体" w:eastAsia="宋体"/>
                <w:sz w:val="16"/>
              </w:rPr>
              <w:t>年12月，我单位已完成煤改电入户改造9262户，</w:t>
            </w:r>
            <w:r>
              <w:rPr>
                <w:rFonts w:hint="eastAsia" w:ascii="宋体" w:hAnsi="宋体"/>
                <w:sz w:val="16"/>
                <w:lang w:eastAsia="zh-CN"/>
              </w:rPr>
              <w:t>完成数量</w:t>
            </w:r>
            <w:r>
              <w:rPr>
                <w:rFonts w:ascii="宋体" w:hAnsi="宋体" w:eastAsia="宋体"/>
                <w:sz w:val="16"/>
              </w:rPr>
              <w:t>援疆项目建设31项，完成数量价格成本监审项目2个，价格监测数据准确率达100%。</w:t>
            </w:r>
          </w:p>
        </w:tc>
      </w:tr>
      <w:tr w14:paraId="7980D4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218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ABD5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5D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C895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936E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B1EC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F141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A56B">
            <w:pPr>
              <w:jc w:val="center"/>
            </w:pPr>
            <w:r>
              <w:rPr>
                <w:rFonts w:ascii="宋体" w:hAnsi="宋体" w:eastAsia="宋体"/>
                <w:sz w:val="16"/>
              </w:rPr>
              <w:t>得分</w:t>
            </w:r>
          </w:p>
        </w:tc>
      </w:tr>
      <w:tr w14:paraId="6B5DB5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CE0B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EE0F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7EEA1">
            <w:pPr>
              <w:jc w:val="center"/>
            </w:pPr>
            <w:r>
              <w:rPr>
                <w:rFonts w:ascii="宋体" w:hAnsi="宋体" w:eastAsia="宋体"/>
                <w:sz w:val="16"/>
              </w:rPr>
              <w:t>煤改电入户改造户数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2221">
            <w:pPr>
              <w:jc w:val="center"/>
            </w:pPr>
            <w:r>
              <w:rPr>
                <w:rFonts w:ascii="宋体" w:hAnsi="宋体" w:eastAsia="宋体"/>
                <w:sz w:val="16"/>
              </w:rPr>
              <w:t>=9262户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7B04D">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7D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8AF04">
            <w:pPr>
              <w:jc w:val="center"/>
            </w:pPr>
            <w:r>
              <w:rPr>
                <w:rFonts w:ascii="宋体" w:hAnsi="宋体" w:eastAsia="宋体"/>
                <w:sz w:val="16"/>
              </w:rPr>
              <w:t>9262户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DEF95">
            <w:pPr>
              <w:jc w:val="center"/>
            </w:pPr>
            <w:r>
              <w:rPr>
                <w:rFonts w:ascii="宋体" w:hAnsi="宋体" w:eastAsia="宋体"/>
                <w:sz w:val="16"/>
              </w:rPr>
              <w:t>20</w:t>
            </w:r>
          </w:p>
        </w:tc>
      </w:tr>
      <w:tr w14:paraId="34DEBD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128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3F5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806FD">
            <w:pPr>
              <w:jc w:val="center"/>
            </w:pPr>
            <w:r>
              <w:rPr>
                <w:rFonts w:ascii="宋体" w:hAnsi="宋体" w:eastAsia="宋体"/>
                <w:sz w:val="16"/>
              </w:rPr>
              <w:t>完数量成援疆项目建设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D2003">
            <w:pPr>
              <w:jc w:val="center"/>
            </w:pPr>
            <w:r>
              <w:rPr>
                <w:rFonts w:ascii="宋体" w:hAnsi="宋体" w:eastAsia="宋体"/>
                <w:sz w:val="16"/>
              </w:rPr>
              <w:t>&gt;=31项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79C6F">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F63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2E53B">
            <w:pPr>
              <w:jc w:val="center"/>
            </w:pPr>
            <w:r>
              <w:rPr>
                <w:rFonts w:ascii="宋体" w:hAnsi="宋体" w:eastAsia="宋体"/>
                <w:sz w:val="16"/>
              </w:rPr>
              <w:t>31项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0D080">
            <w:pPr>
              <w:jc w:val="center"/>
            </w:pPr>
            <w:r>
              <w:rPr>
                <w:rFonts w:ascii="宋体" w:hAnsi="宋体" w:eastAsia="宋体"/>
                <w:sz w:val="16"/>
              </w:rPr>
              <w:t>30</w:t>
            </w:r>
          </w:p>
        </w:tc>
      </w:tr>
      <w:tr w14:paraId="4B0182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631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757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52BDC">
            <w:pPr>
              <w:jc w:val="center"/>
            </w:pPr>
            <w:r>
              <w:rPr>
                <w:rFonts w:ascii="宋体" w:hAnsi="宋体" w:eastAsia="宋体"/>
                <w:sz w:val="16"/>
              </w:rPr>
              <w:t>完成数量价格成本监审项目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AFA2F">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80A0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CFF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F47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2AF1B">
            <w:pPr>
              <w:jc w:val="center"/>
            </w:pPr>
            <w:r>
              <w:rPr>
                <w:rFonts w:ascii="宋体" w:hAnsi="宋体" w:eastAsia="宋体"/>
                <w:sz w:val="16"/>
              </w:rPr>
              <w:t>20</w:t>
            </w:r>
          </w:p>
        </w:tc>
      </w:tr>
      <w:tr w14:paraId="4B18B6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28E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358E9">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DAE41">
            <w:pPr>
              <w:jc w:val="center"/>
            </w:pPr>
            <w:r>
              <w:rPr>
                <w:rFonts w:ascii="宋体" w:hAnsi="宋体" w:eastAsia="宋体"/>
                <w:sz w:val="16"/>
              </w:rPr>
              <w:t>价格监测数据准确率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ED4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F8AC">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4BA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D48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80F41">
            <w:pPr>
              <w:jc w:val="center"/>
            </w:pPr>
            <w:r>
              <w:rPr>
                <w:rFonts w:ascii="宋体" w:hAnsi="宋体" w:eastAsia="宋体"/>
                <w:sz w:val="16"/>
              </w:rPr>
              <w:t>20</w:t>
            </w:r>
          </w:p>
        </w:tc>
      </w:tr>
    </w:tbl>
    <w:p w14:paraId="01BB8F4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8786D8E">
        <w:tblPrEx>
          <w:tblCellMar>
            <w:top w:w="0" w:type="dxa"/>
            <w:left w:w="108" w:type="dxa"/>
            <w:bottom w:w="0" w:type="dxa"/>
            <w:right w:w="108" w:type="dxa"/>
          </w:tblCellMar>
        </w:tblPrEx>
        <w:tc>
          <w:tcPr>
            <w:tcW w:w="8847" w:type="dxa"/>
            <w:gridSpan w:val="9"/>
            <w:vAlign w:val="center"/>
          </w:tcPr>
          <w:p w14:paraId="1A73ADD4">
            <w:pPr>
              <w:jc w:val="center"/>
            </w:pPr>
            <w:r>
              <w:rPr>
                <w:rFonts w:ascii="宋体" w:hAnsi="宋体" w:eastAsia="宋体"/>
                <w:sz w:val="24"/>
              </w:rPr>
              <w:t>项目支出绩效自评表</w:t>
            </w:r>
          </w:p>
        </w:tc>
      </w:tr>
      <w:tr w14:paraId="6AD2804A">
        <w:tblPrEx>
          <w:tblCellMar>
            <w:top w:w="0" w:type="dxa"/>
            <w:left w:w="108" w:type="dxa"/>
            <w:bottom w:w="0" w:type="dxa"/>
            <w:right w:w="108" w:type="dxa"/>
          </w:tblCellMar>
        </w:tblPrEx>
        <w:tc>
          <w:tcPr>
            <w:tcW w:w="8847" w:type="dxa"/>
            <w:gridSpan w:val="9"/>
            <w:vAlign w:val="center"/>
          </w:tcPr>
          <w:p w14:paraId="45366301">
            <w:pPr>
              <w:jc w:val="center"/>
            </w:pPr>
            <w:r>
              <w:rPr>
                <w:rFonts w:ascii="宋体" w:hAnsi="宋体" w:eastAsia="宋体"/>
                <w:sz w:val="24"/>
              </w:rPr>
              <w:t>(2024年度)</w:t>
            </w:r>
          </w:p>
        </w:tc>
      </w:tr>
      <w:tr w14:paraId="4CCB89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B3E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0D591B">
            <w:pPr>
              <w:jc w:val="center"/>
            </w:pPr>
            <w:r>
              <w:rPr>
                <w:rFonts w:ascii="宋体" w:hAnsi="宋体" w:eastAsia="宋体"/>
                <w:sz w:val="16"/>
              </w:rPr>
              <w:t>2021年至2024年成本监审费-洛财纪字</w:t>
            </w:r>
            <w:r>
              <w:rPr>
                <w:rFonts w:hint="eastAsia" w:ascii="宋体" w:hAnsi="宋体"/>
                <w:sz w:val="16"/>
                <w:lang w:eastAsia="zh-CN"/>
              </w:rPr>
              <w:t>〔2024〕9号</w:t>
            </w:r>
          </w:p>
        </w:tc>
      </w:tr>
      <w:tr w14:paraId="1DB759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1334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45A8EC">
            <w:pPr>
              <w:jc w:val="center"/>
            </w:pPr>
            <w:r>
              <w:rPr>
                <w:rFonts w:ascii="宋体" w:hAnsi="宋体" w:eastAsia="宋体"/>
                <w:sz w:val="16"/>
              </w:rPr>
              <w:t>洛浦县发展和改革委员会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4F57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97A586">
            <w:pPr>
              <w:jc w:val="center"/>
            </w:pPr>
            <w:r>
              <w:rPr>
                <w:rFonts w:ascii="宋体" w:hAnsi="宋体" w:eastAsia="宋体"/>
                <w:sz w:val="16"/>
              </w:rPr>
              <w:t>洛浦县发展和改革委员会</w:t>
            </w:r>
          </w:p>
        </w:tc>
      </w:tr>
      <w:tr w14:paraId="228937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2FCA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ED1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EC7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601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1643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2D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7FD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5293B">
            <w:pPr>
              <w:jc w:val="center"/>
            </w:pPr>
            <w:r>
              <w:rPr>
                <w:rFonts w:ascii="宋体" w:hAnsi="宋体" w:eastAsia="宋体"/>
                <w:sz w:val="16"/>
              </w:rPr>
              <w:t>得分</w:t>
            </w:r>
          </w:p>
        </w:tc>
      </w:tr>
      <w:tr w14:paraId="6FEF0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F25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C547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37D6">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8724F">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42935">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F08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A29F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BFC67">
            <w:pPr>
              <w:jc w:val="center"/>
            </w:pPr>
            <w:r>
              <w:rPr>
                <w:rFonts w:ascii="宋体" w:hAnsi="宋体" w:eastAsia="宋体"/>
                <w:sz w:val="16"/>
              </w:rPr>
              <w:t>10.00分</w:t>
            </w:r>
          </w:p>
        </w:tc>
      </w:tr>
      <w:tr w14:paraId="093A1C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76A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8BEC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5257D">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0DCD">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72D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4BF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88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161B">
            <w:pPr>
              <w:jc w:val="center"/>
            </w:pPr>
            <w:r>
              <w:rPr>
                <w:rFonts w:ascii="宋体" w:hAnsi="宋体" w:eastAsia="宋体"/>
                <w:sz w:val="16"/>
              </w:rPr>
              <w:t>—</w:t>
            </w:r>
          </w:p>
        </w:tc>
      </w:tr>
      <w:tr w14:paraId="61A5E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F29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7833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B18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EB5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4D1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C91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3DB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7FFFA">
            <w:pPr>
              <w:jc w:val="center"/>
            </w:pPr>
            <w:r>
              <w:rPr>
                <w:rFonts w:ascii="宋体" w:hAnsi="宋体" w:eastAsia="宋体"/>
                <w:sz w:val="16"/>
              </w:rPr>
              <w:t>—</w:t>
            </w:r>
          </w:p>
        </w:tc>
      </w:tr>
      <w:tr w14:paraId="72B12E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8CB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4FA2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4D8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1A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EE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983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65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03F11">
            <w:pPr>
              <w:jc w:val="center"/>
            </w:pPr>
            <w:r>
              <w:rPr>
                <w:rFonts w:ascii="宋体" w:hAnsi="宋体" w:eastAsia="宋体"/>
                <w:sz w:val="16"/>
              </w:rPr>
              <w:t>—</w:t>
            </w:r>
          </w:p>
        </w:tc>
      </w:tr>
      <w:tr w14:paraId="58FD7D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4B87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9EB8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486149">
            <w:pPr>
              <w:jc w:val="center"/>
            </w:pPr>
            <w:r>
              <w:rPr>
                <w:rFonts w:ascii="宋体" w:hAnsi="宋体" w:eastAsia="宋体"/>
                <w:sz w:val="16"/>
              </w:rPr>
              <w:t>实际完成情况</w:t>
            </w:r>
          </w:p>
        </w:tc>
      </w:tr>
      <w:tr w14:paraId="68227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056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BA9A37">
            <w:pPr>
              <w:jc w:val="both"/>
            </w:pPr>
            <w:r>
              <w:rPr>
                <w:rFonts w:ascii="宋体" w:hAnsi="宋体" w:eastAsia="宋体"/>
                <w:sz w:val="16"/>
              </w:rPr>
              <w:t>本项目主要内容为：1.调整洛浦县农村居民用水</w:t>
            </w:r>
            <w:r>
              <w:rPr>
                <w:rFonts w:hint="eastAsia" w:ascii="宋体" w:hAnsi="宋体"/>
                <w:sz w:val="16"/>
                <w:lang w:eastAsia="zh-CN"/>
              </w:rPr>
              <w:t>价格</w:t>
            </w:r>
            <w:r>
              <w:rPr>
                <w:rFonts w:ascii="宋体" w:hAnsi="宋体" w:eastAsia="宋体"/>
                <w:sz w:val="16"/>
              </w:rPr>
              <w:t>和城市供排水价格成本监审。对洛浦县玉都水务有限公司及两个污水处理厂城市供排水价格和洛浦县农村饮水和水源地安全服务站农村居民用水供水价格进行了成本监审，项目费用共计10万元。2.洛浦县巡游出租汽车运价调整成本监审。对友谊汽车运输有限责任公司、宝岸汽车运输有限责任公司进行了成本监审，项目费用共计8万元。3.洛浦县农业灌溉末级渠系水价调整成本监审。</w:t>
            </w:r>
            <w:r>
              <w:rPr>
                <w:rFonts w:hint="eastAsia" w:ascii="宋体" w:hAnsi="宋体"/>
                <w:sz w:val="16"/>
                <w:lang w:eastAsia="zh-CN"/>
              </w:rPr>
              <w:t>洛浦县</w:t>
            </w:r>
            <w:r>
              <w:rPr>
                <w:rFonts w:ascii="宋体" w:hAnsi="宋体" w:eastAsia="宋体"/>
                <w:sz w:val="16"/>
              </w:rPr>
              <w:t>辖5镇、4乡，210 个行政村。即：洛浦镇、山普鲁镇、杭桂镇、恰尔巴格镇、多鲁镇、纳瓦乡、布亚乡、拜什托格拉克乡、阿其克乡。洛浦县四级渠道共有4647条4840.4公里，已防渗总长1664.1 公里进行成本监审工作，项目费用共计7万元。</w:t>
            </w:r>
            <w:r>
              <w:rPr>
                <w:rFonts w:ascii="宋体" w:hAnsi="宋体" w:eastAsia="宋体"/>
                <w:sz w:val="16"/>
              </w:rPr>
              <w:br w:type="textWrapping"/>
            </w:r>
            <w:r>
              <w:rPr>
                <w:rFonts w:ascii="宋体" w:hAnsi="宋体" w:eastAsia="宋体"/>
                <w:sz w:val="16"/>
              </w:rPr>
              <w:t>2、通过实施项目，有效的成本监审来把握市场价格的真实情况，确保价格政策的合理性和有效性。同时，成本监审还有助于评估不同的成本项目的效益，从而实现更有效的资源利用。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A192C">
            <w:pPr>
              <w:jc w:val="both"/>
            </w:pPr>
            <w:r>
              <w:rPr>
                <w:rFonts w:hint="eastAsia" w:ascii="宋体" w:hAnsi="宋体"/>
                <w:sz w:val="16"/>
                <w:lang w:eastAsia="zh-CN"/>
              </w:rPr>
              <w:t>截至</w:t>
            </w:r>
            <w:r>
              <w:rPr>
                <w:rFonts w:ascii="宋体" w:hAnsi="宋体" w:eastAsia="宋体"/>
                <w:sz w:val="16"/>
              </w:rPr>
              <w:t>2024年12月31日，该项目已实施完毕，已支付资金25万元，项目调整洛浦县农村居民用水</w:t>
            </w:r>
            <w:r>
              <w:rPr>
                <w:rFonts w:hint="eastAsia" w:ascii="宋体" w:hAnsi="宋体"/>
                <w:sz w:val="16"/>
                <w:lang w:eastAsia="zh-CN"/>
              </w:rPr>
              <w:t>价格</w:t>
            </w:r>
            <w:r>
              <w:rPr>
                <w:rFonts w:ascii="宋体" w:hAnsi="宋体" w:eastAsia="宋体"/>
                <w:sz w:val="16"/>
              </w:rPr>
              <w:t>和城市供排水价格成本监审。对洛浦县玉都水务有限公司及两个污水处理厂城市供排水价格和洛浦县农村饮水和水源地安全服务站农村居民用水供水价格进行了成本监审，项目费用共计8万元。洛浦县巡游出租汽车运价调整成本监审。对友谊汽车运输有限责任公司、宝岸汽车运输有限责任公司进行了成本监审，项目费用共计8万元。洛浦县农业灌溉末级渠系水价调整成本监审。</w:t>
            </w:r>
            <w:r>
              <w:rPr>
                <w:rFonts w:hint="eastAsia" w:ascii="宋体" w:hAnsi="宋体"/>
                <w:sz w:val="16"/>
                <w:lang w:eastAsia="zh-CN"/>
              </w:rPr>
              <w:t>洛浦县</w:t>
            </w:r>
            <w:r>
              <w:rPr>
                <w:rFonts w:ascii="宋体" w:hAnsi="宋体" w:eastAsia="宋体"/>
                <w:sz w:val="16"/>
              </w:rPr>
              <w:t>辖5镇、4乡，210 个行政村。即：洛浦镇、山普鲁镇、杭桂镇、恰尔巴格镇、多鲁镇、纳瓦乡、布亚乡、拜什托格拉克乡、阿其克乡。洛浦县四级渠道共有4647条4840.4公里，已防渗总长1664.1 公里进行成本监审工作，项目费用共计7万元已完成，通过项目实施有效的成本监审来把握市场价格的真实情况，确保价格政策的合理性和有效性。同时，成本监审还有助于评估不同的成本项目的效益，从而实现更有效的资源利用。</w:t>
            </w:r>
          </w:p>
        </w:tc>
      </w:tr>
      <w:tr w14:paraId="1AE2A0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1B75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4F80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326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D71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8AFB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00ED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C2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5D1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04A9C">
            <w:pPr>
              <w:jc w:val="center"/>
            </w:pPr>
            <w:r>
              <w:rPr>
                <w:rFonts w:ascii="宋体" w:hAnsi="宋体" w:eastAsia="宋体"/>
                <w:sz w:val="16"/>
              </w:rPr>
              <w:t>偏差原因分析及改进措施</w:t>
            </w:r>
          </w:p>
        </w:tc>
      </w:tr>
      <w:tr w14:paraId="1FFC02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E898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7C00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3039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87A54">
            <w:pPr>
              <w:jc w:val="center"/>
            </w:pPr>
            <w:r>
              <w:rPr>
                <w:rFonts w:ascii="宋体" w:hAnsi="宋体" w:eastAsia="宋体"/>
                <w:sz w:val="16"/>
              </w:rPr>
              <w:t>成本监审项目数量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9CD89">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771A4">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3D7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0A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803BA">
            <w:pPr>
              <w:jc w:val="center"/>
            </w:pPr>
          </w:p>
        </w:tc>
      </w:tr>
      <w:tr w14:paraId="7A903F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050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E2C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28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CD8E">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12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D89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DE4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16A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892CA">
            <w:pPr>
              <w:jc w:val="center"/>
            </w:pPr>
          </w:p>
        </w:tc>
      </w:tr>
      <w:tr w14:paraId="053F83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066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CBC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B15F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B17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A3A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6E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F76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425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45DA3">
            <w:pPr>
              <w:jc w:val="center"/>
            </w:pPr>
          </w:p>
        </w:tc>
      </w:tr>
      <w:tr w14:paraId="19FA49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862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571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7CB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9AD0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2426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80D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0D1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F3D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F5F20">
            <w:pPr>
              <w:jc w:val="center"/>
            </w:pPr>
          </w:p>
        </w:tc>
      </w:tr>
      <w:tr w14:paraId="2E4CF2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606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C932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26B5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E66C1">
            <w:pPr>
              <w:jc w:val="center"/>
            </w:pPr>
            <w:r>
              <w:rPr>
                <w:rFonts w:ascii="宋体" w:hAnsi="宋体" w:eastAsia="宋体"/>
                <w:sz w:val="16"/>
              </w:rPr>
              <w:t>成本监审费用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552D1">
            <w:pPr>
              <w:jc w:val="center"/>
            </w:pPr>
            <w:r>
              <w:rPr>
                <w:rFonts w:ascii="宋体" w:hAnsi="宋体" w:eastAsia="宋体"/>
                <w:sz w:val="16"/>
              </w:rPr>
              <w:t>&lt;=25万元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810B0">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EA6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4D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BC8B9">
            <w:pPr>
              <w:jc w:val="center"/>
            </w:pPr>
          </w:p>
        </w:tc>
      </w:tr>
      <w:tr w14:paraId="4677D3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DF8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44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3756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29EB5">
            <w:pPr>
              <w:jc w:val="center"/>
            </w:pPr>
            <w:r>
              <w:rPr>
                <w:rFonts w:ascii="宋体" w:hAnsi="宋体" w:eastAsia="宋体"/>
                <w:sz w:val="16"/>
              </w:rPr>
              <w:t>有效的成本监审来把握市场价格的真实情况，确保价格政策的合理性和有效性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8492">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DA56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5FB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B1E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AF3CD">
            <w:pPr>
              <w:jc w:val="center"/>
            </w:pPr>
          </w:p>
        </w:tc>
      </w:tr>
      <w:tr w14:paraId="4C575B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7FA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E06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B2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835DF">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E9FF6">
            <w:pPr>
              <w:jc w:val="center"/>
            </w:pPr>
            <w:r>
              <w:rPr>
                <w:rFonts w:ascii="宋体" w:hAnsi="宋体" w:eastAsia="宋体"/>
                <w:sz w:val="16"/>
              </w:rPr>
              <w:t>&gt;=96%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1DE7F">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DFE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95A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4885">
            <w:pPr>
              <w:jc w:val="center"/>
            </w:pPr>
          </w:p>
        </w:tc>
      </w:tr>
      <w:tr w14:paraId="060E58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83DF2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F977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A57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46EF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452D65"/>
        </w:tc>
      </w:tr>
    </w:tbl>
    <w:p w14:paraId="5520C4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C42DBB">
        <w:tblPrEx>
          <w:tblCellMar>
            <w:top w:w="0" w:type="dxa"/>
            <w:left w:w="108" w:type="dxa"/>
            <w:bottom w:w="0" w:type="dxa"/>
            <w:right w:w="108" w:type="dxa"/>
          </w:tblCellMar>
        </w:tblPrEx>
        <w:tc>
          <w:tcPr>
            <w:tcW w:w="8847" w:type="dxa"/>
            <w:gridSpan w:val="9"/>
            <w:vAlign w:val="center"/>
          </w:tcPr>
          <w:p w14:paraId="0A7062FF">
            <w:pPr>
              <w:jc w:val="center"/>
            </w:pPr>
            <w:r>
              <w:rPr>
                <w:rFonts w:ascii="宋体" w:hAnsi="宋体" w:eastAsia="宋体"/>
                <w:sz w:val="24"/>
              </w:rPr>
              <w:t>项目支出绩效自评表</w:t>
            </w:r>
          </w:p>
        </w:tc>
      </w:tr>
      <w:tr w14:paraId="24285F37">
        <w:tblPrEx>
          <w:tblCellMar>
            <w:top w:w="0" w:type="dxa"/>
            <w:left w:w="108" w:type="dxa"/>
            <w:bottom w:w="0" w:type="dxa"/>
            <w:right w:w="108" w:type="dxa"/>
          </w:tblCellMar>
        </w:tblPrEx>
        <w:tc>
          <w:tcPr>
            <w:tcW w:w="8847" w:type="dxa"/>
            <w:gridSpan w:val="9"/>
            <w:vAlign w:val="center"/>
          </w:tcPr>
          <w:p w14:paraId="3E1133AA">
            <w:pPr>
              <w:jc w:val="center"/>
            </w:pPr>
            <w:r>
              <w:rPr>
                <w:rFonts w:ascii="宋体" w:hAnsi="宋体" w:eastAsia="宋体"/>
                <w:sz w:val="24"/>
              </w:rPr>
              <w:t>(2024年度)</w:t>
            </w:r>
          </w:p>
        </w:tc>
      </w:tr>
      <w:tr w14:paraId="7C6F52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2A0F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24862E">
            <w:pPr>
              <w:jc w:val="center"/>
            </w:pPr>
            <w:r>
              <w:rPr>
                <w:rFonts w:ascii="宋体" w:hAnsi="宋体" w:eastAsia="宋体"/>
                <w:sz w:val="16"/>
              </w:rPr>
              <w:t>洛浦县2024年度农产品成本调查经费项目</w:t>
            </w:r>
          </w:p>
        </w:tc>
      </w:tr>
      <w:tr w14:paraId="30A618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811C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E332B5">
            <w:pPr>
              <w:jc w:val="center"/>
            </w:pPr>
            <w:r>
              <w:rPr>
                <w:rFonts w:ascii="宋体" w:hAnsi="宋体" w:eastAsia="宋体"/>
                <w:sz w:val="16"/>
              </w:rPr>
              <w:t>洛浦县发展和改革委员会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2D66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A84467">
            <w:pPr>
              <w:jc w:val="center"/>
            </w:pPr>
            <w:r>
              <w:rPr>
                <w:rFonts w:ascii="宋体" w:hAnsi="宋体" w:eastAsia="宋体"/>
                <w:sz w:val="16"/>
              </w:rPr>
              <w:t>洛浦县发展和改革委员会</w:t>
            </w:r>
          </w:p>
        </w:tc>
      </w:tr>
      <w:tr w14:paraId="76FC10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FFB2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5EFB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A9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835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2C03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9E5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2A0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4AF16">
            <w:pPr>
              <w:jc w:val="center"/>
            </w:pPr>
            <w:r>
              <w:rPr>
                <w:rFonts w:ascii="宋体" w:hAnsi="宋体" w:eastAsia="宋体"/>
                <w:sz w:val="16"/>
              </w:rPr>
              <w:t>得分</w:t>
            </w:r>
          </w:p>
        </w:tc>
      </w:tr>
      <w:tr w14:paraId="498031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964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28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468FD">
            <w:pPr>
              <w:jc w:val="center"/>
            </w:pPr>
            <w:r>
              <w:rPr>
                <w:rFonts w:ascii="宋体" w:hAnsi="宋体" w:eastAsia="宋体"/>
                <w:sz w:val="16"/>
              </w:rPr>
              <w:t>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21A9F">
            <w:pPr>
              <w:jc w:val="center"/>
            </w:pPr>
            <w:r>
              <w:rPr>
                <w:rFonts w:ascii="宋体" w:hAnsi="宋体" w:eastAsia="宋体"/>
                <w:sz w:val="16"/>
              </w:rPr>
              <w:t>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A0319">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BF5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853D9">
            <w:pPr>
              <w:jc w:val="center"/>
            </w:pPr>
            <w:r>
              <w:rPr>
                <w:rFonts w:ascii="宋体" w:hAnsi="宋体" w:eastAsia="宋体"/>
                <w:sz w:val="16"/>
              </w:rPr>
              <w:t xml:space="preserve">94.92%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F074B">
            <w:pPr>
              <w:jc w:val="center"/>
            </w:pPr>
            <w:r>
              <w:rPr>
                <w:rFonts w:ascii="宋体" w:hAnsi="宋体" w:eastAsia="宋体"/>
                <w:sz w:val="16"/>
              </w:rPr>
              <w:t>8.73分</w:t>
            </w:r>
          </w:p>
        </w:tc>
      </w:tr>
      <w:tr w14:paraId="371D3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77D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A16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EA88">
            <w:pPr>
              <w:jc w:val="center"/>
            </w:pPr>
            <w:r>
              <w:rPr>
                <w:rFonts w:ascii="宋体" w:hAnsi="宋体" w:eastAsia="宋体"/>
                <w:sz w:val="16"/>
              </w:rPr>
              <w:t>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EF3A1">
            <w:pPr>
              <w:jc w:val="center"/>
            </w:pPr>
            <w:r>
              <w:rPr>
                <w:rFonts w:ascii="宋体" w:hAnsi="宋体" w:eastAsia="宋体"/>
                <w:sz w:val="16"/>
              </w:rPr>
              <w:t>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5F22">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84E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599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21199">
            <w:pPr>
              <w:jc w:val="center"/>
            </w:pPr>
            <w:r>
              <w:rPr>
                <w:rFonts w:ascii="宋体" w:hAnsi="宋体" w:eastAsia="宋体"/>
                <w:sz w:val="16"/>
              </w:rPr>
              <w:t>—</w:t>
            </w:r>
          </w:p>
        </w:tc>
      </w:tr>
      <w:tr w14:paraId="3AE448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85A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3A02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55C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B75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54E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CBB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9E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A87A">
            <w:pPr>
              <w:jc w:val="center"/>
            </w:pPr>
            <w:r>
              <w:rPr>
                <w:rFonts w:ascii="宋体" w:hAnsi="宋体" w:eastAsia="宋体"/>
                <w:sz w:val="16"/>
              </w:rPr>
              <w:t>—</w:t>
            </w:r>
          </w:p>
        </w:tc>
      </w:tr>
      <w:tr w14:paraId="23E49C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801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88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2F1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047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74E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9D5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06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8F71E">
            <w:pPr>
              <w:jc w:val="center"/>
            </w:pPr>
            <w:r>
              <w:rPr>
                <w:rFonts w:ascii="宋体" w:hAnsi="宋体" w:eastAsia="宋体"/>
                <w:sz w:val="16"/>
              </w:rPr>
              <w:t>—</w:t>
            </w:r>
          </w:p>
        </w:tc>
      </w:tr>
      <w:tr w14:paraId="03CD2F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FABF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110C5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EE7DF">
            <w:pPr>
              <w:jc w:val="center"/>
            </w:pPr>
            <w:r>
              <w:rPr>
                <w:rFonts w:ascii="宋体" w:hAnsi="宋体" w:eastAsia="宋体"/>
                <w:sz w:val="16"/>
              </w:rPr>
              <w:t>实际完成情况</w:t>
            </w:r>
          </w:p>
        </w:tc>
      </w:tr>
      <w:tr w14:paraId="12ACBF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40F5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7ECA58">
            <w:pPr>
              <w:jc w:val="both"/>
            </w:pPr>
            <w:r>
              <w:rPr>
                <w:rFonts w:ascii="宋体" w:hAnsi="宋体" w:eastAsia="宋体"/>
                <w:sz w:val="16"/>
              </w:rPr>
              <w:t>根据《关于提前下达2024年农产品成本调查经费的通知》（和地财建</w:t>
            </w:r>
            <w:r>
              <w:rPr>
                <w:rFonts w:hint="eastAsia" w:ascii="宋体" w:hAnsi="宋体"/>
                <w:sz w:val="16"/>
                <w:lang w:eastAsia="zh-CN"/>
              </w:rPr>
              <w:t>〔2023〕118号</w:t>
            </w:r>
            <w:r>
              <w:rPr>
                <w:rFonts w:ascii="宋体" w:hAnsi="宋体" w:eastAsia="宋体"/>
                <w:sz w:val="16"/>
              </w:rPr>
              <w:t>）文件实施此项目，项目主要内容为：项目费用共计2.95万元</w:t>
            </w:r>
            <w:bookmarkStart w:id="0" w:name="_GoBack"/>
            <w:r>
              <w:rPr>
                <w:rFonts w:ascii="宋体" w:hAnsi="宋体" w:eastAsia="宋体"/>
                <w:sz w:val="16"/>
              </w:rPr>
              <w:t>,</w:t>
            </w:r>
            <w:bookmarkEnd w:id="0"/>
            <w:r>
              <w:rPr>
                <w:rFonts w:ascii="宋体" w:hAnsi="宋体" w:eastAsia="宋体"/>
                <w:sz w:val="16"/>
              </w:rPr>
              <w:t>其中：2024年农本调查油料补助费用0.2万元、2024年农本调查办公费用0.1万元、2024年农本调查购买打印机费用0.15万元、2024年农本调查发放资金费用1.8万元、2024年农本调查差旅费用0.25万元;2024年价格监测油料补助费用0.1万元，2024年价格监测办公费0.1万元，2024年价格监测费0.25万元。通过本项目的实施，可为保障及支持农业政策提供参考数据，为建立农资综合补贴动态调整机制提供成本数据，为农业补贴政策的调整</w:t>
            </w:r>
            <w:r>
              <w:rPr>
                <w:rFonts w:hint="eastAsia" w:ascii="宋体" w:hAnsi="宋体"/>
                <w:sz w:val="16"/>
                <w:lang w:eastAsia="zh-CN"/>
              </w:rPr>
              <w:t>提供</w:t>
            </w:r>
            <w:r>
              <w:rPr>
                <w:rFonts w:ascii="宋体" w:hAnsi="宋体" w:eastAsia="宋体"/>
                <w:sz w:val="16"/>
              </w:rPr>
              <w:t>科学依据，将显著优化完善农产品品质，持续保障调查工作顺利开展。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AB1D36">
            <w:pPr>
              <w:jc w:val="both"/>
            </w:pPr>
            <w:r>
              <w:rPr>
                <w:rFonts w:hint="eastAsia" w:ascii="宋体" w:hAnsi="宋体"/>
                <w:sz w:val="16"/>
                <w:lang w:eastAsia="zh-CN"/>
              </w:rPr>
              <w:t>截至</w:t>
            </w:r>
            <w:r>
              <w:rPr>
                <w:rFonts w:ascii="宋体" w:hAnsi="宋体" w:eastAsia="宋体"/>
                <w:sz w:val="16"/>
              </w:rPr>
              <w:t>2024年12月31日，该项目尚未完成支付，已支付资金2.8万元，对9个乡镇开展农产品成本调查工作，并形成调查报告1份，统计监测数据准确率达100.00%。项目费用共计2.95万元（其中：2024年农本调查油料补助费用0.2万元、2024年农本调查办公费用0.1万元、2024年农本调查购买打印机费用0.15万元暂未支付、2024年农本调查发放资金费用1.8万元、2024年农本调查差旅费用0.25万元;2024年价格监测油料补助费用0.1万元，2024年价格监测办公费0.1万元，2024年价格监测费0.25万元）。项目实施后争取使受益单位满意度达到95.00%以上。通过本项目的实施，可为保障及支持农业政策提供参考数据，为建立农资综合补贴动态调整机制提供成本数据，为农业补贴政策的调整</w:t>
            </w:r>
            <w:r>
              <w:rPr>
                <w:rFonts w:hint="eastAsia" w:ascii="宋体" w:hAnsi="宋体"/>
                <w:sz w:val="16"/>
                <w:lang w:eastAsia="zh-CN"/>
              </w:rPr>
              <w:t>提供</w:t>
            </w:r>
            <w:r>
              <w:rPr>
                <w:rFonts w:ascii="宋体" w:hAnsi="宋体" w:eastAsia="宋体"/>
                <w:sz w:val="16"/>
              </w:rPr>
              <w:t>科学依据，将显著优化完善农产品品质，持续保障调查工作顺利开展。</w:t>
            </w:r>
          </w:p>
        </w:tc>
      </w:tr>
      <w:tr w14:paraId="4E8370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C30D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91BD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D5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84B2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0794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F9AB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30E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68BF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99834">
            <w:pPr>
              <w:jc w:val="center"/>
            </w:pPr>
            <w:r>
              <w:rPr>
                <w:rFonts w:ascii="宋体" w:hAnsi="宋体" w:eastAsia="宋体"/>
                <w:sz w:val="16"/>
              </w:rPr>
              <w:t>偏差原因分析及改进措施</w:t>
            </w:r>
          </w:p>
        </w:tc>
      </w:tr>
      <w:tr w14:paraId="6C3572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49D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9F25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41D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133C">
            <w:pPr>
              <w:jc w:val="center"/>
            </w:pPr>
            <w:r>
              <w:rPr>
                <w:rFonts w:ascii="宋体" w:hAnsi="宋体" w:eastAsia="宋体"/>
                <w:sz w:val="16"/>
              </w:rPr>
              <w:t>项目涉及乡镇数量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8F542">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F111">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0978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98F7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9687F">
            <w:pPr>
              <w:jc w:val="center"/>
            </w:pPr>
          </w:p>
        </w:tc>
      </w:tr>
      <w:tr w14:paraId="476F85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781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D96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655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FACB7">
            <w:pPr>
              <w:jc w:val="center"/>
            </w:pPr>
            <w:r>
              <w:rPr>
                <w:rFonts w:ascii="宋体" w:hAnsi="宋体" w:eastAsia="宋体"/>
                <w:sz w:val="16"/>
              </w:rPr>
              <w:t>农产品成本调查报告数量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47C23">
            <w:pPr>
              <w:jc w:val="center"/>
            </w:pPr>
            <w:r>
              <w:rPr>
                <w:rFonts w:ascii="宋体" w:hAnsi="宋体" w:eastAsia="宋体"/>
                <w:sz w:val="16"/>
              </w:rPr>
              <w:t>&gt;=1份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8B08">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EA7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1E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60BE">
            <w:pPr>
              <w:jc w:val="center"/>
            </w:pPr>
          </w:p>
        </w:tc>
      </w:tr>
      <w:tr w14:paraId="68F51A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992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F239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6CA9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E2EF0">
            <w:pPr>
              <w:jc w:val="center"/>
            </w:pPr>
            <w:r>
              <w:rPr>
                <w:rFonts w:ascii="宋体" w:hAnsi="宋体" w:eastAsia="宋体"/>
                <w:sz w:val="16"/>
              </w:rPr>
              <w:t>统计监测数据准确率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816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6E4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4EAB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9AD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6679D">
            <w:pPr>
              <w:jc w:val="center"/>
            </w:pPr>
          </w:p>
        </w:tc>
      </w:tr>
      <w:tr w14:paraId="5BD7EC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3C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DF1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6CD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666A2">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EBC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42F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7945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B4EC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6BEEC">
            <w:pPr>
              <w:jc w:val="center"/>
            </w:pPr>
          </w:p>
        </w:tc>
      </w:tr>
      <w:tr w14:paraId="008E4C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2D8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8092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0407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5CE7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E18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581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E5C6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CFE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BD2C9">
            <w:pPr>
              <w:jc w:val="center"/>
            </w:pPr>
          </w:p>
        </w:tc>
      </w:tr>
      <w:tr w14:paraId="39B9C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54D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FE6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0FD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D9B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A9F31">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F2CF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766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66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AEC4E">
            <w:pPr>
              <w:jc w:val="center"/>
            </w:pPr>
          </w:p>
        </w:tc>
      </w:tr>
      <w:tr w14:paraId="26C6B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28E9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9805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ECE4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B8D0">
            <w:pPr>
              <w:jc w:val="center"/>
            </w:pPr>
            <w:r>
              <w:rPr>
                <w:rFonts w:ascii="宋体" w:hAnsi="宋体" w:eastAsia="宋体"/>
                <w:sz w:val="16"/>
              </w:rPr>
              <w:t>油料补助费用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4FDDA">
            <w:pPr>
              <w:jc w:val="center"/>
            </w:pPr>
            <w:r>
              <w:rPr>
                <w:rFonts w:ascii="宋体" w:hAnsi="宋体" w:eastAsia="宋体"/>
                <w:sz w:val="16"/>
              </w:rPr>
              <w:t>&lt;=0.30万元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80E8E">
            <w:pPr>
              <w:jc w:val="center"/>
            </w:pPr>
            <w:r>
              <w:rPr>
                <w:rFonts w:ascii="宋体" w:hAnsi="宋体" w:eastAsia="宋体"/>
                <w:sz w:val="16"/>
              </w:rPr>
              <w:t>=0.3万元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F22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327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4CE73">
            <w:pPr>
              <w:jc w:val="center"/>
            </w:pPr>
          </w:p>
        </w:tc>
      </w:tr>
      <w:tr w14:paraId="020E4B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869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5AB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99F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F21C">
            <w:pPr>
              <w:jc w:val="center"/>
            </w:pPr>
            <w:r>
              <w:rPr>
                <w:rFonts w:ascii="宋体" w:hAnsi="宋体" w:eastAsia="宋体"/>
                <w:sz w:val="16"/>
              </w:rPr>
              <w:t>办公费用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4E095">
            <w:pPr>
              <w:jc w:val="center"/>
            </w:pPr>
            <w:r>
              <w:rPr>
                <w:rFonts w:ascii="宋体" w:hAnsi="宋体" w:eastAsia="宋体"/>
                <w:sz w:val="16"/>
              </w:rPr>
              <w:t>&lt;=0.20万元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FD811">
            <w:pPr>
              <w:jc w:val="center"/>
            </w:pPr>
            <w:r>
              <w:rPr>
                <w:rFonts w:ascii="宋体" w:hAnsi="宋体" w:eastAsia="宋体"/>
                <w:sz w:val="16"/>
              </w:rPr>
              <w:t>=0.2万元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238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17D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3A7C4">
            <w:pPr>
              <w:jc w:val="center"/>
            </w:pPr>
          </w:p>
        </w:tc>
      </w:tr>
      <w:tr w14:paraId="2DFAC0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206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9E1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336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5044A">
            <w:pPr>
              <w:jc w:val="center"/>
            </w:pPr>
            <w:r>
              <w:rPr>
                <w:rFonts w:ascii="宋体" w:hAnsi="宋体" w:eastAsia="宋体"/>
                <w:sz w:val="16"/>
              </w:rPr>
              <w:t>购买打印机费用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7804F">
            <w:pPr>
              <w:jc w:val="center"/>
            </w:pPr>
            <w:r>
              <w:rPr>
                <w:rFonts w:ascii="宋体" w:hAnsi="宋体" w:eastAsia="宋体"/>
                <w:sz w:val="16"/>
              </w:rPr>
              <w:t>&lt;=0.15万元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7469B">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51C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1A40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7F1B3">
            <w:pPr>
              <w:jc w:val="center"/>
            </w:pPr>
            <w:r>
              <w:rPr>
                <w:rFonts w:ascii="宋体" w:hAnsi="宋体" w:eastAsia="宋体"/>
                <w:sz w:val="16"/>
              </w:rPr>
              <w:t>该项资金未形成支出</w:t>
            </w:r>
          </w:p>
        </w:tc>
      </w:tr>
      <w:tr w14:paraId="0E47E0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FA5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4A6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127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A1DA1">
            <w:pPr>
              <w:jc w:val="center"/>
            </w:pPr>
            <w:r>
              <w:rPr>
                <w:rFonts w:ascii="宋体" w:hAnsi="宋体" w:eastAsia="宋体"/>
                <w:sz w:val="16"/>
              </w:rPr>
              <w:t>发放资金费用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9DBC">
            <w:pPr>
              <w:jc w:val="center"/>
            </w:pPr>
            <w:r>
              <w:rPr>
                <w:rFonts w:ascii="宋体" w:hAnsi="宋体" w:eastAsia="宋体"/>
                <w:sz w:val="16"/>
              </w:rPr>
              <w:t>&lt;=2.05万元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C77F">
            <w:pPr>
              <w:jc w:val="center"/>
            </w:pPr>
            <w:r>
              <w:rPr>
                <w:rFonts w:ascii="宋体" w:hAnsi="宋体" w:eastAsia="宋体"/>
                <w:sz w:val="16"/>
              </w:rPr>
              <w:t>=2.05万元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2AFD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E70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4302C">
            <w:pPr>
              <w:jc w:val="center"/>
            </w:pPr>
          </w:p>
        </w:tc>
      </w:tr>
      <w:tr w14:paraId="4A0B68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FB7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BAD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4DC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A5739">
            <w:pPr>
              <w:jc w:val="center"/>
            </w:pPr>
            <w:r>
              <w:rPr>
                <w:rFonts w:ascii="宋体" w:hAnsi="宋体" w:eastAsia="宋体"/>
                <w:sz w:val="16"/>
              </w:rPr>
              <w:t>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B48EA">
            <w:pPr>
              <w:jc w:val="center"/>
            </w:pPr>
            <w:r>
              <w:rPr>
                <w:rFonts w:ascii="宋体" w:hAnsi="宋体" w:eastAsia="宋体"/>
                <w:sz w:val="16"/>
              </w:rPr>
              <w:t>&lt;=0.25万元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2A0C">
            <w:pPr>
              <w:jc w:val="center"/>
            </w:pPr>
            <w:r>
              <w:rPr>
                <w:rFonts w:ascii="宋体" w:hAnsi="宋体" w:eastAsia="宋体"/>
                <w:sz w:val="16"/>
              </w:rPr>
              <w:t>=0.25万元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E8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D95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E08A7">
            <w:pPr>
              <w:jc w:val="center"/>
            </w:pPr>
          </w:p>
        </w:tc>
      </w:tr>
      <w:tr w14:paraId="5E8B8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679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C4EB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D448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BEA29">
            <w:pPr>
              <w:jc w:val="center"/>
            </w:pPr>
            <w:r>
              <w:rPr>
                <w:rFonts w:ascii="宋体" w:hAnsi="宋体" w:eastAsia="宋体"/>
                <w:sz w:val="16"/>
              </w:rPr>
              <w:t>优化完善农产品品质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BA0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F125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66D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8EA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0FF95">
            <w:pPr>
              <w:jc w:val="center"/>
            </w:pPr>
          </w:p>
        </w:tc>
      </w:tr>
      <w:tr w14:paraId="2146D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68F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3B8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9AB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B29CD">
            <w:pPr>
              <w:jc w:val="center"/>
            </w:pPr>
            <w:r>
              <w:rPr>
                <w:rFonts w:ascii="宋体" w:hAnsi="宋体" w:eastAsia="宋体"/>
                <w:sz w:val="16"/>
              </w:rPr>
              <w:t>保障调查工作顺利开展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AD96">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03BAA">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415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722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7E37">
            <w:pPr>
              <w:jc w:val="center"/>
            </w:pPr>
          </w:p>
        </w:tc>
      </w:tr>
      <w:tr w14:paraId="01A2D7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6ED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D05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C4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A54BB">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467C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B1E0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EFB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EE6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4BF61">
            <w:pPr>
              <w:jc w:val="center"/>
            </w:pPr>
          </w:p>
        </w:tc>
      </w:tr>
      <w:tr w14:paraId="6ADAE22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CCF00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2EB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72B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AE999">
            <w:pPr>
              <w:jc w:val="center"/>
            </w:pPr>
            <w:r>
              <w:rPr>
                <w:rFonts w:ascii="宋体" w:hAnsi="宋体" w:eastAsia="宋体"/>
                <w:sz w:val="16"/>
              </w:rPr>
              <w:t>93.73分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B2C716"/>
        </w:tc>
      </w:tr>
    </w:tbl>
    <w:p w14:paraId="793BEBCF">
      <w:r>
        <w:br w:type="page"/>
      </w:r>
    </w:p>
    <w:p w14:paraId="5B0EAAC7">
      <w:pPr>
        <w:spacing w:line="640" w:lineRule="exact"/>
        <w:ind w:firstLine="640"/>
        <w:jc w:val="both"/>
        <w:outlineLvl w:val="2"/>
      </w:pPr>
      <w:r>
        <w:rPr>
          <w:rFonts w:ascii="黑体" w:hAnsi="黑体" w:eastAsia="黑体"/>
          <w:sz w:val="32"/>
        </w:rPr>
        <w:t>十二、其他需说明的事项</w:t>
      </w:r>
    </w:p>
    <w:p w14:paraId="73E56523">
      <w:pPr>
        <w:spacing w:line="580" w:lineRule="exact"/>
        <w:ind w:firstLine="640"/>
        <w:jc w:val="both"/>
      </w:pPr>
      <w:r>
        <w:rPr>
          <w:rFonts w:ascii="仿宋_GB2312" w:hAnsi="仿宋_GB2312" w:eastAsia="仿宋_GB2312"/>
          <w:b w:val="0"/>
          <w:sz w:val="32"/>
        </w:rPr>
        <w:t>本年本单位SM项目7个，全年预算数805.6万元，全年执行数805.6万元。</w:t>
      </w:r>
    </w:p>
    <w:p w14:paraId="10BA919B">
      <w:r>
        <w:br w:type="page"/>
      </w:r>
    </w:p>
    <w:p w14:paraId="52336116">
      <w:pPr>
        <w:spacing w:line="240" w:lineRule="auto"/>
        <w:jc w:val="center"/>
        <w:outlineLvl w:val="1"/>
      </w:pPr>
      <w:r>
        <w:rPr>
          <w:rFonts w:ascii="黑体" w:hAnsi="黑体" w:eastAsia="黑体"/>
          <w:sz w:val="32"/>
        </w:rPr>
        <w:t>第三部分 专业名词解释</w:t>
      </w:r>
    </w:p>
    <w:p w14:paraId="79C5B22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83FC4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00939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982BD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DBDB0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BCE8E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06DFE2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61822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364E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D7A08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9CE2D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1554E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5AB0C5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6F9F4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E3C399">
      <w:r>
        <w:br w:type="page"/>
      </w:r>
    </w:p>
    <w:p w14:paraId="720249C5">
      <w:pPr>
        <w:spacing w:line="240" w:lineRule="auto"/>
        <w:jc w:val="center"/>
        <w:outlineLvl w:val="1"/>
      </w:pPr>
      <w:r>
        <w:rPr>
          <w:rFonts w:ascii="黑体" w:hAnsi="黑体" w:eastAsia="黑体"/>
          <w:sz w:val="32"/>
        </w:rPr>
        <w:t>第四部分 部门决算报表（见附表）</w:t>
      </w:r>
    </w:p>
    <w:p w14:paraId="492557C5">
      <w:pPr>
        <w:spacing w:line="240" w:lineRule="auto"/>
        <w:ind w:firstLine="640"/>
        <w:jc w:val="both"/>
      </w:pPr>
      <w:r>
        <w:rPr>
          <w:rFonts w:ascii="仿宋_GB2312" w:hAnsi="仿宋_GB2312" w:eastAsia="仿宋_GB2312"/>
          <w:b w:val="0"/>
          <w:sz w:val="32"/>
        </w:rPr>
        <w:t>一、《收入支出决算总表》</w:t>
      </w:r>
    </w:p>
    <w:p w14:paraId="2021F0C0">
      <w:pPr>
        <w:spacing w:line="240" w:lineRule="auto"/>
        <w:ind w:firstLine="640"/>
        <w:jc w:val="both"/>
      </w:pPr>
      <w:r>
        <w:rPr>
          <w:rFonts w:ascii="仿宋_GB2312" w:hAnsi="仿宋_GB2312" w:eastAsia="仿宋_GB2312"/>
          <w:b w:val="0"/>
          <w:sz w:val="32"/>
        </w:rPr>
        <w:t>二、《收入决算表》</w:t>
      </w:r>
    </w:p>
    <w:p w14:paraId="5B8E18E5">
      <w:pPr>
        <w:spacing w:line="240" w:lineRule="auto"/>
        <w:ind w:firstLine="640"/>
        <w:jc w:val="both"/>
      </w:pPr>
      <w:r>
        <w:rPr>
          <w:rFonts w:ascii="仿宋_GB2312" w:hAnsi="仿宋_GB2312" w:eastAsia="仿宋_GB2312"/>
          <w:b w:val="0"/>
          <w:sz w:val="32"/>
        </w:rPr>
        <w:t>三、《支出决算表》</w:t>
      </w:r>
    </w:p>
    <w:p w14:paraId="2753CE91">
      <w:pPr>
        <w:spacing w:line="240" w:lineRule="auto"/>
        <w:ind w:firstLine="640"/>
        <w:jc w:val="both"/>
      </w:pPr>
      <w:r>
        <w:rPr>
          <w:rFonts w:ascii="仿宋_GB2312" w:hAnsi="仿宋_GB2312" w:eastAsia="仿宋_GB2312"/>
          <w:b w:val="0"/>
          <w:sz w:val="32"/>
        </w:rPr>
        <w:t>四、《财政拨款收入支出决算总表》</w:t>
      </w:r>
    </w:p>
    <w:p w14:paraId="0288C0E0">
      <w:pPr>
        <w:spacing w:line="240" w:lineRule="auto"/>
        <w:ind w:firstLine="640"/>
        <w:jc w:val="both"/>
      </w:pPr>
      <w:r>
        <w:rPr>
          <w:rFonts w:ascii="仿宋_GB2312" w:hAnsi="仿宋_GB2312" w:eastAsia="仿宋_GB2312"/>
          <w:b w:val="0"/>
          <w:sz w:val="32"/>
        </w:rPr>
        <w:t>五、《一般公共预算财政拨款支出决算表》</w:t>
      </w:r>
    </w:p>
    <w:p w14:paraId="51B8BC4C">
      <w:pPr>
        <w:spacing w:line="240" w:lineRule="auto"/>
        <w:ind w:firstLine="640"/>
        <w:jc w:val="both"/>
      </w:pPr>
      <w:r>
        <w:rPr>
          <w:rFonts w:ascii="仿宋_GB2312" w:hAnsi="仿宋_GB2312" w:eastAsia="仿宋_GB2312"/>
          <w:b w:val="0"/>
          <w:sz w:val="32"/>
        </w:rPr>
        <w:t>六、《一般公共预算财政拨款基本支出决算表》</w:t>
      </w:r>
    </w:p>
    <w:p w14:paraId="19F4ACC9">
      <w:pPr>
        <w:spacing w:line="240" w:lineRule="auto"/>
        <w:ind w:firstLine="640"/>
        <w:jc w:val="both"/>
      </w:pPr>
      <w:r>
        <w:rPr>
          <w:rFonts w:ascii="仿宋_GB2312" w:hAnsi="仿宋_GB2312" w:eastAsia="仿宋_GB2312"/>
          <w:b w:val="0"/>
          <w:sz w:val="32"/>
        </w:rPr>
        <w:t>七、《政府性基金预算财政拨款收入支出决算表》</w:t>
      </w:r>
    </w:p>
    <w:p w14:paraId="420C8E6B">
      <w:pPr>
        <w:spacing w:line="240" w:lineRule="auto"/>
        <w:ind w:firstLine="640"/>
        <w:jc w:val="both"/>
      </w:pPr>
      <w:r>
        <w:rPr>
          <w:rFonts w:ascii="仿宋_GB2312" w:hAnsi="仿宋_GB2312" w:eastAsia="仿宋_GB2312"/>
          <w:b w:val="0"/>
          <w:sz w:val="32"/>
        </w:rPr>
        <w:t>八、《国有资本经营预算财政拨款收入支出决算表》</w:t>
      </w:r>
    </w:p>
    <w:p w14:paraId="2A108AFE">
      <w:pPr>
        <w:spacing w:line="240" w:lineRule="auto"/>
        <w:ind w:firstLine="640"/>
        <w:jc w:val="both"/>
      </w:pPr>
      <w:r>
        <w:rPr>
          <w:rFonts w:ascii="仿宋_GB2312" w:hAnsi="仿宋_GB2312" w:eastAsia="仿宋_GB2312"/>
          <w:b w:val="0"/>
          <w:sz w:val="32"/>
        </w:rPr>
        <w:t>九、《财政拨款“三公”经费支出决算表》</w:t>
      </w:r>
    </w:p>
    <w:p w14:paraId="7223561B">
      <w:pPr>
        <w:spacing w:line="240" w:lineRule="auto"/>
        <w:ind w:firstLine="640"/>
        <w:jc w:val="both"/>
      </w:pPr>
    </w:p>
    <w:p w14:paraId="7C0ACF40">
      <w:pPr>
        <w:spacing w:line="240" w:lineRule="auto"/>
        <w:ind w:firstLine="640"/>
        <w:jc w:val="both"/>
      </w:pPr>
    </w:p>
    <w:p w14:paraId="3B56F262">
      <w:pPr>
        <w:spacing w:line="240" w:lineRule="auto"/>
        <w:ind w:firstLine="640"/>
        <w:jc w:val="both"/>
      </w:pPr>
    </w:p>
    <w:p w14:paraId="5E0E969C">
      <w:pPr>
        <w:spacing w:line="240" w:lineRule="auto"/>
        <w:ind w:firstLine="640"/>
        <w:jc w:val="both"/>
      </w:pPr>
    </w:p>
    <w:p w14:paraId="3846EE2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A02C0D"/>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5A39F6"/>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6807</Words>
  <Characters>7670</Characters>
  <Lines>0</Lines>
  <Paragraphs>0</Paragraphs>
  <TotalTime>13</TotalTime>
  <ScaleCrop>false</ScaleCrop>
  <LinksUpToDate>false</LinksUpToDate>
  <CharactersWithSpaces>7678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2025-09-17T09:24:14Z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