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C284EE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洛浦县儿童福利中心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404379A">
      <w:r>
        <w:br w:type="page"/>
      </w:r>
    </w:p>
    <w:p w14:paraId="11470ED8">
      <w:pPr>
        <w:spacing w:line="640" w:lineRule="exact"/>
        <w:jc w:val="center"/>
        <w:outlineLvl w:val="1"/>
      </w:pPr>
      <w:r>
        <w:rPr>
          <w:rFonts w:ascii="黑体" w:hAnsi="黑体" w:eastAsia="黑体"/>
          <w:sz w:val="32"/>
        </w:rPr>
        <w:t>第一部分 单位概况</w:t>
      </w:r>
    </w:p>
    <w:p w14:paraId="77CF20AA">
      <w:pPr>
        <w:spacing w:line="640" w:lineRule="exact"/>
        <w:ind w:firstLine="640"/>
        <w:jc w:val="both"/>
        <w:outlineLvl w:val="2"/>
      </w:pPr>
      <w:r>
        <w:rPr>
          <w:rFonts w:ascii="黑体" w:hAnsi="黑体" w:eastAsia="黑体"/>
          <w:sz w:val="32"/>
        </w:rPr>
        <w:t>一、主要职能</w:t>
      </w:r>
    </w:p>
    <w:p w14:paraId="3DA13542">
      <w:pPr>
        <w:spacing w:line="580" w:lineRule="exact"/>
        <w:ind w:firstLine="640"/>
        <w:jc w:val="both"/>
      </w:pPr>
      <w:r>
        <w:rPr>
          <w:rFonts w:ascii="仿宋_GB2312" w:hAnsi="仿宋_GB2312" w:eastAsia="仿宋_GB2312"/>
          <w:sz w:val="32"/>
        </w:rPr>
        <w:t>（1）贯彻落实有关法律、法规、规章制度，贯彻执行儿童福利工作方针政策；拟订洛浦县儿童福利事业发展规划并组织实施。</w:t>
      </w:r>
    </w:p>
    <w:p w14:paraId="533707ED">
      <w:pPr>
        <w:spacing w:line="580" w:lineRule="exact"/>
        <w:ind w:firstLine="640"/>
        <w:jc w:val="both"/>
      </w:pPr>
      <w:r>
        <w:rPr>
          <w:rFonts w:ascii="仿宋_GB2312" w:hAnsi="仿宋_GB2312" w:eastAsia="仿宋_GB2312"/>
          <w:sz w:val="32"/>
        </w:rPr>
        <w:t>（2）拟订全县社会福利事业发展计划，落实社会福利事业的相关政策和标准，落实相关政策，组织、指导社会捐助工作；孤儿群体权益保障工作。</w:t>
      </w:r>
    </w:p>
    <w:p w14:paraId="68DFE6A1">
      <w:pPr>
        <w:spacing w:line="580" w:lineRule="exact"/>
        <w:ind w:firstLine="640"/>
        <w:jc w:val="both"/>
      </w:pPr>
      <w:r>
        <w:rPr>
          <w:rFonts w:ascii="仿宋_GB2312" w:hAnsi="仿宋_GB2312" w:eastAsia="仿宋_GB2312"/>
          <w:sz w:val="32"/>
        </w:rPr>
        <w:t>（3）承办县委、县人民政府及上级业务部门交办的其他事项。</w:t>
      </w:r>
    </w:p>
    <w:p w14:paraId="3DE3D660">
      <w:pPr>
        <w:spacing w:line="640" w:lineRule="exact"/>
        <w:ind w:firstLine="640"/>
        <w:jc w:val="both"/>
        <w:outlineLvl w:val="2"/>
      </w:pPr>
      <w:r>
        <w:rPr>
          <w:rFonts w:ascii="黑体" w:hAnsi="黑体" w:eastAsia="黑体"/>
          <w:sz w:val="32"/>
        </w:rPr>
        <w:t>二、机构设置及人员情况</w:t>
      </w:r>
    </w:p>
    <w:p w14:paraId="5AF1F25C">
      <w:pPr>
        <w:spacing w:line="580" w:lineRule="exact"/>
        <w:ind w:firstLine="640"/>
        <w:jc w:val="both"/>
      </w:pPr>
      <w:r>
        <w:rPr>
          <w:rFonts w:ascii="仿宋_GB2312" w:hAnsi="仿宋_GB2312" w:eastAsia="仿宋_GB2312"/>
          <w:sz w:val="32"/>
        </w:rPr>
        <w:t>洛浦县儿童福利中心2024年度，实有人数10人，其中：在职人员6人，增加0人；离休人员0人，增加0人；退休人员4人,增加0人。</w:t>
      </w:r>
    </w:p>
    <w:p w14:paraId="61CB80B0">
      <w:pPr>
        <w:spacing w:line="580" w:lineRule="exact"/>
        <w:ind w:firstLine="640"/>
        <w:jc w:val="both"/>
      </w:pPr>
      <w:r>
        <w:rPr>
          <w:rFonts w:ascii="仿宋_GB2312" w:hAnsi="仿宋_GB2312" w:eastAsia="仿宋_GB2312"/>
          <w:sz w:val="32"/>
        </w:rPr>
        <w:t>洛浦县儿童福利中心无下属预算单位，下设2个科室，分别是：办公室、财务室。</w:t>
      </w:r>
    </w:p>
    <w:p w14:paraId="21239359">
      <w:r>
        <w:br w:type="page"/>
      </w:r>
    </w:p>
    <w:p w14:paraId="0FCACF85">
      <w:pPr>
        <w:spacing w:line="240" w:lineRule="auto"/>
        <w:jc w:val="center"/>
        <w:outlineLvl w:val="1"/>
      </w:pPr>
      <w:r>
        <w:rPr>
          <w:rFonts w:ascii="黑体" w:hAnsi="黑体" w:eastAsia="黑体"/>
          <w:sz w:val="32"/>
        </w:rPr>
        <w:t>第二部分 部门决算情况说明</w:t>
      </w:r>
    </w:p>
    <w:p w14:paraId="0CF17B8D">
      <w:pPr>
        <w:spacing w:line="640" w:lineRule="exact"/>
        <w:ind w:firstLine="640"/>
        <w:jc w:val="both"/>
        <w:outlineLvl w:val="2"/>
      </w:pPr>
      <w:r>
        <w:rPr>
          <w:rFonts w:ascii="黑体" w:hAnsi="黑体" w:eastAsia="黑体"/>
          <w:sz w:val="32"/>
        </w:rPr>
        <w:t>一、收入支出决算总体情况说明</w:t>
      </w:r>
    </w:p>
    <w:p w14:paraId="0F0AF602">
      <w:pPr>
        <w:spacing w:line="580" w:lineRule="exact"/>
        <w:ind w:firstLine="640"/>
        <w:jc w:val="both"/>
      </w:pPr>
      <w:r>
        <w:rPr>
          <w:rFonts w:ascii="仿宋_GB2312" w:hAnsi="仿宋_GB2312" w:eastAsia="仿宋_GB2312"/>
          <w:b/>
          <w:sz w:val="32"/>
        </w:rPr>
        <w:t>2024年度收入总计842.72万元，</w:t>
      </w:r>
      <w:r>
        <w:rPr>
          <w:rFonts w:ascii="仿宋_GB2312" w:hAnsi="仿宋_GB2312" w:eastAsia="仿宋_GB2312"/>
          <w:b w:val="0"/>
          <w:sz w:val="32"/>
        </w:rPr>
        <w:t>其中：本年收入合计842.72万元，使用非财政拨款结余（含专用结余）0.00万元，年初结转和结余0.00万元。</w:t>
      </w:r>
    </w:p>
    <w:p w14:paraId="2717E00B">
      <w:pPr>
        <w:spacing w:line="580" w:lineRule="exact"/>
        <w:ind w:firstLine="640"/>
        <w:jc w:val="both"/>
      </w:pPr>
      <w:r>
        <w:rPr>
          <w:rFonts w:ascii="仿宋_GB2312" w:hAnsi="仿宋_GB2312" w:eastAsia="仿宋_GB2312"/>
          <w:b/>
          <w:sz w:val="32"/>
        </w:rPr>
        <w:t>2024年度支出总计842.72万元，</w:t>
      </w:r>
      <w:r>
        <w:rPr>
          <w:rFonts w:ascii="仿宋_GB2312" w:hAnsi="仿宋_GB2312" w:eastAsia="仿宋_GB2312"/>
          <w:b w:val="0"/>
          <w:sz w:val="32"/>
        </w:rPr>
        <w:t>其中：本年支出合计842.72万元，结余分配0.00万元，年末结转和结余0.00万元。</w:t>
      </w:r>
    </w:p>
    <w:p w14:paraId="44FBD96F">
      <w:pPr>
        <w:spacing w:line="580" w:lineRule="exact"/>
        <w:ind w:firstLine="640"/>
        <w:jc w:val="both"/>
      </w:pPr>
      <w:r>
        <w:rPr>
          <w:rFonts w:ascii="仿宋_GB2312" w:hAnsi="仿宋_GB2312" w:eastAsia="仿宋_GB2312"/>
          <w:b w:val="0"/>
          <w:sz w:val="32"/>
        </w:rPr>
        <w:t>收入支出总体与上年相比，减少401.82万元，下降32.29%，主要原因是：本年集中供养儿童人数比上年减少，中央财政困难群众救助补助资金、自治区困难群众救助补助资金较上年减少。</w:t>
      </w:r>
    </w:p>
    <w:p w14:paraId="49F337C2">
      <w:pPr>
        <w:spacing w:line="640" w:lineRule="exact"/>
        <w:ind w:firstLine="640"/>
        <w:jc w:val="both"/>
        <w:outlineLvl w:val="2"/>
      </w:pPr>
      <w:r>
        <w:rPr>
          <w:rFonts w:ascii="黑体" w:hAnsi="黑体" w:eastAsia="黑体"/>
          <w:sz w:val="32"/>
        </w:rPr>
        <w:t>二、收入决算情况说明</w:t>
      </w:r>
    </w:p>
    <w:p w14:paraId="7585BC87">
      <w:pPr>
        <w:spacing w:line="580" w:lineRule="exact"/>
        <w:ind w:firstLine="640"/>
        <w:jc w:val="both"/>
      </w:pPr>
      <w:r>
        <w:rPr>
          <w:rFonts w:ascii="仿宋_GB2312" w:hAnsi="仿宋_GB2312" w:eastAsia="仿宋_GB2312"/>
          <w:b/>
          <w:sz w:val="32"/>
        </w:rPr>
        <w:t>本年收入842.72万元，</w:t>
      </w:r>
      <w:r>
        <w:rPr>
          <w:rFonts w:ascii="仿宋_GB2312" w:hAnsi="仿宋_GB2312" w:eastAsia="仿宋_GB2312"/>
          <w:b w:val="0"/>
          <w:sz w:val="32"/>
        </w:rPr>
        <w:t>其中：财政拨款收入842.72万元，占100.00%；上级补助收入0.00万元，占0.00%；事业收入0.00万元，占0.00%；经营收入0.00万元，占0.00%；附属单位上缴收入0.00万元，占0.00%；其他收入0.00万元，占0.00%。</w:t>
      </w:r>
    </w:p>
    <w:p w14:paraId="47BAE09C">
      <w:pPr>
        <w:spacing w:line="640" w:lineRule="exact"/>
        <w:ind w:firstLine="640"/>
        <w:jc w:val="both"/>
        <w:outlineLvl w:val="2"/>
      </w:pPr>
      <w:r>
        <w:rPr>
          <w:rFonts w:ascii="黑体" w:hAnsi="黑体" w:eastAsia="黑体"/>
          <w:sz w:val="32"/>
        </w:rPr>
        <w:t>三、支出决算情况说明</w:t>
      </w:r>
    </w:p>
    <w:p w14:paraId="378C0A10">
      <w:pPr>
        <w:spacing w:line="580" w:lineRule="exact"/>
        <w:ind w:firstLine="640"/>
        <w:jc w:val="both"/>
      </w:pPr>
      <w:r>
        <w:rPr>
          <w:rFonts w:ascii="仿宋_GB2312" w:hAnsi="仿宋_GB2312" w:eastAsia="仿宋_GB2312"/>
          <w:b/>
          <w:sz w:val="32"/>
        </w:rPr>
        <w:t>本年支出842.72万元，</w:t>
      </w:r>
      <w:r>
        <w:rPr>
          <w:rFonts w:ascii="仿宋_GB2312" w:hAnsi="仿宋_GB2312" w:eastAsia="仿宋_GB2312"/>
          <w:b w:val="0"/>
          <w:sz w:val="32"/>
        </w:rPr>
        <w:t>其中：基本支出115.23万元，占13.67%；项目支出727.49万元，占86.33%；上缴上级支出0.00万元，占0.00%；经营支出0.00万元，占0.00%；对附属单位补助支出0.00万元，占0.00%。</w:t>
      </w:r>
    </w:p>
    <w:p w14:paraId="31D9C909">
      <w:pPr>
        <w:spacing w:line="640" w:lineRule="exact"/>
        <w:ind w:firstLine="640"/>
        <w:jc w:val="both"/>
        <w:outlineLvl w:val="2"/>
      </w:pPr>
      <w:r>
        <w:rPr>
          <w:rFonts w:ascii="黑体" w:hAnsi="黑体" w:eastAsia="黑体"/>
          <w:sz w:val="32"/>
        </w:rPr>
        <w:t>四、财政拨款收入支出决算总体情况说明</w:t>
      </w:r>
    </w:p>
    <w:p w14:paraId="187FA051">
      <w:pPr>
        <w:spacing w:line="580" w:lineRule="exact"/>
        <w:ind w:firstLine="640"/>
        <w:jc w:val="both"/>
      </w:pPr>
      <w:r>
        <w:rPr>
          <w:rFonts w:ascii="仿宋_GB2312" w:hAnsi="仿宋_GB2312" w:eastAsia="仿宋_GB2312"/>
          <w:b/>
          <w:sz w:val="32"/>
        </w:rPr>
        <w:t>2024年度财政拨款收入总计842.72万元，</w:t>
      </w:r>
      <w:r>
        <w:rPr>
          <w:rFonts w:ascii="仿宋_GB2312" w:hAnsi="仿宋_GB2312" w:eastAsia="仿宋_GB2312"/>
          <w:b w:val="0"/>
          <w:sz w:val="32"/>
        </w:rPr>
        <w:t>其中：年初财政拨款结转和结余0.00万元，本年财政拨款收入842.72万元。</w:t>
      </w:r>
      <w:r>
        <w:rPr>
          <w:rFonts w:ascii="仿宋_GB2312" w:hAnsi="仿宋_GB2312" w:eastAsia="仿宋_GB2312"/>
          <w:b/>
          <w:sz w:val="32"/>
        </w:rPr>
        <w:t>财政拨款支出总计842.72万元，</w:t>
      </w:r>
      <w:r>
        <w:rPr>
          <w:rFonts w:ascii="仿宋_GB2312" w:hAnsi="仿宋_GB2312" w:eastAsia="仿宋_GB2312"/>
          <w:b w:val="0"/>
          <w:sz w:val="32"/>
        </w:rPr>
        <w:t>其中：年末财政拨款结转和结余0.00万元，本年财政拨款支出842.72万元。</w:t>
      </w:r>
    </w:p>
    <w:p w14:paraId="0C24E4C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减少401.82万元，下降32.29%，主要原因是：本年集中供养儿童人数比上年减少，中央财政困难群众救助补助资金、自治区困难群众救助补助资金较上年减少。</w:t>
      </w:r>
      <w:r>
        <w:rPr>
          <w:rFonts w:ascii="仿宋_GB2312" w:hAnsi="仿宋_GB2312" w:eastAsia="仿宋_GB2312"/>
          <w:b/>
          <w:sz w:val="32"/>
        </w:rPr>
        <w:t>与年初预算相比，</w:t>
      </w:r>
      <w:r>
        <w:rPr>
          <w:rFonts w:ascii="仿宋_GB2312" w:hAnsi="仿宋_GB2312" w:eastAsia="仿宋_GB2312"/>
          <w:b w:val="0"/>
          <w:sz w:val="32"/>
        </w:rPr>
        <w:t>年初预算数293.85万元，决算数842.72万元，预决算差异率186.79%，主要原因是：年中追加中央财政困难群众救助补助资金及困难群众一次性补贴资金，导致预决算存在差异。</w:t>
      </w:r>
    </w:p>
    <w:p w14:paraId="13BC9722">
      <w:pPr>
        <w:spacing w:line="640" w:lineRule="exact"/>
        <w:ind w:firstLine="640"/>
        <w:jc w:val="both"/>
        <w:outlineLvl w:val="2"/>
      </w:pPr>
      <w:r>
        <w:rPr>
          <w:rFonts w:ascii="黑体" w:hAnsi="黑体" w:eastAsia="黑体"/>
          <w:sz w:val="32"/>
        </w:rPr>
        <w:t>五、一般公共预算财政拨款支出决算情况说明</w:t>
      </w:r>
    </w:p>
    <w:p w14:paraId="0DAE5664">
      <w:pPr>
        <w:spacing w:line="640" w:lineRule="exact"/>
        <w:ind w:firstLine="640"/>
        <w:jc w:val="both"/>
        <w:outlineLvl w:val="3"/>
      </w:pPr>
      <w:r>
        <w:rPr>
          <w:rFonts w:ascii="楷体_GB2312" w:hAnsi="楷体_GB2312" w:eastAsia="楷体_GB2312"/>
          <w:b/>
          <w:sz w:val="32"/>
        </w:rPr>
        <w:t>（一）一般公共预算财政拨款支出决算总体情况</w:t>
      </w:r>
    </w:p>
    <w:p w14:paraId="5F76E1D2">
      <w:pPr>
        <w:spacing w:line="580" w:lineRule="exact"/>
        <w:ind w:firstLine="640"/>
        <w:jc w:val="both"/>
      </w:pPr>
      <w:r>
        <w:rPr>
          <w:rFonts w:ascii="仿宋_GB2312" w:hAnsi="仿宋_GB2312" w:eastAsia="仿宋_GB2312"/>
          <w:b/>
          <w:sz w:val="32"/>
        </w:rPr>
        <w:t>2024年度一般公共预算财政拨款支出715.94万元，</w:t>
      </w:r>
      <w:r>
        <w:rPr>
          <w:rFonts w:ascii="仿宋_GB2312" w:hAnsi="仿宋_GB2312" w:eastAsia="仿宋_GB2312"/>
          <w:b w:val="0"/>
          <w:sz w:val="32"/>
        </w:rPr>
        <w:t>占本年支出合计的84.96%。</w:t>
      </w:r>
      <w:r>
        <w:rPr>
          <w:rFonts w:ascii="仿宋_GB2312" w:hAnsi="仿宋_GB2312" w:eastAsia="仿宋_GB2312"/>
          <w:b/>
          <w:sz w:val="32"/>
        </w:rPr>
        <w:t>与上年相比，</w:t>
      </w:r>
      <w:r>
        <w:rPr>
          <w:rFonts w:ascii="仿宋_GB2312" w:hAnsi="仿宋_GB2312" w:eastAsia="仿宋_GB2312"/>
          <w:b w:val="0"/>
          <w:sz w:val="32"/>
        </w:rPr>
        <w:t>减少377.11万元，下降34.50%，主要原因是：本年集中供养儿童人数比上年减少，中央财政困难群众救助补助资金、自治区困难群众救助补助资金较上年减少。</w:t>
      </w:r>
      <w:r>
        <w:rPr>
          <w:rFonts w:ascii="仿宋_GB2312" w:hAnsi="仿宋_GB2312" w:eastAsia="仿宋_GB2312"/>
          <w:b/>
          <w:sz w:val="32"/>
        </w:rPr>
        <w:t>与年初预算相比,</w:t>
      </w:r>
      <w:r>
        <w:rPr>
          <w:rFonts w:ascii="仿宋_GB2312" w:hAnsi="仿宋_GB2312" w:eastAsia="仿宋_GB2312"/>
          <w:b w:val="0"/>
          <w:sz w:val="32"/>
        </w:rPr>
        <w:t>年初预算数145.79万元，决算数715.94万元，预决算差异率391.08%，主要原因是：年中追加中央财政困难群众救助补助资金及困难群众一次性补贴资金，导致预决算存在差异。</w:t>
      </w:r>
    </w:p>
    <w:p w14:paraId="2354088A">
      <w:pPr>
        <w:spacing w:line="640" w:lineRule="exact"/>
        <w:ind w:firstLine="640"/>
        <w:jc w:val="both"/>
        <w:outlineLvl w:val="3"/>
      </w:pPr>
      <w:r>
        <w:rPr>
          <w:rFonts w:ascii="楷体_GB2312" w:hAnsi="楷体_GB2312" w:eastAsia="楷体_GB2312"/>
          <w:b/>
          <w:sz w:val="32"/>
        </w:rPr>
        <w:t>（二）一般公共预算财政拨款支出决算结构情况</w:t>
      </w:r>
    </w:p>
    <w:p w14:paraId="4477B9A6">
      <w:pPr>
        <w:spacing w:line="580" w:lineRule="exact"/>
        <w:ind w:firstLine="640"/>
        <w:jc w:val="both"/>
      </w:pPr>
      <w:r>
        <w:rPr>
          <w:rFonts w:ascii="仿宋_GB2312" w:hAnsi="仿宋_GB2312" w:eastAsia="仿宋_GB2312"/>
          <w:b w:val="0"/>
          <w:sz w:val="32"/>
        </w:rPr>
        <w:t>1.社会保障和就业支出(类)702.45万元,占98.12%。</w:t>
      </w:r>
    </w:p>
    <w:p w14:paraId="031C9428">
      <w:pPr>
        <w:spacing w:line="580" w:lineRule="exact"/>
        <w:ind w:firstLine="640"/>
        <w:jc w:val="both"/>
      </w:pPr>
      <w:r>
        <w:rPr>
          <w:rFonts w:ascii="仿宋_GB2312" w:hAnsi="仿宋_GB2312" w:eastAsia="仿宋_GB2312"/>
          <w:b w:val="0"/>
          <w:sz w:val="32"/>
        </w:rPr>
        <w:t>2.卫生健康支出(类)4.67万元,占0.65%。</w:t>
      </w:r>
    </w:p>
    <w:p w14:paraId="3E62E97E">
      <w:pPr>
        <w:spacing w:line="580" w:lineRule="exact"/>
        <w:ind w:firstLine="640"/>
        <w:jc w:val="both"/>
      </w:pPr>
      <w:r>
        <w:rPr>
          <w:rFonts w:ascii="仿宋_GB2312" w:hAnsi="仿宋_GB2312" w:eastAsia="仿宋_GB2312"/>
          <w:b w:val="0"/>
          <w:sz w:val="32"/>
        </w:rPr>
        <w:t>3.住房保障支出(类)8.83万元,占1.23%。</w:t>
      </w:r>
    </w:p>
    <w:p w14:paraId="263E0F12">
      <w:pPr>
        <w:spacing w:line="640" w:lineRule="exact"/>
        <w:ind w:firstLine="640"/>
        <w:jc w:val="both"/>
        <w:outlineLvl w:val="3"/>
      </w:pPr>
      <w:r>
        <w:rPr>
          <w:rFonts w:ascii="楷体_GB2312" w:hAnsi="楷体_GB2312" w:eastAsia="楷体_GB2312"/>
          <w:b/>
          <w:sz w:val="32"/>
        </w:rPr>
        <w:t>（三）一般公共预算财政拨款支出决算具体情况</w:t>
      </w:r>
    </w:p>
    <w:p w14:paraId="40A7A8A0">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4.63万元，比上年决算增加4.63万元，增长100.00%,主要原因是：本年功能科目调整，事业单位离退休上年度在主科目列支，本年单独列支，导致经费较上年增加。</w:t>
      </w:r>
    </w:p>
    <w:p w14:paraId="063C3765">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11.48万元，比上年决算增加0.22万元，增长1.95%,主要原因是：本年在职人员工资基数调增，养老缴费基数上涨，相应支出增加。</w:t>
      </w:r>
    </w:p>
    <w:p w14:paraId="228C78E3">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3.社会保障和就业支出(类)行政事业单位养老支出(款)机关事业单位职业年金缴费支出(项):支出决算数为0.00万元，比上年决算减少6.73万元，下降100.00%,主要原因是：本年无新增退休人员，减少职业年金缴费。</w:t>
      </w:r>
    </w:p>
    <w:p w14:paraId="2C2E2850">
      <w:pPr>
        <w:spacing w:line="580" w:lineRule="exact"/>
        <w:ind w:firstLine="640"/>
        <w:jc w:val="both"/>
      </w:pPr>
      <w:r>
        <w:rPr>
          <w:rFonts w:ascii="仿宋_GB2312" w:hAnsi="仿宋_GB2312" w:eastAsia="仿宋_GB2312"/>
          <w:b w:val="0"/>
          <w:sz w:val="32"/>
        </w:rPr>
        <w:t>4.社会保障和就业支出(类)社会福利(款)儿童福利(项):支出决算数为172.76万元，比上年决算减少784.03万元，下降81.94%,主要原因是：1.本年集中供养儿童人数比上年减少，中央财政困难群众救助补助资金、自治区困难群众救助补助资金较上年减少；2.上年度困难补助资金在本科目列支，本年单独列支。</w:t>
      </w:r>
    </w:p>
    <w:p w14:paraId="1DE05DE0">
      <w:pPr>
        <w:spacing w:line="580" w:lineRule="exact"/>
        <w:ind w:firstLine="640"/>
        <w:jc w:val="both"/>
      </w:pPr>
      <w:r>
        <w:rPr>
          <w:rFonts w:ascii="仿宋_GB2312" w:hAnsi="仿宋_GB2312" w:eastAsia="仿宋_GB2312"/>
          <w:b w:val="0"/>
          <w:sz w:val="32"/>
        </w:rPr>
        <w:t>5.社会保障和就业支出(类)社会福利(款)社会福利事业单位(项):支出决算数为85.62万元，比上年决算减少31.20万元，下降26.71%,主要原因是：上年度退休人员经费，在职人员医疗缴费、住房公积金上年度在主科目列支，本年单独列支。</w:t>
      </w:r>
    </w:p>
    <w:p w14:paraId="72F5C59F">
      <w:pPr>
        <w:spacing w:line="580" w:lineRule="exact"/>
        <w:ind w:firstLine="640"/>
        <w:jc w:val="both"/>
      </w:pPr>
      <w:r>
        <w:rPr>
          <w:rFonts w:ascii="仿宋_GB2312" w:hAnsi="仿宋_GB2312" w:eastAsia="仿宋_GB2312"/>
          <w:b w:val="0"/>
          <w:sz w:val="32"/>
        </w:rPr>
        <w:t>6.社会保障和就业支出(类)特困人员救助供养(款)城市特困人员救助供养支出(项):支出决算数为37.35万元，比上年决算增加37.35万元，增长100.00%,主要原因是：科目调整，本年困难群众补助资金-城市特困人员救助供养单独列支。</w:t>
      </w:r>
    </w:p>
    <w:p w14:paraId="3DCD7078">
      <w:pPr>
        <w:spacing w:line="580" w:lineRule="exact"/>
        <w:ind w:firstLine="640"/>
        <w:jc w:val="both"/>
      </w:pPr>
      <w:r>
        <w:rPr>
          <w:rFonts w:ascii="仿宋_GB2312" w:hAnsi="仿宋_GB2312" w:eastAsia="仿宋_GB2312"/>
          <w:b w:val="0"/>
          <w:sz w:val="32"/>
        </w:rPr>
        <w:t>7.社会保障和就业支出(类)特困人员救助供养(款)农村特困人员救助供养支出(项):支出决算数为361.51万元，比上年决算增加361.51万元，增长100.00%,主要原因是：</w:t>
      </w:r>
      <w:r>
        <w:rPr>
          <w:rFonts w:hint="eastAsia" w:ascii="仿宋_GB2312" w:hAnsi="仿宋_GB2312" w:eastAsia="仿宋_GB2312"/>
          <w:b w:val="0"/>
          <w:sz w:val="32"/>
          <w:lang w:val="en-US" w:eastAsia="zh-CN"/>
        </w:rPr>
        <w:t>本年</w:t>
      </w:r>
      <w:bookmarkStart w:id="0" w:name="_GoBack"/>
      <w:bookmarkEnd w:id="0"/>
      <w:r>
        <w:rPr>
          <w:rFonts w:ascii="仿宋_GB2312" w:hAnsi="仿宋_GB2312" w:eastAsia="仿宋_GB2312"/>
          <w:b w:val="0"/>
          <w:sz w:val="32"/>
        </w:rPr>
        <w:t>科目调整，本年困难群众补助资金-农村特困人员救助供养单独列支。</w:t>
      </w:r>
    </w:p>
    <w:p w14:paraId="55D21075">
      <w:pPr>
        <w:spacing w:line="580" w:lineRule="exact"/>
        <w:ind w:firstLine="640"/>
        <w:jc w:val="both"/>
      </w:pPr>
      <w:r>
        <w:rPr>
          <w:rFonts w:ascii="仿宋_GB2312" w:hAnsi="仿宋_GB2312" w:eastAsia="仿宋_GB2312"/>
          <w:b w:val="0"/>
          <w:sz w:val="32"/>
        </w:rPr>
        <w:t>8.社会保障和就业支出(类)其他生活救助(款)其他城市生活救助(项):支出决算数为3.10万元，比上年决算增加2.97万元，增长2,284.62%,主要原因是：本年困难群众城市生活救助一次性补贴标准较上年提高，经费增加。</w:t>
      </w:r>
    </w:p>
    <w:p w14:paraId="7357C53E">
      <w:pPr>
        <w:spacing w:line="580" w:lineRule="exact"/>
        <w:ind w:firstLine="640"/>
        <w:jc w:val="both"/>
      </w:pPr>
      <w:r>
        <w:rPr>
          <w:rFonts w:ascii="仿宋_GB2312" w:hAnsi="仿宋_GB2312" w:eastAsia="仿宋_GB2312"/>
          <w:b w:val="0"/>
          <w:sz w:val="32"/>
        </w:rPr>
        <w:t>9.社会保障和就业支出(类)其他生活救助(款)其他农村生活救助(项):支出决算数为26.00万元，比上年决算增加24.69万元，增长1,884.73%,主要原因是：本年困难群众农村生活救助一次性补贴标准较上年提高，经费增加。</w:t>
      </w:r>
    </w:p>
    <w:p w14:paraId="265B317B">
      <w:pPr>
        <w:spacing w:line="580" w:lineRule="exact"/>
        <w:ind w:firstLine="640"/>
        <w:jc w:val="both"/>
      </w:pPr>
      <w:r>
        <w:rPr>
          <w:rFonts w:ascii="仿宋_GB2312" w:hAnsi="仿宋_GB2312" w:eastAsia="仿宋_GB2312"/>
          <w:b w:val="0"/>
          <w:sz w:val="32"/>
        </w:rPr>
        <w:t>10.卫生健康支出(类)行政事业单位医疗(款)事业单位医疗(项):支出决算数为4.67万元，比上年决算增加4.67万元，增长100.00%,主要原因是：本年功能科目调整，事业单位医疗上年度在主科目列支，本年单独列支，导致经费较上年增加。</w:t>
      </w:r>
    </w:p>
    <w:p w14:paraId="357EC6B3">
      <w:pPr>
        <w:spacing w:line="580" w:lineRule="exact"/>
        <w:ind w:firstLine="640"/>
        <w:jc w:val="both"/>
      </w:pPr>
      <w:r>
        <w:rPr>
          <w:rFonts w:ascii="仿宋_GB2312" w:hAnsi="仿宋_GB2312" w:eastAsia="仿宋_GB2312"/>
          <w:b w:val="0"/>
          <w:sz w:val="32"/>
        </w:rPr>
        <w:t>11.住房保障支出(类)住房改革支出(款)住房公积金(项):支出决算数为8.83万元，比上年决算增加8.83万元，增长100.00%,主要原因是：本年功能科目调整，住房公积金上年度在主科目列支，本年单独列支，导致经费较上年增加。</w:t>
      </w:r>
    </w:p>
    <w:p w14:paraId="37A5672B">
      <w:pPr>
        <w:spacing w:line="640" w:lineRule="exact"/>
        <w:ind w:firstLine="640"/>
        <w:jc w:val="both"/>
        <w:outlineLvl w:val="2"/>
      </w:pPr>
      <w:r>
        <w:rPr>
          <w:rFonts w:ascii="黑体" w:hAnsi="黑体" w:eastAsia="黑体"/>
          <w:sz w:val="32"/>
        </w:rPr>
        <w:t>六、一般公共预算财政拨款基本支出决算情况说明</w:t>
      </w:r>
    </w:p>
    <w:p w14:paraId="5D40EC60">
      <w:pPr>
        <w:spacing w:line="580" w:lineRule="exact"/>
        <w:ind w:firstLine="640"/>
        <w:jc w:val="both"/>
      </w:pPr>
      <w:r>
        <w:rPr>
          <w:rFonts w:ascii="仿宋_GB2312" w:hAnsi="仿宋_GB2312" w:eastAsia="仿宋_GB2312"/>
          <w:b w:val="0"/>
          <w:sz w:val="32"/>
        </w:rPr>
        <w:t>2024年度一般公共预算财政拨款基本支出115.23万元，其中：</w:t>
      </w:r>
      <w:r>
        <w:rPr>
          <w:rFonts w:ascii="仿宋_GB2312" w:hAnsi="仿宋_GB2312" w:eastAsia="仿宋_GB2312"/>
          <w:b/>
          <w:sz w:val="32"/>
        </w:rPr>
        <w:t>人员经费114.79万元，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w:t>
      </w:r>
    </w:p>
    <w:p w14:paraId="6A2E6D5C">
      <w:pPr>
        <w:spacing w:line="580" w:lineRule="exact"/>
        <w:ind w:firstLine="640"/>
        <w:jc w:val="both"/>
      </w:pPr>
      <w:r>
        <w:rPr>
          <w:rFonts w:ascii="仿宋_GB2312" w:hAnsi="仿宋_GB2312" w:eastAsia="仿宋_GB2312"/>
          <w:b/>
          <w:sz w:val="32"/>
        </w:rPr>
        <w:t>公用经费0.44万元，</w:t>
      </w:r>
      <w:r>
        <w:rPr>
          <w:rFonts w:ascii="仿宋_GB2312" w:hAnsi="仿宋_GB2312" w:eastAsia="仿宋_GB2312"/>
          <w:b w:val="0"/>
          <w:sz w:val="32"/>
        </w:rPr>
        <w:t>包括：邮电费、差旅费、委托业务费。</w:t>
      </w:r>
    </w:p>
    <w:p w14:paraId="6D102253">
      <w:pPr>
        <w:spacing w:line="640" w:lineRule="exact"/>
        <w:ind w:firstLine="640"/>
        <w:jc w:val="both"/>
        <w:outlineLvl w:val="2"/>
      </w:pPr>
      <w:r>
        <w:rPr>
          <w:rFonts w:ascii="黑体" w:hAnsi="黑体" w:eastAsia="黑体"/>
          <w:sz w:val="32"/>
        </w:rPr>
        <w:t>七、政府性基金预算财政拨款收入支出决算情况说明</w:t>
      </w:r>
    </w:p>
    <w:p w14:paraId="505ECC98">
      <w:pPr>
        <w:spacing w:line="580" w:lineRule="exact"/>
        <w:ind w:firstLine="640"/>
        <w:jc w:val="both"/>
      </w:pPr>
      <w:r>
        <w:rPr>
          <w:rFonts w:ascii="仿宋_GB2312" w:hAnsi="仿宋_GB2312" w:eastAsia="仿宋_GB2312"/>
          <w:b/>
          <w:sz w:val="32"/>
        </w:rPr>
        <w:t>2024年度政府性基金预算财政拨款收入总计126.78万元，</w:t>
      </w:r>
      <w:r>
        <w:rPr>
          <w:rFonts w:ascii="仿宋_GB2312" w:hAnsi="仿宋_GB2312" w:eastAsia="仿宋_GB2312"/>
          <w:b w:val="0"/>
          <w:sz w:val="32"/>
        </w:rPr>
        <w:t>其中：年初结转和结余0.00万元，本年收入126.78万元。</w:t>
      </w:r>
      <w:r>
        <w:rPr>
          <w:rFonts w:ascii="仿宋_GB2312" w:hAnsi="仿宋_GB2312" w:eastAsia="仿宋_GB2312"/>
          <w:b/>
          <w:sz w:val="32"/>
        </w:rPr>
        <w:t>政府性基金预算财政拨款支出总计126.78万元，</w:t>
      </w:r>
      <w:r>
        <w:rPr>
          <w:rFonts w:ascii="仿宋_GB2312" w:hAnsi="仿宋_GB2312" w:eastAsia="仿宋_GB2312"/>
          <w:b w:val="0"/>
          <w:sz w:val="32"/>
        </w:rPr>
        <w:t>其中：年末结转和结余0.00万元，本年支出126.78万元。</w:t>
      </w:r>
    </w:p>
    <w:p w14:paraId="46D6787B">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减少24.71万元，下降16.31%，主要原因是：本年孤残儿童护理补贴项目资金较上年减少。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年初预算数148.06万元，决算数126.78万元，预决算差异率-14.37%，主要原因是：孤儿人数减少，年中调减孤儿补助资金。</w:t>
      </w:r>
    </w:p>
    <w:p w14:paraId="1A6E35D1">
      <w:pPr>
        <w:spacing w:line="580" w:lineRule="exact"/>
        <w:ind w:firstLine="640"/>
        <w:jc w:val="both"/>
      </w:pPr>
      <w:r>
        <w:rPr>
          <w:rFonts w:ascii="仿宋_GB2312" w:hAnsi="仿宋_GB2312" w:eastAsia="仿宋_GB2312"/>
          <w:b w:val="0"/>
          <w:sz w:val="32"/>
        </w:rPr>
        <w:t>政府性基金预算财政拨款支出126.78万元。</w:t>
      </w:r>
    </w:p>
    <w:p w14:paraId="6556A68A">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1.其他支出(类)彩票公益金安排的支出(款)用于社会福利的彩票公益金支出(项):支出决算数为126.78万元，比上年决算减少24.71万元，下降16.31%,主要原因是：本年孤残儿童护理补贴项目资金较上年减少。</w:t>
      </w:r>
    </w:p>
    <w:p w14:paraId="15C1FC80">
      <w:pPr>
        <w:spacing w:line="640" w:lineRule="exact"/>
        <w:ind w:firstLine="640"/>
        <w:jc w:val="both"/>
        <w:outlineLvl w:val="2"/>
      </w:pPr>
      <w:r>
        <w:rPr>
          <w:rFonts w:ascii="黑体" w:hAnsi="黑体" w:eastAsia="黑体"/>
          <w:sz w:val="32"/>
        </w:rPr>
        <w:t>八、国有资本经营预算财政拨款收入支出决算情况说明</w:t>
      </w:r>
    </w:p>
    <w:p w14:paraId="2C3AD62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7C2D7A6">
      <w:pPr>
        <w:spacing w:line="640" w:lineRule="exact"/>
        <w:ind w:firstLine="640"/>
        <w:jc w:val="both"/>
        <w:outlineLvl w:val="2"/>
      </w:pPr>
      <w:r>
        <w:rPr>
          <w:rFonts w:ascii="黑体" w:hAnsi="黑体" w:eastAsia="黑体"/>
          <w:sz w:val="32"/>
        </w:rPr>
        <w:t>九、财政拨款“三公”经费支出决算情况说明</w:t>
      </w:r>
    </w:p>
    <w:p w14:paraId="58E0251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1DB57AA">
      <w:pPr>
        <w:spacing w:line="580" w:lineRule="exact"/>
        <w:ind w:firstLine="640"/>
        <w:jc w:val="both"/>
      </w:pPr>
      <w:r>
        <w:rPr>
          <w:rFonts w:ascii="仿宋_GB2312" w:hAnsi="仿宋_GB2312" w:eastAsia="仿宋_GB2312"/>
          <w:b/>
          <w:sz w:val="32"/>
        </w:rPr>
        <w:t>具体情况如下：</w:t>
      </w:r>
    </w:p>
    <w:p w14:paraId="39D897B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111A92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54CD14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3E7423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C56B8BB">
      <w:pPr>
        <w:spacing w:line="640" w:lineRule="exact"/>
        <w:ind w:firstLine="640"/>
        <w:jc w:val="both"/>
        <w:outlineLvl w:val="2"/>
      </w:pPr>
      <w:r>
        <w:rPr>
          <w:rFonts w:ascii="黑体" w:hAnsi="黑体" w:eastAsia="黑体"/>
          <w:sz w:val="32"/>
        </w:rPr>
        <w:t>十、其他重要事项的情况说明</w:t>
      </w:r>
    </w:p>
    <w:p w14:paraId="6761D51E">
      <w:pPr>
        <w:spacing w:line="640" w:lineRule="exact"/>
        <w:ind w:firstLine="640"/>
        <w:jc w:val="both"/>
        <w:outlineLvl w:val="3"/>
      </w:pPr>
      <w:r>
        <w:rPr>
          <w:rFonts w:ascii="楷体_GB2312" w:hAnsi="楷体_GB2312" w:eastAsia="楷体_GB2312"/>
          <w:b/>
          <w:sz w:val="32"/>
        </w:rPr>
        <w:t>（一）机关运行经费及公用经费支出情况</w:t>
      </w:r>
    </w:p>
    <w:p w14:paraId="77EDB330">
      <w:pPr>
        <w:spacing w:line="580" w:lineRule="exact"/>
        <w:ind w:firstLine="640"/>
        <w:jc w:val="both"/>
      </w:pPr>
      <w:r>
        <w:rPr>
          <w:rFonts w:ascii="仿宋_GB2312" w:hAnsi="仿宋_GB2312" w:eastAsia="仿宋_GB2312"/>
          <w:b w:val="0"/>
          <w:sz w:val="32"/>
        </w:rPr>
        <w:t>2024年度洛浦县儿童福利中心（事业单位）公用经费支出0.44万元，比上年减少0.08万元，下降15.38%，主要原因是：严控经费支出，厉行节约，减少经费支出。</w:t>
      </w:r>
    </w:p>
    <w:p w14:paraId="7DC32830">
      <w:pPr>
        <w:spacing w:line="640" w:lineRule="exact"/>
        <w:ind w:firstLine="640"/>
        <w:jc w:val="both"/>
        <w:outlineLvl w:val="3"/>
      </w:pPr>
      <w:r>
        <w:rPr>
          <w:rFonts w:ascii="楷体_GB2312" w:hAnsi="楷体_GB2312" w:eastAsia="楷体_GB2312"/>
          <w:b/>
          <w:sz w:val="32"/>
        </w:rPr>
        <w:t>（二）政府采购情况</w:t>
      </w:r>
    </w:p>
    <w:p w14:paraId="3C4AF1CE">
      <w:pPr>
        <w:spacing w:line="580" w:lineRule="exact"/>
        <w:ind w:firstLine="640"/>
        <w:jc w:val="both"/>
      </w:pPr>
      <w:r>
        <w:rPr>
          <w:rFonts w:ascii="仿宋_GB2312" w:hAnsi="仿宋_GB2312" w:eastAsia="仿宋_GB2312"/>
          <w:b w:val="0"/>
          <w:sz w:val="32"/>
        </w:rPr>
        <w:t>2024年度政府采购支出总额507.59万元，其中：政府采购货物支出479.13万元、政府采购工程支出0.00万元、政府采购服务支出28.46万元。</w:t>
      </w:r>
    </w:p>
    <w:p w14:paraId="38D4136C">
      <w:pPr>
        <w:spacing w:line="580" w:lineRule="exact"/>
        <w:ind w:firstLine="640"/>
        <w:jc w:val="both"/>
      </w:pPr>
      <w:r>
        <w:rPr>
          <w:rFonts w:ascii="仿宋_GB2312" w:hAnsi="仿宋_GB2312" w:eastAsia="仿宋_GB2312"/>
          <w:b w:val="0"/>
          <w:sz w:val="32"/>
        </w:rPr>
        <w:t>授予中小企业合同金额507.59万元，占政府采购支出总额的100.00%，其中：授予小微企业合同金额477.20万元，占政府采购支出总额的94.01%。</w:t>
      </w:r>
    </w:p>
    <w:p w14:paraId="4B3A4224">
      <w:pPr>
        <w:spacing w:line="640" w:lineRule="exact"/>
        <w:ind w:firstLine="640"/>
        <w:jc w:val="both"/>
        <w:outlineLvl w:val="3"/>
      </w:pPr>
      <w:r>
        <w:rPr>
          <w:rFonts w:ascii="楷体_GB2312" w:hAnsi="楷体_GB2312" w:eastAsia="楷体_GB2312"/>
          <w:b/>
          <w:sz w:val="32"/>
        </w:rPr>
        <w:t>（三）国有资产占用情况说明</w:t>
      </w:r>
    </w:p>
    <w:p w14:paraId="42FD4B84">
      <w:pPr>
        <w:spacing w:line="580" w:lineRule="exact"/>
        <w:ind w:firstLine="640"/>
        <w:jc w:val="both"/>
      </w:pPr>
      <w:r>
        <w:rPr>
          <w:rFonts w:ascii="仿宋_GB2312" w:hAnsi="仿宋_GB2312" w:eastAsia="仿宋_GB2312"/>
          <w:b w:val="0"/>
          <w:sz w:val="32"/>
        </w:rPr>
        <w:t>截至2024年12月31日，房屋4,165.00平方米，价值499.55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8754115">
      <w:pPr>
        <w:spacing w:line="640" w:lineRule="exact"/>
        <w:ind w:firstLine="640"/>
        <w:jc w:val="both"/>
        <w:outlineLvl w:val="2"/>
      </w:pPr>
      <w:r>
        <w:rPr>
          <w:rFonts w:ascii="黑体" w:hAnsi="黑体" w:eastAsia="黑体"/>
          <w:sz w:val="32"/>
        </w:rPr>
        <w:t>十一、预算绩效的情况说明</w:t>
      </w:r>
    </w:p>
    <w:p w14:paraId="47FE41B6">
      <w:pPr>
        <w:spacing w:line="580" w:lineRule="exact"/>
        <w:ind w:firstLine="640"/>
        <w:jc w:val="both"/>
      </w:pPr>
      <w:r>
        <w:rPr>
          <w:rFonts w:hint="eastAsia" w:ascii="仿宋_GB2312" w:hAnsi="仿宋_GB2312" w:eastAsia="仿宋_GB2312"/>
          <w:b w:val="0"/>
          <w:sz w:val="32"/>
        </w:rPr>
        <w:t>根据预算绩效管理要求，本单位2024年度预算绩效管理形成整体支出绩效自评表1个，全年预算总额842.72万元，实际执行总额842.72万元；预算绩效评价项目</w:t>
      </w:r>
      <w:r>
        <w:rPr>
          <w:rFonts w:hint="eastAsia" w:ascii="仿宋_GB2312" w:hAnsi="仿宋_GB2312" w:eastAsia="仿宋_GB2312"/>
          <w:b w:val="0"/>
          <w:sz w:val="32"/>
          <w:lang w:val="en-US" w:eastAsia="zh-CN"/>
        </w:rPr>
        <w:t>7</w:t>
      </w:r>
      <w:r>
        <w:rPr>
          <w:rFonts w:hint="eastAsia" w:ascii="仿宋_GB2312" w:hAnsi="仿宋_GB2312" w:eastAsia="仿宋_GB2312"/>
          <w:b w:val="0"/>
          <w:sz w:val="32"/>
        </w:rPr>
        <w:t>个，全年预算数949.77万元，全年执行数949.77万元。</w:t>
      </w:r>
      <w:r>
        <w:rPr>
          <w:rFonts w:ascii="仿宋_GB2312" w:hAnsi="仿宋_GB2312" w:eastAsia="仿宋_GB2312"/>
          <w:b w:val="0"/>
          <w:sz w:val="32"/>
        </w:rPr>
        <w:t>预算绩效管理取得的成效：项目实施效果较好的原因主要是管理制度完善、责任落实到位，跟踪考核机制完善且运行有效，在项目实施过程中创新管理办法，使项目取得了良好的效果。发现的问题及原因：目标设定科学性及评价存在难，对于目标设定需要分科室部门分解，汇总后制定整体目标，如何科学整合全单位绩效目标比较困难；目标设定后如何科学设定考核评价标准，特别是对于不能量化的目标如何评价。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开展提供帮助。具体附项目支出绩效自评表和评价报告。</w:t>
      </w:r>
    </w:p>
    <w:p w14:paraId="31B0D18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D924DC6">
        <w:tblPrEx>
          <w:tblCellMar>
            <w:top w:w="0" w:type="dxa"/>
            <w:left w:w="108" w:type="dxa"/>
            <w:bottom w:w="0" w:type="dxa"/>
            <w:right w:w="108" w:type="dxa"/>
          </w:tblCellMar>
        </w:tblPrEx>
        <w:tc>
          <w:tcPr>
            <w:tcW w:w="8847" w:type="dxa"/>
            <w:gridSpan w:val="9"/>
            <w:vAlign w:val="center"/>
          </w:tcPr>
          <w:p w14:paraId="081D6D38">
            <w:pPr>
              <w:jc w:val="center"/>
            </w:pPr>
            <w:r>
              <w:rPr>
                <w:rFonts w:ascii="宋体" w:hAnsi="宋体" w:eastAsia="宋体"/>
                <w:sz w:val="24"/>
              </w:rPr>
              <w:t>项目支出绩效自评表</w:t>
            </w:r>
          </w:p>
        </w:tc>
      </w:tr>
      <w:tr w14:paraId="198B4CD5">
        <w:tblPrEx>
          <w:tblCellMar>
            <w:top w:w="0" w:type="dxa"/>
            <w:left w:w="108" w:type="dxa"/>
            <w:bottom w:w="0" w:type="dxa"/>
            <w:right w:w="108" w:type="dxa"/>
          </w:tblCellMar>
        </w:tblPrEx>
        <w:tc>
          <w:tcPr>
            <w:tcW w:w="8847" w:type="dxa"/>
            <w:gridSpan w:val="9"/>
            <w:vAlign w:val="center"/>
          </w:tcPr>
          <w:p w14:paraId="3231E292">
            <w:pPr>
              <w:jc w:val="center"/>
            </w:pPr>
            <w:r>
              <w:rPr>
                <w:rFonts w:ascii="宋体" w:hAnsi="宋体" w:eastAsia="宋体"/>
                <w:sz w:val="24"/>
              </w:rPr>
              <w:t>(2024年度)</w:t>
            </w:r>
          </w:p>
        </w:tc>
      </w:tr>
      <w:tr w14:paraId="47B11F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46D3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ED43235">
            <w:pPr>
              <w:jc w:val="center"/>
            </w:pPr>
            <w:r>
              <w:rPr>
                <w:rFonts w:ascii="宋体" w:hAnsi="宋体" w:eastAsia="宋体"/>
                <w:sz w:val="16"/>
              </w:rPr>
              <w:t>2024年固定资产处置涉税项目-洛财记字</w:t>
            </w:r>
            <w:r>
              <w:rPr>
                <w:rFonts w:hint="eastAsia" w:ascii="宋体" w:hAnsi="宋体"/>
                <w:sz w:val="16"/>
                <w:lang w:eastAsia="zh-CN"/>
              </w:rPr>
              <w:t>〔2024〕9号</w:t>
            </w:r>
          </w:p>
        </w:tc>
      </w:tr>
      <w:tr w14:paraId="7107C9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5423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434D88">
            <w:pPr>
              <w:jc w:val="center"/>
            </w:pPr>
            <w:r>
              <w:rPr>
                <w:rFonts w:ascii="宋体" w:hAnsi="宋体" w:eastAsia="宋体"/>
                <w:sz w:val="16"/>
              </w:rPr>
              <w:t>洛浦县儿童福利中心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10E1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452B7E">
            <w:pPr>
              <w:jc w:val="center"/>
            </w:pPr>
            <w:r>
              <w:rPr>
                <w:rFonts w:ascii="宋体" w:hAnsi="宋体" w:eastAsia="宋体"/>
                <w:sz w:val="16"/>
              </w:rPr>
              <w:t>洛浦县儿童福利中心</w:t>
            </w:r>
          </w:p>
        </w:tc>
      </w:tr>
      <w:tr w14:paraId="6B4E9A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AF0B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C309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3EF4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4DDE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0564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2A57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4B84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2D874">
            <w:pPr>
              <w:jc w:val="center"/>
            </w:pPr>
            <w:r>
              <w:rPr>
                <w:rFonts w:ascii="宋体" w:hAnsi="宋体" w:eastAsia="宋体"/>
                <w:sz w:val="16"/>
              </w:rPr>
              <w:t>得分</w:t>
            </w:r>
          </w:p>
        </w:tc>
      </w:tr>
      <w:tr w14:paraId="15345E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5213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641A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8D251">
            <w:pPr>
              <w:jc w:val="center"/>
            </w:pPr>
            <w:r>
              <w:rPr>
                <w:rFonts w:ascii="宋体" w:hAnsi="宋体" w:eastAsia="宋体"/>
                <w:sz w:val="16"/>
              </w:rPr>
              <w:t>222.60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F67FE">
            <w:pPr>
              <w:jc w:val="center"/>
            </w:pPr>
            <w:r>
              <w:rPr>
                <w:rFonts w:ascii="宋体" w:hAnsi="宋体" w:eastAsia="宋体"/>
                <w:sz w:val="16"/>
              </w:rPr>
              <w:t>222.60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FE364">
            <w:pPr>
              <w:jc w:val="center"/>
            </w:pPr>
            <w:r>
              <w:rPr>
                <w:rFonts w:ascii="宋体" w:hAnsi="宋体" w:eastAsia="宋体"/>
                <w:sz w:val="16"/>
              </w:rPr>
              <w:t>222.60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FB6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5ACE8">
            <w:pPr>
              <w:jc w:val="center"/>
            </w:pPr>
            <w:r>
              <w:rPr>
                <w:rFonts w:ascii="宋体" w:hAnsi="宋体" w:eastAsia="宋体"/>
                <w:sz w:val="16"/>
              </w:rPr>
              <w:t>99.99%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3C7EF">
            <w:pPr>
              <w:jc w:val="center"/>
            </w:pPr>
            <w:r>
              <w:rPr>
                <w:rFonts w:ascii="宋体" w:hAnsi="宋体" w:eastAsia="宋体"/>
                <w:sz w:val="16"/>
              </w:rPr>
              <w:t>10.00</w:t>
            </w:r>
          </w:p>
        </w:tc>
      </w:tr>
      <w:tr w14:paraId="0B3301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0F3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6731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DBC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614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540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771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973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80591">
            <w:pPr>
              <w:jc w:val="center"/>
            </w:pPr>
            <w:r>
              <w:rPr>
                <w:rFonts w:ascii="宋体" w:hAnsi="宋体" w:eastAsia="宋体"/>
                <w:sz w:val="16"/>
              </w:rPr>
              <w:t>—</w:t>
            </w:r>
          </w:p>
        </w:tc>
      </w:tr>
      <w:tr w14:paraId="3F4556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74A7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081F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C90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E18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D7F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F20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BA3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CDED8">
            <w:pPr>
              <w:jc w:val="center"/>
            </w:pPr>
            <w:r>
              <w:rPr>
                <w:rFonts w:ascii="宋体" w:hAnsi="宋体" w:eastAsia="宋体"/>
                <w:sz w:val="16"/>
              </w:rPr>
              <w:t>—</w:t>
            </w:r>
          </w:p>
        </w:tc>
      </w:tr>
      <w:tr w14:paraId="04BD40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E85F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A60F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CAAFE">
            <w:pPr>
              <w:jc w:val="center"/>
            </w:pPr>
            <w:r>
              <w:rPr>
                <w:rFonts w:ascii="宋体" w:hAnsi="宋体" w:eastAsia="宋体"/>
                <w:sz w:val="16"/>
              </w:rPr>
              <w:t>222.60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789D1">
            <w:pPr>
              <w:jc w:val="center"/>
            </w:pPr>
            <w:r>
              <w:rPr>
                <w:rFonts w:ascii="宋体" w:hAnsi="宋体" w:eastAsia="宋体"/>
                <w:sz w:val="16"/>
              </w:rPr>
              <w:t>222.60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64A5A">
            <w:pPr>
              <w:jc w:val="center"/>
            </w:pPr>
            <w:r>
              <w:rPr>
                <w:rFonts w:ascii="宋体" w:hAnsi="宋体" w:eastAsia="宋体"/>
                <w:sz w:val="16"/>
              </w:rPr>
              <w:t>222.60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AC9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B2E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C1F1D">
            <w:pPr>
              <w:jc w:val="center"/>
            </w:pPr>
            <w:r>
              <w:rPr>
                <w:rFonts w:ascii="宋体" w:hAnsi="宋体" w:eastAsia="宋体"/>
                <w:sz w:val="16"/>
              </w:rPr>
              <w:t>—</w:t>
            </w:r>
          </w:p>
        </w:tc>
      </w:tr>
      <w:tr w14:paraId="49BD697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E4F9A">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AED79A">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ECFDED">
            <w:pPr>
              <w:jc w:val="center"/>
            </w:pPr>
            <w:r>
              <w:rPr>
                <w:rFonts w:ascii="宋体" w:hAnsi="宋体" w:eastAsia="宋体"/>
                <w:sz w:val="16"/>
              </w:rPr>
              <w:t>实际完成情况</w:t>
            </w:r>
          </w:p>
        </w:tc>
      </w:tr>
      <w:tr w14:paraId="79DB3E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D19E15"/>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9F949D">
            <w:pPr>
              <w:jc w:val="both"/>
            </w:pPr>
            <w:r>
              <w:rPr>
                <w:rFonts w:ascii="宋体" w:hAnsi="宋体" w:eastAsia="宋体"/>
                <w:sz w:val="16"/>
              </w:rPr>
              <w:t>根据《关于下达2024年中央财政困难群众一次性困难补助资金预算的通知》（和地财社【2024年】28号）、（洛财社</w:t>
            </w:r>
            <w:r>
              <w:rPr>
                <w:rFonts w:hint="eastAsia" w:ascii="宋体" w:hAnsi="宋体"/>
                <w:sz w:val="16"/>
                <w:lang w:eastAsia="zh-CN"/>
              </w:rPr>
              <w:t>〔2024〕53号</w:t>
            </w:r>
            <w:r>
              <w:rPr>
                <w:rFonts w:ascii="宋体" w:hAnsi="宋体" w:eastAsia="宋体"/>
                <w:sz w:val="16"/>
              </w:rPr>
              <w:t>）文件用于为洛浦县孤儿，事实无人抚养儿童以及刚性支出困难等困难群众发放一次性补助金。通过项目实施促进社会和谐稳定发展，全面做好兜底保障工作。</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CDB69E">
            <w:pPr>
              <w:jc w:val="both"/>
            </w:pPr>
            <w:r>
              <w:rPr>
                <w:rFonts w:ascii="宋体" w:hAnsi="宋体" w:eastAsia="宋体"/>
                <w:sz w:val="16"/>
              </w:rPr>
              <w:t>根据《关于下达2024年中央财政困难群众一次性困难补助资金预算的通知》（和地财社【2024年】28号）、（洛财社</w:t>
            </w:r>
            <w:r>
              <w:rPr>
                <w:rFonts w:hint="eastAsia" w:ascii="宋体" w:hAnsi="宋体"/>
                <w:sz w:val="16"/>
                <w:lang w:eastAsia="zh-CN"/>
              </w:rPr>
              <w:t>〔2024〕53号</w:t>
            </w:r>
            <w:r>
              <w:rPr>
                <w:rFonts w:ascii="宋体" w:hAnsi="宋体" w:eastAsia="宋体"/>
                <w:sz w:val="16"/>
              </w:rPr>
              <w:t>）文件用于为洛浦县孤儿，事实无人抚养儿童以及刚性支出困难等困难群众发放一次性补助金。通过项目实施促进社会和谐稳定发展，全面做好兜底保障工作。</w:t>
            </w:r>
          </w:p>
        </w:tc>
      </w:tr>
      <w:tr w14:paraId="050E14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3D358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602A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9263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DE20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E0FA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2C79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83D3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63F2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D0EA1">
            <w:pPr>
              <w:jc w:val="center"/>
            </w:pPr>
            <w:r>
              <w:rPr>
                <w:rFonts w:ascii="宋体" w:hAnsi="宋体" w:eastAsia="宋体"/>
                <w:sz w:val="16"/>
              </w:rPr>
              <w:t>偏差原因分析及改进措施</w:t>
            </w:r>
          </w:p>
        </w:tc>
      </w:tr>
      <w:tr w14:paraId="45A81C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ED74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DD3B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35FA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8DE39">
            <w:pPr>
              <w:jc w:val="center"/>
            </w:pPr>
            <w:r>
              <w:rPr>
                <w:rFonts w:ascii="宋体" w:hAnsi="宋体" w:eastAsia="宋体"/>
                <w:sz w:val="16"/>
              </w:rPr>
              <w:t>处置固定资产数量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5AC1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E000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DA89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AF2B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5A2AD">
            <w:pPr>
              <w:jc w:val="center"/>
            </w:pPr>
          </w:p>
        </w:tc>
      </w:tr>
      <w:tr w14:paraId="03F9D6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3F08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082D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A343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C861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60C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5B7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394D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A414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DE9F3">
            <w:pPr>
              <w:jc w:val="center"/>
            </w:pPr>
          </w:p>
        </w:tc>
      </w:tr>
      <w:tr w14:paraId="48C696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0BB4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C094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35D6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C535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AD8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F16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C18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0C1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7484E">
            <w:pPr>
              <w:jc w:val="center"/>
            </w:pPr>
          </w:p>
        </w:tc>
      </w:tr>
      <w:tr w14:paraId="04A2B0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07FD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6C48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29DF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243AB">
            <w:pPr>
              <w:jc w:val="center"/>
            </w:pPr>
            <w:r>
              <w:rPr>
                <w:rFonts w:ascii="宋体" w:hAnsi="宋体" w:eastAsia="宋体"/>
                <w:sz w:val="16"/>
              </w:rPr>
              <w:t>总缴纳税额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59A23">
            <w:pPr>
              <w:jc w:val="center"/>
            </w:pPr>
            <w:r>
              <w:rPr>
                <w:rFonts w:ascii="宋体" w:hAnsi="宋体" w:eastAsia="宋体"/>
                <w:sz w:val="16"/>
              </w:rPr>
              <w:t>≤222.596万元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31256">
            <w:pPr>
              <w:jc w:val="center"/>
            </w:pPr>
            <w:r>
              <w:rPr>
                <w:rFonts w:ascii="宋体" w:hAnsi="宋体" w:eastAsia="宋体"/>
                <w:sz w:val="16"/>
              </w:rPr>
              <w:t>222.596万元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0B2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107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1FEA1">
            <w:pPr>
              <w:jc w:val="center"/>
            </w:pPr>
          </w:p>
        </w:tc>
      </w:tr>
      <w:tr w14:paraId="7C6A49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0C7C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EEFD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030E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6A146">
            <w:pPr>
              <w:jc w:val="center"/>
            </w:pPr>
            <w:r>
              <w:rPr>
                <w:rFonts w:ascii="宋体" w:hAnsi="宋体" w:eastAsia="宋体"/>
                <w:sz w:val="16"/>
              </w:rPr>
              <w:t>提高固定资产使用效率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BB280">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4D9D2">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42A3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D91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523F7">
            <w:pPr>
              <w:jc w:val="center"/>
            </w:pPr>
          </w:p>
        </w:tc>
      </w:tr>
      <w:tr w14:paraId="576913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5240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7536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D62D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60DBA">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9E5F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6FFE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6B0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611F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C2AE6">
            <w:pPr>
              <w:jc w:val="center"/>
            </w:pPr>
          </w:p>
        </w:tc>
      </w:tr>
      <w:tr w14:paraId="0DAF713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F06A2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8EE15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120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5DAC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E1BD2CF"/>
        </w:tc>
      </w:tr>
    </w:tbl>
    <w:p w14:paraId="615849A1">
      <w:r>
        <w:br w:type="page"/>
      </w:r>
    </w:p>
    <w:p w14:paraId="6C8F0C93">
      <w:pPr>
        <w:spacing w:line="640" w:lineRule="exact"/>
        <w:ind w:firstLine="640"/>
        <w:jc w:val="both"/>
        <w:outlineLvl w:val="2"/>
      </w:pPr>
      <w:r>
        <w:rPr>
          <w:rFonts w:ascii="黑体" w:hAnsi="黑体" w:eastAsia="黑体"/>
          <w:sz w:val="32"/>
        </w:rPr>
        <w:t>十二、其他需说明的事项</w:t>
      </w:r>
    </w:p>
    <w:p w14:paraId="37A44905">
      <w:pPr>
        <w:spacing w:line="580" w:lineRule="exact"/>
        <w:ind w:firstLine="640"/>
        <w:jc w:val="both"/>
      </w:pPr>
      <w:r>
        <w:rPr>
          <w:rFonts w:ascii="仿宋_GB2312" w:hAnsi="仿宋_GB2312" w:eastAsia="仿宋_GB2312"/>
          <w:b w:val="0"/>
          <w:sz w:val="32"/>
        </w:rPr>
        <w:t>本年度本单位整体绩效自评表不予公开。</w:t>
      </w:r>
    </w:p>
    <w:p w14:paraId="328E99F9">
      <w:pPr>
        <w:spacing w:line="580" w:lineRule="exact"/>
        <w:ind w:firstLine="640"/>
        <w:jc w:val="both"/>
      </w:pPr>
      <w:r>
        <w:rPr>
          <w:rFonts w:ascii="仿宋_GB2312" w:hAnsi="仿宋_GB2312" w:eastAsia="仿宋_GB2312"/>
          <w:b w:val="0"/>
          <w:sz w:val="32"/>
        </w:rPr>
        <w:t>本年本单位SM项目6个，全年预算数727.17万元，全年执行数727.17万元。</w:t>
      </w:r>
    </w:p>
    <w:p w14:paraId="3A834ACA">
      <w:r>
        <w:br w:type="page"/>
      </w:r>
    </w:p>
    <w:p w14:paraId="1C2D2D9F">
      <w:pPr>
        <w:spacing w:line="240" w:lineRule="auto"/>
        <w:jc w:val="center"/>
        <w:outlineLvl w:val="1"/>
      </w:pPr>
      <w:r>
        <w:rPr>
          <w:rFonts w:ascii="黑体" w:hAnsi="黑体" w:eastAsia="黑体"/>
          <w:sz w:val="32"/>
        </w:rPr>
        <w:t>第三部分 专业名词解释</w:t>
      </w:r>
    </w:p>
    <w:p w14:paraId="5E550B3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CA022F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F4985B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917D05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61FCEB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5CB375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36A088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4B93CB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C72855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53DD6E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2AF857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CCB2EE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06EC7E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4E62C8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CEA316A">
      <w:r>
        <w:br w:type="page"/>
      </w:r>
    </w:p>
    <w:p w14:paraId="25AC09CE">
      <w:pPr>
        <w:spacing w:line="240" w:lineRule="auto"/>
        <w:jc w:val="center"/>
        <w:outlineLvl w:val="1"/>
      </w:pPr>
      <w:r>
        <w:rPr>
          <w:rFonts w:ascii="黑体" w:hAnsi="黑体" w:eastAsia="黑体"/>
          <w:sz w:val="32"/>
        </w:rPr>
        <w:t>第四部分 部门决算报表（见附表）</w:t>
      </w:r>
    </w:p>
    <w:p w14:paraId="60CE7EDE">
      <w:pPr>
        <w:spacing w:line="240" w:lineRule="auto"/>
        <w:ind w:firstLine="640"/>
        <w:jc w:val="both"/>
      </w:pPr>
      <w:r>
        <w:rPr>
          <w:rFonts w:ascii="仿宋_GB2312" w:hAnsi="仿宋_GB2312" w:eastAsia="仿宋_GB2312"/>
          <w:b w:val="0"/>
          <w:sz w:val="32"/>
        </w:rPr>
        <w:t>一、《收入支出决算总表》</w:t>
      </w:r>
    </w:p>
    <w:p w14:paraId="5764110B">
      <w:pPr>
        <w:spacing w:line="240" w:lineRule="auto"/>
        <w:ind w:firstLine="640"/>
        <w:jc w:val="both"/>
      </w:pPr>
      <w:r>
        <w:rPr>
          <w:rFonts w:ascii="仿宋_GB2312" w:hAnsi="仿宋_GB2312" w:eastAsia="仿宋_GB2312"/>
          <w:b w:val="0"/>
          <w:sz w:val="32"/>
        </w:rPr>
        <w:t>二、《收入决算表》</w:t>
      </w:r>
    </w:p>
    <w:p w14:paraId="1431E240">
      <w:pPr>
        <w:spacing w:line="240" w:lineRule="auto"/>
        <w:ind w:firstLine="640"/>
        <w:jc w:val="both"/>
      </w:pPr>
      <w:r>
        <w:rPr>
          <w:rFonts w:ascii="仿宋_GB2312" w:hAnsi="仿宋_GB2312" w:eastAsia="仿宋_GB2312"/>
          <w:b w:val="0"/>
          <w:sz w:val="32"/>
        </w:rPr>
        <w:t>三、《支出决算表》</w:t>
      </w:r>
    </w:p>
    <w:p w14:paraId="21F8DB51">
      <w:pPr>
        <w:spacing w:line="240" w:lineRule="auto"/>
        <w:ind w:firstLine="640"/>
        <w:jc w:val="both"/>
      </w:pPr>
      <w:r>
        <w:rPr>
          <w:rFonts w:ascii="仿宋_GB2312" w:hAnsi="仿宋_GB2312" w:eastAsia="仿宋_GB2312"/>
          <w:b w:val="0"/>
          <w:sz w:val="32"/>
        </w:rPr>
        <w:t>四、《财政拨款收入支出决算总表》</w:t>
      </w:r>
    </w:p>
    <w:p w14:paraId="04F62554">
      <w:pPr>
        <w:spacing w:line="240" w:lineRule="auto"/>
        <w:ind w:firstLine="640"/>
        <w:jc w:val="both"/>
      </w:pPr>
      <w:r>
        <w:rPr>
          <w:rFonts w:ascii="仿宋_GB2312" w:hAnsi="仿宋_GB2312" w:eastAsia="仿宋_GB2312"/>
          <w:b w:val="0"/>
          <w:sz w:val="32"/>
        </w:rPr>
        <w:t>五、《一般公共预算财政拨款支出决算表》</w:t>
      </w:r>
    </w:p>
    <w:p w14:paraId="5C6C356C">
      <w:pPr>
        <w:spacing w:line="240" w:lineRule="auto"/>
        <w:ind w:firstLine="640"/>
        <w:jc w:val="both"/>
      </w:pPr>
      <w:r>
        <w:rPr>
          <w:rFonts w:ascii="仿宋_GB2312" w:hAnsi="仿宋_GB2312" w:eastAsia="仿宋_GB2312"/>
          <w:b w:val="0"/>
          <w:sz w:val="32"/>
        </w:rPr>
        <w:t>六、《一般公共预算财政拨款基本支出决算表》</w:t>
      </w:r>
    </w:p>
    <w:p w14:paraId="068758FF">
      <w:pPr>
        <w:spacing w:line="240" w:lineRule="auto"/>
        <w:ind w:firstLine="640"/>
        <w:jc w:val="both"/>
      </w:pPr>
      <w:r>
        <w:rPr>
          <w:rFonts w:ascii="仿宋_GB2312" w:hAnsi="仿宋_GB2312" w:eastAsia="仿宋_GB2312"/>
          <w:b w:val="0"/>
          <w:sz w:val="32"/>
        </w:rPr>
        <w:t>七、《政府性基金预算财政拨款收入支出决算表》</w:t>
      </w:r>
    </w:p>
    <w:p w14:paraId="42EF22D0">
      <w:pPr>
        <w:spacing w:line="240" w:lineRule="auto"/>
        <w:ind w:firstLine="640"/>
        <w:jc w:val="both"/>
      </w:pPr>
      <w:r>
        <w:rPr>
          <w:rFonts w:ascii="仿宋_GB2312" w:hAnsi="仿宋_GB2312" w:eastAsia="仿宋_GB2312"/>
          <w:b w:val="0"/>
          <w:sz w:val="32"/>
        </w:rPr>
        <w:t>八、《国有资本经营预算财政拨款收入支出决算表》</w:t>
      </w:r>
    </w:p>
    <w:p w14:paraId="1CC10FAB">
      <w:pPr>
        <w:spacing w:line="240" w:lineRule="auto"/>
        <w:ind w:firstLine="640"/>
        <w:jc w:val="both"/>
      </w:pPr>
      <w:r>
        <w:rPr>
          <w:rFonts w:ascii="仿宋_GB2312" w:hAnsi="仿宋_GB2312" w:eastAsia="仿宋_GB2312"/>
          <w:b w:val="0"/>
          <w:sz w:val="32"/>
        </w:rPr>
        <w:t>九、《财政拨款“三公”经费支出决算表》</w:t>
      </w:r>
    </w:p>
    <w:p w14:paraId="18B32BF6">
      <w:pPr>
        <w:spacing w:line="240" w:lineRule="auto"/>
        <w:ind w:firstLine="640"/>
        <w:jc w:val="both"/>
      </w:pPr>
    </w:p>
    <w:p w14:paraId="214F6555">
      <w:pPr>
        <w:spacing w:line="240" w:lineRule="auto"/>
        <w:ind w:firstLine="640"/>
        <w:jc w:val="both"/>
      </w:pPr>
    </w:p>
    <w:p w14:paraId="02247EED">
      <w:pPr>
        <w:spacing w:line="240" w:lineRule="auto"/>
        <w:ind w:firstLine="640"/>
        <w:jc w:val="both"/>
      </w:pPr>
    </w:p>
    <w:p w14:paraId="2289518B">
      <w:pPr>
        <w:spacing w:line="240" w:lineRule="auto"/>
        <w:ind w:firstLine="640"/>
        <w:jc w:val="both"/>
      </w:pPr>
    </w:p>
    <w:p w14:paraId="42D7A43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4D059D"/>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4D10F97"/>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1119B5"/>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D107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6664</Words>
  <Characters>7609</Characters>
  <Lines>0</Lines>
  <Paragraphs>0</Paragraphs>
  <TotalTime>3</TotalTime>
  <ScaleCrop>false</ScaleCrop>
  <LinksUpToDate>false</LinksUpToDate>
  <CharactersWithSpaces>7628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2025-09-17T09:46:06Z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