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8BC4DA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洛浦县供销合作社联合社</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211ABAE">
      <w:r>
        <w:br w:type="page"/>
      </w:r>
    </w:p>
    <w:p w14:paraId="09524732">
      <w:pPr>
        <w:spacing w:line="640" w:lineRule="exact"/>
        <w:jc w:val="center"/>
        <w:outlineLvl w:val="1"/>
      </w:pPr>
      <w:r>
        <w:rPr>
          <w:rFonts w:ascii="黑体" w:hAnsi="黑体" w:eastAsia="黑体"/>
          <w:sz w:val="32"/>
        </w:rPr>
        <w:t>第一部分 单位概况</w:t>
      </w:r>
    </w:p>
    <w:p w14:paraId="676A0056">
      <w:pPr>
        <w:spacing w:line="640" w:lineRule="exact"/>
        <w:ind w:firstLine="640"/>
        <w:jc w:val="both"/>
        <w:outlineLvl w:val="2"/>
      </w:pPr>
      <w:r>
        <w:rPr>
          <w:rFonts w:ascii="黑体" w:hAnsi="黑体" w:eastAsia="黑体"/>
          <w:sz w:val="32"/>
        </w:rPr>
        <w:t>一、主要职能</w:t>
      </w:r>
    </w:p>
    <w:p w14:paraId="174D261F">
      <w:pPr>
        <w:spacing w:line="580" w:lineRule="exact"/>
        <w:ind w:firstLine="640"/>
        <w:jc w:val="both"/>
      </w:pPr>
      <w:r>
        <w:rPr>
          <w:rFonts w:ascii="仿宋_GB2312" w:hAnsi="仿宋_GB2312" w:eastAsia="仿宋_GB2312"/>
          <w:sz w:val="32"/>
        </w:rPr>
        <w:t>（1）贯彻落实党和国家有关供销合作社改革发展的方针、政策，组织指导全县供销合作社的改革，拟订发展建设规划和计划，维护农民社员和合作社的合法权益。</w:t>
      </w:r>
    </w:p>
    <w:p w14:paraId="70717E1F">
      <w:pPr>
        <w:spacing w:line="580" w:lineRule="exact"/>
        <w:ind w:firstLine="640"/>
        <w:jc w:val="both"/>
      </w:pPr>
      <w:r>
        <w:rPr>
          <w:rFonts w:ascii="仿宋_GB2312" w:hAnsi="仿宋_GB2312" w:eastAsia="仿宋_GB2312"/>
          <w:sz w:val="32"/>
        </w:rPr>
        <w:t>（2）负责组织推动全县农村现代流通体系、农产品经营服务体系、新型农资经营服务体系、再生资源回收利用体系、</w:t>
      </w:r>
      <w:r>
        <w:rPr>
          <w:rFonts w:hint="eastAsia" w:ascii="仿宋_GB2312" w:hAnsi="仿宋_GB2312" w:eastAsia="仿宋_GB2312"/>
          <w:sz w:val="32"/>
          <w:lang w:eastAsia="zh-CN"/>
        </w:rPr>
        <w:t>农村金融服务体系</w:t>
      </w:r>
      <w:r>
        <w:rPr>
          <w:rFonts w:ascii="仿宋_GB2312" w:hAnsi="仿宋_GB2312" w:eastAsia="仿宋_GB2312"/>
          <w:sz w:val="32"/>
        </w:rPr>
        <w:t>和农村社区服务中心建设。</w:t>
      </w:r>
    </w:p>
    <w:p w14:paraId="14959768">
      <w:pPr>
        <w:spacing w:line="580" w:lineRule="exact"/>
        <w:ind w:firstLine="640"/>
        <w:jc w:val="both"/>
      </w:pPr>
      <w:r>
        <w:rPr>
          <w:rFonts w:ascii="仿宋_GB2312" w:hAnsi="仿宋_GB2312" w:eastAsia="仿宋_GB2312"/>
          <w:sz w:val="32"/>
        </w:rPr>
        <w:t>（3）负责推进联合社、基层社和社有企业三位一体的供销合作社组织体系建设，组织推进全县供销合作社内部的联合与合作，推进“农超对接”，组织开展名优特等农产品的营销工作。</w:t>
      </w:r>
    </w:p>
    <w:p w14:paraId="7CAD2E58">
      <w:pPr>
        <w:spacing w:line="580" w:lineRule="exact"/>
        <w:ind w:firstLine="640"/>
        <w:jc w:val="both"/>
      </w:pPr>
      <w:r>
        <w:rPr>
          <w:rFonts w:ascii="仿宋_GB2312" w:hAnsi="仿宋_GB2312" w:eastAsia="仿宋_GB2312"/>
          <w:sz w:val="32"/>
        </w:rPr>
        <w:t>（4）领办和发展农民专业合作社，参与农民专业合作社示范社建设，推动相关行业协会、社团组织等为农民专业合作社服务平台建设。</w:t>
      </w:r>
    </w:p>
    <w:p w14:paraId="5EEDD1E9">
      <w:pPr>
        <w:spacing w:line="580" w:lineRule="exact"/>
        <w:ind w:firstLine="640"/>
        <w:jc w:val="both"/>
      </w:pPr>
      <w:r>
        <w:rPr>
          <w:rFonts w:ascii="仿宋_GB2312" w:hAnsi="仿宋_GB2312" w:eastAsia="仿宋_GB2312"/>
          <w:sz w:val="32"/>
        </w:rPr>
        <w:t>（5）制定全县供销合作人才队伍建设和教育培训规划并组织实施，参与农民技能的教育与培训。</w:t>
      </w:r>
    </w:p>
    <w:p w14:paraId="6BAA311B">
      <w:pPr>
        <w:spacing w:line="580" w:lineRule="exact"/>
        <w:ind w:firstLine="640"/>
        <w:jc w:val="both"/>
      </w:pPr>
      <w:r>
        <w:rPr>
          <w:rFonts w:ascii="仿宋_GB2312" w:hAnsi="仿宋_GB2312" w:eastAsia="仿宋_GB2312"/>
          <w:sz w:val="32"/>
        </w:rPr>
        <w:t>（6）监督、管理和运营本级社有资产，依法履行出资人职责，享有出资人权益，监督社有资产保值增值，发展壮大社有企业。</w:t>
      </w:r>
    </w:p>
    <w:p w14:paraId="0AC6ECDA">
      <w:pPr>
        <w:spacing w:line="580" w:lineRule="exact"/>
        <w:ind w:firstLine="640"/>
        <w:jc w:val="both"/>
      </w:pPr>
      <w:r>
        <w:rPr>
          <w:rFonts w:ascii="仿宋_GB2312" w:hAnsi="仿宋_GB2312" w:eastAsia="仿宋_GB2312"/>
          <w:sz w:val="32"/>
        </w:rPr>
        <w:t>（7）负责本联合社及联合社职责范围内的安全工作。</w:t>
      </w:r>
    </w:p>
    <w:p w14:paraId="4228ADAE">
      <w:pPr>
        <w:spacing w:line="580" w:lineRule="exact"/>
        <w:ind w:firstLine="640"/>
        <w:jc w:val="both"/>
      </w:pPr>
      <w:r>
        <w:rPr>
          <w:rFonts w:ascii="仿宋_GB2312" w:hAnsi="仿宋_GB2312" w:eastAsia="仿宋_GB2312"/>
          <w:sz w:val="32"/>
        </w:rPr>
        <w:t>（8）承办县委、县政府交办的其他事项。</w:t>
      </w:r>
    </w:p>
    <w:p w14:paraId="04BC4561">
      <w:pPr>
        <w:spacing w:line="640" w:lineRule="exact"/>
        <w:ind w:firstLine="640"/>
        <w:jc w:val="both"/>
        <w:outlineLvl w:val="2"/>
      </w:pPr>
      <w:r>
        <w:rPr>
          <w:rFonts w:ascii="黑体" w:hAnsi="黑体" w:eastAsia="黑体"/>
          <w:sz w:val="32"/>
        </w:rPr>
        <w:t>二、机构设置及人员情况</w:t>
      </w:r>
    </w:p>
    <w:p w14:paraId="69FAA9C3">
      <w:pPr>
        <w:spacing w:line="580" w:lineRule="exact"/>
        <w:ind w:firstLine="640"/>
        <w:jc w:val="both"/>
      </w:pPr>
      <w:r>
        <w:rPr>
          <w:rFonts w:ascii="仿宋_GB2312" w:hAnsi="仿宋_GB2312" w:eastAsia="仿宋_GB2312"/>
          <w:sz w:val="32"/>
        </w:rPr>
        <w:t>洛浦县供销合作社联合社2024年度，实有人数10人，其中：在职人员7人，增加0人；离休人员0人，增加0人；退休人员3人,减少1人。</w:t>
      </w:r>
    </w:p>
    <w:p w14:paraId="10C91E50">
      <w:pPr>
        <w:spacing w:line="580" w:lineRule="exact"/>
        <w:ind w:firstLine="640"/>
        <w:jc w:val="both"/>
      </w:pPr>
      <w:r>
        <w:rPr>
          <w:rFonts w:ascii="仿宋_GB2312" w:hAnsi="仿宋_GB2312" w:eastAsia="仿宋_GB2312"/>
          <w:sz w:val="32"/>
        </w:rPr>
        <w:t>洛浦县供销合作社联合社无下属预算单位，下设1个科室，分别是：综合办公室。</w:t>
      </w:r>
    </w:p>
    <w:p w14:paraId="7B82E67D">
      <w:r>
        <w:br w:type="page"/>
      </w:r>
    </w:p>
    <w:p w14:paraId="574A329E">
      <w:pPr>
        <w:spacing w:line="240" w:lineRule="auto"/>
        <w:jc w:val="center"/>
        <w:outlineLvl w:val="1"/>
      </w:pPr>
      <w:r>
        <w:rPr>
          <w:rFonts w:ascii="黑体" w:hAnsi="黑体" w:eastAsia="黑体"/>
          <w:sz w:val="32"/>
        </w:rPr>
        <w:t>第二部分 部门决算情况说明</w:t>
      </w:r>
    </w:p>
    <w:p w14:paraId="15C3DB6D">
      <w:pPr>
        <w:spacing w:line="640" w:lineRule="exact"/>
        <w:ind w:firstLine="640"/>
        <w:jc w:val="both"/>
        <w:outlineLvl w:val="2"/>
      </w:pPr>
      <w:r>
        <w:rPr>
          <w:rFonts w:ascii="黑体" w:hAnsi="黑体" w:eastAsia="黑体"/>
          <w:sz w:val="32"/>
        </w:rPr>
        <w:t>一、收入支出决算总体情况说明</w:t>
      </w:r>
    </w:p>
    <w:p w14:paraId="61485863">
      <w:pPr>
        <w:spacing w:line="580" w:lineRule="exact"/>
        <w:ind w:firstLine="640"/>
        <w:jc w:val="both"/>
      </w:pPr>
      <w:r>
        <w:rPr>
          <w:rFonts w:ascii="仿宋_GB2312" w:hAnsi="仿宋_GB2312" w:eastAsia="仿宋_GB2312"/>
          <w:b/>
          <w:sz w:val="32"/>
        </w:rPr>
        <w:t>2024年度收入总计901.85万元，</w:t>
      </w:r>
      <w:r>
        <w:rPr>
          <w:rFonts w:ascii="仿宋_GB2312" w:hAnsi="仿宋_GB2312" w:eastAsia="仿宋_GB2312"/>
          <w:b w:val="0"/>
          <w:sz w:val="32"/>
        </w:rPr>
        <w:t>其中：本年收入合计901.85万元，使用非财政拨款结余（含专用结余）0.00万元，年初结转和结余0.00万元。</w:t>
      </w:r>
    </w:p>
    <w:p w14:paraId="0627188B">
      <w:pPr>
        <w:spacing w:line="580" w:lineRule="exact"/>
        <w:ind w:firstLine="640"/>
        <w:jc w:val="both"/>
      </w:pPr>
      <w:r>
        <w:rPr>
          <w:rFonts w:ascii="仿宋_GB2312" w:hAnsi="仿宋_GB2312" w:eastAsia="仿宋_GB2312"/>
          <w:b/>
          <w:sz w:val="32"/>
        </w:rPr>
        <w:t>2024年度支出总计901.85万元，</w:t>
      </w:r>
      <w:r>
        <w:rPr>
          <w:rFonts w:ascii="仿宋_GB2312" w:hAnsi="仿宋_GB2312" w:eastAsia="仿宋_GB2312"/>
          <w:b w:val="0"/>
          <w:sz w:val="32"/>
        </w:rPr>
        <w:t>其中：本年支出合计901.85万元，结余分配0.00万元，年末结转和结余0.00万元。</w:t>
      </w:r>
    </w:p>
    <w:p w14:paraId="176CE4E0">
      <w:pPr>
        <w:spacing w:line="580" w:lineRule="exact"/>
        <w:ind w:firstLine="640"/>
        <w:jc w:val="both"/>
      </w:pPr>
      <w:r>
        <w:rPr>
          <w:rFonts w:ascii="仿宋_GB2312" w:hAnsi="仿宋_GB2312" w:eastAsia="仿宋_GB2312"/>
          <w:b w:val="0"/>
          <w:sz w:val="32"/>
        </w:rPr>
        <w:t>收入支出总体与上年相比，增加41.88万元，增长4.87%，主要原因是：本年增加解决“洛浦县鸭产业承包经营协议”纠纷诉讼费项目资金，洛浦县鸽产业提质增效强链补链融合发展项目资金，2024年中央农业主体能力提升资金。</w:t>
      </w:r>
    </w:p>
    <w:p w14:paraId="751F0CB0">
      <w:pPr>
        <w:spacing w:line="640" w:lineRule="exact"/>
        <w:ind w:firstLine="640"/>
        <w:jc w:val="both"/>
        <w:outlineLvl w:val="2"/>
      </w:pPr>
      <w:r>
        <w:rPr>
          <w:rFonts w:ascii="黑体" w:hAnsi="黑体" w:eastAsia="黑体"/>
          <w:sz w:val="32"/>
        </w:rPr>
        <w:t>二、收入决算情况说明</w:t>
      </w:r>
    </w:p>
    <w:p w14:paraId="7AB305D1">
      <w:pPr>
        <w:spacing w:line="580" w:lineRule="exact"/>
        <w:ind w:firstLine="640"/>
        <w:jc w:val="both"/>
      </w:pPr>
      <w:r>
        <w:rPr>
          <w:rFonts w:ascii="仿宋_GB2312" w:hAnsi="仿宋_GB2312" w:eastAsia="仿宋_GB2312"/>
          <w:b/>
          <w:sz w:val="32"/>
        </w:rPr>
        <w:t>本年收入901.85万元，</w:t>
      </w:r>
      <w:r>
        <w:rPr>
          <w:rFonts w:ascii="仿宋_GB2312" w:hAnsi="仿宋_GB2312" w:eastAsia="仿宋_GB2312"/>
          <w:b w:val="0"/>
          <w:sz w:val="32"/>
        </w:rPr>
        <w:t>其中：财政拨款收入901.85万元，占100.00%；上级补助收入0.00万元，占0.00%；事业收入0.00万元，占0.00%；经营收入0.00万元，占0.00%；附属单位上缴收入0.00万元，占0.00%；其他收入0.00万元，占0.00%。</w:t>
      </w:r>
    </w:p>
    <w:p w14:paraId="25233ECD">
      <w:pPr>
        <w:spacing w:line="640" w:lineRule="exact"/>
        <w:ind w:firstLine="640"/>
        <w:jc w:val="both"/>
        <w:outlineLvl w:val="2"/>
      </w:pPr>
      <w:r>
        <w:rPr>
          <w:rFonts w:ascii="黑体" w:hAnsi="黑体" w:eastAsia="黑体"/>
          <w:sz w:val="32"/>
        </w:rPr>
        <w:t>三、支出决算情况说明</w:t>
      </w:r>
    </w:p>
    <w:p w14:paraId="6BE5FBE6">
      <w:pPr>
        <w:spacing w:line="580" w:lineRule="exact"/>
        <w:ind w:firstLine="640"/>
        <w:jc w:val="both"/>
      </w:pPr>
      <w:r>
        <w:rPr>
          <w:rFonts w:ascii="仿宋_GB2312" w:hAnsi="仿宋_GB2312" w:eastAsia="仿宋_GB2312"/>
          <w:b/>
          <w:sz w:val="32"/>
        </w:rPr>
        <w:t>本年支出901.85万元，</w:t>
      </w:r>
      <w:r>
        <w:rPr>
          <w:rFonts w:ascii="仿宋_GB2312" w:hAnsi="仿宋_GB2312" w:eastAsia="仿宋_GB2312"/>
          <w:b w:val="0"/>
          <w:sz w:val="32"/>
        </w:rPr>
        <w:t>其中：基本支出137.61万元，占15.26%；项目支出764.24万元，占84.74%；上缴上级支出0.00万元，占0.00%；经营支出0.00万元，占0.00%；对附属单位补助支出0.00万元，占0.00%。</w:t>
      </w:r>
    </w:p>
    <w:p w14:paraId="1055EE87">
      <w:pPr>
        <w:spacing w:line="640" w:lineRule="exact"/>
        <w:ind w:firstLine="640"/>
        <w:jc w:val="both"/>
        <w:outlineLvl w:val="2"/>
      </w:pPr>
      <w:r>
        <w:rPr>
          <w:rFonts w:ascii="黑体" w:hAnsi="黑体" w:eastAsia="黑体"/>
          <w:sz w:val="32"/>
        </w:rPr>
        <w:t>四、财政拨款收入支出决算总体情况说明</w:t>
      </w:r>
    </w:p>
    <w:p w14:paraId="335D788A">
      <w:pPr>
        <w:spacing w:line="580" w:lineRule="exact"/>
        <w:ind w:firstLine="640"/>
        <w:jc w:val="both"/>
      </w:pPr>
      <w:r>
        <w:rPr>
          <w:rFonts w:ascii="仿宋_GB2312" w:hAnsi="仿宋_GB2312" w:eastAsia="仿宋_GB2312"/>
          <w:b/>
          <w:sz w:val="32"/>
        </w:rPr>
        <w:t>2024年度财政拨款收入总计901.85万元，</w:t>
      </w:r>
      <w:r>
        <w:rPr>
          <w:rFonts w:ascii="仿宋_GB2312" w:hAnsi="仿宋_GB2312" w:eastAsia="仿宋_GB2312"/>
          <w:b w:val="0"/>
          <w:sz w:val="32"/>
        </w:rPr>
        <w:t>其中：年初财政拨款结转和结余0.00万元，本年财政拨款收入901.85万元。</w:t>
      </w:r>
      <w:r>
        <w:rPr>
          <w:rFonts w:ascii="仿宋_GB2312" w:hAnsi="仿宋_GB2312" w:eastAsia="仿宋_GB2312"/>
          <w:b/>
          <w:sz w:val="32"/>
        </w:rPr>
        <w:t>财政拨款支出总计901.85万元，</w:t>
      </w:r>
      <w:r>
        <w:rPr>
          <w:rFonts w:ascii="仿宋_GB2312" w:hAnsi="仿宋_GB2312" w:eastAsia="仿宋_GB2312"/>
          <w:b w:val="0"/>
          <w:sz w:val="32"/>
        </w:rPr>
        <w:t>其中：年末财政拨款结转和结余0.00万元，本年财政拨款支出901.85万元。</w:t>
      </w:r>
    </w:p>
    <w:p w14:paraId="59C8313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增加56.88万元，增长6.73%，主要原因是：本年增加解决“洛浦县鸭产业承包经营协议”纠纷诉讼费项目资金，洛浦县鸽产业提质增效强链补链融合发展项目资金，2024年中央农业主体能力提升资金。</w:t>
      </w:r>
      <w:r>
        <w:rPr>
          <w:rFonts w:ascii="仿宋_GB2312" w:hAnsi="仿宋_GB2312" w:eastAsia="仿宋_GB2312"/>
          <w:b/>
          <w:sz w:val="32"/>
        </w:rPr>
        <w:t>与年初预算相比，</w:t>
      </w:r>
      <w:r>
        <w:rPr>
          <w:rFonts w:ascii="仿宋_GB2312" w:hAnsi="仿宋_GB2312" w:eastAsia="仿宋_GB2312"/>
          <w:b w:val="0"/>
          <w:sz w:val="32"/>
        </w:rPr>
        <w:t>年初预算数143.33万元，决算数901.85万元，预决算差异率529.21%，主要原因是：1.年中追加人员工资、社保、公积金基数调增部分资金，导致预决算存在差异。2.年中追加洛浦县鸽产业提质增效强链补链融合发展项目资金，导致预决算差异。</w:t>
      </w:r>
    </w:p>
    <w:p w14:paraId="4ED4AA55">
      <w:pPr>
        <w:spacing w:line="640" w:lineRule="exact"/>
        <w:ind w:firstLine="640"/>
        <w:jc w:val="both"/>
        <w:outlineLvl w:val="2"/>
      </w:pPr>
      <w:r>
        <w:rPr>
          <w:rFonts w:ascii="黑体" w:hAnsi="黑体" w:eastAsia="黑体"/>
          <w:sz w:val="32"/>
        </w:rPr>
        <w:t>五、一般公共预算财政拨款支出决算情况说明</w:t>
      </w:r>
    </w:p>
    <w:p w14:paraId="13E08EE7">
      <w:pPr>
        <w:spacing w:line="640" w:lineRule="exact"/>
        <w:ind w:firstLine="640"/>
        <w:jc w:val="both"/>
        <w:outlineLvl w:val="3"/>
      </w:pPr>
      <w:r>
        <w:rPr>
          <w:rFonts w:ascii="楷体_GB2312" w:hAnsi="楷体_GB2312" w:eastAsia="楷体_GB2312"/>
          <w:b/>
          <w:sz w:val="32"/>
        </w:rPr>
        <w:t>（一）一般公共预算财政拨款支出决算总体情况</w:t>
      </w:r>
    </w:p>
    <w:p w14:paraId="69D0D63F">
      <w:pPr>
        <w:spacing w:line="580" w:lineRule="exact"/>
        <w:ind w:firstLine="640"/>
        <w:jc w:val="both"/>
      </w:pPr>
      <w:r>
        <w:rPr>
          <w:rFonts w:ascii="仿宋_GB2312" w:hAnsi="仿宋_GB2312" w:eastAsia="仿宋_GB2312"/>
          <w:b/>
          <w:sz w:val="32"/>
        </w:rPr>
        <w:t>2024年度一般公共预算财政拨款支出901.85万元，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增加56.88万元，增长6.73%，主要原因是：本年增加解决“洛浦县鸭产业承包经营协议”纠纷诉讼费项目资金，洛浦县鸽产业提质增效强链补链融合发展项目资金，2024年中央农业主体能力提升资金。</w:t>
      </w:r>
      <w:r>
        <w:rPr>
          <w:rFonts w:ascii="仿宋_GB2312" w:hAnsi="仿宋_GB2312" w:eastAsia="仿宋_GB2312"/>
          <w:b/>
          <w:sz w:val="32"/>
        </w:rPr>
        <w:t>与年初预算相比,</w:t>
      </w:r>
      <w:r>
        <w:rPr>
          <w:rFonts w:ascii="仿宋_GB2312" w:hAnsi="仿宋_GB2312" w:eastAsia="仿宋_GB2312"/>
          <w:b w:val="0"/>
          <w:sz w:val="32"/>
        </w:rPr>
        <w:t>年初预算数143.33万元，决算数901.85万元，预决算差异率529.21%，主要原因是：1.年中追加人员工资、社保、公积金基数调增部分资金，导致预决算存在差异。2.年中追加洛浦县鸽产业提质增效强链补链融合发展项目资金，导致预决算差异。</w:t>
      </w:r>
    </w:p>
    <w:p w14:paraId="7314A81A">
      <w:pPr>
        <w:spacing w:line="640" w:lineRule="exact"/>
        <w:ind w:firstLine="640"/>
        <w:jc w:val="both"/>
        <w:outlineLvl w:val="3"/>
      </w:pPr>
      <w:r>
        <w:rPr>
          <w:rFonts w:ascii="楷体_GB2312" w:hAnsi="楷体_GB2312" w:eastAsia="楷体_GB2312"/>
          <w:b/>
          <w:sz w:val="32"/>
        </w:rPr>
        <w:t>（二）一般公共预算财政拨款支出决算结构情况</w:t>
      </w:r>
    </w:p>
    <w:p w14:paraId="2C19175F">
      <w:pPr>
        <w:spacing w:line="580" w:lineRule="exact"/>
        <w:ind w:firstLine="640"/>
        <w:jc w:val="both"/>
      </w:pPr>
      <w:r>
        <w:rPr>
          <w:rFonts w:ascii="仿宋_GB2312" w:hAnsi="仿宋_GB2312" w:eastAsia="仿宋_GB2312"/>
          <w:b w:val="0"/>
          <w:sz w:val="32"/>
        </w:rPr>
        <w:t>1.社会保障和就业支出(类)17.86万元,占1.98%。</w:t>
      </w:r>
    </w:p>
    <w:p w14:paraId="33B31819">
      <w:pPr>
        <w:spacing w:line="580" w:lineRule="exact"/>
        <w:ind w:firstLine="640"/>
        <w:jc w:val="both"/>
      </w:pPr>
      <w:r>
        <w:rPr>
          <w:rFonts w:ascii="仿宋_GB2312" w:hAnsi="仿宋_GB2312" w:eastAsia="仿宋_GB2312"/>
          <w:b w:val="0"/>
          <w:sz w:val="32"/>
        </w:rPr>
        <w:t>2.卫生健康支出(类)7.71万元,占0.85%。</w:t>
      </w:r>
    </w:p>
    <w:p w14:paraId="73BBD07D">
      <w:pPr>
        <w:spacing w:line="580" w:lineRule="exact"/>
        <w:ind w:firstLine="640"/>
        <w:jc w:val="both"/>
      </w:pPr>
      <w:r>
        <w:rPr>
          <w:rFonts w:ascii="仿宋_GB2312" w:hAnsi="仿宋_GB2312" w:eastAsia="仿宋_GB2312"/>
          <w:b w:val="0"/>
          <w:sz w:val="32"/>
        </w:rPr>
        <w:t>3.农林水支出(类)734.88万元,占81.49%。</w:t>
      </w:r>
    </w:p>
    <w:p w14:paraId="0DA30E54">
      <w:pPr>
        <w:spacing w:line="580" w:lineRule="exact"/>
        <w:ind w:firstLine="640"/>
        <w:jc w:val="both"/>
      </w:pPr>
      <w:r>
        <w:rPr>
          <w:rFonts w:ascii="仿宋_GB2312" w:hAnsi="仿宋_GB2312" w:eastAsia="仿宋_GB2312"/>
          <w:b w:val="0"/>
          <w:sz w:val="32"/>
        </w:rPr>
        <w:t>4.商业服务业等支出(类)128.41万元,占14.24%。</w:t>
      </w:r>
    </w:p>
    <w:p w14:paraId="4EB2C00F">
      <w:pPr>
        <w:spacing w:line="580" w:lineRule="exact"/>
        <w:ind w:firstLine="640"/>
        <w:jc w:val="both"/>
      </w:pPr>
      <w:r>
        <w:rPr>
          <w:rFonts w:ascii="仿宋_GB2312" w:hAnsi="仿宋_GB2312" w:eastAsia="仿宋_GB2312"/>
          <w:b w:val="0"/>
          <w:sz w:val="32"/>
        </w:rPr>
        <w:t>5.住房保障支出(类)10.11万元,占1.12%。</w:t>
      </w:r>
    </w:p>
    <w:p w14:paraId="2876AA21">
      <w:pPr>
        <w:spacing w:line="580" w:lineRule="exact"/>
        <w:ind w:firstLine="640"/>
        <w:jc w:val="both"/>
      </w:pPr>
      <w:r>
        <w:rPr>
          <w:rFonts w:ascii="仿宋_GB2312" w:hAnsi="仿宋_GB2312" w:eastAsia="仿宋_GB2312"/>
          <w:b w:val="0"/>
          <w:sz w:val="32"/>
        </w:rPr>
        <w:t>6.其他支出(类)2.87万元,占0.32%。</w:t>
      </w:r>
    </w:p>
    <w:p w14:paraId="25F0DC2C">
      <w:pPr>
        <w:spacing w:line="640" w:lineRule="exact"/>
        <w:ind w:firstLine="640"/>
        <w:jc w:val="both"/>
        <w:outlineLvl w:val="3"/>
      </w:pPr>
      <w:r>
        <w:rPr>
          <w:rFonts w:ascii="楷体_GB2312" w:hAnsi="楷体_GB2312" w:eastAsia="楷体_GB2312"/>
          <w:b/>
          <w:sz w:val="32"/>
        </w:rPr>
        <w:t>（三）一般公共预算财政拨款支出决算具体情况</w:t>
      </w:r>
    </w:p>
    <w:p w14:paraId="7F04CAF6">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4.43万元，比上年决算增加4.43万元，增长100.00%,主要原因是：本年功能科目调整，事业单位离退休上年度在主科目列支，本年单独列支，导致经费较上年增加。</w:t>
      </w:r>
    </w:p>
    <w:p w14:paraId="4891AE4D">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13.43万元，比上年决算增加1.43万元，增长11.92%,主要原因是：本年在职人员工资基数调增，养老缴费基数上涨，相应支出增加。</w:t>
      </w:r>
    </w:p>
    <w:p w14:paraId="5393F722">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3.社会保障和就业支出(类)行政事业单位养老支出(款)机关事业单位职业年金缴费支出(项):支出决算数为0.00万元，比上年决算减少7.45万元，下降100.00%,主要原因是：本年未安排职业年金缴费支出。</w:t>
      </w:r>
    </w:p>
    <w:p w14:paraId="2A002349">
      <w:pPr>
        <w:spacing w:line="580" w:lineRule="exact"/>
        <w:ind w:firstLine="640"/>
        <w:jc w:val="both"/>
      </w:pPr>
      <w:r>
        <w:rPr>
          <w:rFonts w:ascii="仿宋_GB2312" w:hAnsi="仿宋_GB2312" w:eastAsia="仿宋_GB2312"/>
          <w:b w:val="0"/>
          <w:sz w:val="32"/>
        </w:rPr>
        <w:t>4.卫生健康支出(类)行政事业单位医疗(款)事业单位医疗(项):支出决算数为5.38万元，比上年决算增加5.38万元，增长100.00%,主要原因是：本年功能科目调整，事业单位医疗支出上年度在主科目列支，本年单独列支，导致经费较上年增加。</w:t>
      </w:r>
    </w:p>
    <w:p w14:paraId="411E9116">
      <w:pPr>
        <w:spacing w:line="580" w:lineRule="exact"/>
        <w:ind w:firstLine="640"/>
        <w:jc w:val="both"/>
      </w:pPr>
      <w:r>
        <w:rPr>
          <w:rFonts w:ascii="仿宋_GB2312" w:hAnsi="仿宋_GB2312" w:eastAsia="仿宋_GB2312"/>
          <w:b w:val="0"/>
          <w:sz w:val="32"/>
        </w:rPr>
        <w:t>5.卫生健康支出(类)行政事业单位医疗(款)公务员医疗补助(项):支出决算数为2.33万元，比上年决算增加2.33万元，增长100.00%,主要原因是：本年功能科目调整，公务员医疗补助上年度在主科目列支，本年单独列支，导致经费较上年增加。</w:t>
      </w:r>
    </w:p>
    <w:p w14:paraId="461747FF">
      <w:pPr>
        <w:spacing w:line="580" w:lineRule="exact"/>
        <w:ind w:firstLine="640"/>
        <w:jc w:val="both"/>
      </w:pPr>
      <w:r>
        <w:rPr>
          <w:rFonts w:ascii="仿宋_GB2312" w:hAnsi="仿宋_GB2312" w:eastAsia="仿宋_GB2312"/>
          <w:b w:val="0"/>
          <w:sz w:val="32"/>
        </w:rPr>
        <w:t>6.农林水支出(类)农业农村(款)农村合作经济(项):支出决算数为12.00万元，比上年决算增加12.00万元，增长100.00%,主要原因是：本年新增2024年中央农业主体能力提升资金。</w:t>
      </w:r>
    </w:p>
    <w:p w14:paraId="6B47F84E">
      <w:pPr>
        <w:spacing w:line="580" w:lineRule="exact"/>
        <w:ind w:firstLine="640"/>
        <w:jc w:val="both"/>
      </w:pPr>
      <w:r>
        <w:rPr>
          <w:rFonts w:ascii="仿宋_GB2312" w:hAnsi="仿宋_GB2312" w:eastAsia="仿宋_GB2312"/>
          <w:b w:val="0"/>
          <w:sz w:val="32"/>
        </w:rPr>
        <w:t>7.农林水支出(类)</w:t>
      </w:r>
      <w:bookmarkStart w:id="0" w:name="_GoBack"/>
      <w:r>
        <w:rPr>
          <w:rFonts w:ascii="仿宋_GB2312" w:hAnsi="仿宋_GB2312" w:eastAsia="仿宋_GB2312"/>
          <w:b w:val="0"/>
          <w:sz w:val="32"/>
        </w:rPr>
        <w:t>巩固脱贫攻坚成果</w:t>
      </w:r>
      <w:bookmarkEnd w:id="0"/>
      <w:r>
        <w:rPr>
          <w:rFonts w:ascii="仿宋_GB2312" w:hAnsi="仿宋_GB2312" w:eastAsia="仿宋_GB2312"/>
          <w:b w:val="0"/>
          <w:sz w:val="32"/>
        </w:rPr>
        <w:t>衔接乡村振兴(款)生产发展(项):支出决算数为722.88万元，比上年决算增加56.58万元，增长8.49%,主要原因是：本年增加洛浦县鸽产业提质增效强链补链融合发展项目资金。</w:t>
      </w:r>
    </w:p>
    <w:p w14:paraId="0CCC932D">
      <w:pPr>
        <w:spacing w:line="580" w:lineRule="exact"/>
        <w:ind w:firstLine="640"/>
        <w:jc w:val="both"/>
      </w:pPr>
      <w:r>
        <w:rPr>
          <w:rFonts w:ascii="仿宋_GB2312" w:hAnsi="仿宋_GB2312" w:eastAsia="仿宋_GB2312"/>
          <w:b w:val="0"/>
          <w:sz w:val="32"/>
        </w:rPr>
        <w:t>8.商业服务业等支出(类)商业流通事务(款)事业运行(项):支出决算数为101.93万元，比上年决算减少33.76万元，下降24.88%,主要原因是：本年功能科目调整，事业单位医疗，事业单位离退休，公务员医疗补助，住房公积金上年度在主科目列支，本年单独列支，导致经费较上年减少。</w:t>
      </w:r>
    </w:p>
    <w:p w14:paraId="6455676F">
      <w:pPr>
        <w:spacing w:line="580" w:lineRule="exact"/>
        <w:ind w:firstLine="640"/>
        <w:jc w:val="both"/>
      </w:pPr>
      <w:r>
        <w:rPr>
          <w:rFonts w:ascii="仿宋_GB2312" w:hAnsi="仿宋_GB2312" w:eastAsia="仿宋_GB2312"/>
          <w:b w:val="0"/>
          <w:sz w:val="32"/>
        </w:rPr>
        <w:t>9.商业服务业等支出(类)商业流通事务(款)其他商业流通事务支出(项):支出决算数为26.48万元，比上年决算增加13.48万元，增长103.69%,主要原因是：本年增加解决“洛浦县鸭产业承包经营协议”纠纷诉讼费项目资金。</w:t>
      </w:r>
    </w:p>
    <w:p w14:paraId="176DA558">
      <w:pPr>
        <w:spacing w:line="580" w:lineRule="exact"/>
        <w:ind w:firstLine="640"/>
        <w:jc w:val="both"/>
      </w:pPr>
      <w:r>
        <w:rPr>
          <w:rFonts w:ascii="仿宋_GB2312" w:hAnsi="仿宋_GB2312" w:eastAsia="仿宋_GB2312"/>
          <w:b w:val="0"/>
          <w:sz w:val="32"/>
        </w:rPr>
        <w:t>10.住房保障支出(类)住房改革支出(款)住房公积金(项):支出决算数为10.11万元，比上年决算增加10.11万元，增长100.00%,主要原因是：本年功能科目调整，住房公积金上年度在主科目列支，本年单独列支，导致经费较上年增加。</w:t>
      </w:r>
    </w:p>
    <w:p w14:paraId="4CCB5C75">
      <w:pPr>
        <w:spacing w:line="580" w:lineRule="exact"/>
        <w:ind w:firstLine="640"/>
        <w:jc w:val="both"/>
      </w:pPr>
      <w:r>
        <w:rPr>
          <w:rFonts w:ascii="仿宋_GB2312" w:hAnsi="仿宋_GB2312" w:eastAsia="仿宋_GB2312"/>
          <w:b w:val="0"/>
          <w:sz w:val="32"/>
        </w:rPr>
        <w:t>11.其他支出(类)其他支出(款)其他支出(项):支出决算数为2.87万元，比上年决算减少7.67万元，下降72.77%,主要原因是：本年减少为民办实事工作经费。</w:t>
      </w:r>
    </w:p>
    <w:p w14:paraId="4C0DFE5E">
      <w:pPr>
        <w:spacing w:line="640" w:lineRule="exact"/>
        <w:ind w:firstLine="640"/>
        <w:jc w:val="both"/>
        <w:outlineLvl w:val="2"/>
      </w:pPr>
      <w:r>
        <w:rPr>
          <w:rFonts w:ascii="黑体" w:hAnsi="黑体" w:eastAsia="黑体"/>
          <w:sz w:val="32"/>
        </w:rPr>
        <w:t>六、一般公共预算财政拨款基本支出决算情况说明</w:t>
      </w:r>
    </w:p>
    <w:p w14:paraId="50B02221">
      <w:pPr>
        <w:spacing w:line="580" w:lineRule="exact"/>
        <w:ind w:firstLine="640"/>
        <w:jc w:val="both"/>
      </w:pPr>
      <w:r>
        <w:rPr>
          <w:rFonts w:ascii="仿宋_GB2312" w:hAnsi="仿宋_GB2312" w:eastAsia="仿宋_GB2312"/>
          <w:b w:val="0"/>
          <w:sz w:val="32"/>
        </w:rPr>
        <w:t>2024年度一般公共预算财政拨款基本支出137.61万元，其中：</w:t>
      </w:r>
      <w:r>
        <w:rPr>
          <w:rFonts w:ascii="仿宋_GB2312" w:hAnsi="仿宋_GB2312" w:eastAsia="仿宋_GB2312"/>
          <w:b/>
          <w:sz w:val="32"/>
        </w:rPr>
        <w:t>人员经费135.77万元，</w:t>
      </w:r>
      <w:r>
        <w:rPr>
          <w:rFonts w:ascii="仿宋_GB2312" w:hAnsi="仿宋_GB2312" w:eastAsia="仿宋_GB2312"/>
          <w:b w:val="0"/>
          <w:sz w:val="32"/>
        </w:rPr>
        <w:t>包括：基本工资、津贴补贴、绩效工资、机关事业单位基本养老保险缴费、职工基本医疗保险缴费、公务员医疗补助缴费、其他社会保障缴费、住房公积金、退休费。</w:t>
      </w:r>
    </w:p>
    <w:p w14:paraId="1A5E17BE">
      <w:pPr>
        <w:spacing w:line="580" w:lineRule="exact"/>
        <w:ind w:firstLine="640"/>
        <w:jc w:val="both"/>
      </w:pPr>
      <w:r>
        <w:rPr>
          <w:rFonts w:ascii="仿宋_GB2312" w:hAnsi="仿宋_GB2312" w:eastAsia="仿宋_GB2312"/>
          <w:b/>
          <w:sz w:val="32"/>
        </w:rPr>
        <w:t>公用经费1.84万元，</w:t>
      </w:r>
      <w:r>
        <w:rPr>
          <w:rFonts w:ascii="仿宋_GB2312" w:hAnsi="仿宋_GB2312" w:eastAsia="仿宋_GB2312"/>
          <w:b w:val="0"/>
          <w:sz w:val="32"/>
        </w:rPr>
        <w:t>包括：办公费、邮电费、差旅费、公务用车运行维护费。</w:t>
      </w:r>
    </w:p>
    <w:p w14:paraId="63AC010F">
      <w:pPr>
        <w:spacing w:line="640" w:lineRule="exact"/>
        <w:ind w:firstLine="640"/>
        <w:jc w:val="both"/>
        <w:outlineLvl w:val="2"/>
      </w:pPr>
      <w:r>
        <w:rPr>
          <w:rFonts w:ascii="黑体" w:hAnsi="黑体" w:eastAsia="黑体"/>
          <w:sz w:val="32"/>
        </w:rPr>
        <w:t>七、政府性基金预算财政拨款收入支出决算情况说明</w:t>
      </w:r>
    </w:p>
    <w:p w14:paraId="231C0B7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9D0EB22">
      <w:pPr>
        <w:spacing w:line="640" w:lineRule="exact"/>
        <w:ind w:firstLine="640"/>
        <w:jc w:val="both"/>
        <w:outlineLvl w:val="2"/>
      </w:pPr>
      <w:r>
        <w:rPr>
          <w:rFonts w:ascii="黑体" w:hAnsi="黑体" w:eastAsia="黑体"/>
          <w:sz w:val="32"/>
        </w:rPr>
        <w:t>八、国有资本经营预算财政拨款收入支出决算情况说明</w:t>
      </w:r>
    </w:p>
    <w:p w14:paraId="60BD1F8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C6271D1">
      <w:pPr>
        <w:spacing w:line="640" w:lineRule="exact"/>
        <w:ind w:firstLine="640"/>
        <w:jc w:val="both"/>
        <w:outlineLvl w:val="2"/>
      </w:pPr>
      <w:r>
        <w:rPr>
          <w:rFonts w:ascii="黑体" w:hAnsi="黑体" w:eastAsia="黑体"/>
          <w:sz w:val="32"/>
        </w:rPr>
        <w:t>九、财政拨款“三公”经费支出决算情况说明</w:t>
      </w:r>
    </w:p>
    <w:p w14:paraId="3071BBBF">
      <w:pPr>
        <w:spacing w:line="580" w:lineRule="exact"/>
        <w:ind w:firstLine="640"/>
        <w:jc w:val="both"/>
      </w:pPr>
      <w:r>
        <w:rPr>
          <w:rFonts w:ascii="仿宋_GB2312" w:hAnsi="仿宋_GB2312" w:eastAsia="仿宋_GB2312"/>
          <w:b/>
          <w:sz w:val="32"/>
        </w:rPr>
        <w:t>2024年度财政拨款“三公”经费支出0.65万元，</w:t>
      </w:r>
      <w:r>
        <w:rPr>
          <w:rFonts w:ascii="仿宋_GB2312" w:hAnsi="仿宋_GB2312" w:eastAsia="仿宋_GB2312"/>
          <w:b w:val="0"/>
          <w:sz w:val="32"/>
        </w:rPr>
        <w:t>比上年增加0.28万元，增长75.68%，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0.65万元，占100.00%，比上年增加0.28万元，增长75.68%，主要原因是：本年因业务需求，用车次数增加，燃油费增加，导致公务用车运行维护费较上年增加。公务接待费支出0.00万元，占0.00%，比上年增加0.00万元，增长0.00%，主要原因是：2023年与2024年均未安排公务接待费支出。</w:t>
      </w:r>
    </w:p>
    <w:p w14:paraId="72CC21F8">
      <w:pPr>
        <w:spacing w:line="580" w:lineRule="exact"/>
        <w:ind w:firstLine="640"/>
        <w:jc w:val="both"/>
      </w:pPr>
      <w:r>
        <w:rPr>
          <w:rFonts w:ascii="仿宋_GB2312" w:hAnsi="仿宋_GB2312" w:eastAsia="仿宋_GB2312"/>
          <w:b/>
          <w:sz w:val="32"/>
        </w:rPr>
        <w:t>具体情况如下：</w:t>
      </w:r>
    </w:p>
    <w:p w14:paraId="3C717DC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4BA150F">
      <w:pPr>
        <w:spacing w:line="580" w:lineRule="exact"/>
        <w:ind w:firstLine="640"/>
        <w:jc w:val="both"/>
      </w:pPr>
      <w:r>
        <w:rPr>
          <w:rFonts w:ascii="仿宋_GB2312" w:hAnsi="仿宋_GB2312" w:eastAsia="仿宋_GB2312"/>
          <w:b w:val="0"/>
          <w:sz w:val="32"/>
        </w:rPr>
        <w:t>公务用车购置及运行维护费0.65万元，其中：公务用车购置费0.00万元，公务用车运行维护费0.65万元。公务用车运行维护费开支内容包括车辆加油费、维修费、保险费、审车费。公务用车购置数0辆，公务用车保有量1辆。国有资产占用情况中固定资产车辆1辆，与公务用车保有量差异原因是：本单位固定资产车辆与公务用车保有量一致无差异。</w:t>
      </w:r>
    </w:p>
    <w:p w14:paraId="4900A2E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4ABB78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0.65万元，决算数0.65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0.65万元，决算数0.65万元，预决算差异率0.00%，主要原因是：严格按照预算执行，预决算无差异。公务接待费全年预算数0.00万元，决算数0.00万元，预决算差异率0.00%，主要原因是：本单位无公务接待费。</w:t>
      </w:r>
    </w:p>
    <w:p w14:paraId="0D07EC4D">
      <w:pPr>
        <w:spacing w:line="640" w:lineRule="exact"/>
        <w:ind w:firstLine="640"/>
        <w:jc w:val="both"/>
        <w:outlineLvl w:val="2"/>
      </w:pPr>
      <w:r>
        <w:rPr>
          <w:rFonts w:ascii="黑体" w:hAnsi="黑体" w:eastAsia="黑体"/>
          <w:sz w:val="32"/>
        </w:rPr>
        <w:t>十、其他重要事项的情况说明</w:t>
      </w:r>
    </w:p>
    <w:p w14:paraId="4C656916">
      <w:pPr>
        <w:spacing w:line="640" w:lineRule="exact"/>
        <w:ind w:firstLine="640"/>
        <w:jc w:val="both"/>
        <w:outlineLvl w:val="3"/>
      </w:pPr>
      <w:r>
        <w:rPr>
          <w:rFonts w:ascii="楷体_GB2312" w:hAnsi="楷体_GB2312" w:eastAsia="楷体_GB2312"/>
          <w:b/>
          <w:sz w:val="32"/>
        </w:rPr>
        <w:t>（一）机关运行经费及公用经费支出情况</w:t>
      </w:r>
    </w:p>
    <w:p w14:paraId="0303BC71">
      <w:pPr>
        <w:spacing w:line="580" w:lineRule="exact"/>
        <w:ind w:firstLine="640"/>
        <w:jc w:val="both"/>
      </w:pPr>
      <w:r>
        <w:rPr>
          <w:rFonts w:ascii="仿宋_GB2312" w:hAnsi="仿宋_GB2312" w:eastAsia="仿宋_GB2312"/>
          <w:b w:val="0"/>
          <w:sz w:val="32"/>
        </w:rPr>
        <w:t>2024年度洛浦县供销合作社联合社（事业单位）公用经费支出1.84万元，比上年增加0.52万元，增长39.39%，主要原因是：本年业务量增加，公用经费增加。</w:t>
      </w:r>
    </w:p>
    <w:p w14:paraId="567D5868">
      <w:pPr>
        <w:spacing w:line="640" w:lineRule="exact"/>
        <w:ind w:firstLine="640"/>
        <w:jc w:val="both"/>
        <w:outlineLvl w:val="3"/>
      </w:pPr>
      <w:r>
        <w:rPr>
          <w:rFonts w:ascii="楷体_GB2312" w:hAnsi="楷体_GB2312" w:eastAsia="楷体_GB2312"/>
          <w:b/>
          <w:sz w:val="32"/>
        </w:rPr>
        <w:t>（二）政府采购情况</w:t>
      </w:r>
    </w:p>
    <w:p w14:paraId="709EB35D">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1CC4C407">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54801F06">
      <w:pPr>
        <w:spacing w:line="640" w:lineRule="exact"/>
        <w:ind w:firstLine="640"/>
        <w:jc w:val="both"/>
        <w:outlineLvl w:val="3"/>
      </w:pPr>
      <w:r>
        <w:rPr>
          <w:rFonts w:ascii="楷体_GB2312" w:hAnsi="楷体_GB2312" w:eastAsia="楷体_GB2312"/>
          <w:b/>
          <w:sz w:val="32"/>
        </w:rPr>
        <w:t>（三）国有资产占用情况说明</w:t>
      </w:r>
    </w:p>
    <w:p w14:paraId="64FAFE9A">
      <w:pPr>
        <w:spacing w:line="580" w:lineRule="exact"/>
        <w:ind w:firstLine="640"/>
        <w:jc w:val="both"/>
      </w:pPr>
      <w:r>
        <w:rPr>
          <w:rFonts w:ascii="仿宋_GB2312" w:hAnsi="仿宋_GB2312" w:eastAsia="仿宋_GB2312"/>
          <w:b w:val="0"/>
          <w:sz w:val="32"/>
        </w:rPr>
        <w:t>截至2024年12月31日，房屋231,427.63平方米，价值26,401.01万元。车辆1辆，价值19.65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22台（套）。</w:t>
      </w:r>
    </w:p>
    <w:p w14:paraId="0930E09C">
      <w:pPr>
        <w:spacing w:line="640" w:lineRule="exact"/>
        <w:ind w:firstLine="640"/>
        <w:jc w:val="both"/>
        <w:outlineLvl w:val="2"/>
      </w:pPr>
      <w:r>
        <w:rPr>
          <w:rFonts w:ascii="黑体" w:hAnsi="黑体" w:eastAsia="黑体"/>
          <w:sz w:val="32"/>
        </w:rPr>
        <w:t>十一、预算绩效的情况说明</w:t>
      </w:r>
    </w:p>
    <w:p w14:paraId="19115BD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根据预算绩效管理要求，本单位2024年度预算绩效管理形成整体支出绩效自评表1个，全年预算总额901.85万元，实际执行总额901.86万元；预算绩效评价项目</w:t>
      </w:r>
      <w:r>
        <w:rPr>
          <w:rFonts w:hint="eastAsia" w:ascii="仿宋_GB2312" w:hAnsi="仿宋_GB2312" w:eastAsia="仿宋_GB2312"/>
          <w:b w:val="0"/>
          <w:sz w:val="32"/>
          <w:lang w:val="en-US" w:eastAsia="zh-CN"/>
        </w:rPr>
        <w:t>3</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41.35</w:t>
      </w:r>
      <w:r>
        <w:rPr>
          <w:rFonts w:ascii="仿宋_GB2312" w:hAnsi="仿宋_GB2312" w:eastAsia="仿宋_GB2312"/>
          <w:b w:val="0"/>
          <w:sz w:val="32"/>
        </w:rPr>
        <w:t>万元，全年执行数</w:t>
      </w:r>
      <w:r>
        <w:rPr>
          <w:rFonts w:hint="eastAsia" w:ascii="仿宋_GB2312" w:hAnsi="仿宋_GB2312" w:eastAsia="仿宋_GB2312"/>
          <w:b w:val="0"/>
          <w:sz w:val="32"/>
          <w:lang w:val="en-US" w:eastAsia="zh-CN"/>
        </w:rPr>
        <w:t>41.35</w:t>
      </w:r>
      <w:r>
        <w:rPr>
          <w:rFonts w:ascii="仿宋_GB2312" w:hAnsi="仿宋_GB2312" w:eastAsia="仿宋_GB2312"/>
          <w:b w:val="0"/>
          <w:sz w:val="32"/>
        </w:rPr>
        <w:t>万元。预算绩效管理取得的成效：1.本项目管理制度完善、责任落实到位，跟踪考核机制完善且运行有效，在项目实施过程中创新管理办法，使项目取得了良好的效果。2.管理制度健全性，本单位为加强预算管理，规范财务行为，已制定《洛浦县后勤服务中心预算绩效管理工作实施办法》，《洛浦县后勤服务中心财务管理制度》等健全完整的各项管理制度，有效保障了</w:t>
      </w:r>
      <w:r>
        <w:rPr>
          <w:rFonts w:hint="eastAsia" w:ascii="仿宋_GB2312" w:hAnsi="仿宋_GB2312" w:eastAsia="仿宋_GB2312"/>
          <w:b w:val="0"/>
          <w:sz w:val="32"/>
          <w:lang w:eastAsia="zh-CN"/>
        </w:rPr>
        <w:t>本单位高效地</w:t>
      </w:r>
      <w:r>
        <w:rPr>
          <w:rFonts w:ascii="仿宋_GB2312" w:hAnsi="仿宋_GB2312" w:eastAsia="仿宋_GB2312"/>
          <w:b w:val="0"/>
          <w:sz w:val="32"/>
        </w:rPr>
        <w:t>履行工作职能，较</w:t>
      </w:r>
      <w:r>
        <w:rPr>
          <w:rFonts w:hint="eastAsia" w:ascii="仿宋_GB2312" w:hAnsi="仿宋_GB2312" w:eastAsia="仿宋_GB2312"/>
          <w:b w:val="0"/>
          <w:sz w:val="32"/>
          <w:lang w:eastAsia="zh-CN"/>
        </w:rPr>
        <w:t>好地</w:t>
      </w:r>
      <w:r>
        <w:rPr>
          <w:rFonts w:ascii="仿宋_GB2312" w:hAnsi="仿宋_GB2312" w:eastAsia="仿宋_GB2312"/>
          <w:b w:val="0"/>
          <w:sz w:val="32"/>
        </w:rPr>
        <w:t>促进事业发展。3.资金使</w:t>
      </w:r>
      <w:r>
        <w:rPr>
          <w:rFonts w:hint="eastAsia" w:ascii="仿宋_GB2312" w:hAnsi="仿宋_GB2312" w:eastAsia="仿宋_GB2312"/>
          <w:b w:val="0"/>
          <w:sz w:val="32"/>
          <w:lang w:eastAsia="zh-CN"/>
        </w:rPr>
        <w:t>用的</w:t>
      </w:r>
      <w:r>
        <w:rPr>
          <w:rFonts w:ascii="仿宋_GB2312" w:hAnsi="仿宋_GB2312" w:eastAsia="仿宋_GB2312"/>
          <w:b w:val="0"/>
          <w:sz w:val="32"/>
        </w:rPr>
        <w:t>合规性和安全性，部门预算资金使用符合国家法规和财务管理制度；预算资金拨付有完整的审批程序和手续，符合项目预算批复或合同规定的用途；不存在截留、挤占、挪用、虚列支出等情况，确保</w:t>
      </w:r>
      <w:r>
        <w:rPr>
          <w:rFonts w:hint="eastAsia" w:ascii="仿宋_GB2312" w:hAnsi="仿宋_GB2312" w:eastAsia="仿宋_GB2312"/>
          <w:b w:val="0"/>
          <w:sz w:val="32"/>
          <w:lang w:eastAsia="zh-CN"/>
        </w:rPr>
        <w:t>本单位</w:t>
      </w:r>
      <w:r>
        <w:rPr>
          <w:rFonts w:ascii="仿宋_GB2312" w:hAnsi="仿宋_GB2312" w:eastAsia="仿宋_GB2312"/>
          <w:b w:val="0"/>
          <w:sz w:val="32"/>
        </w:rPr>
        <w:t>预算资金规范运行。发现的问题及原因：目标设定科学性及评价存在难，对于目标设定需要分科室部门分解，汇总后制定整体目标，如何科学整合全单位绩效目标比较困难；目标设定后如何科学设定考核评价标准，特别是对于不能量化的目标如何评价。下一步改进措施：1.预算编制工作，认真做好预算的编制。全面编制预算项目，优先保障固定性的、相对刚性的费用支出项目，尽量压缩变动性的、有控制空间的费用项目，进一步提高预算编制的科学性、严谨性和可控性。开展进度的跟踪，确保项目绩效目标的完成。规范程序，严格把关。进一步完善项目申报、审核、公示、审批等程序，严格审核切实做好项目信息公开，公开内容要及时、完整、真实，确保项目公平、公开、公正。3.健全制度，加强督促。针对项目实施中存在的问题，进一步完善相关制度，加强督促检查，确保质量安全和建设进度；同时及时完善资料。具体附整体支出绩效自评表，项目支出绩效自评表和评价报告。</w:t>
      </w:r>
    </w:p>
    <w:p w14:paraId="549FC6A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4EBC61D">
        <w:tblPrEx>
          <w:tblCellMar>
            <w:top w:w="0" w:type="dxa"/>
            <w:left w:w="108" w:type="dxa"/>
            <w:bottom w:w="0" w:type="dxa"/>
            <w:right w:w="108" w:type="dxa"/>
          </w:tblCellMar>
        </w:tblPrEx>
        <w:tc>
          <w:tcPr>
            <w:tcW w:w="8847" w:type="dxa"/>
            <w:gridSpan w:val="9"/>
            <w:vAlign w:val="center"/>
          </w:tcPr>
          <w:p w14:paraId="5E9937BD">
            <w:pPr>
              <w:jc w:val="center"/>
            </w:pPr>
            <w:r>
              <w:rPr>
                <w:rFonts w:ascii="宋体" w:hAnsi="宋体" w:eastAsia="宋体"/>
                <w:sz w:val="24"/>
              </w:rPr>
              <w:t>单位整体支出绩效自评表</w:t>
            </w:r>
          </w:p>
        </w:tc>
      </w:tr>
      <w:tr w14:paraId="27A19E4F">
        <w:tblPrEx>
          <w:tblCellMar>
            <w:top w:w="0" w:type="dxa"/>
            <w:left w:w="108" w:type="dxa"/>
            <w:bottom w:w="0" w:type="dxa"/>
            <w:right w:w="108" w:type="dxa"/>
          </w:tblCellMar>
        </w:tblPrEx>
        <w:tc>
          <w:tcPr>
            <w:tcW w:w="8847" w:type="dxa"/>
            <w:gridSpan w:val="9"/>
            <w:vAlign w:val="center"/>
          </w:tcPr>
          <w:p w14:paraId="7596010F">
            <w:pPr>
              <w:jc w:val="center"/>
            </w:pPr>
            <w:r>
              <w:rPr>
                <w:rFonts w:ascii="宋体" w:hAnsi="宋体" w:eastAsia="宋体"/>
                <w:sz w:val="24"/>
              </w:rPr>
              <w:t>（2024年度）</w:t>
            </w:r>
          </w:p>
        </w:tc>
      </w:tr>
      <w:tr w14:paraId="6235703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886A8">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D845D8A">
            <w:pPr>
              <w:jc w:val="center"/>
            </w:pPr>
            <w:r>
              <w:rPr>
                <w:rFonts w:ascii="宋体" w:hAnsi="宋体" w:eastAsia="宋体"/>
                <w:sz w:val="16"/>
              </w:rPr>
              <w:t>洛浦县供销合作社联合社</w:t>
            </w:r>
          </w:p>
        </w:tc>
      </w:tr>
      <w:tr w14:paraId="1A4667F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1484D5">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5CDF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94C2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3B19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19C3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FA87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99CA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8A54A">
            <w:pPr>
              <w:jc w:val="center"/>
            </w:pPr>
            <w:r>
              <w:rPr>
                <w:rFonts w:ascii="宋体" w:hAnsi="宋体" w:eastAsia="宋体"/>
                <w:sz w:val="16"/>
              </w:rPr>
              <w:t>得分</w:t>
            </w:r>
          </w:p>
        </w:tc>
      </w:tr>
      <w:tr w14:paraId="123727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61047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994236">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A2DDE">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900C0">
            <w:pPr>
              <w:jc w:val="center"/>
            </w:pPr>
            <w:r>
              <w:rPr>
                <w:rFonts w:ascii="宋体" w:hAnsi="宋体" w:eastAsia="宋体"/>
                <w:sz w:val="16"/>
              </w:rPr>
              <w:t>143.34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317D4">
            <w:pPr>
              <w:jc w:val="center"/>
            </w:pPr>
            <w:r>
              <w:rPr>
                <w:rFonts w:ascii="宋体" w:hAnsi="宋体" w:eastAsia="宋体"/>
                <w:sz w:val="16"/>
              </w:rPr>
              <w:t>875.37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6EA97">
            <w:pPr>
              <w:jc w:val="center"/>
            </w:pPr>
            <w:r>
              <w:rPr>
                <w:rFonts w:ascii="宋体" w:hAnsi="宋体" w:eastAsia="宋体"/>
                <w:sz w:val="16"/>
              </w:rPr>
              <w:t>875.38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6F0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E2DF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A8788">
            <w:pPr>
              <w:jc w:val="center"/>
            </w:pPr>
            <w:r>
              <w:rPr>
                <w:rFonts w:ascii="宋体" w:hAnsi="宋体" w:eastAsia="宋体"/>
                <w:sz w:val="16"/>
              </w:rPr>
              <w:t>-</w:t>
            </w:r>
          </w:p>
        </w:tc>
      </w:tr>
      <w:tr w14:paraId="4FAB27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67A8B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9594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0D645">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4A35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4CD49">
            <w:pPr>
              <w:jc w:val="center"/>
            </w:pPr>
            <w:r>
              <w:rPr>
                <w:rFonts w:ascii="宋体" w:hAnsi="宋体" w:eastAsia="宋体"/>
                <w:sz w:val="16"/>
              </w:rPr>
              <w:t>26.48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E36A0">
            <w:pPr>
              <w:jc w:val="center"/>
            </w:pPr>
            <w:r>
              <w:rPr>
                <w:rFonts w:ascii="宋体" w:hAnsi="宋体" w:eastAsia="宋体"/>
                <w:sz w:val="16"/>
              </w:rPr>
              <w:t>26.48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F7F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656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119D1">
            <w:pPr>
              <w:jc w:val="center"/>
            </w:pPr>
            <w:r>
              <w:rPr>
                <w:rFonts w:ascii="宋体" w:hAnsi="宋体" w:eastAsia="宋体"/>
                <w:sz w:val="16"/>
              </w:rPr>
              <w:t>-</w:t>
            </w:r>
          </w:p>
        </w:tc>
      </w:tr>
      <w:tr w14:paraId="6A29FC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8B13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B6262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D973B">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742A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69A2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D74A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13B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175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3D69C">
            <w:pPr>
              <w:jc w:val="center"/>
            </w:pPr>
            <w:r>
              <w:rPr>
                <w:rFonts w:ascii="宋体" w:hAnsi="宋体" w:eastAsia="宋体"/>
                <w:sz w:val="16"/>
              </w:rPr>
              <w:t>-</w:t>
            </w:r>
          </w:p>
        </w:tc>
      </w:tr>
      <w:tr w14:paraId="571E38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7C52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05157">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A209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03923">
            <w:pPr>
              <w:jc w:val="center"/>
            </w:pPr>
            <w:r>
              <w:rPr>
                <w:rFonts w:ascii="宋体" w:hAnsi="宋体" w:eastAsia="宋体"/>
                <w:sz w:val="16"/>
              </w:rPr>
              <w:t>143.34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AAF33">
            <w:pPr>
              <w:jc w:val="center"/>
            </w:pPr>
            <w:r>
              <w:rPr>
                <w:rFonts w:ascii="宋体" w:hAnsi="宋体" w:eastAsia="宋体"/>
                <w:sz w:val="16"/>
              </w:rPr>
              <w:t>901.85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17253">
            <w:pPr>
              <w:jc w:val="center"/>
            </w:pPr>
            <w:r>
              <w:rPr>
                <w:rFonts w:ascii="宋体" w:hAnsi="宋体" w:eastAsia="宋体"/>
                <w:sz w:val="16"/>
              </w:rPr>
              <w:t>901.86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EB9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FBF54">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E7E05">
            <w:pPr>
              <w:jc w:val="center"/>
            </w:pPr>
            <w:r>
              <w:rPr>
                <w:rFonts w:ascii="宋体" w:hAnsi="宋体" w:eastAsia="宋体"/>
                <w:sz w:val="16"/>
              </w:rPr>
              <w:t>10</w:t>
            </w:r>
          </w:p>
        </w:tc>
      </w:tr>
      <w:tr w14:paraId="1AF6D91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129395">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D8DEA5">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730C94">
            <w:pPr>
              <w:jc w:val="center"/>
            </w:pPr>
            <w:r>
              <w:rPr>
                <w:rFonts w:ascii="宋体" w:hAnsi="宋体" w:eastAsia="宋体"/>
                <w:sz w:val="16"/>
              </w:rPr>
              <w:t>实际完成情况</w:t>
            </w:r>
          </w:p>
        </w:tc>
      </w:tr>
      <w:tr w14:paraId="67B5E0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BF0F67"/>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6FF75A">
            <w:pPr>
              <w:jc w:val="both"/>
            </w:pPr>
            <w:r>
              <w:rPr>
                <w:rFonts w:ascii="宋体" w:hAnsi="宋体" w:eastAsia="宋体"/>
                <w:sz w:val="16"/>
              </w:rPr>
              <w:t>2024年计划1.配送果蔬、肉蛋禽、米面油等1200吨。2.采购农副产品5000吨，5300万元；3.购进商品2300万元， 销售总额2700万元， 企业利润400万元；4.电子商务销售1500万元，计划组织供应农资7000吨。 5.今年计划土地托管、流转1100亩，技术指导、农机作业、病虫害防治等1100亩。6、截至目前：打造供销种植、养殖基地1个等。</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6F8F1F">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已完成实现土地托管、流转1300亩，配送果蔬、肉蛋禽、米面油等2800吨，采购农副产品5000吨，购进商品2300万元，电子商务销售1500万元，打造供销种植、养殖基地1个。</w:t>
            </w:r>
          </w:p>
        </w:tc>
      </w:tr>
      <w:tr w14:paraId="534E5B5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C731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DDBAE">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BBD8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F238F">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EE393">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A6B3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75356">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3CDB5">
            <w:pPr>
              <w:jc w:val="center"/>
            </w:pPr>
            <w:r>
              <w:rPr>
                <w:rFonts w:ascii="宋体" w:hAnsi="宋体" w:eastAsia="宋体"/>
                <w:sz w:val="16"/>
              </w:rPr>
              <w:t>得分</w:t>
            </w:r>
          </w:p>
        </w:tc>
      </w:tr>
      <w:tr w14:paraId="3EF7B78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15593">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369758">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D218A">
            <w:pPr>
              <w:jc w:val="center"/>
            </w:pPr>
            <w:r>
              <w:rPr>
                <w:rFonts w:ascii="宋体" w:hAnsi="宋体" w:eastAsia="宋体"/>
                <w:sz w:val="16"/>
              </w:rPr>
              <w:t>实现土地托管、流转数量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CDBD9">
            <w:pPr>
              <w:jc w:val="center"/>
            </w:pPr>
            <w:r>
              <w:rPr>
                <w:rFonts w:ascii="宋体" w:hAnsi="宋体" w:eastAsia="宋体"/>
                <w:sz w:val="16"/>
              </w:rPr>
              <w:t>=1100亩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05CDE">
            <w:pPr>
              <w:jc w:val="center"/>
            </w:pPr>
            <w:r>
              <w:rPr>
                <w:rFonts w:ascii="宋体" w:hAnsi="宋体" w:eastAsia="宋体"/>
                <w:sz w:val="16"/>
              </w:rPr>
              <w:t>2024年年度工作计划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7E75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3BF70">
            <w:pPr>
              <w:jc w:val="center"/>
            </w:pPr>
            <w:r>
              <w:rPr>
                <w:rFonts w:ascii="宋体" w:hAnsi="宋体" w:eastAsia="宋体"/>
                <w:sz w:val="16"/>
              </w:rPr>
              <w:t>1300亩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4118E">
            <w:pPr>
              <w:jc w:val="center"/>
            </w:pPr>
            <w:r>
              <w:rPr>
                <w:rFonts w:ascii="宋体" w:hAnsi="宋体" w:eastAsia="宋体"/>
                <w:sz w:val="16"/>
              </w:rPr>
              <w:t>15</w:t>
            </w:r>
          </w:p>
        </w:tc>
      </w:tr>
      <w:tr w14:paraId="2F2E19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93E53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D458F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E2129">
            <w:pPr>
              <w:jc w:val="center"/>
            </w:pPr>
            <w:r>
              <w:rPr>
                <w:rFonts w:ascii="宋体" w:hAnsi="宋体" w:eastAsia="宋体"/>
                <w:sz w:val="16"/>
              </w:rPr>
              <w:t>配送果蔬、肉蛋禽、米面油等</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BF020">
            <w:pPr>
              <w:jc w:val="center"/>
            </w:pPr>
            <w:r>
              <w:rPr>
                <w:rFonts w:ascii="宋体" w:hAnsi="宋体" w:eastAsia="宋体"/>
                <w:sz w:val="16"/>
              </w:rPr>
              <w:t>&gt;=1200吨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D72AA">
            <w:pPr>
              <w:jc w:val="center"/>
            </w:pPr>
            <w:r>
              <w:rPr>
                <w:rFonts w:ascii="宋体" w:hAnsi="宋体" w:eastAsia="宋体"/>
                <w:sz w:val="16"/>
              </w:rPr>
              <w:t>2024年年度工作计划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FF1D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F1B17">
            <w:pPr>
              <w:jc w:val="center"/>
            </w:pPr>
            <w:r>
              <w:rPr>
                <w:rFonts w:ascii="宋体" w:hAnsi="宋体" w:eastAsia="宋体"/>
                <w:sz w:val="16"/>
              </w:rPr>
              <w:t>2800吨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367A1">
            <w:pPr>
              <w:jc w:val="center"/>
            </w:pPr>
            <w:r>
              <w:rPr>
                <w:rFonts w:ascii="宋体" w:hAnsi="宋体" w:eastAsia="宋体"/>
                <w:sz w:val="16"/>
              </w:rPr>
              <w:t>15</w:t>
            </w:r>
          </w:p>
        </w:tc>
      </w:tr>
      <w:tr w14:paraId="7472A9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A644F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182AD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F69F5">
            <w:pPr>
              <w:jc w:val="center"/>
            </w:pPr>
            <w:r>
              <w:rPr>
                <w:rFonts w:ascii="宋体" w:hAnsi="宋体" w:eastAsia="宋体"/>
                <w:sz w:val="16"/>
              </w:rPr>
              <w:t>采购农副产品数量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E56F1">
            <w:pPr>
              <w:jc w:val="center"/>
            </w:pPr>
            <w:r>
              <w:rPr>
                <w:rFonts w:ascii="宋体" w:hAnsi="宋体" w:eastAsia="宋体"/>
                <w:sz w:val="16"/>
              </w:rPr>
              <w:t>&gt;=5000吨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43C36">
            <w:pPr>
              <w:jc w:val="center"/>
            </w:pPr>
            <w:r>
              <w:rPr>
                <w:rFonts w:ascii="宋体" w:hAnsi="宋体" w:eastAsia="宋体"/>
                <w:sz w:val="16"/>
              </w:rPr>
              <w:t>2024年年度工作计划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932D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94CF5">
            <w:pPr>
              <w:jc w:val="center"/>
            </w:pPr>
            <w:r>
              <w:rPr>
                <w:rFonts w:ascii="宋体" w:hAnsi="宋体" w:eastAsia="宋体"/>
                <w:sz w:val="16"/>
              </w:rPr>
              <w:t>5000吨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D2254">
            <w:pPr>
              <w:jc w:val="center"/>
            </w:pPr>
            <w:r>
              <w:rPr>
                <w:rFonts w:ascii="宋体" w:hAnsi="宋体" w:eastAsia="宋体"/>
                <w:sz w:val="16"/>
              </w:rPr>
              <w:t>15</w:t>
            </w:r>
          </w:p>
        </w:tc>
      </w:tr>
      <w:tr w14:paraId="244552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921A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77FC0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8AA5D">
            <w:pPr>
              <w:jc w:val="center"/>
            </w:pPr>
            <w:r>
              <w:rPr>
                <w:rFonts w:ascii="宋体" w:hAnsi="宋体" w:eastAsia="宋体"/>
                <w:sz w:val="16"/>
              </w:rPr>
              <w:t>购进商品总额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3232B">
            <w:pPr>
              <w:jc w:val="center"/>
            </w:pPr>
            <w:r>
              <w:rPr>
                <w:rFonts w:ascii="宋体" w:hAnsi="宋体" w:eastAsia="宋体"/>
                <w:sz w:val="16"/>
              </w:rPr>
              <w:t>=2300万元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2BE20">
            <w:pPr>
              <w:jc w:val="center"/>
            </w:pPr>
            <w:r>
              <w:rPr>
                <w:rFonts w:ascii="宋体" w:hAnsi="宋体" w:eastAsia="宋体"/>
                <w:sz w:val="16"/>
              </w:rPr>
              <w:t>2024年年度工作计划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46D6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77A36">
            <w:pPr>
              <w:jc w:val="center"/>
            </w:pPr>
            <w:r>
              <w:rPr>
                <w:rFonts w:ascii="宋体" w:hAnsi="宋体" w:eastAsia="宋体"/>
                <w:sz w:val="16"/>
              </w:rPr>
              <w:t>2300万元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08B68">
            <w:pPr>
              <w:jc w:val="center"/>
            </w:pPr>
            <w:r>
              <w:rPr>
                <w:rFonts w:ascii="宋体" w:hAnsi="宋体" w:eastAsia="宋体"/>
                <w:sz w:val="16"/>
              </w:rPr>
              <w:t>15</w:t>
            </w:r>
          </w:p>
        </w:tc>
      </w:tr>
      <w:tr w14:paraId="39D2D7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C42E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CE848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06049">
            <w:pPr>
              <w:jc w:val="center"/>
            </w:pPr>
            <w:r>
              <w:rPr>
                <w:rFonts w:ascii="宋体" w:hAnsi="宋体" w:eastAsia="宋体"/>
                <w:sz w:val="16"/>
              </w:rPr>
              <w:t>电子商务销售总额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46DBB">
            <w:pPr>
              <w:jc w:val="center"/>
            </w:pPr>
            <w:r>
              <w:rPr>
                <w:rFonts w:ascii="宋体" w:hAnsi="宋体" w:eastAsia="宋体"/>
                <w:sz w:val="16"/>
              </w:rPr>
              <w:t>&gt;=1500万元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0A5ED">
            <w:pPr>
              <w:jc w:val="center"/>
            </w:pPr>
            <w:r>
              <w:rPr>
                <w:rFonts w:ascii="宋体" w:hAnsi="宋体" w:eastAsia="宋体"/>
                <w:sz w:val="16"/>
              </w:rPr>
              <w:t>2024年年度工作计划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0FDB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84A7C">
            <w:pPr>
              <w:jc w:val="center"/>
            </w:pPr>
            <w:r>
              <w:rPr>
                <w:rFonts w:ascii="宋体" w:hAnsi="宋体" w:eastAsia="宋体"/>
                <w:sz w:val="16"/>
              </w:rPr>
              <w:t>1500万元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9835A">
            <w:pPr>
              <w:jc w:val="center"/>
            </w:pPr>
            <w:r>
              <w:rPr>
                <w:rFonts w:ascii="宋体" w:hAnsi="宋体" w:eastAsia="宋体"/>
                <w:sz w:val="16"/>
              </w:rPr>
              <w:t>15</w:t>
            </w:r>
          </w:p>
        </w:tc>
      </w:tr>
      <w:tr w14:paraId="70BD65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19B3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5CECA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3D7AA">
            <w:pPr>
              <w:jc w:val="center"/>
            </w:pPr>
            <w:r>
              <w:rPr>
                <w:rFonts w:ascii="宋体" w:hAnsi="宋体" w:eastAsia="宋体"/>
                <w:sz w:val="16"/>
              </w:rPr>
              <w:t>打造供销种植、养殖基地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1F460">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451C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ADC2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6B7A3">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C47A6">
            <w:pPr>
              <w:jc w:val="center"/>
            </w:pPr>
            <w:r>
              <w:rPr>
                <w:rFonts w:ascii="宋体" w:hAnsi="宋体" w:eastAsia="宋体"/>
                <w:sz w:val="16"/>
              </w:rPr>
              <w:t>15</w:t>
            </w:r>
          </w:p>
        </w:tc>
      </w:tr>
    </w:tbl>
    <w:p w14:paraId="1ACBD7E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C2A65E7">
        <w:tblPrEx>
          <w:tblCellMar>
            <w:top w:w="0" w:type="dxa"/>
            <w:left w:w="108" w:type="dxa"/>
            <w:bottom w:w="0" w:type="dxa"/>
            <w:right w:w="108" w:type="dxa"/>
          </w:tblCellMar>
        </w:tblPrEx>
        <w:tc>
          <w:tcPr>
            <w:tcW w:w="8847" w:type="dxa"/>
            <w:gridSpan w:val="9"/>
            <w:vAlign w:val="center"/>
          </w:tcPr>
          <w:p w14:paraId="345FC685">
            <w:pPr>
              <w:jc w:val="center"/>
            </w:pPr>
            <w:r>
              <w:rPr>
                <w:rFonts w:ascii="宋体" w:hAnsi="宋体" w:eastAsia="宋体"/>
                <w:sz w:val="24"/>
              </w:rPr>
              <w:t>项目支出绩效自评表</w:t>
            </w:r>
          </w:p>
        </w:tc>
      </w:tr>
      <w:tr w14:paraId="099970DC">
        <w:tblPrEx>
          <w:tblCellMar>
            <w:top w:w="0" w:type="dxa"/>
            <w:left w:w="108" w:type="dxa"/>
            <w:bottom w:w="0" w:type="dxa"/>
            <w:right w:w="108" w:type="dxa"/>
          </w:tblCellMar>
        </w:tblPrEx>
        <w:tc>
          <w:tcPr>
            <w:tcW w:w="8847" w:type="dxa"/>
            <w:gridSpan w:val="9"/>
            <w:vAlign w:val="center"/>
          </w:tcPr>
          <w:p w14:paraId="599B944F">
            <w:pPr>
              <w:jc w:val="center"/>
            </w:pPr>
            <w:r>
              <w:rPr>
                <w:rFonts w:ascii="宋体" w:hAnsi="宋体" w:eastAsia="宋体"/>
                <w:sz w:val="24"/>
              </w:rPr>
              <w:t>(2024年度)</w:t>
            </w:r>
          </w:p>
        </w:tc>
      </w:tr>
      <w:tr w14:paraId="2D4FE51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9EF7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77B7770">
            <w:pPr>
              <w:jc w:val="center"/>
            </w:pPr>
            <w:r>
              <w:rPr>
                <w:rFonts w:ascii="宋体" w:hAnsi="宋体" w:eastAsia="宋体"/>
                <w:sz w:val="16"/>
              </w:rPr>
              <w:t>2024年中央农业主体能力提升资金</w:t>
            </w:r>
          </w:p>
        </w:tc>
      </w:tr>
      <w:tr w14:paraId="456557F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B0F5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B980F9">
            <w:pPr>
              <w:jc w:val="center"/>
            </w:pPr>
            <w:r>
              <w:rPr>
                <w:rFonts w:ascii="宋体" w:hAnsi="宋体" w:eastAsia="宋体"/>
                <w:sz w:val="16"/>
              </w:rPr>
              <w:t>洛浦县供销合作社联合社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8877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8B6B50">
            <w:pPr>
              <w:jc w:val="center"/>
            </w:pPr>
            <w:r>
              <w:rPr>
                <w:rFonts w:ascii="宋体" w:hAnsi="宋体" w:eastAsia="宋体"/>
                <w:sz w:val="16"/>
              </w:rPr>
              <w:t>洛浦县供销合作社联合社</w:t>
            </w:r>
          </w:p>
        </w:tc>
      </w:tr>
      <w:tr w14:paraId="1B88B04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F1FF9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D895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6F8B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37E9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9BEE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534C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A864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87544">
            <w:pPr>
              <w:jc w:val="center"/>
            </w:pPr>
            <w:r>
              <w:rPr>
                <w:rFonts w:ascii="宋体" w:hAnsi="宋体" w:eastAsia="宋体"/>
                <w:sz w:val="16"/>
              </w:rPr>
              <w:t>得分</w:t>
            </w:r>
          </w:p>
        </w:tc>
      </w:tr>
      <w:tr w14:paraId="1066EC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3721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87D1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F6F15">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14BDC">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DA560">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2278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F609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30342">
            <w:pPr>
              <w:jc w:val="center"/>
            </w:pPr>
            <w:r>
              <w:rPr>
                <w:rFonts w:ascii="宋体" w:hAnsi="宋体" w:eastAsia="宋体"/>
                <w:sz w:val="16"/>
              </w:rPr>
              <w:t>10.00分</w:t>
            </w:r>
          </w:p>
        </w:tc>
      </w:tr>
      <w:tr w14:paraId="6DD562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AFE7C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0B3E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7943B">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7E0B0">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D52BA">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961F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745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9CEB1">
            <w:pPr>
              <w:jc w:val="center"/>
            </w:pPr>
            <w:r>
              <w:rPr>
                <w:rFonts w:ascii="宋体" w:hAnsi="宋体" w:eastAsia="宋体"/>
                <w:sz w:val="16"/>
              </w:rPr>
              <w:t>—</w:t>
            </w:r>
          </w:p>
        </w:tc>
      </w:tr>
      <w:tr w14:paraId="249379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0C511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493B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68D1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1036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EDD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0FF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D3EC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352FE">
            <w:pPr>
              <w:jc w:val="center"/>
            </w:pPr>
            <w:r>
              <w:rPr>
                <w:rFonts w:ascii="宋体" w:hAnsi="宋体" w:eastAsia="宋体"/>
                <w:sz w:val="16"/>
              </w:rPr>
              <w:t>—</w:t>
            </w:r>
          </w:p>
        </w:tc>
      </w:tr>
      <w:tr w14:paraId="05777B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6E06C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934C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9C35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A716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E2D2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B7E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40E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FF668">
            <w:pPr>
              <w:jc w:val="center"/>
            </w:pPr>
            <w:r>
              <w:rPr>
                <w:rFonts w:ascii="宋体" w:hAnsi="宋体" w:eastAsia="宋体"/>
                <w:sz w:val="16"/>
              </w:rPr>
              <w:t>—</w:t>
            </w:r>
          </w:p>
        </w:tc>
      </w:tr>
      <w:tr w14:paraId="0D991E31">
        <w:tblPrEx>
          <w:tblCellMar>
            <w:top w:w="0" w:type="dxa"/>
            <w:left w:w="108" w:type="dxa"/>
            <w:bottom w:w="0" w:type="dxa"/>
            <w:right w:w="108" w:type="dxa"/>
          </w:tblCellMar>
        </w:tblPrEx>
        <w:trPr>
          <w:trHeight w:val="312"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74CAF8">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EA3D08">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AF08B1">
            <w:pPr>
              <w:jc w:val="center"/>
            </w:pPr>
            <w:r>
              <w:rPr>
                <w:rFonts w:ascii="宋体" w:hAnsi="宋体" w:eastAsia="宋体"/>
                <w:sz w:val="16"/>
              </w:rPr>
              <w:t>实际完成情况</w:t>
            </w:r>
          </w:p>
        </w:tc>
      </w:tr>
      <w:tr w14:paraId="552A46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910CC0"/>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F07A26">
            <w:pPr>
              <w:jc w:val="both"/>
            </w:pPr>
            <w:r>
              <w:rPr>
                <w:rFonts w:ascii="宋体" w:hAnsi="宋体" w:eastAsia="宋体"/>
                <w:sz w:val="16"/>
              </w:rPr>
              <w:t>根据《关于下达2024年中央农业经营主体能力提升资金预算的通知》（和地财农</w:t>
            </w:r>
            <w:r>
              <w:rPr>
                <w:rFonts w:hint="eastAsia" w:ascii="宋体" w:hAnsi="宋体"/>
                <w:sz w:val="16"/>
                <w:lang w:eastAsia="zh-CN"/>
              </w:rPr>
              <w:t>〔2024〕8号</w:t>
            </w:r>
            <w:r>
              <w:rPr>
                <w:rFonts w:ascii="宋体" w:hAnsi="宋体" w:eastAsia="宋体"/>
                <w:sz w:val="16"/>
              </w:rPr>
              <w:t>）文件实施该项目。项目主要内容：为洛浦县杭桂镇皮凉艾日克村1336.5亩地涉及的2024年冬小麦收割脱粒环节、2024年冬小麦耕地环节和2024年冬小麦播种环节的农民进行补助发放。通过项目的实施，促进农业绿色发展，资源可持续利用；进一步增加农民的非农收入。</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FB0033">
            <w:pPr>
              <w:jc w:val="both"/>
            </w:pPr>
            <w:r>
              <w:rPr>
                <w:rFonts w:hint="eastAsia" w:ascii="宋体" w:hAnsi="宋体"/>
                <w:sz w:val="16"/>
                <w:lang w:eastAsia="zh-CN"/>
              </w:rPr>
              <w:t>本单位</w:t>
            </w:r>
            <w:r>
              <w:rPr>
                <w:rFonts w:ascii="宋体" w:hAnsi="宋体" w:eastAsia="宋体"/>
                <w:sz w:val="16"/>
              </w:rPr>
              <w:t>2024年中央农业主体能力提升资金项目保障冬小麦耕地亩数1336.5亩；保障冬小麦生产环节3个；资金使用合规率100%；项目验收合格率100%；资金支付及时率100%；项目完成时间2024年12月；项目资金12万元；促进农业绿色化发展、资源持续可利用有效促进；受益群众满意度95%。</w:t>
            </w:r>
          </w:p>
        </w:tc>
      </w:tr>
      <w:tr w14:paraId="052973D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5E8C7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EB44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F790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1F6D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4CBC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E900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97ED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D8A9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31B2F">
            <w:pPr>
              <w:jc w:val="center"/>
            </w:pPr>
            <w:r>
              <w:rPr>
                <w:rFonts w:ascii="宋体" w:hAnsi="宋体" w:eastAsia="宋体"/>
                <w:sz w:val="16"/>
              </w:rPr>
              <w:t>偏差原因分析及改进措施</w:t>
            </w:r>
          </w:p>
        </w:tc>
      </w:tr>
      <w:tr w14:paraId="60C93DA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155B2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77FA5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18C9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FA921">
            <w:pPr>
              <w:jc w:val="center"/>
            </w:pPr>
            <w:r>
              <w:rPr>
                <w:rFonts w:ascii="宋体" w:hAnsi="宋体" w:eastAsia="宋体"/>
                <w:sz w:val="16"/>
              </w:rPr>
              <w:t>涉及补助村数量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AB5B5">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4C025">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D3F2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DBA9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1084A">
            <w:pPr>
              <w:jc w:val="center"/>
            </w:pPr>
          </w:p>
        </w:tc>
      </w:tr>
      <w:tr w14:paraId="0DA106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1E8A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8675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E9EE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31F4B">
            <w:pPr>
              <w:jc w:val="center"/>
            </w:pPr>
            <w:r>
              <w:rPr>
                <w:rFonts w:ascii="宋体" w:hAnsi="宋体" w:eastAsia="宋体"/>
                <w:sz w:val="16"/>
              </w:rPr>
              <w:t>涉及补助耕地亩数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09E3E">
            <w:pPr>
              <w:jc w:val="center"/>
            </w:pPr>
            <w:r>
              <w:rPr>
                <w:rFonts w:ascii="宋体" w:hAnsi="宋体" w:eastAsia="宋体"/>
                <w:sz w:val="16"/>
              </w:rPr>
              <w:t>&gt;=1336.50亩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892B8">
            <w:pPr>
              <w:jc w:val="center"/>
            </w:pPr>
            <w:r>
              <w:rPr>
                <w:rFonts w:ascii="宋体" w:hAnsi="宋体" w:eastAsia="宋体"/>
                <w:sz w:val="16"/>
              </w:rPr>
              <w:t>=1336.5亩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D540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4467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F0FDC">
            <w:pPr>
              <w:jc w:val="center"/>
            </w:pPr>
          </w:p>
        </w:tc>
      </w:tr>
      <w:tr w14:paraId="556C2A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1021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A2B95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6122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6ED67">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DEB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A92A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65F9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F72F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282E0">
            <w:pPr>
              <w:jc w:val="center"/>
            </w:pPr>
          </w:p>
        </w:tc>
      </w:tr>
      <w:tr w14:paraId="047FE9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2269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F3B4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27A8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0A1C8">
            <w:pPr>
              <w:jc w:val="center"/>
            </w:pPr>
            <w:r>
              <w:rPr>
                <w:rFonts w:ascii="宋体" w:hAnsi="宋体" w:eastAsia="宋体"/>
                <w:sz w:val="16"/>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C468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5C8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71EC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53CC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EC746">
            <w:pPr>
              <w:jc w:val="center"/>
            </w:pPr>
          </w:p>
        </w:tc>
      </w:tr>
      <w:tr w14:paraId="29D8197F">
        <w:tblPrEx>
          <w:tblCellMar>
            <w:top w:w="0" w:type="dxa"/>
            <w:left w:w="108" w:type="dxa"/>
            <w:bottom w:w="0" w:type="dxa"/>
            <w:right w:w="108" w:type="dxa"/>
          </w:tblCellMar>
        </w:tblPrEx>
        <w:trPr>
          <w:trHeight w:val="79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5A94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DAFC0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9C3D4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3F51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C98D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369A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4277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D9A6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BAFD7">
            <w:pPr>
              <w:jc w:val="center"/>
            </w:pPr>
          </w:p>
        </w:tc>
      </w:tr>
      <w:tr w14:paraId="16280C95">
        <w:tblPrEx>
          <w:tblCellMar>
            <w:top w:w="0" w:type="dxa"/>
            <w:left w:w="108" w:type="dxa"/>
            <w:bottom w:w="0" w:type="dxa"/>
            <w:right w:w="108" w:type="dxa"/>
          </w:tblCellMar>
        </w:tblPrEx>
        <w:trPr>
          <w:trHeight w:val="94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3EDF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EF6E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2E7E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BC6FF">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EAD9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97FC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58ED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F38F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C7ED7">
            <w:pPr>
              <w:jc w:val="center"/>
            </w:pPr>
          </w:p>
        </w:tc>
      </w:tr>
      <w:tr w14:paraId="5777FC93">
        <w:tblPrEx>
          <w:tblCellMar>
            <w:top w:w="0" w:type="dxa"/>
            <w:left w:w="108" w:type="dxa"/>
            <w:bottom w:w="0" w:type="dxa"/>
            <w:right w:w="108" w:type="dxa"/>
          </w:tblCellMar>
        </w:tblPrEx>
        <w:trPr>
          <w:trHeight w:val="861"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CE95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5A4B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1380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DD1D5">
            <w:pPr>
              <w:jc w:val="center"/>
            </w:pPr>
            <w:r>
              <w:rPr>
                <w:rFonts w:ascii="宋体" w:hAnsi="宋体" w:eastAsia="宋体"/>
                <w:sz w:val="16"/>
              </w:rPr>
              <w:t>项目补助资金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F075B">
            <w:pPr>
              <w:jc w:val="center"/>
            </w:pPr>
            <w:r>
              <w:rPr>
                <w:rFonts w:ascii="宋体" w:hAnsi="宋体" w:eastAsia="宋体"/>
                <w:sz w:val="16"/>
              </w:rPr>
              <w:t>&lt;=12万元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34927">
            <w:pPr>
              <w:jc w:val="center"/>
            </w:pPr>
            <w:r>
              <w:rPr>
                <w:rFonts w:ascii="宋体" w:hAnsi="宋体" w:eastAsia="宋体"/>
                <w:sz w:val="16"/>
              </w:rPr>
              <w:t>=12万元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A419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43D6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6EAE5">
            <w:pPr>
              <w:jc w:val="center"/>
            </w:pPr>
          </w:p>
        </w:tc>
      </w:tr>
      <w:tr w14:paraId="7EA884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0B02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108D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33B2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9C124">
            <w:pPr>
              <w:jc w:val="center"/>
            </w:pPr>
            <w:r>
              <w:rPr>
                <w:rFonts w:ascii="宋体" w:hAnsi="宋体" w:eastAsia="宋体"/>
                <w:sz w:val="16"/>
              </w:rPr>
              <w:t>促进农业绿色发展，资源可持续利用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41358">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890D6">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DAA7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7786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0D6C3">
            <w:pPr>
              <w:jc w:val="center"/>
            </w:pPr>
          </w:p>
        </w:tc>
      </w:tr>
      <w:tr w14:paraId="33F150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F3F0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FD53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234B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2FEF1">
            <w:pPr>
              <w:jc w:val="center"/>
            </w:pPr>
            <w:r>
              <w:rPr>
                <w:rFonts w:ascii="宋体" w:hAnsi="宋体" w:eastAsia="宋体"/>
                <w:sz w:val="16"/>
              </w:rPr>
              <w:t>受益农民满意度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D745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8FF4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2A7E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3D1E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A4464">
            <w:pPr>
              <w:jc w:val="center"/>
            </w:pPr>
          </w:p>
        </w:tc>
      </w:tr>
      <w:tr w14:paraId="0186E6D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9D4A0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665A8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4D28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9675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340B466"/>
        </w:tc>
      </w:tr>
    </w:tbl>
    <w:p w14:paraId="4C36302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8325DBE">
        <w:tblPrEx>
          <w:tblCellMar>
            <w:top w:w="0" w:type="dxa"/>
            <w:left w:w="108" w:type="dxa"/>
            <w:bottom w:w="0" w:type="dxa"/>
            <w:right w:w="108" w:type="dxa"/>
          </w:tblCellMar>
        </w:tblPrEx>
        <w:tc>
          <w:tcPr>
            <w:tcW w:w="8847" w:type="dxa"/>
            <w:gridSpan w:val="9"/>
            <w:vAlign w:val="center"/>
          </w:tcPr>
          <w:p w14:paraId="3CA7EE4C">
            <w:pPr>
              <w:jc w:val="center"/>
            </w:pPr>
            <w:r>
              <w:rPr>
                <w:rFonts w:ascii="宋体" w:hAnsi="宋体" w:eastAsia="宋体"/>
                <w:sz w:val="24"/>
              </w:rPr>
              <w:t>项目支出绩效自评表</w:t>
            </w:r>
          </w:p>
        </w:tc>
      </w:tr>
      <w:tr w14:paraId="6BC7760F">
        <w:tblPrEx>
          <w:tblCellMar>
            <w:top w:w="0" w:type="dxa"/>
            <w:left w:w="108" w:type="dxa"/>
            <w:bottom w:w="0" w:type="dxa"/>
            <w:right w:w="108" w:type="dxa"/>
          </w:tblCellMar>
        </w:tblPrEx>
        <w:tc>
          <w:tcPr>
            <w:tcW w:w="8847" w:type="dxa"/>
            <w:gridSpan w:val="9"/>
            <w:vAlign w:val="center"/>
          </w:tcPr>
          <w:p w14:paraId="2A9A3133">
            <w:pPr>
              <w:jc w:val="center"/>
            </w:pPr>
            <w:r>
              <w:rPr>
                <w:rFonts w:ascii="宋体" w:hAnsi="宋体" w:eastAsia="宋体"/>
                <w:sz w:val="24"/>
              </w:rPr>
              <w:t>(2024年度)</w:t>
            </w:r>
          </w:p>
        </w:tc>
      </w:tr>
      <w:tr w14:paraId="2FD07D8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4D31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49AAD17">
            <w:pPr>
              <w:jc w:val="center"/>
            </w:pPr>
            <w:r>
              <w:rPr>
                <w:rFonts w:ascii="宋体" w:hAnsi="宋体" w:eastAsia="宋体"/>
                <w:sz w:val="16"/>
              </w:rPr>
              <w:t>解决“洛浦县亚产业承包经营协议”纠纷诉讼费</w:t>
            </w:r>
          </w:p>
        </w:tc>
      </w:tr>
      <w:tr w14:paraId="39AFA1A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26C7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1625BE">
            <w:pPr>
              <w:jc w:val="center"/>
            </w:pPr>
            <w:r>
              <w:rPr>
                <w:rFonts w:ascii="宋体" w:hAnsi="宋体" w:eastAsia="宋体"/>
                <w:sz w:val="16"/>
              </w:rPr>
              <w:t>洛浦县供销合作社联合社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48A7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0EB7E0">
            <w:pPr>
              <w:jc w:val="center"/>
            </w:pPr>
            <w:r>
              <w:rPr>
                <w:rFonts w:ascii="宋体" w:hAnsi="宋体" w:eastAsia="宋体"/>
                <w:sz w:val="16"/>
              </w:rPr>
              <w:t>洛浦县供销合作社联合社</w:t>
            </w:r>
          </w:p>
        </w:tc>
      </w:tr>
      <w:tr w14:paraId="2B433AB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8218F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32E8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2149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B881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3EE3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B2D8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E4F5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08F7E">
            <w:pPr>
              <w:jc w:val="center"/>
            </w:pPr>
            <w:r>
              <w:rPr>
                <w:rFonts w:ascii="宋体" w:hAnsi="宋体" w:eastAsia="宋体"/>
                <w:sz w:val="16"/>
              </w:rPr>
              <w:t>得分</w:t>
            </w:r>
          </w:p>
        </w:tc>
      </w:tr>
      <w:tr w14:paraId="6FACF6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E4F30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8011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287A7">
            <w:pPr>
              <w:jc w:val="center"/>
            </w:pPr>
            <w:r>
              <w:rPr>
                <w:rFonts w:ascii="宋体" w:hAnsi="宋体" w:eastAsia="宋体"/>
                <w:sz w:val="16"/>
              </w:rPr>
              <w:t>26.48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180E1">
            <w:pPr>
              <w:jc w:val="center"/>
            </w:pPr>
            <w:r>
              <w:rPr>
                <w:rFonts w:ascii="宋体" w:hAnsi="宋体" w:eastAsia="宋体"/>
                <w:sz w:val="16"/>
              </w:rPr>
              <w:t>26.48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D198D">
            <w:pPr>
              <w:jc w:val="center"/>
            </w:pPr>
            <w:r>
              <w:rPr>
                <w:rFonts w:ascii="宋体" w:hAnsi="宋体" w:eastAsia="宋体"/>
                <w:sz w:val="16"/>
              </w:rPr>
              <w:t>26.48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ADA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BC02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B92FF">
            <w:pPr>
              <w:jc w:val="center"/>
            </w:pPr>
            <w:r>
              <w:rPr>
                <w:rFonts w:ascii="宋体" w:hAnsi="宋体" w:eastAsia="宋体"/>
                <w:sz w:val="16"/>
              </w:rPr>
              <w:t>10.00分</w:t>
            </w:r>
          </w:p>
        </w:tc>
      </w:tr>
      <w:tr w14:paraId="47F8FE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CC155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5F9E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200DC">
            <w:pPr>
              <w:jc w:val="center"/>
            </w:pPr>
            <w:r>
              <w:rPr>
                <w:rFonts w:ascii="宋体" w:hAnsi="宋体" w:eastAsia="宋体"/>
                <w:sz w:val="16"/>
              </w:rPr>
              <w:t>26.48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F3893">
            <w:pPr>
              <w:jc w:val="center"/>
            </w:pPr>
            <w:r>
              <w:rPr>
                <w:rFonts w:ascii="宋体" w:hAnsi="宋体" w:eastAsia="宋体"/>
                <w:sz w:val="16"/>
              </w:rPr>
              <w:t>26.48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066D6">
            <w:pPr>
              <w:jc w:val="center"/>
            </w:pPr>
            <w:r>
              <w:rPr>
                <w:rFonts w:ascii="宋体" w:hAnsi="宋体" w:eastAsia="宋体"/>
                <w:sz w:val="16"/>
              </w:rPr>
              <w:t>26.48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17CE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2CC4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1C3E6">
            <w:pPr>
              <w:jc w:val="center"/>
            </w:pPr>
            <w:r>
              <w:rPr>
                <w:rFonts w:ascii="宋体" w:hAnsi="宋体" w:eastAsia="宋体"/>
                <w:sz w:val="16"/>
              </w:rPr>
              <w:t>—</w:t>
            </w:r>
          </w:p>
        </w:tc>
      </w:tr>
      <w:tr w14:paraId="5E609E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1D66A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292C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319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10EB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313A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C33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118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C94D5">
            <w:pPr>
              <w:jc w:val="center"/>
            </w:pPr>
            <w:r>
              <w:rPr>
                <w:rFonts w:ascii="宋体" w:hAnsi="宋体" w:eastAsia="宋体"/>
                <w:sz w:val="16"/>
              </w:rPr>
              <w:t>—</w:t>
            </w:r>
          </w:p>
        </w:tc>
      </w:tr>
      <w:tr w14:paraId="0B2B0F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4469C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E3FE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5D3E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9D5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B275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F46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CEA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0B0EE">
            <w:pPr>
              <w:jc w:val="center"/>
            </w:pPr>
            <w:r>
              <w:rPr>
                <w:rFonts w:ascii="宋体" w:hAnsi="宋体" w:eastAsia="宋体"/>
                <w:sz w:val="16"/>
              </w:rPr>
              <w:t>—</w:t>
            </w:r>
          </w:p>
        </w:tc>
      </w:tr>
      <w:tr w14:paraId="78246B2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AB015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B36F6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1CDC95">
            <w:pPr>
              <w:jc w:val="center"/>
            </w:pPr>
            <w:r>
              <w:rPr>
                <w:rFonts w:ascii="宋体" w:hAnsi="宋体" w:eastAsia="宋体"/>
                <w:sz w:val="16"/>
              </w:rPr>
              <w:t>实际完成情况</w:t>
            </w:r>
          </w:p>
        </w:tc>
      </w:tr>
      <w:tr w14:paraId="3EA8DE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99DD8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CEE596">
            <w:pPr>
              <w:jc w:val="both"/>
            </w:pPr>
            <w:r>
              <w:rPr>
                <w:rFonts w:ascii="宋体" w:hAnsi="宋体" w:eastAsia="宋体"/>
                <w:sz w:val="16"/>
              </w:rPr>
              <w:t>根据文件实施该项目，项目内容：项目资金主要用于支付诉讼费。通过项目的实施，有效提高政府单位公信力。争取受益群众满意度达到95%以上。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50C33A">
            <w:pPr>
              <w:jc w:val="both"/>
            </w:pPr>
            <w:r>
              <w:rPr>
                <w:rFonts w:hint="eastAsia" w:ascii="宋体" w:hAnsi="宋体"/>
                <w:sz w:val="16"/>
                <w:lang w:eastAsia="zh-CN"/>
              </w:rPr>
              <w:t>截至</w:t>
            </w:r>
            <w:r>
              <w:rPr>
                <w:rFonts w:ascii="宋体" w:hAnsi="宋体" w:eastAsia="宋体"/>
                <w:sz w:val="16"/>
              </w:rPr>
              <w:t>2024</w:t>
            </w:r>
            <w:r>
              <w:rPr>
                <w:rFonts w:hint="eastAsia" w:ascii="宋体" w:hAnsi="宋体"/>
                <w:sz w:val="16"/>
                <w:lang w:eastAsia="zh-CN"/>
              </w:rPr>
              <w:t>年</w:t>
            </w:r>
            <w:r>
              <w:rPr>
                <w:rFonts w:ascii="宋体" w:hAnsi="宋体" w:eastAsia="宋体"/>
                <w:sz w:val="16"/>
              </w:rPr>
              <w:t>12月31日，该项目资金实际支付26.48万元，资金主要用于支付诉讼费。通过项目的实施，有效提高政府单位公信力。争取受益群众满意度达到95%以上。</w:t>
            </w:r>
          </w:p>
        </w:tc>
      </w:tr>
      <w:tr w14:paraId="5AE19CF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4CAFD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DD23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7821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F9AD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27B6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78F8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5A38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E0A1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7F398">
            <w:pPr>
              <w:jc w:val="center"/>
            </w:pPr>
            <w:r>
              <w:rPr>
                <w:rFonts w:ascii="宋体" w:hAnsi="宋体" w:eastAsia="宋体"/>
                <w:sz w:val="16"/>
              </w:rPr>
              <w:t>偏差原因分析及改进措施</w:t>
            </w:r>
          </w:p>
        </w:tc>
      </w:tr>
      <w:tr w14:paraId="7CE713E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3DC9A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830F5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5CEB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F3583">
            <w:pPr>
              <w:jc w:val="center"/>
            </w:pPr>
            <w:r>
              <w:rPr>
                <w:rFonts w:ascii="宋体" w:hAnsi="宋体" w:eastAsia="宋体"/>
                <w:sz w:val="16"/>
              </w:rPr>
              <w:t>保障项目个数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2994F">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708BF">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7B7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3E7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2CCE1">
            <w:pPr>
              <w:jc w:val="center"/>
            </w:pPr>
          </w:p>
        </w:tc>
      </w:tr>
      <w:tr w14:paraId="3FD1D1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C0EC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3F7F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86F7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43DBA">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6849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988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6B9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C50E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C488F">
            <w:pPr>
              <w:jc w:val="center"/>
            </w:pPr>
          </w:p>
        </w:tc>
      </w:tr>
      <w:tr w14:paraId="095F7F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3631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3B77E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1149D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2D6E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99D9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326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4DF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ED3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88033">
            <w:pPr>
              <w:jc w:val="center"/>
            </w:pPr>
          </w:p>
        </w:tc>
      </w:tr>
      <w:tr w14:paraId="1DB041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D6E3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5D27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485F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4087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F4E1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6523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797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B5E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85E76">
            <w:pPr>
              <w:jc w:val="center"/>
            </w:pPr>
          </w:p>
        </w:tc>
      </w:tr>
      <w:tr w14:paraId="5CBD58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78FE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4C31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4F56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A03C1">
            <w:pPr>
              <w:jc w:val="center"/>
            </w:pPr>
            <w:r>
              <w:rPr>
                <w:rFonts w:ascii="宋体" w:hAnsi="宋体" w:eastAsia="宋体"/>
                <w:sz w:val="16"/>
              </w:rPr>
              <w:t>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A3834">
            <w:pPr>
              <w:jc w:val="center"/>
            </w:pPr>
            <w:r>
              <w:rPr>
                <w:rFonts w:ascii="宋体" w:hAnsi="宋体" w:eastAsia="宋体"/>
                <w:sz w:val="16"/>
              </w:rPr>
              <w:t>&lt;=26.48万元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4337C">
            <w:pPr>
              <w:jc w:val="center"/>
            </w:pPr>
            <w:r>
              <w:rPr>
                <w:rFonts w:ascii="宋体" w:hAnsi="宋体" w:eastAsia="宋体"/>
                <w:sz w:val="16"/>
              </w:rPr>
              <w:t>=26.48万元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3EE5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E17E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C95C2">
            <w:pPr>
              <w:jc w:val="center"/>
            </w:pPr>
          </w:p>
        </w:tc>
      </w:tr>
      <w:tr w14:paraId="315E96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0D25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0634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F9D8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E143F">
            <w:pPr>
              <w:jc w:val="center"/>
            </w:pPr>
            <w:r>
              <w:rPr>
                <w:rFonts w:ascii="宋体" w:hAnsi="宋体" w:eastAsia="宋体"/>
                <w:sz w:val="16"/>
              </w:rPr>
              <w:t>提高政府单位公信力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615D3">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A77FD">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222C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312A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7AB1C">
            <w:pPr>
              <w:jc w:val="center"/>
            </w:pPr>
          </w:p>
        </w:tc>
      </w:tr>
      <w:tr w14:paraId="757A73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0902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4268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AE87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CD395">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5A0B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BDAC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BD7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86E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97335">
            <w:pPr>
              <w:jc w:val="center"/>
            </w:pPr>
          </w:p>
        </w:tc>
      </w:tr>
      <w:tr w14:paraId="40324CC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6A3C7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6936F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1E1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1B47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BBC6031"/>
        </w:tc>
      </w:tr>
    </w:tbl>
    <w:p w14:paraId="43B98127">
      <w:r>
        <w:br w:type="page"/>
      </w:r>
    </w:p>
    <w:p w14:paraId="4384C5B0">
      <w:pPr>
        <w:spacing w:line="640" w:lineRule="exact"/>
        <w:ind w:firstLine="640"/>
        <w:jc w:val="both"/>
        <w:outlineLvl w:val="2"/>
      </w:pPr>
      <w:r>
        <w:rPr>
          <w:rFonts w:ascii="黑体" w:hAnsi="黑体" w:eastAsia="黑体"/>
          <w:sz w:val="32"/>
        </w:rPr>
        <w:t>十二、其他需说明的事项</w:t>
      </w:r>
    </w:p>
    <w:p w14:paraId="7FE6AE91">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75F0504A">
      <w:pPr>
        <w:spacing w:line="580" w:lineRule="exact"/>
        <w:ind w:firstLine="640"/>
        <w:jc w:val="both"/>
      </w:pPr>
      <w:r>
        <w:rPr>
          <w:rFonts w:ascii="仿宋_GB2312" w:hAnsi="仿宋_GB2312" w:eastAsia="仿宋_GB2312"/>
          <w:b w:val="0"/>
          <w:sz w:val="32"/>
        </w:rPr>
        <w:t>本年本单位SM项目1个，全年预算数2.87万元，全年执行数2.87万元。</w:t>
      </w:r>
    </w:p>
    <w:p w14:paraId="4D16440F">
      <w:r>
        <w:br w:type="page"/>
      </w:r>
    </w:p>
    <w:p w14:paraId="39CE3DA6">
      <w:pPr>
        <w:spacing w:line="240" w:lineRule="auto"/>
        <w:jc w:val="center"/>
        <w:outlineLvl w:val="1"/>
      </w:pPr>
      <w:r>
        <w:rPr>
          <w:rFonts w:ascii="黑体" w:hAnsi="黑体" w:eastAsia="黑体"/>
          <w:sz w:val="32"/>
        </w:rPr>
        <w:t>第三部分 专业名词解释</w:t>
      </w:r>
    </w:p>
    <w:p w14:paraId="2C6FAA8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518752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6B8720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357A94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964A39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9C6B45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82DEBF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2EC228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092047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802F65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40A102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10B59B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C8857A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F9283C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A0B7C9E">
      <w:r>
        <w:br w:type="page"/>
      </w:r>
    </w:p>
    <w:p w14:paraId="5D47E8A3">
      <w:pPr>
        <w:spacing w:line="240" w:lineRule="auto"/>
        <w:jc w:val="center"/>
        <w:outlineLvl w:val="1"/>
      </w:pPr>
      <w:r>
        <w:rPr>
          <w:rFonts w:ascii="黑体" w:hAnsi="黑体" w:eastAsia="黑体"/>
          <w:sz w:val="32"/>
        </w:rPr>
        <w:t>第四部分 部门决算报表（见附表）</w:t>
      </w:r>
    </w:p>
    <w:p w14:paraId="19D93FCA">
      <w:pPr>
        <w:spacing w:line="240" w:lineRule="auto"/>
        <w:ind w:firstLine="640"/>
        <w:jc w:val="both"/>
      </w:pPr>
      <w:r>
        <w:rPr>
          <w:rFonts w:ascii="仿宋_GB2312" w:hAnsi="仿宋_GB2312" w:eastAsia="仿宋_GB2312"/>
          <w:b w:val="0"/>
          <w:sz w:val="32"/>
        </w:rPr>
        <w:t>一、《收入支出决算总表》</w:t>
      </w:r>
    </w:p>
    <w:p w14:paraId="40125E11">
      <w:pPr>
        <w:spacing w:line="240" w:lineRule="auto"/>
        <w:ind w:firstLine="640"/>
        <w:jc w:val="both"/>
      </w:pPr>
      <w:r>
        <w:rPr>
          <w:rFonts w:ascii="仿宋_GB2312" w:hAnsi="仿宋_GB2312" w:eastAsia="仿宋_GB2312"/>
          <w:b w:val="0"/>
          <w:sz w:val="32"/>
        </w:rPr>
        <w:t>二、《收入决算表》</w:t>
      </w:r>
    </w:p>
    <w:p w14:paraId="142F5140">
      <w:pPr>
        <w:spacing w:line="240" w:lineRule="auto"/>
        <w:ind w:firstLine="640"/>
        <w:jc w:val="both"/>
      </w:pPr>
      <w:r>
        <w:rPr>
          <w:rFonts w:ascii="仿宋_GB2312" w:hAnsi="仿宋_GB2312" w:eastAsia="仿宋_GB2312"/>
          <w:b w:val="0"/>
          <w:sz w:val="32"/>
        </w:rPr>
        <w:t>三、《支出决算表》</w:t>
      </w:r>
    </w:p>
    <w:p w14:paraId="5BAED7CD">
      <w:pPr>
        <w:spacing w:line="240" w:lineRule="auto"/>
        <w:ind w:firstLine="640"/>
        <w:jc w:val="both"/>
      </w:pPr>
      <w:r>
        <w:rPr>
          <w:rFonts w:ascii="仿宋_GB2312" w:hAnsi="仿宋_GB2312" w:eastAsia="仿宋_GB2312"/>
          <w:b w:val="0"/>
          <w:sz w:val="32"/>
        </w:rPr>
        <w:t>四、《财政拨款收入支出决算总表》</w:t>
      </w:r>
    </w:p>
    <w:p w14:paraId="30B45B3E">
      <w:pPr>
        <w:spacing w:line="240" w:lineRule="auto"/>
        <w:ind w:firstLine="640"/>
        <w:jc w:val="both"/>
      </w:pPr>
      <w:r>
        <w:rPr>
          <w:rFonts w:ascii="仿宋_GB2312" w:hAnsi="仿宋_GB2312" w:eastAsia="仿宋_GB2312"/>
          <w:b w:val="0"/>
          <w:sz w:val="32"/>
        </w:rPr>
        <w:t>五、《一般公共预算财政拨款支出决算表》</w:t>
      </w:r>
    </w:p>
    <w:p w14:paraId="711CD190">
      <w:pPr>
        <w:spacing w:line="240" w:lineRule="auto"/>
        <w:ind w:firstLine="640"/>
        <w:jc w:val="both"/>
      </w:pPr>
      <w:r>
        <w:rPr>
          <w:rFonts w:ascii="仿宋_GB2312" w:hAnsi="仿宋_GB2312" w:eastAsia="仿宋_GB2312"/>
          <w:b w:val="0"/>
          <w:sz w:val="32"/>
        </w:rPr>
        <w:t>六、《一般公共预算财政拨款基本支出决算表》</w:t>
      </w:r>
    </w:p>
    <w:p w14:paraId="40E764EF">
      <w:pPr>
        <w:spacing w:line="240" w:lineRule="auto"/>
        <w:ind w:firstLine="640"/>
        <w:jc w:val="both"/>
      </w:pPr>
      <w:r>
        <w:rPr>
          <w:rFonts w:ascii="仿宋_GB2312" w:hAnsi="仿宋_GB2312" w:eastAsia="仿宋_GB2312"/>
          <w:b w:val="0"/>
          <w:sz w:val="32"/>
        </w:rPr>
        <w:t>七、《政府性基金预算财政拨款收入支出决算表》</w:t>
      </w:r>
    </w:p>
    <w:p w14:paraId="443D6836">
      <w:pPr>
        <w:spacing w:line="240" w:lineRule="auto"/>
        <w:ind w:firstLine="640"/>
        <w:jc w:val="both"/>
      </w:pPr>
      <w:r>
        <w:rPr>
          <w:rFonts w:ascii="仿宋_GB2312" w:hAnsi="仿宋_GB2312" w:eastAsia="仿宋_GB2312"/>
          <w:b w:val="0"/>
          <w:sz w:val="32"/>
        </w:rPr>
        <w:t>八、《国有资本经营预算财政拨款收入支出决算表》</w:t>
      </w:r>
    </w:p>
    <w:p w14:paraId="3391DB0F">
      <w:pPr>
        <w:spacing w:line="240" w:lineRule="auto"/>
        <w:ind w:firstLine="640"/>
        <w:jc w:val="both"/>
      </w:pPr>
      <w:r>
        <w:rPr>
          <w:rFonts w:ascii="仿宋_GB2312" w:hAnsi="仿宋_GB2312" w:eastAsia="仿宋_GB2312"/>
          <w:b w:val="0"/>
          <w:sz w:val="32"/>
        </w:rPr>
        <w:t>九、《财政拨款“三公”经费支出决算表》</w:t>
      </w:r>
    </w:p>
    <w:p w14:paraId="360883D7">
      <w:pPr>
        <w:spacing w:line="240" w:lineRule="auto"/>
        <w:ind w:firstLine="640"/>
        <w:jc w:val="both"/>
      </w:pPr>
    </w:p>
    <w:p w14:paraId="3FF7B15C">
      <w:pPr>
        <w:spacing w:line="240" w:lineRule="auto"/>
        <w:ind w:firstLine="640"/>
        <w:jc w:val="both"/>
      </w:pPr>
    </w:p>
    <w:p w14:paraId="7FF2279B">
      <w:pPr>
        <w:spacing w:line="240" w:lineRule="auto"/>
        <w:ind w:firstLine="640"/>
        <w:jc w:val="both"/>
      </w:pPr>
    </w:p>
    <w:p w14:paraId="7AAEDFD9">
      <w:pPr>
        <w:spacing w:line="240" w:lineRule="auto"/>
        <w:ind w:firstLine="640"/>
        <w:jc w:val="both"/>
      </w:pPr>
    </w:p>
    <w:p w14:paraId="6584237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BC1A20"/>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0214F1"/>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6089</Words>
  <Characters>7024</Characters>
  <Lines>0</Lines>
  <Paragraphs>0</Paragraphs>
  <TotalTime>4</TotalTime>
  <ScaleCrop>false</ScaleCrop>
  <LinksUpToDate>false</LinksUpToDate>
  <CharactersWithSpaces>7035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2025-09-17T09:55:01Z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