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C2EFFB"/>
    <w:p w14:paraId="2B6B2F31">
      <w:pPr>
        <w:pageBreakBefore w:val="0"/>
        <w:widowControl w:val="0"/>
        <w:shd w:val="clear" w:color="auto" w:fill="auto"/>
        <w:kinsoku/>
        <w:wordWrap/>
        <w:topLinePunct w:val="0"/>
        <w:autoSpaceDE/>
        <w:autoSpaceDN/>
        <w:bidi w:val="0"/>
        <w:spacing w:line="560" w:lineRule="exact"/>
        <w:ind w:left="0" w:leftChars="0" w:firstLine="0" w:firstLineChars="0"/>
        <w:textAlignment w:val="auto"/>
        <w:rPr>
          <w:rFonts w:hint="default" w:eastAsia="方正仿宋_GBK" w:cs="方正仿宋_GBK"/>
          <w:b/>
          <w:color w:val="auto"/>
          <w:kern w:val="0"/>
          <w:sz w:val="32"/>
          <w:szCs w:val="32"/>
          <w:highlight w:val="none"/>
          <w:lang w:val="en-US" w:eastAsia="zh-CN" w:bidi="en-US"/>
        </w:rPr>
      </w:pPr>
    </w:p>
    <w:p w14:paraId="456EDB4D">
      <w:pPr>
        <w:keepNext w:val="0"/>
        <w:keepLines w:val="0"/>
        <w:pageBreakBefore w:val="0"/>
        <w:widowControl w:val="0"/>
        <w:shd w:val="clear" w:color="auto" w:fill="auto"/>
        <w:tabs>
          <w:tab w:val="left" w:pos="1680"/>
        </w:tabs>
        <w:kinsoku/>
        <w:wordWrap/>
        <w:overflowPunct/>
        <w:topLinePunct w:val="0"/>
        <w:autoSpaceDE/>
        <w:autoSpaceDN/>
        <w:bidi w:val="0"/>
        <w:adjustRightInd/>
        <w:snapToGrid/>
        <w:spacing w:line="360" w:lineRule="auto"/>
        <w:ind w:left="0" w:leftChars="0" w:firstLine="0" w:firstLineChars="0"/>
        <w:jc w:val="center"/>
        <w:textAlignment w:val="auto"/>
        <w:outlineLvl w:val="0"/>
        <w:rPr>
          <w:rFonts w:hint="eastAsia" w:ascii="黑体" w:hAnsi="黑体" w:eastAsia="黑体" w:cs="黑体"/>
          <w:b/>
          <w:color w:val="auto"/>
          <w:sz w:val="36"/>
          <w:szCs w:val="36"/>
          <w:highlight w:val="none"/>
          <w:lang w:val="en-US" w:eastAsia="zh-CN"/>
        </w:rPr>
      </w:pPr>
      <w:r>
        <w:rPr>
          <w:rFonts w:hint="eastAsia" w:ascii="黑体" w:hAnsi="黑体" w:eastAsia="黑体" w:cs="黑体"/>
          <w:b/>
          <w:color w:val="auto"/>
          <w:sz w:val="36"/>
          <w:szCs w:val="36"/>
          <w:highlight w:val="none"/>
          <w:lang w:val="en-US" w:eastAsia="zh-CN"/>
        </w:rPr>
        <w:t>和田地区关于提前下达2024年中央农业生产发展</w:t>
      </w:r>
    </w:p>
    <w:p w14:paraId="45ACDCFB">
      <w:pPr>
        <w:keepNext w:val="0"/>
        <w:keepLines w:val="0"/>
        <w:pageBreakBefore w:val="0"/>
        <w:widowControl w:val="0"/>
        <w:shd w:val="clear" w:color="auto" w:fill="auto"/>
        <w:tabs>
          <w:tab w:val="left" w:pos="1680"/>
        </w:tabs>
        <w:kinsoku/>
        <w:wordWrap/>
        <w:overflowPunct/>
        <w:topLinePunct w:val="0"/>
        <w:autoSpaceDE/>
        <w:autoSpaceDN/>
        <w:bidi w:val="0"/>
        <w:adjustRightInd/>
        <w:snapToGrid/>
        <w:spacing w:line="360" w:lineRule="auto"/>
        <w:ind w:left="0" w:leftChars="0" w:firstLine="0" w:firstLineChars="0"/>
        <w:jc w:val="center"/>
        <w:textAlignment w:val="auto"/>
        <w:outlineLvl w:val="0"/>
        <w:rPr>
          <w:rFonts w:hint="eastAsia" w:ascii="黑体" w:hAnsi="黑体" w:eastAsia="黑体" w:cs="黑体"/>
          <w:b/>
          <w:color w:val="auto"/>
          <w:sz w:val="36"/>
          <w:szCs w:val="36"/>
          <w:highlight w:val="none"/>
          <w:lang w:val="en-US" w:eastAsia="zh-CN"/>
        </w:rPr>
      </w:pPr>
      <w:r>
        <w:rPr>
          <w:rFonts w:hint="eastAsia" w:ascii="黑体" w:hAnsi="黑体" w:eastAsia="黑体" w:cs="黑体"/>
          <w:b/>
          <w:color w:val="auto"/>
          <w:sz w:val="36"/>
          <w:szCs w:val="36"/>
          <w:highlight w:val="none"/>
          <w:lang w:val="en-US" w:eastAsia="zh-CN"/>
        </w:rPr>
        <w:t>项目支出绩效评价报告</w:t>
      </w:r>
    </w:p>
    <w:p w14:paraId="1CEE85FF">
      <w:pPr>
        <w:pStyle w:val="6"/>
        <w:shd w:val="clear" w:color="auto" w:fill="auto"/>
        <w:ind w:left="0" w:leftChars="0" w:firstLine="0" w:firstLineChars="0"/>
        <w:jc w:val="center"/>
        <w:rPr>
          <w:rFonts w:hint="eastAsia" w:ascii="宋体" w:hAnsi="宋体" w:eastAsia="宋体" w:cs="宋体"/>
          <w:b/>
          <w:bCs w:val="0"/>
          <w:color w:val="auto"/>
          <w:sz w:val="28"/>
          <w:szCs w:val="28"/>
          <w:highlight w:val="none"/>
          <w:lang w:val="en-US" w:eastAsia="zh-CN"/>
        </w:rPr>
      </w:pPr>
      <w:r>
        <w:rPr>
          <w:rFonts w:hint="eastAsia" w:ascii="宋体" w:hAnsi="宋体" w:eastAsia="宋体" w:cs="宋体"/>
          <w:b/>
          <w:bCs w:val="0"/>
          <w:color w:val="auto"/>
          <w:sz w:val="28"/>
          <w:szCs w:val="28"/>
          <w:highlight w:val="none"/>
          <w:lang w:val="en-US" w:eastAsia="zh-CN"/>
        </w:rPr>
        <w:t>（2024年度）</w:t>
      </w:r>
    </w:p>
    <w:p w14:paraId="7C89C918">
      <w:pPr>
        <w:pageBreakBefore w:val="0"/>
        <w:widowControl w:val="0"/>
        <w:shd w:val="clear" w:color="auto" w:fill="auto"/>
        <w:kinsoku/>
        <w:wordWrap/>
        <w:topLinePunct w:val="0"/>
        <w:autoSpaceDE/>
        <w:autoSpaceDN/>
        <w:bidi w:val="0"/>
        <w:spacing w:line="560" w:lineRule="exact"/>
        <w:ind w:left="0" w:leftChars="0" w:firstLine="0" w:firstLineChars="0"/>
        <w:jc w:val="center"/>
        <w:textAlignment w:val="auto"/>
        <w:rPr>
          <w:rFonts w:hint="eastAsia" w:eastAsia="方正仿宋_GBK" w:cs="方正仿宋_GBK"/>
          <w:b/>
          <w:color w:val="auto"/>
          <w:kern w:val="0"/>
          <w:sz w:val="32"/>
          <w:szCs w:val="32"/>
          <w:highlight w:val="none"/>
          <w:lang w:bidi="en-US"/>
        </w:rPr>
      </w:pPr>
    </w:p>
    <w:p w14:paraId="5D96BB14">
      <w:pPr>
        <w:pageBreakBefore w:val="0"/>
        <w:widowControl w:val="0"/>
        <w:shd w:val="clear" w:color="auto" w:fill="auto"/>
        <w:kinsoku/>
        <w:wordWrap/>
        <w:topLinePunct w:val="0"/>
        <w:autoSpaceDE/>
        <w:autoSpaceDN/>
        <w:bidi w:val="0"/>
        <w:spacing w:line="560" w:lineRule="exact"/>
        <w:ind w:left="0" w:leftChars="0" w:firstLine="0" w:firstLineChars="0"/>
        <w:jc w:val="center"/>
        <w:textAlignment w:val="auto"/>
        <w:rPr>
          <w:rFonts w:hint="eastAsia" w:eastAsia="方正仿宋_GBK" w:cs="方正仿宋_GBK"/>
          <w:b/>
          <w:color w:val="auto"/>
          <w:kern w:val="0"/>
          <w:sz w:val="32"/>
          <w:szCs w:val="32"/>
          <w:highlight w:val="none"/>
          <w:lang w:bidi="en-US"/>
        </w:rPr>
      </w:pPr>
    </w:p>
    <w:p w14:paraId="6A649864">
      <w:pPr>
        <w:pStyle w:val="6"/>
        <w:shd w:val="clear" w:color="auto" w:fill="auto"/>
        <w:rPr>
          <w:rFonts w:hint="eastAsia" w:eastAsia="方正仿宋_GBK" w:cs="方正仿宋_GBK"/>
          <w:b/>
          <w:color w:val="auto"/>
          <w:kern w:val="0"/>
          <w:sz w:val="32"/>
          <w:szCs w:val="32"/>
          <w:highlight w:val="none"/>
          <w:lang w:bidi="en-US"/>
        </w:rPr>
      </w:pPr>
    </w:p>
    <w:p w14:paraId="03DEF852">
      <w:pPr>
        <w:shd w:val="clear" w:color="auto" w:fill="auto"/>
        <w:rPr>
          <w:rFonts w:hint="eastAsia" w:eastAsia="方正仿宋_GBK" w:cs="方正仿宋_GBK"/>
          <w:b/>
          <w:color w:val="auto"/>
          <w:kern w:val="0"/>
          <w:sz w:val="32"/>
          <w:szCs w:val="32"/>
          <w:highlight w:val="none"/>
          <w:lang w:bidi="en-US"/>
        </w:rPr>
      </w:pPr>
    </w:p>
    <w:p w14:paraId="74AA734E">
      <w:pPr>
        <w:pStyle w:val="6"/>
        <w:shd w:val="clear" w:color="auto" w:fill="auto"/>
        <w:rPr>
          <w:rFonts w:hint="eastAsia"/>
          <w:color w:val="auto"/>
          <w:highlight w:val="none"/>
        </w:rPr>
      </w:pPr>
    </w:p>
    <w:p w14:paraId="6B8FDE5B">
      <w:pPr>
        <w:pStyle w:val="6"/>
        <w:pageBreakBefore w:val="0"/>
        <w:widowControl w:val="0"/>
        <w:shd w:val="clear" w:color="auto" w:fill="auto"/>
        <w:kinsoku/>
        <w:wordWrap/>
        <w:topLinePunct w:val="0"/>
        <w:autoSpaceDE/>
        <w:autoSpaceDN/>
        <w:bidi w:val="0"/>
        <w:spacing w:before="0" w:after="0" w:line="560" w:lineRule="exact"/>
        <w:ind w:left="0" w:leftChars="0" w:firstLine="643"/>
        <w:textAlignment w:val="auto"/>
        <w:rPr>
          <w:rFonts w:hint="eastAsia" w:eastAsia="方正仿宋_GBK" w:cs="方正仿宋_GBK"/>
          <w:b/>
          <w:color w:val="auto"/>
          <w:sz w:val="32"/>
          <w:highlight w:val="none"/>
          <w:lang w:bidi="en-US"/>
        </w:rPr>
      </w:pPr>
    </w:p>
    <w:p w14:paraId="0DF22041">
      <w:pPr>
        <w:pageBreakBefore w:val="0"/>
        <w:widowControl w:val="0"/>
        <w:shd w:val="clear" w:color="auto" w:fill="auto"/>
        <w:kinsoku/>
        <w:wordWrap/>
        <w:topLinePunct w:val="0"/>
        <w:autoSpaceDE/>
        <w:autoSpaceDN/>
        <w:bidi w:val="0"/>
        <w:spacing w:line="560" w:lineRule="exact"/>
        <w:ind w:left="0" w:leftChars="0" w:firstLine="560"/>
        <w:textAlignment w:val="auto"/>
        <w:rPr>
          <w:rFonts w:hint="eastAsia"/>
          <w:color w:val="auto"/>
          <w:highlight w:val="none"/>
        </w:rPr>
      </w:pPr>
    </w:p>
    <w:p w14:paraId="16B93B90">
      <w:pPr>
        <w:pageBreakBefore w:val="0"/>
        <w:widowControl w:val="0"/>
        <w:shd w:val="clear" w:color="auto" w:fill="auto"/>
        <w:kinsoku/>
        <w:wordWrap/>
        <w:topLinePunct w:val="0"/>
        <w:autoSpaceDE/>
        <w:autoSpaceDN/>
        <w:bidi w:val="0"/>
        <w:spacing w:line="560" w:lineRule="exact"/>
        <w:ind w:left="0" w:leftChars="0" w:firstLine="0" w:firstLineChars="0"/>
        <w:textAlignment w:val="auto"/>
        <w:rPr>
          <w:rFonts w:hint="eastAsia" w:eastAsia="方正仿宋_GBK" w:cs="方正仿宋_GBK"/>
          <w:color w:val="auto"/>
          <w:kern w:val="0"/>
          <w:sz w:val="32"/>
          <w:szCs w:val="32"/>
          <w:highlight w:val="none"/>
          <w:lang w:bidi="en-US"/>
        </w:rPr>
      </w:pPr>
    </w:p>
    <w:p w14:paraId="261DC061">
      <w:pPr>
        <w:pageBreakBefore w:val="0"/>
        <w:widowControl w:val="0"/>
        <w:shd w:val="clear" w:color="auto" w:fill="auto"/>
        <w:kinsoku/>
        <w:wordWrap/>
        <w:topLinePunct w:val="0"/>
        <w:autoSpaceDE/>
        <w:autoSpaceDN/>
        <w:bidi w:val="0"/>
        <w:spacing w:line="560" w:lineRule="exact"/>
        <w:ind w:left="0" w:leftChars="0" w:firstLine="1234" w:firstLineChars="441"/>
        <w:jc w:val="left"/>
        <w:textAlignment w:val="auto"/>
        <w:rPr>
          <w:rFonts w:hint="eastAsia" w:ascii="宋体" w:hAnsi="宋体" w:eastAsia="宋体" w:cs="宋体"/>
          <w:b/>
          <w:bCs/>
          <w:color w:val="auto"/>
          <w:kern w:val="0"/>
          <w:sz w:val="28"/>
          <w:szCs w:val="28"/>
          <w:highlight w:val="none"/>
          <w:lang w:val="en-US" w:eastAsia="zh-CN" w:bidi="en-US"/>
        </w:rPr>
      </w:pPr>
      <w:r>
        <w:rPr>
          <w:rFonts w:hint="eastAsia" w:ascii="宋体" w:hAnsi="宋体" w:eastAsia="宋体" w:cs="宋体"/>
          <w:b/>
          <w:bCs/>
          <w:color w:val="auto"/>
          <w:kern w:val="0"/>
          <w:sz w:val="28"/>
          <w:szCs w:val="28"/>
          <w:highlight w:val="none"/>
          <w:lang w:bidi="en-US"/>
        </w:rPr>
        <w:t>项目名称：</w:t>
      </w:r>
      <w:r>
        <w:rPr>
          <w:rFonts w:hint="eastAsia" w:ascii="宋体" w:hAnsi="宋体" w:eastAsia="宋体" w:cs="宋体"/>
          <w:b/>
          <w:bCs/>
          <w:color w:val="auto"/>
          <w:kern w:val="0"/>
          <w:sz w:val="28"/>
          <w:szCs w:val="28"/>
          <w:highlight w:val="none"/>
          <w:lang w:val="en-US" w:eastAsia="zh-CN" w:bidi="en-US"/>
        </w:rPr>
        <w:t>关于提前下达2024年中央农业生产发展</w:t>
      </w:r>
    </w:p>
    <w:p w14:paraId="5E3C6059">
      <w:pPr>
        <w:pageBreakBefore w:val="0"/>
        <w:widowControl w:val="0"/>
        <w:shd w:val="clear" w:color="auto" w:fill="auto"/>
        <w:kinsoku/>
        <w:wordWrap/>
        <w:topLinePunct w:val="0"/>
        <w:autoSpaceDE/>
        <w:autoSpaceDN/>
        <w:bidi w:val="0"/>
        <w:spacing w:line="560" w:lineRule="exact"/>
        <w:ind w:left="0" w:leftChars="0" w:firstLine="2629" w:firstLineChars="939"/>
        <w:jc w:val="left"/>
        <w:textAlignment w:val="auto"/>
        <w:rPr>
          <w:rFonts w:hint="eastAsia" w:ascii="宋体" w:hAnsi="宋体" w:eastAsia="宋体" w:cs="宋体"/>
          <w:b/>
          <w:bCs/>
          <w:color w:val="auto"/>
          <w:kern w:val="0"/>
          <w:sz w:val="28"/>
          <w:szCs w:val="28"/>
          <w:highlight w:val="none"/>
          <w:lang w:val="en-US" w:eastAsia="zh-CN" w:bidi="en-US"/>
        </w:rPr>
      </w:pPr>
      <w:r>
        <w:rPr>
          <w:rFonts w:hint="eastAsia" w:ascii="宋体" w:hAnsi="宋体" w:eastAsia="宋体" w:cs="宋体"/>
          <w:b/>
          <w:bCs/>
          <w:color w:val="auto"/>
          <w:kern w:val="0"/>
          <w:sz w:val="28"/>
          <w:szCs w:val="28"/>
          <w:highlight w:val="none"/>
          <w:lang w:val="en-US" w:eastAsia="zh-CN" w:bidi="en-US"/>
        </w:rPr>
        <w:t>资金预算的通知</w:t>
      </w:r>
    </w:p>
    <w:p w14:paraId="3D4F8A58">
      <w:pPr>
        <w:pageBreakBefore w:val="0"/>
        <w:widowControl w:val="0"/>
        <w:shd w:val="clear" w:color="auto" w:fill="auto"/>
        <w:kinsoku/>
        <w:wordWrap/>
        <w:topLinePunct w:val="0"/>
        <w:autoSpaceDE/>
        <w:autoSpaceDN/>
        <w:bidi w:val="0"/>
        <w:spacing w:line="560" w:lineRule="exact"/>
        <w:ind w:left="0" w:leftChars="0" w:firstLine="1234" w:firstLineChars="441"/>
        <w:jc w:val="left"/>
        <w:textAlignment w:val="auto"/>
        <w:rPr>
          <w:rFonts w:hint="eastAsia" w:ascii="宋体" w:hAnsi="宋体" w:eastAsia="宋体" w:cs="宋体"/>
          <w:b/>
          <w:bCs/>
          <w:color w:val="auto"/>
          <w:kern w:val="0"/>
          <w:sz w:val="28"/>
          <w:szCs w:val="28"/>
          <w:highlight w:val="none"/>
          <w:lang w:bidi="en-US"/>
        </w:rPr>
      </w:pPr>
      <w:r>
        <w:rPr>
          <w:rFonts w:hint="eastAsia" w:ascii="宋体" w:hAnsi="宋体" w:eastAsia="宋体" w:cs="宋体"/>
          <w:b/>
          <w:bCs/>
          <w:color w:val="auto"/>
          <w:kern w:val="0"/>
          <w:sz w:val="28"/>
          <w:szCs w:val="28"/>
          <w:highlight w:val="none"/>
          <w:lang w:bidi="en-US"/>
        </w:rPr>
        <w:t>项目单位：</w:t>
      </w:r>
      <w:r>
        <w:rPr>
          <w:rFonts w:hint="eastAsia" w:ascii="宋体" w:hAnsi="宋体" w:eastAsia="宋体" w:cs="宋体"/>
          <w:b/>
          <w:bCs/>
          <w:color w:val="auto"/>
          <w:kern w:val="0"/>
          <w:sz w:val="28"/>
          <w:szCs w:val="28"/>
          <w:highlight w:val="none"/>
          <w:lang w:eastAsia="zh-CN" w:bidi="en-US"/>
        </w:rPr>
        <w:t>洛浦县畜牧兽医站</w:t>
      </w:r>
    </w:p>
    <w:p w14:paraId="49F71354">
      <w:pPr>
        <w:pageBreakBefore w:val="0"/>
        <w:widowControl w:val="0"/>
        <w:shd w:val="clear" w:color="auto" w:fill="auto"/>
        <w:kinsoku/>
        <w:wordWrap/>
        <w:topLinePunct w:val="0"/>
        <w:autoSpaceDE/>
        <w:autoSpaceDN/>
        <w:bidi w:val="0"/>
        <w:spacing w:line="560" w:lineRule="exact"/>
        <w:ind w:left="0" w:leftChars="0" w:firstLine="1234" w:firstLineChars="441"/>
        <w:jc w:val="left"/>
        <w:textAlignment w:val="auto"/>
        <w:rPr>
          <w:rFonts w:hint="default" w:ascii="宋体" w:hAnsi="宋体" w:eastAsia="宋体" w:cs="宋体"/>
          <w:b/>
          <w:bCs/>
          <w:color w:val="auto"/>
          <w:kern w:val="0"/>
          <w:sz w:val="28"/>
          <w:szCs w:val="28"/>
          <w:highlight w:val="none"/>
          <w:lang w:val="en-US" w:bidi="en-US"/>
        </w:rPr>
      </w:pPr>
      <w:r>
        <w:rPr>
          <w:rFonts w:hint="eastAsia" w:ascii="宋体" w:hAnsi="宋体" w:eastAsia="宋体" w:cs="宋体"/>
          <w:b/>
          <w:bCs/>
          <w:color w:val="auto"/>
          <w:kern w:val="0"/>
          <w:sz w:val="28"/>
          <w:szCs w:val="28"/>
          <w:highlight w:val="none"/>
          <w:lang w:bidi="en-US"/>
        </w:rPr>
        <w:t>主管部门：</w:t>
      </w:r>
      <w:r>
        <w:rPr>
          <w:rFonts w:hint="eastAsia" w:ascii="宋体" w:hAnsi="宋体" w:eastAsia="宋体" w:cs="宋体"/>
          <w:b/>
          <w:bCs/>
          <w:color w:val="auto"/>
          <w:kern w:val="0"/>
          <w:sz w:val="28"/>
          <w:szCs w:val="28"/>
          <w:highlight w:val="none"/>
          <w:lang w:eastAsia="zh-CN" w:bidi="en-US"/>
        </w:rPr>
        <w:t>洛浦县</w:t>
      </w:r>
      <w:r>
        <w:rPr>
          <w:rFonts w:hint="eastAsia" w:ascii="宋体" w:hAnsi="宋体" w:eastAsia="宋体" w:cs="宋体"/>
          <w:b/>
          <w:bCs/>
          <w:color w:val="auto"/>
          <w:kern w:val="0"/>
          <w:sz w:val="28"/>
          <w:szCs w:val="28"/>
          <w:highlight w:val="none"/>
          <w:lang w:val="en-US" w:eastAsia="zh-CN" w:bidi="en-US"/>
        </w:rPr>
        <w:t>农业农村局</w:t>
      </w:r>
    </w:p>
    <w:p w14:paraId="370FD1A9">
      <w:pPr>
        <w:pageBreakBefore w:val="0"/>
        <w:widowControl w:val="0"/>
        <w:shd w:val="clear" w:color="auto" w:fill="auto"/>
        <w:kinsoku/>
        <w:wordWrap/>
        <w:topLinePunct w:val="0"/>
        <w:autoSpaceDE/>
        <w:autoSpaceDN/>
        <w:bidi w:val="0"/>
        <w:spacing w:line="560" w:lineRule="exact"/>
        <w:ind w:left="0" w:leftChars="0" w:firstLine="1234" w:firstLineChars="441"/>
        <w:jc w:val="left"/>
        <w:textAlignment w:val="auto"/>
        <w:rPr>
          <w:rFonts w:hint="eastAsia" w:ascii="宋体" w:hAnsi="宋体" w:eastAsia="宋体" w:cs="宋体"/>
          <w:b/>
          <w:bCs/>
          <w:color w:val="auto"/>
          <w:kern w:val="0"/>
          <w:sz w:val="28"/>
          <w:szCs w:val="28"/>
          <w:highlight w:val="none"/>
          <w:lang w:bidi="en-US"/>
        </w:rPr>
      </w:pPr>
      <w:r>
        <w:rPr>
          <w:rFonts w:hint="eastAsia" w:ascii="宋体" w:hAnsi="宋体" w:eastAsia="宋体" w:cs="宋体"/>
          <w:b/>
          <w:bCs/>
          <w:color w:val="auto"/>
          <w:kern w:val="0"/>
          <w:sz w:val="28"/>
          <w:szCs w:val="28"/>
          <w:highlight w:val="none"/>
          <w:lang w:bidi="en-US"/>
        </w:rPr>
        <w:t>项目负责人：约麦尔尼亚孜</w:t>
      </w:r>
    </w:p>
    <w:p w14:paraId="3ADCA2F5">
      <w:pPr>
        <w:pageBreakBefore w:val="0"/>
        <w:widowControl w:val="0"/>
        <w:shd w:val="clear" w:color="auto" w:fill="auto"/>
        <w:kinsoku/>
        <w:wordWrap/>
        <w:topLinePunct w:val="0"/>
        <w:autoSpaceDE/>
        <w:autoSpaceDN/>
        <w:bidi w:val="0"/>
        <w:spacing w:line="560" w:lineRule="exact"/>
        <w:ind w:left="0" w:leftChars="0" w:firstLine="1234" w:firstLineChars="441"/>
        <w:jc w:val="left"/>
        <w:textAlignment w:val="auto"/>
        <w:rPr>
          <w:rFonts w:hint="eastAsia" w:ascii="宋体" w:hAnsi="宋体" w:eastAsia="宋体" w:cs="宋体"/>
          <w:color w:val="auto"/>
          <w:kern w:val="0"/>
          <w:sz w:val="28"/>
          <w:szCs w:val="28"/>
          <w:highlight w:val="none"/>
          <w:lang w:bidi="en-US"/>
        </w:rPr>
      </w:pPr>
      <w:r>
        <w:rPr>
          <w:rFonts w:hint="eastAsia" w:ascii="宋体" w:hAnsi="宋体" w:eastAsia="宋体" w:cs="宋体"/>
          <w:b/>
          <w:bCs/>
          <w:color w:val="auto"/>
          <w:kern w:val="0"/>
          <w:sz w:val="28"/>
          <w:szCs w:val="28"/>
          <w:highlight w:val="none"/>
          <w:lang w:bidi="en-US"/>
        </w:rPr>
        <w:t>填报时间：20</w:t>
      </w:r>
      <w:r>
        <w:rPr>
          <w:rFonts w:hint="eastAsia" w:ascii="宋体" w:hAnsi="宋体" w:eastAsia="宋体" w:cs="宋体"/>
          <w:b/>
          <w:bCs/>
          <w:color w:val="auto"/>
          <w:kern w:val="0"/>
          <w:sz w:val="28"/>
          <w:szCs w:val="28"/>
          <w:highlight w:val="none"/>
          <w:lang w:val="en-US" w:eastAsia="zh-CN" w:bidi="en-US"/>
        </w:rPr>
        <w:t>25</w:t>
      </w:r>
      <w:r>
        <w:rPr>
          <w:rFonts w:hint="eastAsia" w:ascii="宋体" w:hAnsi="宋体" w:eastAsia="宋体" w:cs="宋体"/>
          <w:b/>
          <w:bCs/>
          <w:color w:val="auto"/>
          <w:kern w:val="0"/>
          <w:sz w:val="28"/>
          <w:szCs w:val="28"/>
          <w:highlight w:val="none"/>
          <w:lang w:bidi="en-US"/>
        </w:rPr>
        <w:t>年</w:t>
      </w:r>
      <w:r>
        <w:rPr>
          <w:rFonts w:hint="eastAsia" w:ascii="宋体" w:hAnsi="宋体" w:eastAsia="宋体" w:cs="宋体"/>
          <w:b/>
          <w:bCs/>
          <w:color w:val="auto"/>
          <w:kern w:val="0"/>
          <w:sz w:val="28"/>
          <w:szCs w:val="28"/>
          <w:highlight w:val="none"/>
          <w:lang w:val="en-US" w:eastAsia="zh-CN" w:bidi="en-US"/>
        </w:rPr>
        <w:t>3</w:t>
      </w:r>
      <w:r>
        <w:rPr>
          <w:rFonts w:hint="eastAsia" w:ascii="宋体" w:hAnsi="宋体" w:eastAsia="宋体" w:cs="宋体"/>
          <w:b/>
          <w:bCs/>
          <w:color w:val="auto"/>
          <w:kern w:val="0"/>
          <w:sz w:val="28"/>
          <w:szCs w:val="28"/>
          <w:highlight w:val="none"/>
          <w:lang w:bidi="en-US"/>
        </w:rPr>
        <w:t>月</w:t>
      </w:r>
      <w:r>
        <w:rPr>
          <w:rFonts w:hint="eastAsia" w:ascii="宋体" w:hAnsi="宋体" w:eastAsia="宋体" w:cs="宋体"/>
          <w:b/>
          <w:bCs/>
          <w:color w:val="auto"/>
          <w:kern w:val="0"/>
          <w:sz w:val="28"/>
          <w:szCs w:val="28"/>
          <w:highlight w:val="none"/>
          <w:lang w:val="en-US" w:eastAsia="zh-CN" w:bidi="en-US"/>
        </w:rPr>
        <w:t>31</w:t>
      </w:r>
      <w:r>
        <w:rPr>
          <w:rFonts w:hint="eastAsia" w:ascii="宋体" w:hAnsi="宋体" w:eastAsia="宋体" w:cs="宋体"/>
          <w:b/>
          <w:bCs/>
          <w:color w:val="auto"/>
          <w:kern w:val="0"/>
          <w:sz w:val="28"/>
          <w:szCs w:val="28"/>
          <w:highlight w:val="none"/>
          <w:lang w:bidi="en-US"/>
        </w:rPr>
        <w:t>日</w:t>
      </w:r>
    </w:p>
    <w:p w14:paraId="349F2B1B">
      <w:pPr>
        <w:pStyle w:val="2"/>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auto"/>
        <w:ind w:left="560" w:leftChars="200"/>
        <w:jc w:val="both"/>
        <w:textAlignment w:val="auto"/>
        <w:rPr>
          <w:rFonts w:hint="eastAsia" w:ascii="黑体" w:hAnsi="黑体" w:eastAsia="黑体" w:cs="黑体"/>
          <w:color w:val="auto"/>
          <w:sz w:val="24"/>
          <w:szCs w:val="24"/>
          <w:highlight w:val="none"/>
          <w:lang w:val="en-US" w:eastAsia="zh-CN"/>
        </w:rPr>
        <w:sectPr>
          <w:headerReference r:id="rId5" w:type="default"/>
          <w:footerReference r:id="rId6" w:type="default"/>
          <w:pgSz w:w="11906" w:h="16838"/>
          <w:pgMar w:top="1985" w:right="1531" w:bottom="1701" w:left="1531" w:header="851" w:footer="992" w:gutter="0"/>
          <w:pgNumType w:start="1"/>
          <w:cols w:space="720" w:num="1"/>
          <w:docGrid w:type="linesAndChars" w:linePitch="386" w:charSpace="0"/>
        </w:sectPr>
      </w:pPr>
      <w:bookmarkStart w:id="0" w:name="_Toc68364657"/>
    </w:p>
    <w:p w14:paraId="77BA9776">
      <w:pPr>
        <w:pStyle w:val="2"/>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auto"/>
        <w:ind w:left="560" w:leftChars="200"/>
        <w:jc w:val="both"/>
        <w:textAlignment w:val="auto"/>
        <w:rPr>
          <w:rFonts w:hint="eastAsia" w:ascii="黑体" w:hAnsi="黑体" w:eastAsia="黑体" w:cs="黑体"/>
          <w:color w:val="auto"/>
          <w:sz w:val="24"/>
          <w:szCs w:val="24"/>
          <w:highlight w:val="none"/>
        </w:rPr>
      </w:pPr>
      <w:r>
        <w:rPr>
          <w:rFonts w:hint="eastAsia" w:ascii="黑体" w:hAnsi="黑体" w:eastAsia="黑体" w:cs="黑体"/>
          <w:color w:val="auto"/>
          <w:sz w:val="24"/>
          <w:szCs w:val="24"/>
          <w:highlight w:val="none"/>
          <w:lang w:val="en-US" w:eastAsia="zh-CN"/>
        </w:rPr>
        <w:t>一、</w:t>
      </w:r>
      <w:r>
        <w:rPr>
          <w:rFonts w:hint="eastAsia" w:ascii="黑体" w:hAnsi="黑体" w:eastAsia="黑体" w:cs="黑体"/>
          <w:color w:val="auto"/>
          <w:sz w:val="24"/>
          <w:szCs w:val="24"/>
          <w:highlight w:val="none"/>
        </w:rPr>
        <w:t>基本情况</w:t>
      </w:r>
      <w:bookmarkEnd w:id="0"/>
    </w:p>
    <w:p w14:paraId="06218127">
      <w:pPr>
        <w:pStyle w:val="49"/>
        <w:pageBreakBefore w:val="0"/>
        <w:widowControl w:val="0"/>
        <w:shd w:val="clear" w:color="auto" w:fill="auto"/>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highlight w:val="none"/>
        </w:rPr>
      </w:pPr>
      <w:bookmarkStart w:id="1" w:name="_Toc68364658"/>
      <w:r>
        <w:rPr>
          <w:rFonts w:hint="eastAsia" w:ascii="宋体" w:hAnsi="宋体" w:eastAsia="宋体" w:cs="宋体"/>
          <w:color w:val="auto"/>
          <w:sz w:val="24"/>
          <w:szCs w:val="24"/>
          <w:highlight w:val="none"/>
          <w:lang w:eastAsia="zh-CN"/>
        </w:rPr>
        <w:t>（一）</w:t>
      </w:r>
      <w:r>
        <w:rPr>
          <w:rFonts w:hint="eastAsia" w:ascii="宋体" w:hAnsi="宋体" w:eastAsia="宋体" w:cs="宋体"/>
          <w:color w:val="auto"/>
          <w:sz w:val="24"/>
          <w:szCs w:val="24"/>
          <w:highlight w:val="none"/>
        </w:rPr>
        <w:t>项目概况</w:t>
      </w:r>
      <w:bookmarkEnd w:id="1"/>
    </w:p>
    <w:p w14:paraId="09949ABF">
      <w:pPr>
        <w:pStyle w:val="45"/>
        <w:pageBreakBefore w:val="0"/>
        <w:widowControl w:val="0"/>
        <w:shd w:val="clear" w:color="auto" w:fill="auto"/>
        <w:kinsoku/>
        <w:wordWrap/>
        <w:overflowPunct/>
        <w:topLinePunct w:val="0"/>
        <w:autoSpaceDE/>
        <w:autoSpaceDN/>
        <w:bidi w:val="0"/>
        <w:adjustRightInd/>
        <w:snapToGrid/>
        <w:spacing w:line="360" w:lineRule="auto"/>
        <w:ind w:left="0" w:leftChars="0" w:firstLine="643"/>
        <w:jc w:val="both"/>
        <w:textAlignment w:val="auto"/>
        <w:outlineLvl w:val="2"/>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1.项目背景</w:t>
      </w:r>
    </w:p>
    <w:p w14:paraId="147DA1E1">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Chars="0"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根据和田地区2024年中央农业相关转移支付“畜牧良种补贴项目”实施方案，和田地区财政局《关于提前下达《关于提前下达2024年中央农业生产发展资金预算的通知》（和财农〔2023〕64号）》（和财农〔2023〕64号）相关工作要求，结合洛浦县实际，做好洛浦县2024年“畜牧良种补贴项目”实施工作。</w:t>
      </w:r>
    </w:p>
    <w:p w14:paraId="13771521">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Chars="0" w:firstLine="480" w:firstLineChars="200"/>
        <w:jc w:val="both"/>
        <w:textAlignment w:val="auto"/>
        <w:rPr>
          <w:rFonts w:hint="eastAsia" w:ascii="宋体" w:hAnsi="宋体" w:eastAsia="宋体" w:cs="宋体"/>
          <w:b w:val="0"/>
          <w:color w:val="auto"/>
          <w:kern w:val="2"/>
          <w:sz w:val="24"/>
          <w:szCs w:val="24"/>
          <w:highlight w:val="none"/>
          <w:lang w:val="en-US" w:eastAsia="zh-CN" w:bidi="ar-SA"/>
        </w:rPr>
      </w:pPr>
      <w:r>
        <w:rPr>
          <w:rFonts w:hint="eastAsia" w:ascii="宋体" w:hAnsi="宋体" w:eastAsia="宋体" w:cs="宋体"/>
          <w:b w:val="0"/>
          <w:color w:val="auto"/>
          <w:kern w:val="2"/>
          <w:sz w:val="24"/>
          <w:szCs w:val="24"/>
          <w:highlight w:val="none"/>
          <w:lang w:val="en-US" w:eastAsia="zh-CN" w:bidi="ar-SA"/>
        </w:rPr>
        <w:t>具有生产经营资质的种畜场购买种公羊的养殖户、草畜联营合作社、养殖合作社，经县、地区畜牧推广部门组织鉴定备案达到一级以上种公羊的养殖户（场）给予补贴。已享受过良种补贴或通过其他项目享受补贴的种畜不得重复补贴。对开展人工授精的肉牛养殖户（场、小区）使用肉牛冷冻精液改良能繁母牛的给予补助。</w:t>
      </w:r>
    </w:p>
    <w:p w14:paraId="674D19E3">
      <w:pPr>
        <w:pStyle w:val="45"/>
        <w:keepNext w:val="0"/>
        <w:keepLines w:val="0"/>
        <w:pageBreakBefore w:val="0"/>
        <w:widowControl w:val="0"/>
        <w:shd w:val="clear" w:color="auto" w:fill="auto"/>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2.</w:t>
      </w:r>
      <w:r>
        <w:rPr>
          <w:rFonts w:hint="eastAsia" w:ascii="宋体" w:hAnsi="宋体" w:eastAsia="宋体" w:cs="宋体"/>
          <w:b/>
          <w:bCs/>
          <w:color w:val="auto"/>
          <w:sz w:val="24"/>
          <w:szCs w:val="24"/>
          <w:highlight w:val="none"/>
        </w:rPr>
        <w:t>主要内容及实施情况</w:t>
      </w:r>
    </w:p>
    <w:p w14:paraId="13DD0102">
      <w:pPr>
        <w:pStyle w:val="45"/>
        <w:pageBreakBefore w:val="0"/>
        <w:widowControl w:val="0"/>
        <w:shd w:val="clear" w:color="auto" w:fill="auto"/>
        <w:kinsoku/>
        <w:wordWrap/>
        <w:overflowPunct/>
        <w:topLinePunct w:val="0"/>
        <w:autoSpaceDE/>
        <w:autoSpaceDN/>
        <w:bidi w:val="0"/>
        <w:adjustRightInd/>
        <w:snapToGrid/>
        <w:spacing w:line="360" w:lineRule="auto"/>
        <w:ind w:left="0" w:leftChars="0" w:firstLine="480" w:firstLineChars="200"/>
        <w:jc w:val="both"/>
        <w:textAlignment w:val="auto"/>
        <w:rPr>
          <w:rFonts w:hint="default"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1）主要内容</w:t>
      </w:r>
    </w:p>
    <w:p w14:paraId="51CCB2C3">
      <w:pPr>
        <w:pStyle w:val="45"/>
        <w:pageBreakBefore w:val="0"/>
        <w:widowControl w:val="0"/>
        <w:shd w:val="clear" w:color="auto" w:fill="auto"/>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1.补贴对象与补贴标准。对开展人工授精的肉牛养殖户（场、小区）使用肉牛冷冻精液改良能繁母牛的给予补助，每头能繁母牛每年补贴2剂冻精，畜牧良种补贴项目对每剂冻精补助不高于20元。</w:t>
      </w:r>
    </w:p>
    <w:p w14:paraId="6136CF95">
      <w:pPr>
        <w:pStyle w:val="45"/>
        <w:pageBreakBefore w:val="0"/>
        <w:widowControl w:val="0"/>
        <w:shd w:val="clear" w:color="auto" w:fill="auto"/>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我县种公羊良补项目采取“购置”措施。杭桂镇、阿其克乡购买县或县级以上畜牧技术推广部门认定的和田羊种公羊。布亚乡、恰尔巴格镇、纳瓦乡、山普鲁镇、洛浦镇、多鲁镇、拜什托格拉克乡农户乡镇为单位进行购置肉羊种公羊。</w:t>
      </w:r>
    </w:p>
    <w:p w14:paraId="2F91AEBB">
      <w:pPr>
        <w:shd w:val="clear" w:color="auto" w:fill="auto"/>
        <w:spacing w:line="560" w:lineRule="exact"/>
        <w:ind w:firstLine="480" w:firstLineChars="200"/>
        <w:rPr>
          <w:rFonts w:hint="eastAsia" w:ascii="宋体" w:hAnsi="宋体" w:eastAsia="宋体" w:cs="宋体"/>
          <w:b w:val="0"/>
          <w:bCs w:val="0"/>
          <w:color w:val="auto"/>
          <w:kern w:val="0"/>
          <w:sz w:val="24"/>
          <w:szCs w:val="24"/>
          <w:highlight w:val="none"/>
          <w:lang w:val="en-US" w:eastAsia="zh-CN" w:bidi="ar-SA"/>
        </w:rPr>
      </w:pPr>
      <w:r>
        <w:rPr>
          <w:rFonts w:hint="eastAsia" w:ascii="宋体" w:hAnsi="宋体" w:eastAsia="宋体" w:cs="宋体"/>
          <w:b w:val="0"/>
          <w:bCs w:val="0"/>
          <w:color w:val="auto"/>
          <w:kern w:val="0"/>
          <w:sz w:val="24"/>
          <w:szCs w:val="24"/>
          <w:highlight w:val="none"/>
          <w:lang w:val="en-US" w:eastAsia="zh-CN" w:bidi="ar-SA"/>
        </w:rPr>
        <w:t>3.和田羊种公羊补贴不高于1000元/只，肉羊种公羊补贴不高于2000元/只，补贴标准不得突破上述限定标准。</w:t>
      </w:r>
    </w:p>
    <w:p w14:paraId="5A353EA2">
      <w:pPr>
        <w:pStyle w:val="45"/>
        <w:pageBreakBefore w:val="0"/>
        <w:widowControl w:val="0"/>
        <w:shd w:val="clear" w:color="auto" w:fill="auto"/>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val="0"/>
          <w:bCs w:val="0"/>
          <w:color w:val="auto"/>
          <w:kern w:val="0"/>
          <w:sz w:val="24"/>
          <w:szCs w:val="24"/>
          <w:highlight w:val="none"/>
          <w:lang w:val="en-US" w:eastAsia="zh-CN" w:bidi="ar-SA"/>
        </w:rPr>
      </w:pPr>
      <w:r>
        <w:rPr>
          <w:rFonts w:hint="eastAsia" w:ascii="宋体" w:hAnsi="宋体" w:eastAsia="宋体" w:cs="宋体"/>
          <w:b w:val="0"/>
          <w:bCs w:val="0"/>
          <w:color w:val="auto"/>
          <w:kern w:val="0"/>
          <w:sz w:val="24"/>
          <w:szCs w:val="24"/>
          <w:highlight w:val="none"/>
          <w:lang w:val="en-US" w:eastAsia="zh-CN" w:bidi="ar-SA"/>
        </w:rPr>
        <w:t>4.对开展人工授精的肉牛养殖户（场、小区）使用肉牛冷冻精液改良能繁母牛的给予补助，每头能繁母牛每年补贴2剂冻精，畜牧良种补贴项目对每剂冻精补助不高于20元，配套资金县畜牧兽医站统一购置优质肉牛冻精。</w:t>
      </w:r>
    </w:p>
    <w:p w14:paraId="371526EC">
      <w:pPr>
        <w:pStyle w:val="45"/>
        <w:pageBreakBefore w:val="0"/>
        <w:widowControl w:val="0"/>
        <w:shd w:val="clear" w:color="auto" w:fill="auto"/>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（2）实施情况</w:t>
      </w:r>
    </w:p>
    <w:p w14:paraId="78840012">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Chars="0"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1）项目实施主体</w:t>
      </w:r>
    </w:p>
    <w:p w14:paraId="053DEA25">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Chars="0"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本项目主管部门为洛浦县农业农村局，实施单位为洛浦县洛浦县畜牧兽医站</w:t>
      </w:r>
    </w:p>
    <w:p w14:paraId="34D91B1B">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Chars="0"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2）项目实施时间</w:t>
      </w:r>
    </w:p>
    <w:p w14:paraId="1E570037">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Chars="0" w:firstLine="480" w:firstLineChars="200"/>
        <w:jc w:val="both"/>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2024年1月-2024年12月</w:t>
      </w:r>
    </w:p>
    <w:p w14:paraId="1A4CF7FB">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Chars="0"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3）项目实施情况</w:t>
      </w:r>
    </w:p>
    <w:p w14:paraId="32802557">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Chars="0" w:firstLine="480" w:firstLineChars="200"/>
        <w:jc w:val="both"/>
        <w:textAlignment w:val="auto"/>
        <w:rPr>
          <w:rFonts w:hint="default"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t>本</w:t>
      </w:r>
      <w:r>
        <w:rPr>
          <w:rFonts w:hint="eastAsia" w:ascii="宋体" w:hAnsi="宋体" w:eastAsia="宋体" w:cs="宋体"/>
          <w:color w:val="auto"/>
          <w:sz w:val="24"/>
          <w:szCs w:val="24"/>
          <w:highlight w:val="none"/>
          <w:lang w:val="en-US" w:eastAsia="zh-CN"/>
        </w:rPr>
        <w:t>项目</w:t>
      </w:r>
      <w:r>
        <w:rPr>
          <w:rFonts w:hint="default" w:ascii="宋体" w:hAnsi="宋体" w:eastAsia="宋体" w:cs="宋体"/>
          <w:color w:val="auto"/>
          <w:sz w:val="24"/>
          <w:szCs w:val="24"/>
          <w:highlight w:val="none"/>
          <w:lang w:val="en-US" w:eastAsia="zh-CN"/>
        </w:rPr>
        <w:t>于202</w:t>
      </w:r>
      <w:r>
        <w:rPr>
          <w:rFonts w:hint="eastAsia" w:ascii="宋体" w:hAnsi="宋体" w:eastAsia="宋体" w:cs="宋体"/>
          <w:color w:val="auto"/>
          <w:sz w:val="24"/>
          <w:szCs w:val="24"/>
          <w:highlight w:val="none"/>
          <w:lang w:val="en-US" w:eastAsia="zh-CN"/>
        </w:rPr>
        <w:t>4</w:t>
      </w:r>
      <w:r>
        <w:rPr>
          <w:rFonts w:hint="default" w:ascii="宋体" w:hAnsi="宋体" w:eastAsia="宋体" w:cs="宋体"/>
          <w:color w:val="auto"/>
          <w:sz w:val="24"/>
          <w:szCs w:val="24"/>
          <w:highlight w:val="none"/>
          <w:lang w:val="en-US" w:eastAsia="zh-CN"/>
        </w:rPr>
        <w:t>年12月</w:t>
      </w:r>
      <w:r>
        <w:rPr>
          <w:rFonts w:hint="eastAsia" w:ascii="宋体" w:hAnsi="宋体" w:eastAsia="宋体" w:cs="宋体"/>
          <w:color w:val="auto"/>
          <w:sz w:val="24"/>
          <w:szCs w:val="24"/>
          <w:highlight w:val="none"/>
          <w:lang w:val="en-US" w:eastAsia="zh-CN"/>
        </w:rPr>
        <w:t>31</w:t>
      </w:r>
      <w:r>
        <w:rPr>
          <w:rFonts w:hint="default" w:ascii="宋体" w:hAnsi="宋体" w:eastAsia="宋体" w:cs="宋体"/>
          <w:color w:val="auto"/>
          <w:sz w:val="24"/>
          <w:szCs w:val="24"/>
          <w:highlight w:val="none"/>
          <w:lang w:val="en-US" w:eastAsia="zh-CN"/>
        </w:rPr>
        <w:t>日前</w:t>
      </w:r>
      <w:r>
        <w:rPr>
          <w:rFonts w:hint="eastAsia" w:ascii="宋体" w:hAnsi="宋体" w:eastAsia="宋体" w:cs="宋体"/>
          <w:color w:val="auto"/>
          <w:sz w:val="24"/>
          <w:szCs w:val="24"/>
          <w:highlight w:val="none"/>
          <w:lang w:val="en-US" w:eastAsia="zh-CN"/>
        </w:rPr>
        <w:t>实施完毕</w:t>
      </w:r>
      <w:r>
        <w:rPr>
          <w:rFonts w:hint="default" w:ascii="宋体" w:hAnsi="宋体" w:eastAsia="宋体" w:cs="宋体"/>
          <w:color w:val="auto"/>
          <w:sz w:val="24"/>
          <w:szCs w:val="24"/>
          <w:highlight w:val="none"/>
          <w:lang w:val="en-US" w:eastAsia="zh-CN"/>
        </w:rPr>
        <w:t>。</w:t>
      </w:r>
    </w:p>
    <w:p w14:paraId="1C498FC9">
      <w:pPr>
        <w:pStyle w:val="45"/>
        <w:keepNext w:val="0"/>
        <w:keepLines w:val="0"/>
        <w:pageBreakBefore w:val="0"/>
        <w:widowControl w:val="0"/>
        <w:shd w:val="clear" w:color="auto" w:fill="auto"/>
        <w:kinsoku/>
        <w:wordWrap/>
        <w:overflowPunct/>
        <w:topLinePunct w:val="0"/>
        <w:autoSpaceDE/>
        <w:autoSpaceDN/>
        <w:bidi w:val="0"/>
        <w:adjustRightInd/>
        <w:snapToGrid/>
        <w:spacing w:line="360" w:lineRule="auto"/>
        <w:ind w:left="0" w:leftChars="0" w:firstLine="643"/>
        <w:jc w:val="both"/>
        <w:textAlignment w:val="auto"/>
        <w:outlineLvl w:val="2"/>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截止2024年12月31日，该项目已完成补贴种公羊524只，购置冻精14000支。资金已使用130万元。通过项目实施，保障动物防疫工作正常开展，确保不发生区域性重大动物疫情，促进畜牧业健康发展。</w:t>
      </w:r>
    </w:p>
    <w:p w14:paraId="1191D7EE">
      <w:pPr>
        <w:pStyle w:val="45"/>
        <w:keepNext w:val="0"/>
        <w:keepLines w:val="0"/>
        <w:pageBreakBefore w:val="0"/>
        <w:widowControl w:val="0"/>
        <w:shd w:val="clear" w:color="auto" w:fill="auto"/>
        <w:kinsoku/>
        <w:wordWrap/>
        <w:overflowPunct/>
        <w:topLinePunct w:val="0"/>
        <w:autoSpaceDE/>
        <w:autoSpaceDN/>
        <w:bidi w:val="0"/>
        <w:adjustRightInd/>
        <w:snapToGrid/>
        <w:spacing w:line="360" w:lineRule="auto"/>
        <w:ind w:left="0" w:leftChars="0" w:firstLine="643"/>
        <w:jc w:val="both"/>
        <w:textAlignment w:val="auto"/>
        <w:outlineLvl w:val="2"/>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3.资金投入和使用情况</w:t>
      </w:r>
    </w:p>
    <w:p w14:paraId="3AAA827B">
      <w:pPr>
        <w:pStyle w:val="45"/>
        <w:pageBreakBefore w:val="0"/>
        <w:widowControl w:val="0"/>
        <w:shd w:val="clear" w:color="auto" w:fill="auto"/>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（1）项目资金安排</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投入情况</w:t>
      </w:r>
    </w:p>
    <w:p w14:paraId="78DAD610">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Chars="0"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本项目预算安排总额为130万元，资金来源为中央专项资金.其中：财政资金130万元，2024年实际收到预算资金130万元，预算资金到位率为100%。</w:t>
      </w:r>
    </w:p>
    <w:p w14:paraId="52C20445">
      <w:pPr>
        <w:pStyle w:val="45"/>
        <w:pageBreakBefore w:val="0"/>
        <w:widowControl w:val="0"/>
        <w:shd w:val="clear" w:color="auto" w:fill="auto"/>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（2）项目资金实际使用情况分析</w:t>
      </w:r>
    </w:p>
    <w:p w14:paraId="7CEE79D4">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Chars="0"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本项目实际支付资金130万元，预算执行率100%。</w:t>
      </w:r>
    </w:p>
    <w:p w14:paraId="7B8699E9">
      <w:pPr>
        <w:pStyle w:val="49"/>
        <w:pageBreakBefore w:val="0"/>
        <w:widowControl w:val="0"/>
        <w:shd w:val="clear" w:color="auto" w:fill="auto"/>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highlight w:val="none"/>
        </w:rPr>
      </w:pPr>
      <w:bookmarkStart w:id="2" w:name="_Toc68364659"/>
      <w:r>
        <w:rPr>
          <w:rFonts w:hint="eastAsia" w:ascii="宋体" w:hAnsi="宋体" w:eastAsia="宋体" w:cs="宋体"/>
          <w:color w:val="auto"/>
          <w:sz w:val="24"/>
          <w:szCs w:val="24"/>
          <w:highlight w:val="none"/>
        </w:rPr>
        <w:t>（二）项目绩效目标</w:t>
      </w:r>
      <w:bookmarkEnd w:id="2"/>
    </w:p>
    <w:p w14:paraId="6D2E18FA">
      <w:pPr>
        <w:pStyle w:val="45"/>
        <w:pageBreakBefore w:val="0"/>
        <w:widowControl w:val="0"/>
        <w:shd w:val="clear" w:color="auto" w:fill="auto"/>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项目绩效目标包括项目总</w:t>
      </w:r>
      <w:r>
        <w:rPr>
          <w:rFonts w:hint="eastAsia" w:ascii="宋体" w:hAnsi="宋体" w:eastAsia="宋体" w:cs="宋体"/>
          <w:color w:val="auto"/>
          <w:sz w:val="24"/>
          <w:szCs w:val="24"/>
          <w:highlight w:val="none"/>
          <w:lang w:val="en-US" w:eastAsia="zh-CN"/>
        </w:rPr>
        <w:t>体</w:t>
      </w:r>
      <w:r>
        <w:rPr>
          <w:rFonts w:hint="eastAsia" w:ascii="宋体" w:hAnsi="宋体" w:eastAsia="宋体" w:cs="宋体"/>
          <w:color w:val="auto"/>
          <w:sz w:val="24"/>
          <w:szCs w:val="24"/>
          <w:highlight w:val="none"/>
        </w:rPr>
        <w:t>目标和阶段性目标。</w:t>
      </w:r>
    </w:p>
    <w:p w14:paraId="68BC62CF">
      <w:pPr>
        <w:pStyle w:val="45"/>
        <w:pageBreakBefore w:val="0"/>
        <w:widowControl w:val="0"/>
        <w:numPr>
          <w:ilvl w:val="0"/>
          <w:numId w:val="1"/>
        </w:numPr>
        <w:shd w:val="clear" w:color="auto" w:fill="auto"/>
        <w:kinsoku/>
        <w:wordWrap/>
        <w:overflowPunct/>
        <w:topLinePunct w:val="0"/>
        <w:autoSpaceDE/>
        <w:autoSpaceDN/>
        <w:bidi w:val="0"/>
        <w:adjustRightInd/>
        <w:snapToGrid/>
        <w:spacing w:line="360" w:lineRule="auto"/>
        <w:ind w:left="0" w:leftChars="0" w:firstLine="643"/>
        <w:jc w:val="both"/>
        <w:textAlignment w:val="auto"/>
        <w:outlineLvl w:val="2"/>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总</w:t>
      </w:r>
      <w:r>
        <w:rPr>
          <w:rFonts w:hint="eastAsia" w:ascii="宋体" w:hAnsi="宋体" w:eastAsia="宋体" w:cs="宋体"/>
          <w:b/>
          <w:bCs/>
          <w:color w:val="auto"/>
          <w:sz w:val="24"/>
          <w:szCs w:val="24"/>
          <w:highlight w:val="none"/>
          <w:lang w:val="en-US" w:eastAsia="zh-CN"/>
        </w:rPr>
        <w:t>体</w:t>
      </w:r>
      <w:r>
        <w:rPr>
          <w:rFonts w:hint="eastAsia" w:ascii="宋体" w:hAnsi="宋体" w:eastAsia="宋体" w:cs="宋体"/>
          <w:b/>
          <w:bCs/>
          <w:color w:val="auto"/>
          <w:sz w:val="24"/>
          <w:szCs w:val="24"/>
          <w:highlight w:val="none"/>
        </w:rPr>
        <w:t>目标</w:t>
      </w:r>
    </w:p>
    <w:p w14:paraId="3896075D">
      <w:pPr>
        <w:pStyle w:val="45"/>
        <w:pageBreakBefore w:val="0"/>
        <w:widowControl w:val="0"/>
        <w:numPr>
          <w:ilvl w:val="0"/>
          <w:numId w:val="0"/>
        </w:numPr>
        <w:shd w:val="clear" w:color="auto" w:fill="auto"/>
        <w:kinsoku/>
        <w:wordWrap/>
        <w:overflowPunct/>
        <w:topLinePunct w:val="0"/>
        <w:autoSpaceDE/>
        <w:autoSpaceDN/>
        <w:bidi w:val="0"/>
        <w:adjustRightInd/>
        <w:snapToGrid/>
        <w:spacing w:line="360" w:lineRule="auto"/>
        <w:ind w:firstLine="480" w:firstLineChars="200"/>
        <w:jc w:val="both"/>
        <w:textAlignment w:val="auto"/>
        <w:outlineLvl w:val="2"/>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根据《关于提前下达2024年中央农业生产发展资金（和地财农〔2023〕64号）文件实施此项目，主要实施内容为：补贴种公羊524只，购置冻精14000支。通过项目实施，保障动物防疫工作正常开展，确保不发生区域性重大动物疫情，促进畜牧业健康发展。</w:t>
      </w:r>
    </w:p>
    <w:p w14:paraId="5C6FE325">
      <w:pPr>
        <w:pStyle w:val="45"/>
        <w:pageBreakBefore w:val="0"/>
        <w:widowControl w:val="0"/>
        <w:numPr>
          <w:ilvl w:val="0"/>
          <w:numId w:val="2"/>
        </w:numPr>
        <w:shd w:val="clear" w:color="auto" w:fill="auto"/>
        <w:kinsoku/>
        <w:wordWrap/>
        <w:overflowPunct/>
        <w:topLinePunct w:val="0"/>
        <w:autoSpaceDE/>
        <w:autoSpaceDN/>
        <w:bidi w:val="0"/>
        <w:adjustRightInd/>
        <w:snapToGrid/>
        <w:spacing w:line="360" w:lineRule="auto"/>
        <w:ind w:left="0" w:leftChars="0" w:firstLine="643"/>
        <w:jc w:val="both"/>
        <w:textAlignment w:val="auto"/>
        <w:outlineLvl w:val="2"/>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阶段性目标</w:t>
      </w:r>
    </w:p>
    <w:p w14:paraId="3A32DE9E">
      <w:pPr>
        <w:pStyle w:val="45"/>
        <w:pageBreakBefore w:val="0"/>
        <w:widowControl w:val="0"/>
        <w:shd w:val="clear" w:color="auto" w:fill="auto"/>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sz w:val="24"/>
          <w:szCs w:val="24"/>
          <w:highlight w:val="none"/>
        </w:rPr>
      </w:pPr>
      <w:bookmarkStart w:id="3" w:name="_Toc68364660"/>
      <w:r>
        <w:rPr>
          <w:rFonts w:hint="eastAsia" w:ascii="宋体" w:hAnsi="宋体" w:eastAsia="宋体" w:cs="宋体"/>
          <w:color w:val="auto"/>
          <w:sz w:val="24"/>
          <w:szCs w:val="24"/>
          <w:highlight w:val="none"/>
          <w:lang w:val="en-US" w:eastAsia="zh-CN"/>
        </w:rPr>
        <w:t>我</w:t>
      </w:r>
      <w:r>
        <w:rPr>
          <w:rFonts w:hint="eastAsia" w:ascii="宋体" w:hAnsi="宋体" w:eastAsia="宋体" w:cs="宋体"/>
          <w:color w:val="auto"/>
          <w:sz w:val="24"/>
          <w:szCs w:val="24"/>
          <w:highlight w:val="none"/>
        </w:rPr>
        <w:t>单位根据《项目支出绩效评价管理办法》（财预〔2020〕10号）《关于印发〈自治区财政支出绩效评价管理暂行办法〉的通知》（新财预〔2018〕189号）以及自治区财政厅《关于印发〈自治区项目支出绩效目标设置指引〉的通知》（新财预〔2022〕42号）的规定，结合项目相关信息，设置了年度绩效目标如下：</w:t>
      </w:r>
    </w:p>
    <w:p w14:paraId="61395B1F">
      <w:pPr>
        <w:pStyle w:val="45"/>
        <w:pageBreakBefore w:val="0"/>
        <w:widowControl w:val="0"/>
        <w:numPr>
          <w:ilvl w:val="0"/>
          <w:numId w:val="3"/>
        </w:numPr>
        <w:shd w:val="clear" w:color="auto" w:fill="auto"/>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产出指标</w:t>
      </w:r>
    </w:p>
    <w:p w14:paraId="67E1ADFA">
      <w:pPr>
        <w:pStyle w:val="45"/>
        <w:pageBreakBefore w:val="0"/>
        <w:widowControl w:val="0"/>
        <w:numPr>
          <w:ilvl w:val="0"/>
          <w:numId w:val="4"/>
        </w:numPr>
        <w:shd w:val="clear" w:color="auto" w:fill="auto"/>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数量指标:</w:t>
      </w:r>
    </w:p>
    <w:p w14:paraId="6BDD6D12">
      <w:pPr>
        <w:pStyle w:val="45"/>
        <w:pageBreakBefore w:val="0"/>
        <w:widowControl w:val="0"/>
        <w:numPr>
          <w:ilvl w:val="0"/>
          <w:numId w:val="0"/>
        </w:numPr>
        <w:shd w:val="clear" w:color="auto" w:fill="auto"/>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指标1:补贴种公羊数量，预期指标值：=425只</w:t>
      </w:r>
    </w:p>
    <w:p w14:paraId="59A33322">
      <w:pPr>
        <w:pStyle w:val="45"/>
        <w:pageBreakBefore w:val="0"/>
        <w:widowControl w:val="0"/>
        <w:numPr>
          <w:ilvl w:val="0"/>
          <w:numId w:val="0"/>
        </w:numPr>
        <w:shd w:val="clear" w:color="auto" w:fill="auto"/>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指标2：设备购置数量，预期指标值：=14000支</w:t>
      </w:r>
    </w:p>
    <w:p w14:paraId="1C11C564">
      <w:pPr>
        <w:pStyle w:val="45"/>
        <w:pageBreakBefore w:val="0"/>
        <w:widowControl w:val="0"/>
        <w:numPr>
          <w:ilvl w:val="0"/>
          <w:numId w:val="0"/>
        </w:numPr>
        <w:shd w:val="clear" w:color="auto" w:fill="auto"/>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2）质量指标：</w:t>
      </w:r>
    </w:p>
    <w:p w14:paraId="2AE69C39">
      <w:pPr>
        <w:pStyle w:val="45"/>
        <w:pageBreakBefore w:val="0"/>
        <w:widowControl w:val="0"/>
        <w:numPr>
          <w:ilvl w:val="0"/>
          <w:numId w:val="0"/>
        </w:numPr>
        <w:shd w:val="clear" w:color="auto" w:fill="auto"/>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指标1：资金使用合规率，预期指标值：=100%</w:t>
      </w:r>
    </w:p>
    <w:p w14:paraId="6FCD3DD4">
      <w:pPr>
        <w:pStyle w:val="45"/>
        <w:pageBreakBefore w:val="0"/>
        <w:widowControl w:val="0"/>
        <w:numPr>
          <w:ilvl w:val="0"/>
          <w:numId w:val="0"/>
        </w:numPr>
        <w:shd w:val="clear" w:color="auto" w:fill="auto"/>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指标2：补贴资金覆盖率，预期指标值：=100%</w:t>
      </w:r>
    </w:p>
    <w:p w14:paraId="6F427A43">
      <w:pPr>
        <w:pStyle w:val="45"/>
        <w:pageBreakBefore w:val="0"/>
        <w:widowControl w:val="0"/>
        <w:numPr>
          <w:ilvl w:val="0"/>
          <w:numId w:val="0"/>
        </w:numPr>
        <w:shd w:val="clear" w:color="auto" w:fill="auto"/>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3）时效</w:t>
      </w:r>
      <w:r>
        <w:rPr>
          <w:rFonts w:hint="eastAsia" w:ascii="宋体" w:hAnsi="宋体" w:eastAsia="宋体" w:cs="宋体"/>
          <w:color w:val="auto"/>
          <w:sz w:val="24"/>
          <w:szCs w:val="24"/>
          <w:highlight w:val="none"/>
          <w:lang w:val="en-US" w:eastAsia="zh-CN"/>
        </w:rPr>
        <w:t>指标</w:t>
      </w:r>
      <w:r>
        <w:rPr>
          <w:rFonts w:hint="eastAsia" w:ascii="宋体" w:hAnsi="宋体" w:eastAsia="宋体" w:cs="宋体"/>
          <w:color w:val="auto"/>
          <w:sz w:val="24"/>
          <w:szCs w:val="24"/>
          <w:highlight w:val="none"/>
        </w:rPr>
        <w:t>：</w:t>
      </w:r>
    </w:p>
    <w:p w14:paraId="029D9CF6">
      <w:pPr>
        <w:pStyle w:val="45"/>
        <w:pageBreakBefore w:val="0"/>
        <w:widowControl w:val="0"/>
        <w:numPr>
          <w:ilvl w:val="0"/>
          <w:numId w:val="0"/>
        </w:numPr>
        <w:shd w:val="clear" w:color="auto" w:fill="auto"/>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指标1：项目完成时间，预期指标值：2024年12月</w:t>
      </w:r>
    </w:p>
    <w:p w14:paraId="6F532F4C">
      <w:pPr>
        <w:pStyle w:val="45"/>
        <w:pageBreakBefore w:val="0"/>
        <w:widowControl w:val="0"/>
        <w:numPr>
          <w:ilvl w:val="0"/>
          <w:numId w:val="0"/>
        </w:numPr>
        <w:shd w:val="clear" w:color="auto" w:fill="auto"/>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（2）成本指标：</w:t>
      </w:r>
    </w:p>
    <w:p w14:paraId="49863607">
      <w:pPr>
        <w:pStyle w:val="45"/>
        <w:pageBreakBefore w:val="0"/>
        <w:widowControl w:val="0"/>
        <w:numPr>
          <w:ilvl w:val="0"/>
          <w:numId w:val="0"/>
        </w:numPr>
        <w:shd w:val="clear" w:color="auto" w:fill="auto"/>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1）经济成本指标</w:t>
      </w:r>
    </w:p>
    <w:p w14:paraId="498C69C4">
      <w:pPr>
        <w:pStyle w:val="45"/>
        <w:pageBreakBefore w:val="0"/>
        <w:widowControl w:val="0"/>
        <w:numPr>
          <w:ilvl w:val="0"/>
          <w:numId w:val="0"/>
        </w:numPr>
        <w:shd w:val="clear" w:color="auto" w:fill="auto"/>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指标1：种公羊补贴标准，预期指标值：&lt;=70万元</w:t>
      </w:r>
    </w:p>
    <w:p w14:paraId="0058AF51">
      <w:pPr>
        <w:pStyle w:val="45"/>
        <w:pageBreakBefore w:val="0"/>
        <w:widowControl w:val="0"/>
        <w:numPr>
          <w:ilvl w:val="0"/>
          <w:numId w:val="0"/>
        </w:numPr>
        <w:shd w:val="clear" w:color="auto" w:fill="auto"/>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指标2：购置冻精标准，预期指标值：&lt;=60万元</w:t>
      </w:r>
    </w:p>
    <w:p w14:paraId="0339461B">
      <w:pPr>
        <w:pStyle w:val="45"/>
        <w:pageBreakBefore w:val="0"/>
        <w:widowControl w:val="0"/>
        <w:numPr>
          <w:ilvl w:val="0"/>
          <w:numId w:val="0"/>
        </w:numPr>
        <w:shd w:val="clear" w:color="auto" w:fill="auto"/>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2）社会成本指标</w:t>
      </w:r>
    </w:p>
    <w:p w14:paraId="5365CB8B">
      <w:pPr>
        <w:pStyle w:val="45"/>
        <w:pageBreakBefore w:val="0"/>
        <w:widowControl w:val="0"/>
        <w:shd w:val="clear" w:color="auto" w:fill="auto"/>
        <w:kinsoku/>
        <w:wordWrap/>
        <w:overflowPunct/>
        <w:topLinePunct w:val="0"/>
        <w:autoSpaceDE/>
        <w:autoSpaceDN/>
        <w:bidi w:val="0"/>
        <w:adjustRightInd/>
        <w:snapToGrid/>
        <w:spacing w:line="360" w:lineRule="auto"/>
        <w:ind w:left="0" w:leftChars="0" w:firstLine="640"/>
        <w:jc w:val="both"/>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该项目无社会成本指标；</w:t>
      </w:r>
    </w:p>
    <w:p w14:paraId="3938EE5A">
      <w:pPr>
        <w:pStyle w:val="45"/>
        <w:pageBreakBefore w:val="0"/>
        <w:widowControl w:val="0"/>
        <w:numPr>
          <w:ilvl w:val="0"/>
          <w:numId w:val="4"/>
        </w:numPr>
        <w:shd w:val="clear" w:color="auto" w:fill="auto"/>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生态成本指标;</w:t>
      </w:r>
    </w:p>
    <w:p w14:paraId="0F992C49">
      <w:pPr>
        <w:pStyle w:val="45"/>
        <w:pageBreakBefore w:val="0"/>
        <w:widowControl w:val="0"/>
        <w:shd w:val="clear" w:color="auto" w:fill="auto"/>
        <w:kinsoku/>
        <w:wordWrap/>
        <w:overflowPunct/>
        <w:topLinePunct w:val="0"/>
        <w:autoSpaceDE/>
        <w:autoSpaceDN/>
        <w:bidi w:val="0"/>
        <w:adjustRightInd/>
        <w:snapToGrid/>
        <w:spacing w:line="360" w:lineRule="auto"/>
        <w:ind w:left="0" w:leftChars="0" w:firstLine="640"/>
        <w:jc w:val="both"/>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该项目无生态成本指标；</w:t>
      </w:r>
    </w:p>
    <w:p w14:paraId="3F888DC9">
      <w:pPr>
        <w:pStyle w:val="45"/>
        <w:pageBreakBefore w:val="0"/>
        <w:widowControl w:val="0"/>
        <w:numPr>
          <w:ilvl w:val="0"/>
          <w:numId w:val="0"/>
        </w:numPr>
        <w:shd w:val="clear" w:color="auto" w:fill="auto"/>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（3）效益指标：</w:t>
      </w:r>
    </w:p>
    <w:p w14:paraId="2AC5548B">
      <w:pPr>
        <w:pStyle w:val="45"/>
        <w:pageBreakBefore w:val="0"/>
        <w:widowControl w:val="0"/>
        <w:numPr>
          <w:ilvl w:val="0"/>
          <w:numId w:val="0"/>
        </w:numPr>
        <w:shd w:val="clear" w:color="auto" w:fill="auto"/>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1）经济效益指标：</w:t>
      </w:r>
    </w:p>
    <w:p w14:paraId="5CD88DD2">
      <w:pPr>
        <w:pStyle w:val="45"/>
        <w:pageBreakBefore w:val="0"/>
        <w:widowControl w:val="0"/>
        <w:shd w:val="clear" w:color="auto" w:fill="auto"/>
        <w:kinsoku/>
        <w:wordWrap/>
        <w:overflowPunct/>
        <w:topLinePunct w:val="0"/>
        <w:autoSpaceDE/>
        <w:autoSpaceDN/>
        <w:bidi w:val="0"/>
        <w:adjustRightInd/>
        <w:snapToGrid/>
        <w:spacing w:line="360" w:lineRule="auto"/>
        <w:ind w:left="0" w:leftChars="0" w:firstLine="640"/>
        <w:jc w:val="both"/>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该项目无经济效益指标；</w:t>
      </w:r>
    </w:p>
    <w:p w14:paraId="1BF65EDA">
      <w:pPr>
        <w:pStyle w:val="45"/>
        <w:pageBreakBefore w:val="0"/>
        <w:widowControl w:val="0"/>
        <w:numPr>
          <w:ilvl w:val="0"/>
          <w:numId w:val="0"/>
        </w:numPr>
        <w:shd w:val="clear" w:color="auto" w:fill="auto"/>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2）社会效益指标：</w:t>
      </w:r>
    </w:p>
    <w:p w14:paraId="237DC652">
      <w:pPr>
        <w:pStyle w:val="45"/>
        <w:pageBreakBefore w:val="0"/>
        <w:widowControl w:val="0"/>
        <w:numPr>
          <w:ilvl w:val="0"/>
          <w:numId w:val="0"/>
        </w:numPr>
        <w:shd w:val="clear" w:color="auto" w:fill="auto"/>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指标1：促进畜牧业健康发展，预期指标值：有效促进</w:t>
      </w:r>
    </w:p>
    <w:p w14:paraId="46338DEE">
      <w:pPr>
        <w:pStyle w:val="45"/>
        <w:pageBreakBefore w:val="0"/>
        <w:widowControl w:val="0"/>
        <w:numPr>
          <w:ilvl w:val="0"/>
          <w:numId w:val="0"/>
        </w:numPr>
        <w:shd w:val="clear" w:color="auto" w:fill="auto"/>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3）生态效益指标：</w:t>
      </w:r>
    </w:p>
    <w:p w14:paraId="5DEDDBBD">
      <w:pPr>
        <w:pStyle w:val="45"/>
        <w:pageBreakBefore w:val="0"/>
        <w:widowControl w:val="0"/>
        <w:shd w:val="clear" w:color="auto" w:fill="auto"/>
        <w:kinsoku/>
        <w:wordWrap/>
        <w:overflowPunct/>
        <w:topLinePunct w:val="0"/>
        <w:autoSpaceDE/>
        <w:autoSpaceDN/>
        <w:bidi w:val="0"/>
        <w:adjustRightInd/>
        <w:snapToGrid/>
        <w:spacing w:line="360" w:lineRule="auto"/>
        <w:ind w:left="0" w:leftChars="0" w:firstLine="640"/>
        <w:jc w:val="both"/>
        <w:textAlignment w:val="auto"/>
        <w:rPr>
          <w:rFonts w:hint="default"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该项目无生态效益指标；</w:t>
      </w:r>
    </w:p>
    <w:p w14:paraId="59EE52E4">
      <w:pPr>
        <w:pStyle w:val="45"/>
        <w:pageBreakBefore w:val="0"/>
        <w:widowControl w:val="0"/>
        <w:numPr>
          <w:ilvl w:val="0"/>
          <w:numId w:val="0"/>
        </w:numPr>
        <w:shd w:val="clear" w:color="auto" w:fill="auto"/>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（4）服务对象满意度指标：</w:t>
      </w:r>
    </w:p>
    <w:p w14:paraId="58D08A29">
      <w:pPr>
        <w:pStyle w:val="2"/>
        <w:pageBreakBefore w:val="0"/>
        <w:widowControl w:val="0"/>
        <w:shd w:val="clear" w:color="auto" w:fill="auto"/>
        <w:kinsoku/>
        <w:wordWrap/>
        <w:overflowPunct/>
        <w:topLinePunct w:val="0"/>
        <w:autoSpaceDE/>
        <w:autoSpaceDN/>
        <w:bidi w:val="0"/>
        <w:adjustRightInd/>
        <w:snapToGrid/>
        <w:spacing w:before="0" w:after="0" w:line="360" w:lineRule="auto"/>
        <w:ind w:left="0" w:leftChars="0" w:firstLine="643"/>
        <w:jc w:val="both"/>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指标1：补助对象对政策满意度，预期指标值：&gt;=95%</w:t>
      </w:r>
    </w:p>
    <w:p w14:paraId="68839BAA">
      <w:pPr>
        <w:pStyle w:val="2"/>
        <w:pageBreakBefore w:val="0"/>
        <w:widowControl w:val="0"/>
        <w:shd w:val="clear" w:color="auto" w:fill="auto"/>
        <w:kinsoku/>
        <w:wordWrap/>
        <w:overflowPunct/>
        <w:topLinePunct w:val="0"/>
        <w:autoSpaceDE/>
        <w:autoSpaceDN/>
        <w:bidi w:val="0"/>
        <w:adjustRightInd/>
        <w:snapToGrid/>
        <w:spacing w:before="0" w:after="0" w:line="360" w:lineRule="auto"/>
        <w:ind w:left="0" w:leftChars="0" w:firstLine="643"/>
        <w:jc w:val="both"/>
        <w:textAlignment w:val="auto"/>
        <w:rPr>
          <w:rFonts w:hint="eastAsia" w:ascii="黑体" w:hAnsi="黑体" w:eastAsia="黑体" w:cs="黑体"/>
          <w:color w:val="auto"/>
          <w:sz w:val="24"/>
          <w:szCs w:val="24"/>
          <w:highlight w:val="none"/>
        </w:rPr>
      </w:pPr>
    </w:p>
    <w:p w14:paraId="37142B16">
      <w:pPr>
        <w:pStyle w:val="2"/>
        <w:pageBreakBefore w:val="0"/>
        <w:widowControl w:val="0"/>
        <w:shd w:val="clear" w:color="auto" w:fill="auto"/>
        <w:kinsoku/>
        <w:wordWrap/>
        <w:overflowPunct/>
        <w:topLinePunct w:val="0"/>
        <w:autoSpaceDE/>
        <w:autoSpaceDN/>
        <w:bidi w:val="0"/>
        <w:adjustRightInd/>
        <w:snapToGrid/>
        <w:spacing w:before="0" w:after="0" w:line="360" w:lineRule="auto"/>
        <w:ind w:left="0" w:leftChars="0" w:firstLine="643"/>
        <w:jc w:val="both"/>
        <w:textAlignment w:val="auto"/>
        <w:rPr>
          <w:rFonts w:hint="eastAsia" w:ascii="黑体" w:hAnsi="黑体" w:eastAsia="黑体" w:cs="黑体"/>
          <w:color w:val="auto"/>
          <w:sz w:val="24"/>
          <w:szCs w:val="24"/>
          <w:highlight w:val="none"/>
        </w:rPr>
      </w:pPr>
      <w:r>
        <w:rPr>
          <w:rFonts w:hint="eastAsia" w:ascii="黑体" w:hAnsi="黑体" w:eastAsia="黑体" w:cs="黑体"/>
          <w:color w:val="auto"/>
          <w:sz w:val="24"/>
          <w:szCs w:val="24"/>
          <w:highlight w:val="none"/>
        </w:rPr>
        <w:t>二、绩效评价工作开展情况</w:t>
      </w:r>
      <w:bookmarkEnd w:id="3"/>
    </w:p>
    <w:p w14:paraId="35B83651">
      <w:pPr>
        <w:pStyle w:val="49"/>
        <w:pageBreakBefore w:val="0"/>
        <w:widowControl w:val="0"/>
        <w:shd w:val="clear" w:color="auto" w:fill="auto"/>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highlight w:val="none"/>
        </w:rPr>
      </w:pPr>
      <w:bookmarkStart w:id="4" w:name="_Toc68364661"/>
      <w:r>
        <w:rPr>
          <w:rFonts w:hint="eastAsia" w:ascii="宋体" w:hAnsi="宋体" w:eastAsia="宋体" w:cs="宋体"/>
          <w:color w:val="auto"/>
          <w:sz w:val="24"/>
          <w:szCs w:val="24"/>
          <w:highlight w:val="none"/>
        </w:rPr>
        <w:t>（一）绩效评价目的、对象和范围</w:t>
      </w:r>
      <w:bookmarkEnd w:id="4"/>
    </w:p>
    <w:p w14:paraId="7C7E227E">
      <w:pPr>
        <w:pStyle w:val="45"/>
        <w:pageBreakBefore w:val="0"/>
        <w:widowControl w:val="0"/>
        <w:shd w:val="clear" w:color="auto" w:fill="auto"/>
        <w:kinsoku/>
        <w:wordWrap/>
        <w:overflowPunct/>
        <w:topLinePunct w:val="0"/>
        <w:autoSpaceDE/>
        <w:autoSpaceDN/>
        <w:bidi w:val="0"/>
        <w:adjustRightInd/>
        <w:snapToGrid/>
        <w:spacing w:line="360" w:lineRule="auto"/>
        <w:ind w:left="0" w:leftChars="0" w:firstLine="643"/>
        <w:jc w:val="both"/>
        <w:textAlignment w:val="auto"/>
        <w:outlineLvl w:val="2"/>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1.绩效评价目的</w:t>
      </w:r>
    </w:p>
    <w:p w14:paraId="4B1D5CEE">
      <w:pPr>
        <w:pStyle w:val="45"/>
        <w:pageBreakBefore w:val="0"/>
        <w:widowControl w:val="0"/>
        <w:numPr>
          <w:ilvl w:val="0"/>
          <w:numId w:val="0"/>
        </w:numPr>
        <w:shd w:val="clear" w:color="auto" w:fill="auto"/>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本次绩效评价遵循财政部《项目支出绩效评价管理办法》（财预〔2020〕10号）《自治区财政支出绩效评价管理暂行办法》（新财预〔2018〕189号）及自治区财政厅《关于印发〈自治区项目支出绩效目标设置指引〉的通知》（新财预〔2022〕42号）《关于提前下达《关于提前下达2024年中央农业生产发展资金预算的通知》（和财农〔2023〕64号）》（和财农〔2023〕64号）要求，等相关政策文件与规定，对关于提前下达《关于提前下达2024年中央农业生产发展资金预算的通知》（和财农〔2023〕64号）项目项目开展本次部门项目支出绩效评价工作。全面了解关于提前下达《关于提前下达2024年中央农业生产发展资金预算的通知》（和财农〔2023〕64号）项目预算编制合理性、资金使用合规性、项目管理的规范性、项目目标的实情况、服务对象的满意度等项目实施前期、过程及实施效果情况。</w:t>
      </w:r>
    </w:p>
    <w:p w14:paraId="35A68D07">
      <w:pPr>
        <w:pStyle w:val="45"/>
        <w:pageBreakBefore w:val="0"/>
        <w:widowControl w:val="0"/>
        <w:numPr>
          <w:ilvl w:val="0"/>
          <w:numId w:val="0"/>
        </w:numPr>
        <w:shd w:val="clear" w:color="auto" w:fill="auto"/>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通过部门项目支出绩效评价，进一步严格落实《中华人民共和国预算法》以及《中共中央国务院关于全面实施预算绩效管理的意见》（中发〔2018〕34号）《自治区党委自治区人民政府关于全面实施预算绩效管理的实施意见》（新党发〔2018〕30号）政策文件的指示精神，有助于建立健全“花钱必问效、无效必问责”的绩效预算管理机制</w:t>
      </w:r>
    </w:p>
    <w:p w14:paraId="420F0EDA">
      <w:pPr>
        <w:pStyle w:val="45"/>
        <w:pageBreakBefore w:val="0"/>
        <w:widowControl w:val="0"/>
        <w:numPr>
          <w:ilvl w:val="0"/>
          <w:numId w:val="0"/>
        </w:numPr>
        <w:shd w:val="clear" w:color="auto" w:fill="auto"/>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通过部门项目支出绩效评价，进一步做实绩效目标，将绩效指标细化为数量指标、质量指标、时效指标、成本指标、经济效益指标、社会效益指标、服务对象满意度指标等内容，保证项目绩效指标设置科学、规范、合理、可衡量。</w:t>
      </w:r>
    </w:p>
    <w:p w14:paraId="18D39AEA">
      <w:pPr>
        <w:pStyle w:val="45"/>
        <w:pageBreakBefore w:val="0"/>
        <w:widowControl w:val="0"/>
        <w:numPr>
          <w:ilvl w:val="0"/>
          <w:numId w:val="0"/>
        </w:numPr>
        <w:shd w:val="clear" w:color="auto" w:fill="auto"/>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同时，通过部门项目支出绩效评价，可促进本单位发现预算项目管理中的问题、总结经验、改进工作，以提高财政预算资金使用的效率及效益。</w:t>
      </w:r>
    </w:p>
    <w:p w14:paraId="28917258">
      <w:pPr>
        <w:pStyle w:val="45"/>
        <w:keepNext w:val="0"/>
        <w:keepLines w:val="0"/>
        <w:pageBreakBefore w:val="0"/>
        <w:widowControl w:val="0"/>
        <w:shd w:val="clear" w:color="auto" w:fill="auto"/>
        <w:kinsoku/>
        <w:wordWrap/>
        <w:overflowPunct/>
        <w:topLinePunct w:val="0"/>
        <w:autoSpaceDE/>
        <w:autoSpaceDN/>
        <w:bidi w:val="0"/>
        <w:adjustRightInd/>
        <w:snapToGrid/>
        <w:spacing w:line="360" w:lineRule="auto"/>
        <w:ind w:left="0" w:leftChars="0" w:firstLine="643"/>
        <w:textAlignment w:val="auto"/>
        <w:outlineLvl w:val="2"/>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2.绩效评价对象</w:t>
      </w:r>
    </w:p>
    <w:p w14:paraId="7E243EE9">
      <w:pPr>
        <w:pStyle w:val="45"/>
        <w:pageBreakBefore w:val="0"/>
        <w:widowControl w:val="0"/>
        <w:numPr>
          <w:ilvl w:val="0"/>
          <w:numId w:val="0"/>
        </w:numPr>
        <w:shd w:val="clear" w:color="auto" w:fill="auto"/>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此次绩效评价遵循财政部《项目支出绩效评价管理办法》（财预〔2020〕10号）和《自治区财政支出绩效评价管理暂行办法》（新财预〔2018〕189号）等政策文件规定，《关于提前下达2024年中央农业生产发展资金预算的通知》（和财农〔2023〕64号）项目项目为评价对象，对该项目决策、项目资金管理、项目实施过程管理，以及项目实施所带来的产出和效果等内容，进行综合评价。</w:t>
      </w:r>
    </w:p>
    <w:p w14:paraId="10832363">
      <w:pPr>
        <w:pStyle w:val="45"/>
        <w:pageBreakBefore w:val="0"/>
        <w:widowControl w:val="0"/>
        <w:shd w:val="clear" w:color="auto" w:fill="auto"/>
        <w:kinsoku/>
        <w:wordWrap/>
        <w:topLinePunct w:val="0"/>
        <w:autoSpaceDE/>
        <w:autoSpaceDN/>
        <w:bidi w:val="0"/>
        <w:spacing w:line="560" w:lineRule="exact"/>
        <w:ind w:left="0" w:leftChars="0" w:firstLine="64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3.绩效评价范围</w:t>
      </w:r>
    </w:p>
    <w:p w14:paraId="22EA90B0">
      <w:pPr>
        <w:pStyle w:val="45"/>
        <w:pageBreakBefore w:val="0"/>
        <w:widowControl w:val="0"/>
        <w:numPr>
          <w:ilvl w:val="0"/>
          <w:numId w:val="0"/>
        </w:numPr>
        <w:shd w:val="clear" w:color="auto" w:fill="auto"/>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本次绩效评价主要围绕《关于提前下达2024年中央农业生产发展资金预算的通知》（和财农〔2023〕64号）项目决策、项目资金管理、项目实施过程管理，以及项目实施所带来的产出和效果等内容，进行综合评价。范围涵盖项目总体绩效目标、各项绩效指标完成情况以及预算执行情况</w:t>
      </w:r>
      <w:bookmarkStart w:id="5" w:name="_Toc68364662"/>
      <w:r>
        <w:rPr>
          <w:rFonts w:hint="eastAsia" w:ascii="宋体" w:hAnsi="宋体" w:eastAsia="宋体" w:cs="宋体"/>
          <w:color w:val="auto"/>
          <w:sz w:val="24"/>
          <w:szCs w:val="24"/>
          <w:highlight w:val="none"/>
          <w:lang w:val="en-US" w:eastAsia="zh-CN"/>
        </w:rPr>
        <w:t>，覆盖预算资金支出项目的所有内容进行评价。</w:t>
      </w:r>
    </w:p>
    <w:p w14:paraId="6EC6ECEA">
      <w:pPr>
        <w:pStyle w:val="49"/>
        <w:pageBreakBefore w:val="0"/>
        <w:widowControl w:val="0"/>
        <w:shd w:val="clear" w:color="auto" w:fill="auto"/>
        <w:kinsoku/>
        <w:wordWrap/>
        <w:overflowPunct/>
        <w:topLinePunct w:val="0"/>
        <w:autoSpaceDE/>
        <w:autoSpaceDN/>
        <w:bidi w:val="0"/>
        <w:adjustRightInd/>
        <w:snapToGrid/>
        <w:spacing w:before="0" w:after="0"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（二）绩效评价原则、评价指标体系、评价方法评价标准</w:t>
      </w:r>
      <w:bookmarkEnd w:id="5"/>
    </w:p>
    <w:p w14:paraId="23230BC8">
      <w:pPr>
        <w:pStyle w:val="45"/>
        <w:pageBreakBefore w:val="0"/>
        <w:widowControl w:val="0"/>
        <w:shd w:val="clear" w:color="auto" w:fill="auto"/>
        <w:kinsoku/>
        <w:wordWrap/>
        <w:overflowPunct/>
        <w:topLinePunct w:val="0"/>
        <w:autoSpaceDE/>
        <w:autoSpaceDN/>
        <w:bidi w:val="0"/>
        <w:adjustRightInd/>
        <w:snapToGrid/>
        <w:spacing w:line="360" w:lineRule="auto"/>
        <w:ind w:left="0" w:leftChars="0" w:firstLine="643"/>
        <w:textAlignment w:val="auto"/>
        <w:outlineLvl w:val="2"/>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1.绩效评价原则</w:t>
      </w:r>
    </w:p>
    <w:p w14:paraId="0A8C13FC">
      <w:pPr>
        <w:pStyle w:val="45"/>
        <w:pageBreakBefore w:val="0"/>
        <w:widowControl w:val="0"/>
        <w:shd w:val="clear" w:color="auto" w:fill="auto"/>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p>
    <w:p w14:paraId="12CD0387">
      <w:pPr>
        <w:pStyle w:val="45"/>
        <w:pageBreakBefore w:val="0"/>
        <w:widowControl w:val="0"/>
        <w:shd w:val="clear" w:color="auto" w:fill="auto"/>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（1）科学公正。绩效评价应当运用科学合理的方法，按照规范的程序，对项目绩效进行客观、公正的反映。</w:t>
      </w:r>
    </w:p>
    <w:p w14:paraId="79BB74CB">
      <w:pPr>
        <w:pStyle w:val="45"/>
        <w:pageBreakBefore w:val="0"/>
        <w:widowControl w:val="0"/>
        <w:shd w:val="clear" w:color="auto" w:fill="auto"/>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16A6C49C">
      <w:pPr>
        <w:pStyle w:val="45"/>
        <w:pageBreakBefore w:val="0"/>
        <w:widowControl w:val="0"/>
        <w:shd w:val="clear" w:color="auto" w:fill="auto"/>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（3）激励约束。绩效评价结果应与预算安排、政策调整、改进管理实质性挂钩，体现奖优罚劣和激励相容导向，有效要安排、低效要压减、无效要问责。</w:t>
      </w:r>
    </w:p>
    <w:p w14:paraId="5D3A9F36">
      <w:pPr>
        <w:pStyle w:val="45"/>
        <w:pageBreakBefore w:val="0"/>
        <w:widowControl w:val="0"/>
        <w:shd w:val="clear" w:color="auto" w:fill="auto"/>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（4）公开透明。绩效评价结果应依法依规公开，并自觉接受社会监督。</w:t>
      </w:r>
    </w:p>
    <w:p w14:paraId="1EA3705B">
      <w:pPr>
        <w:pStyle w:val="45"/>
        <w:pageBreakBefore w:val="0"/>
        <w:widowControl w:val="0"/>
        <w:shd w:val="clear" w:color="auto" w:fill="auto"/>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根据以上原则，绩效评价应遵循如下要求:</w:t>
      </w:r>
    </w:p>
    <w:p w14:paraId="5F19C966">
      <w:pPr>
        <w:pStyle w:val="45"/>
        <w:pageBreakBefore w:val="0"/>
        <w:widowControl w:val="0"/>
        <w:shd w:val="clear" w:color="auto" w:fill="auto"/>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（1）在数据采集时，采取客观数据，主管部门审查、社会中介组织复查，与问卷调查相结合的形式，以保证各项指标的真实性。</w:t>
      </w:r>
    </w:p>
    <w:p w14:paraId="0A44F2CE">
      <w:pPr>
        <w:pStyle w:val="45"/>
        <w:pageBreakBefore w:val="0"/>
        <w:widowControl w:val="0"/>
        <w:shd w:val="clear" w:color="auto" w:fill="auto"/>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（2）保证评价结果的真实性、公正性，提高评价报告的公信力。</w:t>
      </w:r>
    </w:p>
    <w:p w14:paraId="2F2FE4D7">
      <w:pPr>
        <w:pStyle w:val="45"/>
        <w:pageBreakBefore w:val="0"/>
        <w:widowControl w:val="0"/>
        <w:shd w:val="clear" w:color="auto" w:fill="auto"/>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14:paraId="40C683C3">
      <w:pPr>
        <w:pStyle w:val="45"/>
        <w:pageBreakBefore w:val="0"/>
        <w:widowControl w:val="0"/>
        <w:shd w:val="clear" w:color="auto" w:fill="auto"/>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2.绩效评价指标体系</w:t>
      </w:r>
    </w:p>
    <w:p w14:paraId="57B4AEA6">
      <w:pPr>
        <w:pStyle w:val="45"/>
        <w:pageBreakBefore w:val="0"/>
        <w:widowControl w:val="0"/>
        <w:shd w:val="clear" w:color="auto" w:fill="auto"/>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2个二级指标。项目绩效评价体系。详细指标体系见“附件1：项目支出绩效评价体系”。</w:t>
      </w:r>
    </w:p>
    <w:p w14:paraId="1D011807">
      <w:pPr>
        <w:pStyle w:val="45"/>
        <w:pageBreakBefore w:val="0"/>
        <w:widowControl w:val="0"/>
        <w:shd w:val="clear" w:color="auto" w:fill="auto"/>
        <w:kinsoku/>
        <w:wordWrap/>
        <w:overflowPunct/>
        <w:topLinePunct w:val="0"/>
        <w:autoSpaceDE/>
        <w:autoSpaceDN/>
        <w:bidi w:val="0"/>
        <w:adjustRightInd/>
        <w:snapToGrid/>
        <w:spacing w:line="360" w:lineRule="auto"/>
        <w:ind w:left="0" w:leftChars="0" w:firstLine="643"/>
        <w:textAlignment w:val="auto"/>
        <w:outlineLvl w:val="2"/>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3.绩效评价方法</w:t>
      </w:r>
    </w:p>
    <w:p w14:paraId="61B506D5">
      <w:pPr>
        <w:pStyle w:val="45"/>
        <w:pageBreakBefore w:val="0"/>
        <w:widowControl w:val="0"/>
        <w:shd w:val="clear" w:color="auto" w:fill="auto"/>
        <w:kinsoku/>
        <w:wordWrap/>
        <w:overflowPunct/>
        <w:topLinePunct w:val="0"/>
        <w:autoSpaceDE/>
        <w:autoSpaceDN/>
        <w:bidi w:val="0"/>
        <w:adjustRightInd/>
        <w:snapToGrid/>
        <w:spacing w:line="360" w:lineRule="auto"/>
        <w:ind w:left="0" w:leftChars="0" w:firstLine="643"/>
        <w:textAlignment w:val="auto"/>
        <w:outlineLvl w:val="2"/>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6E334A82">
      <w:pPr>
        <w:pStyle w:val="45"/>
        <w:pageBreakBefore w:val="0"/>
        <w:widowControl w:val="0"/>
        <w:shd w:val="clear" w:color="auto" w:fill="auto"/>
        <w:kinsoku/>
        <w:wordWrap/>
        <w:overflowPunct/>
        <w:topLinePunct w:val="0"/>
        <w:autoSpaceDE/>
        <w:autoSpaceDN/>
        <w:bidi w:val="0"/>
        <w:adjustRightInd/>
        <w:snapToGrid/>
        <w:spacing w:line="360" w:lineRule="auto"/>
        <w:ind w:left="0" w:leftChars="0" w:firstLine="643"/>
        <w:textAlignment w:val="auto"/>
        <w:outlineLvl w:val="2"/>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lang w:val="en-US" w:eastAsia="zh-CN"/>
        </w:rPr>
        <w:t>具体</w:t>
      </w:r>
      <w:r>
        <w:rPr>
          <w:rFonts w:hint="eastAsia" w:ascii="宋体" w:hAnsi="宋体" w:eastAsia="宋体" w:cs="宋体"/>
          <w:b w:val="0"/>
          <w:bCs/>
          <w:color w:val="auto"/>
          <w:sz w:val="24"/>
          <w:szCs w:val="24"/>
          <w:highlight w:val="none"/>
        </w:rPr>
        <w:t>评价方法的应用如下:</w:t>
      </w:r>
    </w:p>
    <w:p w14:paraId="56FBCBFC">
      <w:pPr>
        <w:pStyle w:val="45"/>
        <w:pageBreakBefore w:val="0"/>
        <w:widowControl w:val="0"/>
        <w:shd w:val="clear" w:color="auto" w:fill="auto"/>
        <w:kinsoku/>
        <w:wordWrap/>
        <w:overflowPunct/>
        <w:topLinePunct w:val="0"/>
        <w:autoSpaceDE/>
        <w:autoSpaceDN/>
        <w:bidi w:val="0"/>
        <w:adjustRightInd/>
        <w:snapToGrid/>
        <w:spacing w:line="360" w:lineRule="auto"/>
        <w:ind w:left="0" w:leftChars="0" w:firstLine="643"/>
        <w:textAlignment w:val="auto"/>
        <w:outlineLvl w:val="2"/>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立项依据充分性：比较法、文献法，查找法律法规政策以及规划，对比实际执行内容和政策支持内容是否匹配。</w:t>
      </w:r>
    </w:p>
    <w:p w14:paraId="7075F80C">
      <w:pPr>
        <w:pStyle w:val="45"/>
        <w:pageBreakBefore w:val="0"/>
        <w:widowControl w:val="0"/>
        <w:shd w:val="clear" w:color="auto" w:fill="auto"/>
        <w:kinsoku/>
        <w:wordWrap/>
        <w:overflowPunct/>
        <w:topLinePunct w:val="0"/>
        <w:autoSpaceDE/>
        <w:autoSpaceDN/>
        <w:bidi w:val="0"/>
        <w:adjustRightInd/>
        <w:snapToGrid/>
        <w:spacing w:line="360" w:lineRule="auto"/>
        <w:ind w:left="0" w:leftChars="0" w:firstLine="643"/>
        <w:textAlignment w:val="auto"/>
        <w:outlineLvl w:val="2"/>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立项程序规范性：比较法、文献法，查找相关项目设立的政策和文件要求，对比分析实际执行程序是否按照政策及文件要求执行，分析立项程序的规范性。</w:t>
      </w:r>
    </w:p>
    <w:p w14:paraId="04A73EB5">
      <w:pPr>
        <w:pStyle w:val="45"/>
        <w:pageBreakBefore w:val="0"/>
        <w:widowControl w:val="0"/>
        <w:shd w:val="clear" w:color="auto" w:fill="auto"/>
        <w:kinsoku/>
        <w:wordWrap/>
        <w:overflowPunct/>
        <w:topLinePunct w:val="0"/>
        <w:autoSpaceDE/>
        <w:autoSpaceDN/>
        <w:bidi w:val="0"/>
        <w:adjustRightInd/>
        <w:snapToGrid/>
        <w:spacing w:line="360" w:lineRule="auto"/>
        <w:ind w:left="0" w:leftChars="0" w:firstLine="643"/>
        <w:textAlignment w:val="auto"/>
        <w:outlineLvl w:val="2"/>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绩效目标合理性：比较法，对比分析年初编制项目支出绩效目标表与项目内容的相关性、资金的匹配性等。</w:t>
      </w:r>
    </w:p>
    <w:p w14:paraId="1F92B01E">
      <w:pPr>
        <w:pStyle w:val="45"/>
        <w:pageBreakBefore w:val="0"/>
        <w:widowControl w:val="0"/>
        <w:shd w:val="clear" w:color="auto" w:fill="auto"/>
        <w:kinsoku/>
        <w:wordWrap/>
        <w:overflowPunct/>
        <w:topLinePunct w:val="0"/>
        <w:autoSpaceDE/>
        <w:autoSpaceDN/>
        <w:bidi w:val="0"/>
        <w:adjustRightInd/>
        <w:snapToGrid/>
        <w:spacing w:line="360" w:lineRule="auto"/>
        <w:ind w:left="0" w:leftChars="0" w:firstLine="643"/>
        <w:textAlignment w:val="auto"/>
        <w:outlineLvl w:val="2"/>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绩效指标明确性：比较法，比较分析年初编制项目支出绩效目标表是否符合双七原则，是否可衡量。</w:t>
      </w:r>
    </w:p>
    <w:p w14:paraId="73EA54B3">
      <w:pPr>
        <w:pStyle w:val="45"/>
        <w:pageBreakBefore w:val="0"/>
        <w:widowControl w:val="0"/>
        <w:shd w:val="clear" w:color="auto" w:fill="auto"/>
        <w:kinsoku/>
        <w:wordWrap/>
        <w:overflowPunct/>
        <w:topLinePunct w:val="0"/>
        <w:autoSpaceDE/>
        <w:autoSpaceDN/>
        <w:bidi w:val="0"/>
        <w:adjustRightInd/>
        <w:snapToGrid/>
        <w:spacing w:line="360" w:lineRule="auto"/>
        <w:ind w:left="0" w:leftChars="0" w:firstLine="643"/>
        <w:textAlignment w:val="auto"/>
        <w:outlineLvl w:val="2"/>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预算编制科学性</w:t>
      </w:r>
      <w:r>
        <w:rPr>
          <w:rFonts w:hint="eastAsia" w:ascii="宋体" w:hAnsi="宋体" w:eastAsia="宋体" w:cs="宋体"/>
          <w:b w:val="0"/>
          <w:bCs/>
          <w:color w:val="auto"/>
          <w:sz w:val="24"/>
          <w:szCs w:val="24"/>
          <w:highlight w:val="none"/>
          <w:lang w:eastAsia="zh-CN"/>
        </w:rPr>
        <w:t>：</w:t>
      </w:r>
      <w:r>
        <w:rPr>
          <w:rFonts w:hint="eastAsia" w:ascii="宋体" w:hAnsi="宋体" w:eastAsia="宋体" w:cs="宋体"/>
          <w:b w:val="0"/>
          <w:bCs/>
          <w:color w:val="auto"/>
          <w:sz w:val="24"/>
          <w:szCs w:val="24"/>
          <w:highlight w:val="none"/>
        </w:rPr>
        <w:t>成本效益分析法</w:t>
      </w:r>
      <w:r>
        <w:rPr>
          <w:rFonts w:hint="eastAsia" w:ascii="宋体" w:hAnsi="宋体" w:eastAsia="宋体" w:cs="宋体"/>
          <w:b w:val="0"/>
          <w:bCs/>
          <w:color w:val="auto"/>
          <w:sz w:val="24"/>
          <w:szCs w:val="24"/>
          <w:highlight w:val="none"/>
          <w:lang w:eastAsia="zh-CN"/>
        </w:rPr>
        <w:t>，</w:t>
      </w:r>
      <w:r>
        <w:rPr>
          <w:rFonts w:hint="eastAsia" w:ascii="宋体" w:hAnsi="宋体" w:eastAsia="宋体" w:cs="宋体"/>
          <w:b w:val="0"/>
          <w:bCs/>
          <w:color w:val="auto"/>
          <w:sz w:val="24"/>
          <w:szCs w:val="24"/>
          <w:highlight w:val="none"/>
        </w:rPr>
        <w:t>分析在产出一定的情况下，成本取值是否有依据，是否经过询价，是否按照市场最低成本编制。</w:t>
      </w:r>
    </w:p>
    <w:p w14:paraId="36D13F15">
      <w:pPr>
        <w:pStyle w:val="45"/>
        <w:pageBreakBefore w:val="0"/>
        <w:widowControl w:val="0"/>
        <w:shd w:val="clear" w:color="auto" w:fill="auto"/>
        <w:kinsoku/>
        <w:wordWrap/>
        <w:overflowPunct/>
        <w:topLinePunct w:val="0"/>
        <w:autoSpaceDE/>
        <w:autoSpaceDN/>
        <w:bidi w:val="0"/>
        <w:adjustRightInd/>
        <w:snapToGrid/>
        <w:spacing w:line="360" w:lineRule="auto"/>
        <w:ind w:left="0" w:leftChars="0" w:firstLine="643"/>
        <w:textAlignment w:val="auto"/>
        <w:outlineLvl w:val="2"/>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rPr>
        <w:t>资金分配合理性：因素分析法，综合分析资金的分配依据是否充分，分配金额是否与项目实施单位需求金额一致</w:t>
      </w:r>
      <w:r>
        <w:rPr>
          <w:rFonts w:hint="eastAsia" w:ascii="宋体" w:hAnsi="宋体" w:eastAsia="宋体" w:cs="宋体"/>
          <w:b w:val="0"/>
          <w:bCs/>
          <w:color w:val="auto"/>
          <w:sz w:val="24"/>
          <w:szCs w:val="24"/>
          <w:highlight w:val="none"/>
          <w:lang w:eastAsia="zh-CN"/>
        </w:rPr>
        <w:t>。</w:t>
      </w:r>
    </w:p>
    <w:p w14:paraId="388C45AF">
      <w:pPr>
        <w:pStyle w:val="45"/>
        <w:pageBreakBefore w:val="0"/>
        <w:widowControl w:val="0"/>
        <w:shd w:val="clear" w:color="auto" w:fill="auto"/>
        <w:kinsoku/>
        <w:wordWrap/>
        <w:overflowPunct/>
        <w:topLinePunct w:val="0"/>
        <w:autoSpaceDE/>
        <w:autoSpaceDN/>
        <w:bidi w:val="0"/>
        <w:adjustRightInd/>
        <w:snapToGrid/>
        <w:spacing w:line="360" w:lineRule="auto"/>
        <w:ind w:left="0" w:leftChars="0" w:firstLine="643"/>
        <w:textAlignment w:val="auto"/>
        <w:outlineLvl w:val="2"/>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资金到位率：比较法，资金到位率预期指标值应为100%，通过实际计算，分析实际完成值和预期指标值之间的差距和原因。</w:t>
      </w:r>
    </w:p>
    <w:p w14:paraId="52B5E736">
      <w:pPr>
        <w:pStyle w:val="45"/>
        <w:pageBreakBefore w:val="0"/>
        <w:widowControl w:val="0"/>
        <w:shd w:val="clear" w:color="auto" w:fill="auto"/>
        <w:kinsoku/>
        <w:wordWrap/>
        <w:overflowPunct/>
        <w:topLinePunct w:val="0"/>
        <w:autoSpaceDE/>
        <w:autoSpaceDN/>
        <w:bidi w:val="0"/>
        <w:adjustRightInd/>
        <w:snapToGrid/>
        <w:spacing w:line="360" w:lineRule="auto"/>
        <w:ind w:left="0" w:leftChars="0" w:firstLine="643"/>
        <w:textAlignment w:val="auto"/>
        <w:outlineLvl w:val="2"/>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预算执行率：比较法，预算执行率预期指标值应为100%，通过实际计算，分析实际完成值和预期指标值之间的差距和原因。</w:t>
      </w:r>
    </w:p>
    <w:p w14:paraId="14567D5D">
      <w:pPr>
        <w:pStyle w:val="45"/>
        <w:pageBreakBefore w:val="0"/>
        <w:widowControl w:val="0"/>
        <w:shd w:val="clear" w:color="auto" w:fill="auto"/>
        <w:kinsoku/>
        <w:wordWrap/>
        <w:overflowPunct/>
        <w:topLinePunct w:val="0"/>
        <w:autoSpaceDE/>
        <w:autoSpaceDN/>
        <w:bidi w:val="0"/>
        <w:adjustRightInd/>
        <w:snapToGrid/>
        <w:spacing w:line="360" w:lineRule="auto"/>
        <w:ind w:left="0" w:leftChars="0" w:firstLine="643"/>
        <w:textAlignment w:val="auto"/>
        <w:outlineLvl w:val="2"/>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资金使用合规性：文献法、实地勘察法，一是查找资金管理办法，包括专项资金管理办法和单位自有资金管理办法；二是通过查账了解具体开支情况，是否专用专用，是否按照标准支出。</w:t>
      </w:r>
    </w:p>
    <w:p w14:paraId="6C24974F">
      <w:pPr>
        <w:pStyle w:val="45"/>
        <w:pageBreakBefore w:val="0"/>
        <w:widowControl w:val="0"/>
        <w:shd w:val="clear" w:color="auto" w:fill="auto"/>
        <w:kinsoku/>
        <w:wordWrap/>
        <w:overflowPunct/>
        <w:topLinePunct w:val="0"/>
        <w:autoSpaceDE/>
        <w:autoSpaceDN/>
        <w:bidi w:val="0"/>
        <w:adjustRightInd/>
        <w:snapToGrid/>
        <w:spacing w:line="360" w:lineRule="auto"/>
        <w:ind w:left="0" w:leftChars="0" w:firstLine="643"/>
        <w:textAlignment w:val="auto"/>
        <w:outlineLvl w:val="2"/>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管理制度健全性：文献法、比较法，查阅项目实施人员提供的财务和业务管理制度，将已建立的制度与现行的法律法规和政策要求进行对比，分析项目制度的合法性、合规性、完整性。</w:t>
      </w:r>
    </w:p>
    <w:p w14:paraId="465BDA14">
      <w:pPr>
        <w:pStyle w:val="45"/>
        <w:pageBreakBefore w:val="0"/>
        <w:widowControl w:val="0"/>
        <w:shd w:val="clear" w:color="auto" w:fill="auto"/>
        <w:kinsoku/>
        <w:wordWrap/>
        <w:overflowPunct/>
        <w:topLinePunct w:val="0"/>
        <w:autoSpaceDE/>
        <w:autoSpaceDN/>
        <w:bidi w:val="0"/>
        <w:adjustRightInd/>
        <w:snapToGrid/>
        <w:spacing w:line="360" w:lineRule="auto"/>
        <w:ind w:left="0" w:leftChars="0" w:firstLine="643"/>
        <w:textAlignment w:val="auto"/>
        <w:outlineLvl w:val="2"/>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制度执行有效性：比较法，结合项目实际实施过程性文件，根据已建设的财务管理制度和项目管理制度综合分析制度执行的有效性。</w:t>
      </w:r>
    </w:p>
    <w:p w14:paraId="31E16423">
      <w:pPr>
        <w:pStyle w:val="45"/>
        <w:pageBreakBefore w:val="0"/>
        <w:widowControl w:val="0"/>
        <w:shd w:val="clear" w:color="auto" w:fill="auto"/>
        <w:kinsoku/>
        <w:wordWrap/>
        <w:overflowPunct/>
        <w:topLinePunct w:val="0"/>
        <w:autoSpaceDE/>
        <w:autoSpaceDN/>
        <w:bidi w:val="0"/>
        <w:adjustRightInd/>
        <w:snapToGrid/>
        <w:spacing w:line="360" w:lineRule="auto"/>
        <w:ind w:left="0" w:leftChars="0" w:firstLine="643"/>
        <w:textAlignment w:val="auto"/>
        <w:outlineLvl w:val="2"/>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28FC1B5E">
      <w:pPr>
        <w:pStyle w:val="45"/>
        <w:pageBreakBefore w:val="0"/>
        <w:widowControl w:val="0"/>
        <w:shd w:val="clear" w:color="auto" w:fill="auto"/>
        <w:kinsoku/>
        <w:wordWrap/>
        <w:overflowPunct/>
        <w:topLinePunct w:val="0"/>
        <w:autoSpaceDE/>
        <w:autoSpaceDN/>
        <w:bidi w:val="0"/>
        <w:adjustRightInd/>
        <w:snapToGrid/>
        <w:spacing w:line="360" w:lineRule="auto"/>
        <w:ind w:left="0" w:leftChars="0" w:firstLine="643"/>
        <w:textAlignment w:val="auto"/>
        <w:outlineLvl w:val="2"/>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定性指标：公众评判法，通过问卷及抽样调查等方式评价本项目实施后社会公众对于其实施效果的满意程度。</w:t>
      </w:r>
    </w:p>
    <w:p w14:paraId="5C9AB88A">
      <w:pPr>
        <w:pStyle w:val="45"/>
        <w:pageBreakBefore w:val="0"/>
        <w:widowControl w:val="0"/>
        <w:shd w:val="clear" w:color="auto" w:fill="auto"/>
        <w:kinsoku/>
        <w:wordWrap/>
        <w:overflowPunct/>
        <w:topLinePunct w:val="0"/>
        <w:autoSpaceDE/>
        <w:autoSpaceDN/>
        <w:bidi w:val="0"/>
        <w:adjustRightInd/>
        <w:snapToGrid/>
        <w:spacing w:line="360" w:lineRule="auto"/>
        <w:ind w:left="0" w:leftChars="0" w:firstLine="643"/>
        <w:textAlignment w:val="auto"/>
        <w:outlineLvl w:val="2"/>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4.绩效评价标准</w:t>
      </w:r>
    </w:p>
    <w:p w14:paraId="19B28F51">
      <w:pPr>
        <w:pStyle w:val="45"/>
        <w:pageBreakBefore w:val="0"/>
        <w:widowControl w:val="0"/>
        <w:shd w:val="clear" w:color="auto" w:fill="auto"/>
        <w:kinsoku/>
        <w:wordWrap/>
        <w:overflowPunct/>
        <w:topLinePunct w:val="0"/>
        <w:autoSpaceDE/>
        <w:autoSpaceDN/>
        <w:bidi w:val="0"/>
        <w:adjustRightInd/>
        <w:snapToGrid/>
        <w:spacing w:line="360" w:lineRule="auto"/>
        <w:ind w:left="0" w:leftChars="0" w:firstLine="643"/>
        <w:textAlignment w:val="auto"/>
        <w:outlineLvl w:val="2"/>
        <w:rPr>
          <w:rFonts w:hint="eastAsia" w:ascii="宋体" w:hAnsi="宋体" w:eastAsia="宋体" w:cs="宋体"/>
          <w:b w:val="0"/>
          <w:bCs/>
          <w:color w:val="auto"/>
          <w:sz w:val="24"/>
          <w:szCs w:val="24"/>
          <w:highlight w:val="none"/>
          <w:lang w:eastAsia="zh-CN"/>
        </w:rPr>
      </w:pPr>
      <w:bookmarkStart w:id="6" w:name="_Toc68364663"/>
      <w:r>
        <w:rPr>
          <w:rFonts w:hint="eastAsia" w:ascii="宋体" w:hAnsi="宋体" w:eastAsia="宋体" w:cs="宋体"/>
          <w:b w:val="0"/>
          <w:bCs/>
          <w:color w:val="auto"/>
          <w:sz w:val="24"/>
          <w:szCs w:val="24"/>
          <w:highlight w:val="none"/>
        </w:rPr>
        <w:t>绩效评价标准通常包括计划标准、行业标准、历史标准等，用于对绩效指标完成情况进行比较、分析、评价。本次评价主要采用了</w:t>
      </w:r>
      <w:bookmarkStart w:id="7" w:name="_Toc17882"/>
      <w:bookmarkStart w:id="8" w:name="_Toc31464"/>
      <w:r>
        <w:rPr>
          <w:rFonts w:hint="eastAsia" w:ascii="宋体" w:hAnsi="宋体" w:eastAsia="宋体" w:cs="宋体"/>
          <w:b w:val="0"/>
          <w:bCs/>
          <w:color w:val="auto"/>
          <w:sz w:val="24"/>
          <w:szCs w:val="24"/>
          <w:highlight w:val="none"/>
        </w:rPr>
        <w:t>计划标准</w:t>
      </w:r>
      <w:bookmarkEnd w:id="7"/>
      <w:bookmarkEnd w:id="8"/>
      <w:r>
        <w:rPr>
          <w:rFonts w:hint="eastAsia" w:ascii="宋体" w:hAnsi="宋体" w:eastAsia="宋体" w:cs="宋体"/>
          <w:b w:val="0"/>
          <w:bCs/>
          <w:color w:val="auto"/>
          <w:sz w:val="24"/>
          <w:szCs w:val="24"/>
          <w:highlight w:val="none"/>
          <w:lang w:eastAsia="zh-CN"/>
        </w:rPr>
        <w:t>。</w:t>
      </w:r>
    </w:p>
    <w:p w14:paraId="69853530">
      <w:pPr>
        <w:pStyle w:val="49"/>
        <w:pageBreakBefore w:val="0"/>
        <w:widowControl w:val="0"/>
        <w:shd w:val="clear" w:color="auto" w:fill="auto"/>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（三）绩效评价工作过程</w:t>
      </w:r>
      <w:bookmarkEnd w:id="6"/>
    </w:p>
    <w:p w14:paraId="0D21C2D6">
      <w:pPr>
        <w:pStyle w:val="45"/>
        <w:keepNext w:val="0"/>
        <w:keepLines w:val="0"/>
        <w:pageBreakBefore w:val="0"/>
        <w:widowControl w:val="0"/>
        <w:shd w:val="clear" w:color="auto" w:fill="auto"/>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auto"/>
          <w:sz w:val="24"/>
          <w:szCs w:val="24"/>
          <w:highlight w:val="none"/>
        </w:rPr>
      </w:pPr>
      <w:bookmarkStart w:id="9" w:name="_Toc68364664"/>
      <w:r>
        <w:rPr>
          <w:rFonts w:hint="eastAsia" w:ascii="宋体" w:hAnsi="宋体" w:eastAsia="宋体" w:cs="宋体"/>
          <w:b/>
          <w:bCs/>
          <w:color w:val="auto"/>
          <w:sz w:val="24"/>
          <w:szCs w:val="24"/>
          <w:highlight w:val="none"/>
        </w:rPr>
        <w:t>1.前期准备</w:t>
      </w:r>
    </w:p>
    <w:p w14:paraId="639D5B7D">
      <w:pPr>
        <w:pageBreakBefore w:val="0"/>
        <w:widowControl w:val="0"/>
        <w:shd w:val="clear" w:color="auto" w:fill="auto"/>
        <w:kinsoku/>
        <w:wordWrap/>
        <w:overflowPunct/>
        <w:topLinePunct w:val="0"/>
        <w:autoSpaceDE/>
        <w:autoSpaceDN/>
        <w:bidi w:val="0"/>
        <w:adjustRightInd/>
        <w:snapToGrid/>
        <w:spacing w:line="360" w:lineRule="auto"/>
        <w:ind w:firstLine="560"/>
        <w:jc w:val="both"/>
        <w:textAlignment w:val="auto"/>
        <w:rPr>
          <w:rFonts w:hint="eastAsia" w:ascii="宋体" w:hAnsi="宋体" w:eastAsia="宋体" w:cs="宋体"/>
          <w:b w:val="0"/>
          <w:bCs/>
          <w:color w:val="auto"/>
          <w:kern w:val="0"/>
          <w:sz w:val="24"/>
          <w:szCs w:val="24"/>
          <w:highlight w:val="none"/>
          <w:lang w:val="en-US" w:eastAsia="zh-CN" w:bidi="ar-SA"/>
        </w:rPr>
      </w:pPr>
      <w:r>
        <w:rPr>
          <w:rFonts w:hint="eastAsia" w:ascii="宋体" w:hAnsi="宋体" w:eastAsia="宋体" w:cs="宋体"/>
          <w:b w:val="0"/>
          <w:bCs/>
          <w:color w:val="auto"/>
          <w:kern w:val="0"/>
          <w:sz w:val="24"/>
          <w:szCs w:val="24"/>
          <w:highlight w:val="none"/>
          <w:lang w:val="en-US" w:eastAsia="zh-CN" w:bidi="ar-SA"/>
        </w:rPr>
        <w:t>我单位于2025年1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06A17622">
      <w:pPr>
        <w:pStyle w:val="45"/>
        <w:pageBreakBefore w:val="0"/>
        <w:widowControl w:val="0"/>
        <w:shd w:val="clear" w:color="auto" w:fill="auto"/>
        <w:kinsoku/>
        <w:wordWrap/>
        <w:overflowPunct/>
        <w:topLinePunct w:val="0"/>
        <w:autoSpaceDE/>
        <w:autoSpaceDN/>
        <w:bidi w:val="0"/>
        <w:adjustRightInd/>
        <w:snapToGrid/>
        <w:spacing w:line="360" w:lineRule="auto"/>
        <w:ind w:left="0" w:leftChars="0" w:firstLine="643"/>
        <w:textAlignment w:val="auto"/>
        <w:outlineLvl w:val="2"/>
        <w:rPr>
          <w:rFonts w:hint="eastAsia" w:ascii="宋体" w:hAnsi="宋体" w:eastAsia="宋体" w:cs="宋体"/>
          <w:b w:val="0"/>
          <w:bCs/>
          <w:color w:val="auto"/>
          <w:kern w:val="0"/>
          <w:sz w:val="24"/>
          <w:szCs w:val="24"/>
          <w:highlight w:val="none"/>
          <w:lang w:val="en-US" w:eastAsia="zh-CN" w:bidi="ar-SA"/>
        </w:rPr>
      </w:pPr>
      <w:r>
        <w:rPr>
          <w:rFonts w:hint="eastAsia" w:ascii="宋体" w:hAnsi="宋体" w:eastAsia="宋体" w:cs="宋体"/>
          <w:b w:val="0"/>
          <w:bCs/>
          <w:color w:val="auto"/>
          <w:kern w:val="0"/>
          <w:sz w:val="24"/>
          <w:szCs w:val="24"/>
          <w:highlight w:val="none"/>
          <w:lang w:val="en-US" w:eastAsia="zh-CN" w:bidi="ar-SA"/>
        </w:rPr>
        <w:t>约麦尔尼亚孜·多来提（评价小组组长）：主要负责项目绩效全过程实施协调;</w:t>
      </w:r>
    </w:p>
    <w:p w14:paraId="0C0CB809">
      <w:pPr>
        <w:pStyle w:val="45"/>
        <w:pageBreakBefore w:val="0"/>
        <w:widowControl w:val="0"/>
        <w:shd w:val="clear" w:color="auto" w:fill="auto"/>
        <w:kinsoku/>
        <w:wordWrap/>
        <w:overflowPunct/>
        <w:topLinePunct w:val="0"/>
        <w:autoSpaceDE/>
        <w:autoSpaceDN/>
        <w:bidi w:val="0"/>
        <w:adjustRightInd/>
        <w:snapToGrid/>
        <w:spacing w:line="360" w:lineRule="auto"/>
        <w:ind w:left="0" w:leftChars="0" w:firstLine="643"/>
        <w:textAlignment w:val="auto"/>
        <w:outlineLvl w:val="2"/>
        <w:rPr>
          <w:rFonts w:hint="eastAsia" w:ascii="宋体" w:hAnsi="宋体" w:eastAsia="宋体" w:cs="宋体"/>
          <w:b w:val="0"/>
          <w:bCs/>
          <w:color w:val="auto"/>
          <w:kern w:val="0"/>
          <w:sz w:val="24"/>
          <w:szCs w:val="24"/>
          <w:highlight w:val="none"/>
          <w:lang w:val="en-US" w:eastAsia="zh-CN" w:bidi="ar-SA"/>
        </w:rPr>
      </w:pPr>
      <w:r>
        <w:rPr>
          <w:rFonts w:hint="eastAsia" w:ascii="宋体" w:hAnsi="宋体" w:eastAsia="宋体" w:cs="宋体"/>
          <w:b w:val="0"/>
          <w:bCs/>
          <w:color w:val="auto"/>
          <w:kern w:val="0"/>
          <w:sz w:val="24"/>
          <w:szCs w:val="24"/>
          <w:highlight w:val="none"/>
          <w:lang w:val="en-US" w:eastAsia="zh-CN" w:bidi="ar-SA"/>
        </w:rPr>
        <w:t>图尔贡江·托合提（评价小组组员）：主要负责项目具体施工进度，目表完成情况考核;</w:t>
      </w:r>
    </w:p>
    <w:p w14:paraId="442EC2AA">
      <w:pPr>
        <w:pStyle w:val="45"/>
        <w:pageBreakBefore w:val="0"/>
        <w:widowControl w:val="0"/>
        <w:shd w:val="clear" w:color="auto" w:fill="auto"/>
        <w:kinsoku/>
        <w:wordWrap/>
        <w:overflowPunct/>
        <w:topLinePunct w:val="0"/>
        <w:autoSpaceDE/>
        <w:autoSpaceDN/>
        <w:bidi w:val="0"/>
        <w:adjustRightInd/>
        <w:snapToGrid/>
        <w:spacing w:line="360" w:lineRule="auto"/>
        <w:ind w:left="0" w:leftChars="0" w:firstLine="643"/>
        <w:textAlignment w:val="auto"/>
        <w:outlineLvl w:val="2"/>
        <w:rPr>
          <w:rFonts w:hint="eastAsia" w:ascii="宋体" w:hAnsi="宋体" w:eastAsia="宋体" w:cs="宋体"/>
          <w:b w:val="0"/>
          <w:bCs/>
          <w:color w:val="auto"/>
          <w:kern w:val="0"/>
          <w:sz w:val="24"/>
          <w:szCs w:val="24"/>
          <w:highlight w:val="none"/>
          <w:lang w:val="en-US" w:eastAsia="zh-CN" w:bidi="ar-SA"/>
        </w:rPr>
      </w:pPr>
      <w:r>
        <w:rPr>
          <w:rFonts w:hint="eastAsia" w:ascii="宋体" w:hAnsi="宋体" w:eastAsia="宋体" w:cs="宋体"/>
          <w:b w:val="0"/>
          <w:bCs/>
          <w:color w:val="auto"/>
          <w:kern w:val="0"/>
          <w:sz w:val="24"/>
          <w:szCs w:val="24"/>
          <w:highlight w:val="none"/>
          <w:lang w:val="en-US" w:eastAsia="zh-CN" w:bidi="ar-SA"/>
        </w:rPr>
        <w:t>布尼沙汗·吐送（评价小组组员）：主要负责项目资金支付，项目全过程监督。</w:t>
      </w:r>
    </w:p>
    <w:p w14:paraId="68D022DA">
      <w:pPr>
        <w:pStyle w:val="45"/>
        <w:keepNext w:val="0"/>
        <w:keepLines w:val="0"/>
        <w:pageBreakBefore w:val="0"/>
        <w:widowControl w:val="0"/>
        <w:shd w:val="clear" w:color="auto" w:fill="auto"/>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2.组织实施</w:t>
      </w:r>
    </w:p>
    <w:p w14:paraId="60375476">
      <w:pPr>
        <w:pageBreakBefore w:val="0"/>
        <w:widowControl w:val="0"/>
        <w:shd w:val="clear" w:color="auto" w:fill="auto"/>
        <w:kinsoku/>
        <w:wordWrap/>
        <w:overflowPunct/>
        <w:topLinePunct w:val="0"/>
        <w:autoSpaceDE/>
        <w:autoSpaceDN/>
        <w:bidi w:val="0"/>
        <w:adjustRightInd/>
        <w:snapToGrid/>
        <w:spacing w:line="360" w:lineRule="auto"/>
        <w:ind w:firstLine="56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202</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15</w:t>
      </w: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2025年1</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31</w:t>
      </w:r>
      <w:r>
        <w:rPr>
          <w:rFonts w:hint="eastAsia" w:ascii="宋体" w:hAnsi="宋体" w:eastAsia="宋体" w:cs="宋体"/>
          <w:color w:val="auto"/>
          <w:sz w:val="24"/>
          <w:szCs w:val="24"/>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2E537EAF">
      <w:pPr>
        <w:pStyle w:val="45"/>
        <w:keepNext w:val="0"/>
        <w:keepLines w:val="0"/>
        <w:pageBreakBefore w:val="0"/>
        <w:widowControl w:val="0"/>
        <w:shd w:val="clear" w:color="auto" w:fill="auto"/>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3.分析评价</w:t>
      </w:r>
    </w:p>
    <w:p w14:paraId="254795C6">
      <w:pPr>
        <w:pageBreakBefore w:val="0"/>
        <w:widowControl w:val="0"/>
        <w:shd w:val="clear" w:color="auto" w:fill="auto"/>
        <w:kinsoku/>
        <w:wordWrap/>
        <w:overflowPunct/>
        <w:topLinePunct w:val="0"/>
        <w:autoSpaceDE/>
        <w:autoSpaceDN/>
        <w:bidi w:val="0"/>
        <w:adjustRightInd/>
        <w:snapToGrid/>
        <w:spacing w:line="360" w:lineRule="auto"/>
        <w:ind w:firstLine="56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202</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15</w:t>
      </w:r>
      <w:r>
        <w:rPr>
          <w:rFonts w:hint="eastAsia" w:ascii="宋体" w:hAnsi="宋体" w:eastAsia="宋体" w:cs="宋体"/>
          <w:color w:val="auto"/>
          <w:sz w:val="24"/>
          <w:szCs w:val="24"/>
          <w:highlight w:val="none"/>
        </w:rPr>
        <w:t>日，评价小组按照绩效评价的原则和规范，对取得的资料进行审查核实，对采集的数据进行分析，按照绩效评价指标评分表逐项进行打分、分析、汇总各方评价结果。</w:t>
      </w:r>
    </w:p>
    <w:p w14:paraId="4EA6F6D7">
      <w:pPr>
        <w:pStyle w:val="45"/>
        <w:keepNext w:val="0"/>
        <w:keepLines w:val="0"/>
        <w:pageBreakBefore w:val="0"/>
        <w:widowControl w:val="0"/>
        <w:shd w:val="clear" w:color="auto" w:fill="auto"/>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4.撰写与提交评价报告</w:t>
      </w:r>
    </w:p>
    <w:p w14:paraId="73060138">
      <w:pPr>
        <w:pageBreakBefore w:val="0"/>
        <w:widowControl w:val="0"/>
        <w:shd w:val="clear" w:color="auto" w:fill="auto"/>
        <w:kinsoku/>
        <w:wordWrap/>
        <w:overflowPunct/>
        <w:topLinePunct w:val="0"/>
        <w:autoSpaceDE/>
        <w:autoSpaceDN/>
        <w:bidi w:val="0"/>
        <w:adjustRightInd/>
        <w:snapToGrid/>
        <w:spacing w:line="360" w:lineRule="auto"/>
        <w:ind w:firstLine="56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202</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16</w:t>
      </w: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评价小组</w:t>
      </w:r>
      <w:r>
        <w:rPr>
          <w:rFonts w:hint="eastAsia" w:ascii="宋体" w:hAnsi="宋体" w:eastAsia="宋体" w:cs="宋体"/>
          <w:color w:val="auto"/>
          <w:sz w:val="24"/>
          <w:szCs w:val="24"/>
          <w:highlight w:val="none"/>
        </w:rPr>
        <w:t>撰写绩效评价报告，按照新疆</w:t>
      </w:r>
      <w:r>
        <w:rPr>
          <w:rFonts w:hint="eastAsia" w:ascii="宋体" w:hAnsi="宋体" w:eastAsia="宋体" w:cs="宋体"/>
          <w:color w:val="auto"/>
          <w:sz w:val="24"/>
          <w:szCs w:val="24"/>
          <w:highlight w:val="none"/>
          <w:lang w:eastAsia="zh-CN"/>
        </w:rPr>
        <w:t>维吾尔自治区财政绩效管理信息系统</w:t>
      </w:r>
      <w:r>
        <w:rPr>
          <w:rFonts w:hint="eastAsia" w:ascii="宋体" w:hAnsi="宋体" w:eastAsia="宋体" w:cs="宋体"/>
          <w:color w:val="auto"/>
          <w:sz w:val="24"/>
          <w:szCs w:val="24"/>
          <w:highlight w:val="none"/>
        </w:rPr>
        <w:t>绩效评价模块中统一格式和文本框架撰写绩效评价报告并提交审核。</w:t>
      </w:r>
    </w:p>
    <w:p w14:paraId="60F31D34">
      <w:pPr>
        <w:pStyle w:val="45"/>
        <w:keepNext w:val="0"/>
        <w:keepLines w:val="0"/>
        <w:pageBreakBefore w:val="0"/>
        <w:widowControl w:val="0"/>
        <w:shd w:val="clear" w:color="auto" w:fill="auto"/>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5.问题整改</w:t>
      </w:r>
    </w:p>
    <w:p w14:paraId="58080359">
      <w:pPr>
        <w:pageBreakBefore w:val="0"/>
        <w:widowControl w:val="0"/>
        <w:shd w:val="clear" w:color="auto" w:fill="auto"/>
        <w:kinsoku/>
        <w:wordWrap/>
        <w:overflowPunct/>
        <w:topLinePunct w:val="0"/>
        <w:autoSpaceDE/>
        <w:autoSpaceDN/>
        <w:bidi w:val="0"/>
        <w:adjustRightInd/>
        <w:snapToGrid/>
        <w:spacing w:line="360" w:lineRule="auto"/>
        <w:ind w:firstLine="56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5A83B2FD">
      <w:pPr>
        <w:pStyle w:val="45"/>
        <w:keepNext w:val="0"/>
        <w:keepLines w:val="0"/>
        <w:pageBreakBefore w:val="0"/>
        <w:widowControl w:val="0"/>
        <w:shd w:val="clear" w:color="auto" w:fill="auto"/>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6.档案整理</w:t>
      </w:r>
    </w:p>
    <w:p w14:paraId="72DD0312">
      <w:pPr>
        <w:pageBreakBefore w:val="0"/>
        <w:widowControl w:val="0"/>
        <w:shd w:val="clear" w:color="auto" w:fill="auto"/>
        <w:kinsoku/>
        <w:wordWrap/>
        <w:overflowPunct/>
        <w:topLinePunct w:val="0"/>
        <w:autoSpaceDE/>
        <w:autoSpaceDN/>
        <w:bidi w:val="0"/>
        <w:adjustRightInd/>
        <w:snapToGrid/>
        <w:spacing w:line="360" w:lineRule="auto"/>
        <w:ind w:firstLine="560"/>
        <w:jc w:val="both"/>
        <w:textAlignment w:val="auto"/>
        <w:rPr>
          <w:rFonts w:hint="eastAsia"/>
          <w:highlight w:val="none"/>
        </w:rPr>
      </w:pPr>
      <w:r>
        <w:rPr>
          <w:rFonts w:hint="eastAsia" w:ascii="宋体" w:hAnsi="宋体" w:eastAsia="宋体" w:cs="宋体"/>
          <w:color w:val="auto"/>
          <w:sz w:val="24"/>
          <w:szCs w:val="24"/>
          <w:highlight w:val="none"/>
        </w:rPr>
        <w:t>建立和落实档案管理制度，将项目相关资料存档，包括但不限于：评价项目基本情况和相关文件、评价实施方案、项目支付资料等相关档案。</w:t>
      </w:r>
    </w:p>
    <w:p w14:paraId="272BF160">
      <w:pPr>
        <w:pStyle w:val="2"/>
        <w:pageBreakBefore w:val="0"/>
        <w:widowControl w:val="0"/>
        <w:shd w:val="clear" w:color="auto" w:fill="auto"/>
        <w:kinsoku/>
        <w:wordWrap/>
        <w:overflowPunct/>
        <w:topLinePunct w:val="0"/>
        <w:autoSpaceDE/>
        <w:autoSpaceDN/>
        <w:bidi w:val="0"/>
        <w:adjustRightInd/>
        <w:snapToGrid/>
        <w:spacing w:before="0" w:after="0" w:line="360" w:lineRule="auto"/>
        <w:ind w:left="0" w:leftChars="0" w:firstLine="643"/>
        <w:jc w:val="both"/>
        <w:textAlignment w:val="auto"/>
        <w:rPr>
          <w:rFonts w:hint="eastAsia" w:ascii="黑体" w:hAnsi="黑体" w:eastAsia="黑体" w:cs="黑体"/>
          <w:color w:val="auto"/>
          <w:sz w:val="24"/>
          <w:szCs w:val="24"/>
          <w:highlight w:val="none"/>
        </w:rPr>
      </w:pPr>
      <w:r>
        <w:rPr>
          <w:rFonts w:hint="eastAsia" w:ascii="黑体" w:hAnsi="黑体" w:eastAsia="黑体" w:cs="黑体"/>
          <w:color w:val="auto"/>
          <w:sz w:val="24"/>
          <w:szCs w:val="24"/>
          <w:highlight w:val="none"/>
        </w:rPr>
        <w:t>三、综合评价情况及评价结论</w:t>
      </w:r>
      <w:bookmarkEnd w:id="9"/>
    </w:p>
    <w:p w14:paraId="17C44494">
      <w:pPr>
        <w:pStyle w:val="49"/>
        <w:pageBreakBefore w:val="0"/>
        <w:widowControl w:val="0"/>
        <w:shd w:val="clear" w:color="auto" w:fill="auto"/>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highlight w:val="none"/>
        </w:rPr>
      </w:pPr>
      <w:bookmarkStart w:id="10" w:name="_Toc68364665"/>
      <w:r>
        <w:rPr>
          <w:rFonts w:hint="eastAsia" w:ascii="宋体" w:hAnsi="宋体" w:eastAsia="宋体" w:cs="宋体"/>
          <w:color w:val="auto"/>
          <w:sz w:val="24"/>
          <w:szCs w:val="24"/>
          <w:highlight w:val="none"/>
        </w:rPr>
        <w:t>（一）综合评价情况</w:t>
      </w:r>
      <w:bookmarkEnd w:id="10"/>
    </w:p>
    <w:p w14:paraId="2C87C0BC">
      <w:pPr>
        <w:pageBreakBefore w:val="0"/>
        <w:widowControl w:val="0"/>
        <w:shd w:val="clear" w:color="auto" w:fill="auto"/>
        <w:kinsoku/>
        <w:wordWrap/>
        <w:overflowPunct/>
        <w:topLinePunct w:val="0"/>
        <w:autoSpaceDE/>
        <w:autoSpaceDN/>
        <w:bidi w:val="0"/>
        <w:adjustRightInd/>
        <w:snapToGrid/>
        <w:spacing w:line="360" w:lineRule="auto"/>
        <w:ind w:firstLine="560"/>
        <w:jc w:val="both"/>
        <w:textAlignment w:val="auto"/>
        <w:rPr>
          <w:rFonts w:hint="eastAsia" w:ascii="宋体" w:hAnsi="宋体" w:eastAsia="宋体" w:cs="宋体"/>
          <w:color w:val="auto"/>
          <w:sz w:val="24"/>
          <w:szCs w:val="24"/>
          <w:highlight w:val="none"/>
        </w:rPr>
      </w:pPr>
      <w:bookmarkStart w:id="11" w:name="_Toc68364666"/>
      <w:r>
        <w:rPr>
          <w:rFonts w:hint="eastAsia" w:ascii="宋体" w:hAnsi="宋体" w:eastAsia="宋体" w:cs="宋体"/>
          <w:color w:val="auto"/>
          <w:sz w:val="24"/>
          <w:szCs w:val="24"/>
          <w:highlight w:val="none"/>
        </w:rPr>
        <w:t>通过实施</w:t>
      </w:r>
      <w:r>
        <w:rPr>
          <w:rFonts w:hint="eastAsia" w:ascii="宋体" w:hAnsi="宋体" w:eastAsia="宋体" w:cs="宋体"/>
          <w:color w:val="auto"/>
          <w:sz w:val="24"/>
          <w:szCs w:val="24"/>
          <w:highlight w:val="none"/>
          <w:lang w:val="en-US" w:eastAsia="zh-CN"/>
        </w:rPr>
        <w:t>关于提前下达根据《关于提前下达2024年中央农业生产发展资金（和地财农〔2023〕64号）文件实施此项目，主要实施内容为：补贴种公羊524只，购置冻精14000支。通过项目实施，保障动物防疫工作正常开展，确保不发生区域性重大动物疫情，促进畜牧业健康发展。项目实施主要通过项目决策、项目过</w:t>
      </w:r>
      <w:r>
        <w:rPr>
          <w:rFonts w:hint="eastAsia" w:ascii="宋体" w:hAnsi="宋体" w:eastAsia="宋体" w:cs="宋体"/>
          <w:color w:val="auto"/>
          <w:sz w:val="24"/>
          <w:szCs w:val="24"/>
          <w:highlight w:val="none"/>
        </w:rPr>
        <w:t>程、项目产出以及项目效益等方面进行评价，其中：</w:t>
      </w:r>
    </w:p>
    <w:p w14:paraId="1208572A">
      <w:pPr>
        <w:pageBreakBefore w:val="0"/>
        <w:widowControl w:val="0"/>
        <w:shd w:val="clear" w:color="auto" w:fill="auto"/>
        <w:kinsoku/>
        <w:wordWrap/>
        <w:overflowPunct/>
        <w:topLinePunct w:val="0"/>
        <w:autoSpaceDE/>
        <w:autoSpaceDN/>
        <w:bidi w:val="0"/>
        <w:adjustRightInd/>
        <w:snapToGrid/>
        <w:spacing w:line="360" w:lineRule="auto"/>
        <w:ind w:firstLine="56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项目决策：</w:t>
      </w:r>
      <w:r>
        <w:rPr>
          <w:rFonts w:hint="eastAsia" w:ascii="宋体" w:hAnsi="宋体" w:eastAsia="宋体" w:cs="宋体"/>
          <w:color w:val="auto"/>
          <w:sz w:val="24"/>
          <w:szCs w:val="24"/>
          <w:highlight w:val="none"/>
          <w:lang w:val="en-US" w:eastAsia="zh-CN"/>
        </w:rPr>
        <w:t>该项目根据《关于提前下达2024年中央农业生产发展资金（和地财农〔2023〕64号）及项目实施方案文件实施该项目，</w:t>
      </w:r>
      <w:r>
        <w:rPr>
          <w:rFonts w:hint="eastAsia" w:ascii="宋体" w:hAnsi="宋体" w:eastAsia="宋体" w:cs="宋体"/>
          <w:color w:val="auto"/>
          <w:sz w:val="24"/>
          <w:szCs w:val="24"/>
          <w:highlight w:val="none"/>
        </w:rPr>
        <w:t>项目实施符合</w:t>
      </w:r>
      <w:r>
        <w:rPr>
          <w:rFonts w:hint="eastAsia" w:ascii="宋体" w:hAnsi="宋体" w:eastAsia="宋体" w:cs="宋体"/>
          <w:color w:val="auto"/>
          <w:sz w:val="24"/>
          <w:szCs w:val="24"/>
          <w:highlight w:val="none"/>
          <w:lang w:val="en-US" w:eastAsia="zh-CN"/>
        </w:rPr>
        <w:t>实施方案的</w:t>
      </w:r>
      <w:r>
        <w:rPr>
          <w:rFonts w:hint="eastAsia" w:ascii="宋体" w:hAnsi="宋体" w:eastAsia="宋体" w:cs="宋体"/>
          <w:color w:val="auto"/>
          <w:sz w:val="24"/>
          <w:szCs w:val="24"/>
          <w:highlight w:val="none"/>
        </w:rPr>
        <w:t>要求，项目立项依据充分，立项程序规范。</w:t>
      </w:r>
    </w:p>
    <w:p w14:paraId="1DAB364F">
      <w:pPr>
        <w:pageBreakBefore w:val="0"/>
        <w:widowControl w:val="0"/>
        <w:shd w:val="clear" w:color="auto" w:fill="auto"/>
        <w:kinsoku/>
        <w:wordWrap/>
        <w:overflowPunct/>
        <w:topLinePunct w:val="0"/>
        <w:autoSpaceDE/>
        <w:autoSpaceDN/>
        <w:bidi w:val="0"/>
        <w:adjustRightInd/>
        <w:snapToGrid/>
        <w:spacing w:line="360" w:lineRule="auto"/>
        <w:ind w:firstLine="56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项目过程：洛浦县2024年生态护林员选（续）聘项目预算安排130万元</w:t>
      </w:r>
      <w:r>
        <w:rPr>
          <w:rFonts w:hint="eastAsia" w:ascii="宋体" w:hAnsi="宋体" w:eastAsia="宋体" w:cs="宋体"/>
          <w:color w:val="auto"/>
          <w:sz w:val="24"/>
          <w:szCs w:val="24"/>
          <w:highlight w:val="none"/>
        </w:rPr>
        <w:t>，实际支出</w:t>
      </w:r>
      <w:r>
        <w:rPr>
          <w:rFonts w:hint="eastAsia" w:ascii="宋体" w:hAnsi="宋体" w:eastAsia="宋体" w:cs="宋体"/>
          <w:color w:val="auto"/>
          <w:sz w:val="24"/>
          <w:szCs w:val="24"/>
          <w:highlight w:val="none"/>
          <w:lang w:val="en-US" w:eastAsia="zh-CN"/>
        </w:rPr>
        <w:t>130万元</w:t>
      </w:r>
      <w:r>
        <w:rPr>
          <w:rFonts w:hint="eastAsia" w:ascii="宋体" w:hAnsi="宋体" w:eastAsia="宋体" w:cs="宋体"/>
          <w:color w:val="auto"/>
          <w:sz w:val="24"/>
          <w:szCs w:val="24"/>
          <w:highlight w:val="none"/>
        </w:rPr>
        <w:t>，预算执行率</w:t>
      </w:r>
      <w:r>
        <w:rPr>
          <w:rFonts w:hint="eastAsia" w:ascii="宋体" w:hAnsi="宋体" w:eastAsia="宋体" w:cs="宋体"/>
          <w:color w:val="auto"/>
          <w:sz w:val="24"/>
          <w:szCs w:val="24"/>
          <w:highlight w:val="none"/>
          <w:lang w:val="en-US" w:eastAsia="zh-CN"/>
        </w:rPr>
        <w:t>100</w:t>
      </w:r>
      <w:r>
        <w:rPr>
          <w:rFonts w:hint="eastAsia" w:ascii="宋体" w:hAnsi="宋体" w:eastAsia="宋体" w:cs="宋体"/>
          <w:color w:val="auto"/>
          <w:sz w:val="24"/>
          <w:szCs w:val="24"/>
          <w:highlight w:val="none"/>
        </w:rPr>
        <w:t>%。项目资金使用合规，项目财务管理制度健全，财务监控到位，所有资金支付均按照国库集中支付制度严格执行，现有项目管理制度执行情况良好。</w:t>
      </w:r>
    </w:p>
    <w:p w14:paraId="4B1EEEC3">
      <w:pPr>
        <w:pageBreakBefore w:val="0"/>
        <w:widowControl w:val="0"/>
        <w:shd w:val="clear" w:color="auto" w:fill="auto"/>
        <w:kinsoku/>
        <w:wordWrap/>
        <w:overflowPunct/>
        <w:topLinePunct w:val="0"/>
        <w:autoSpaceDE/>
        <w:autoSpaceDN/>
        <w:bidi w:val="0"/>
        <w:adjustRightInd/>
        <w:snapToGrid/>
        <w:spacing w:line="360" w:lineRule="auto"/>
        <w:ind w:firstLine="56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项目产出：</w:t>
      </w:r>
      <w:r>
        <w:rPr>
          <w:rFonts w:hint="eastAsia" w:ascii="宋体" w:hAnsi="宋体" w:eastAsia="宋体" w:cs="宋体"/>
          <w:color w:val="auto"/>
          <w:sz w:val="24"/>
          <w:szCs w:val="24"/>
          <w:highlight w:val="none"/>
          <w:lang w:val="en-US" w:eastAsia="zh-CN"/>
        </w:rPr>
        <w:t>该项目该项目已完成补贴种公羊524只，购置冻精14000支。资金已使用130万元。</w:t>
      </w:r>
    </w:p>
    <w:p w14:paraId="0AA5FBD5">
      <w:pPr>
        <w:pageBreakBefore w:val="0"/>
        <w:widowControl w:val="0"/>
        <w:shd w:val="clear" w:color="auto" w:fill="auto"/>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项目效益：通过实施此项目通过项目实施，保障动物防疫工作正常开展，确保不发生区域性重大动物疫情，促进畜牧业健康发展。</w:t>
      </w:r>
    </w:p>
    <w:p w14:paraId="1D929A33">
      <w:pPr>
        <w:pStyle w:val="49"/>
        <w:pageBreakBefore w:val="0"/>
        <w:widowControl w:val="0"/>
        <w:shd w:val="clear" w:color="auto" w:fill="auto"/>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（二）综合评价结论</w:t>
      </w:r>
    </w:p>
    <w:p w14:paraId="0AC4D7B1">
      <w:pPr>
        <w:pageBreakBefore w:val="0"/>
        <w:widowControl w:val="0"/>
        <w:shd w:val="clear" w:color="auto" w:fill="auto"/>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依据《中共中央国务院关于全面实施预算绩效管理的意见》《项目支出绩效评价管理办法》（财预〔2020〕10号）文件，绩效评价总分设置为100分，划分为四档：90（含）-100分为“优”、80（含）-90分为“良”、70（含）-80分为“中”、70分以下为“差”。经对关于提前下达《关于提前下达2024年中央农业生产发展资金预算的通知》（和财农〔2023〕64号）项目进行客观评价，最终评分结果：评价总分100分，绩效等级为“优”。</w:t>
      </w:r>
      <w:bookmarkEnd w:id="11"/>
      <w:bookmarkStart w:id="12" w:name="_Toc68364667"/>
    </w:p>
    <w:p w14:paraId="799D3B48">
      <w:pPr>
        <w:pStyle w:val="2"/>
        <w:pageBreakBefore w:val="0"/>
        <w:widowControl w:val="0"/>
        <w:shd w:val="clear" w:color="auto" w:fill="auto"/>
        <w:kinsoku/>
        <w:wordWrap/>
        <w:topLinePunct w:val="0"/>
        <w:autoSpaceDE/>
        <w:autoSpaceDN/>
        <w:bidi w:val="0"/>
        <w:adjustRightInd/>
        <w:snapToGrid/>
        <w:spacing w:before="0" w:after="0" w:line="360" w:lineRule="auto"/>
        <w:ind w:left="0" w:leftChars="0" w:firstLine="643"/>
        <w:jc w:val="both"/>
        <w:textAlignment w:val="auto"/>
        <w:rPr>
          <w:rFonts w:hint="eastAsia" w:ascii="黑体" w:hAnsi="黑体" w:eastAsia="黑体" w:cs="黑体"/>
          <w:color w:val="auto"/>
          <w:sz w:val="24"/>
          <w:szCs w:val="24"/>
          <w:highlight w:val="none"/>
        </w:rPr>
      </w:pPr>
      <w:r>
        <w:rPr>
          <w:rFonts w:hint="eastAsia" w:ascii="黑体" w:hAnsi="黑体" w:eastAsia="黑体" w:cs="黑体"/>
          <w:color w:val="auto"/>
          <w:sz w:val="24"/>
          <w:szCs w:val="24"/>
          <w:highlight w:val="none"/>
        </w:rPr>
        <w:t>四、绩效评价指标分析</w:t>
      </w:r>
      <w:bookmarkEnd w:id="12"/>
    </w:p>
    <w:p w14:paraId="0DCE68F9">
      <w:pPr>
        <w:pStyle w:val="49"/>
        <w:pageBreakBefore w:val="0"/>
        <w:widowControl w:val="0"/>
        <w:shd w:val="clear" w:color="auto" w:fill="auto"/>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highlight w:val="none"/>
        </w:rPr>
      </w:pPr>
      <w:bookmarkStart w:id="13" w:name="_Toc68364668"/>
      <w:r>
        <w:rPr>
          <w:rFonts w:hint="eastAsia" w:ascii="宋体" w:hAnsi="宋体" w:eastAsia="宋体" w:cs="宋体"/>
          <w:color w:val="auto"/>
          <w:sz w:val="24"/>
          <w:szCs w:val="24"/>
          <w:highlight w:val="none"/>
        </w:rPr>
        <w:t>（一）项目决策情况</w:t>
      </w:r>
    </w:p>
    <w:p w14:paraId="10363878">
      <w:pPr>
        <w:pageBreakBefore w:val="0"/>
        <w:widowControl w:val="0"/>
        <w:shd w:val="clear" w:color="auto" w:fill="auto"/>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项目决策类指标包括项目立项、绩效目标和资金投入三方面的内容，由6个三级指标构成，权重分为23分，实际得分23分，得分率为100%。</w:t>
      </w:r>
    </w:p>
    <w:p w14:paraId="44577189">
      <w:pPr>
        <w:pStyle w:val="45"/>
        <w:keepNext w:val="0"/>
        <w:keepLines w:val="0"/>
        <w:pageBreakBefore w:val="0"/>
        <w:widowControl w:val="0"/>
        <w:shd w:val="clear" w:color="auto" w:fill="auto"/>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1.</w:t>
      </w:r>
      <w:r>
        <w:rPr>
          <w:rFonts w:hint="eastAsia" w:ascii="宋体" w:hAnsi="宋体" w:eastAsia="宋体" w:cs="宋体"/>
          <w:b/>
          <w:bCs/>
          <w:color w:val="auto"/>
          <w:sz w:val="24"/>
          <w:szCs w:val="24"/>
          <w:highlight w:val="none"/>
        </w:rPr>
        <w:t>立项依据充分性</w:t>
      </w:r>
    </w:p>
    <w:p w14:paraId="0E7D7126">
      <w:pPr>
        <w:keepNext w:val="0"/>
        <w:keepLines w:val="0"/>
        <w:pageBreakBefore w:val="0"/>
        <w:widowControl w:val="0"/>
        <w:numPr>
          <w:ilvl w:val="0"/>
          <w:numId w:val="0"/>
        </w:numPr>
        <w:shd w:val="clear" w:color="auto" w:fill="auto"/>
        <w:kinsoku/>
        <w:wordWrap/>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lang w:val="en-US" w:bidi="ar-SA"/>
        </w:rPr>
      </w:pPr>
      <w:r>
        <w:rPr>
          <w:rFonts w:hint="eastAsia" w:ascii="宋体" w:hAnsi="宋体" w:eastAsia="宋体" w:cs="宋体"/>
          <w:color w:val="auto"/>
          <w:kern w:val="0"/>
          <w:sz w:val="24"/>
          <w:szCs w:val="24"/>
          <w:highlight w:val="none"/>
          <w:lang w:val="en-US" w:eastAsia="zh-CN" w:bidi="ar-SA"/>
        </w:rPr>
        <w:t>本</w:t>
      </w:r>
      <w:r>
        <w:rPr>
          <w:rFonts w:hint="eastAsia" w:ascii="宋体" w:hAnsi="宋体" w:eastAsia="宋体" w:cs="宋体"/>
          <w:color w:val="auto"/>
          <w:kern w:val="0"/>
          <w:sz w:val="24"/>
          <w:szCs w:val="24"/>
          <w:highlight w:val="none"/>
          <w:lang w:val="en-US" w:bidi="ar-SA"/>
        </w:rPr>
        <w:t>项目立项符合</w:t>
      </w:r>
      <w:bookmarkStart w:id="14" w:name="OLE_LINK5"/>
      <w:r>
        <w:rPr>
          <w:rFonts w:hint="eastAsia" w:ascii="宋体" w:hAnsi="宋体" w:eastAsia="宋体" w:cs="宋体"/>
          <w:color w:val="auto"/>
          <w:kern w:val="0"/>
          <w:sz w:val="24"/>
          <w:szCs w:val="24"/>
          <w:highlight w:val="none"/>
          <w:lang w:val="en-US" w:eastAsia="zh-CN" w:bidi="ar-SA"/>
        </w:rPr>
        <w:t>《关于提前下达《关于提前下达2024年中央农业生产发展资金预算的通知》（和财农〔2023〕64号）》（和财农〔2023〕64号）要求</w:t>
      </w:r>
      <w:bookmarkEnd w:id="14"/>
      <w:r>
        <w:rPr>
          <w:rFonts w:hint="eastAsia" w:ascii="宋体" w:hAnsi="宋体" w:eastAsia="宋体" w:cs="宋体"/>
          <w:color w:val="auto"/>
          <w:kern w:val="0"/>
          <w:sz w:val="24"/>
          <w:szCs w:val="24"/>
          <w:highlight w:val="none"/>
          <w:lang w:val="en-US" w:eastAsia="zh-CN" w:bidi="ar-SA"/>
        </w:rPr>
        <w:t>；本项目</w:t>
      </w:r>
      <w:r>
        <w:rPr>
          <w:rFonts w:hint="eastAsia" w:ascii="宋体" w:hAnsi="宋体" w:eastAsia="宋体" w:cs="宋体"/>
          <w:color w:val="auto"/>
          <w:kern w:val="0"/>
          <w:sz w:val="24"/>
          <w:szCs w:val="24"/>
          <w:highlight w:val="none"/>
          <w:lang w:val="en-US" w:bidi="ar-SA"/>
        </w:rPr>
        <w:t>立项符合行业发展规划和政策要求</w:t>
      </w:r>
      <w:r>
        <w:rPr>
          <w:rFonts w:hint="eastAsia" w:ascii="宋体" w:hAnsi="宋体" w:eastAsia="宋体" w:cs="宋体"/>
          <w:color w:val="auto"/>
          <w:kern w:val="0"/>
          <w:sz w:val="24"/>
          <w:szCs w:val="24"/>
          <w:highlight w:val="none"/>
          <w:lang w:val="en-US" w:eastAsia="zh-CN" w:bidi="ar-SA"/>
        </w:rPr>
        <w:t>；</w:t>
      </w:r>
      <w:r>
        <w:rPr>
          <w:rFonts w:hint="eastAsia" w:ascii="宋体" w:hAnsi="宋体" w:eastAsia="宋体" w:cs="宋体"/>
          <w:color w:val="auto"/>
          <w:kern w:val="0"/>
          <w:sz w:val="24"/>
          <w:szCs w:val="24"/>
          <w:highlight w:val="none"/>
          <w:lang w:val="en-US" w:bidi="ar-SA"/>
        </w:rPr>
        <w:t>符合中央、地方事权支出责任划分原则</w:t>
      </w:r>
      <w:r>
        <w:rPr>
          <w:rFonts w:hint="eastAsia" w:ascii="宋体" w:hAnsi="宋体" w:eastAsia="宋体" w:cs="宋体"/>
          <w:color w:val="auto"/>
          <w:kern w:val="0"/>
          <w:sz w:val="24"/>
          <w:szCs w:val="24"/>
          <w:highlight w:val="none"/>
          <w:lang w:val="en-US" w:eastAsia="zh-CN" w:bidi="ar-SA"/>
        </w:rPr>
        <w:t>；经检查</w:t>
      </w:r>
      <w:r>
        <w:rPr>
          <w:rFonts w:hint="eastAsia" w:ascii="宋体" w:hAnsi="宋体" w:eastAsia="宋体" w:cs="宋体"/>
          <w:color w:val="auto"/>
          <w:kern w:val="0"/>
          <w:sz w:val="24"/>
          <w:szCs w:val="24"/>
          <w:highlight w:val="none"/>
          <w:lang w:val="en-US" w:bidi="ar-SA"/>
        </w:rPr>
        <w:t>我单位财政应用平台指标，</w:t>
      </w:r>
      <w:r>
        <w:rPr>
          <w:rFonts w:hint="eastAsia" w:ascii="宋体" w:hAnsi="宋体" w:eastAsia="宋体" w:cs="宋体"/>
          <w:color w:val="auto"/>
          <w:kern w:val="0"/>
          <w:sz w:val="24"/>
          <w:szCs w:val="24"/>
          <w:highlight w:val="none"/>
          <w:lang w:val="en-US" w:eastAsia="zh-CN" w:bidi="ar-SA"/>
        </w:rPr>
        <w:t>本</w:t>
      </w:r>
      <w:r>
        <w:rPr>
          <w:rFonts w:hint="eastAsia" w:ascii="宋体" w:hAnsi="宋体" w:eastAsia="宋体" w:cs="宋体"/>
          <w:color w:val="auto"/>
          <w:kern w:val="0"/>
          <w:sz w:val="24"/>
          <w:szCs w:val="24"/>
          <w:highlight w:val="none"/>
          <w:lang w:val="en-US" w:bidi="ar-SA"/>
        </w:rPr>
        <w:t>项目不存在重复。</w:t>
      </w:r>
    </w:p>
    <w:p w14:paraId="122DF494">
      <w:pPr>
        <w:keepNext w:val="0"/>
        <w:keepLines w:val="0"/>
        <w:pageBreakBefore w:val="0"/>
        <w:widowControl w:val="0"/>
        <w:shd w:val="clear" w:color="auto" w:fill="auto"/>
        <w:kinsoku/>
        <w:wordWrap/>
        <w:topLinePunct w:val="0"/>
        <w:autoSpaceDE/>
        <w:autoSpaceDN/>
        <w:bidi w:val="0"/>
        <w:adjustRightInd/>
        <w:snapToGrid/>
        <w:spacing w:line="360" w:lineRule="auto"/>
        <w:ind w:firstLine="560"/>
        <w:textAlignment w:val="auto"/>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综上所述，本指标满分为</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分，根据评分标准得</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分，本项目立项依据充分。</w:t>
      </w:r>
    </w:p>
    <w:p w14:paraId="5A71E382">
      <w:pPr>
        <w:pStyle w:val="45"/>
        <w:keepNext w:val="0"/>
        <w:keepLines w:val="0"/>
        <w:pageBreakBefore w:val="0"/>
        <w:widowControl w:val="0"/>
        <w:shd w:val="clear" w:color="auto" w:fill="auto"/>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2.立项程序规范性</w:t>
      </w:r>
    </w:p>
    <w:p w14:paraId="3E5D5D32">
      <w:pPr>
        <w:keepNext w:val="0"/>
        <w:keepLines w:val="0"/>
        <w:pageBreakBefore w:val="0"/>
        <w:widowControl w:val="0"/>
        <w:shd w:val="clear" w:color="auto" w:fill="auto"/>
        <w:kinsoku/>
        <w:wordWrap/>
        <w:topLinePunct w:val="0"/>
        <w:autoSpaceDE/>
        <w:autoSpaceDN/>
        <w:bidi w:val="0"/>
        <w:adjustRightInd/>
        <w:snapToGrid/>
        <w:spacing w:line="360" w:lineRule="auto"/>
        <w:ind w:left="0" w:leftChars="0" w:firstLine="643"/>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本项目立项过程中产生的文件均符合相关要求。本项目为</w:t>
      </w:r>
      <w:r>
        <w:rPr>
          <w:rFonts w:hint="eastAsia" w:ascii="宋体" w:hAnsi="宋体" w:eastAsia="宋体" w:cs="宋体"/>
          <w:color w:val="auto"/>
          <w:sz w:val="24"/>
          <w:szCs w:val="24"/>
          <w:highlight w:val="none"/>
          <w:lang w:val="en-US" w:eastAsia="zh-CN"/>
        </w:rPr>
        <w:t>补助</w:t>
      </w:r>
      <w:r>
        <w:rPr>
          <w:rFonts w:hint="eastAsia" w:ascii="宋体" w:hAnsi="宋体" w:eastAsia="宋体" w:cs="宋体"/>
          <w:color w:val="auto"/>
          <w:sz w:val="24"/>
          <w:szCs w:val="24"/>
          <w:highlight w:val="none"/>
        </w:rPr>
        <w:t>类项目，属于经常性项目，项目预算金额为</w:t>
      </w:r>
      <w:r>
        <w:rPr>
          <w:rFonts w:hint="eastAsia" w:ascii="宋体" w:hAnsi="宋体" w:eastAsia="宋体" w:cs="宋体"/>
          <w:color w:val="auto"/>
          <w:sz w:val="24"/>
          <w:szCs w:val="24"/>
          <w:highlight w:val="none"/>
          <w:lang w:val="en-US" w:eastAsia="zh-CN"/>
        </w:rPr>
        <w:t>130万元</w:t>
      </w:r>
      <w:r>
        <w:rPr>
          <w:rFonts w:hint="eastAsia" w:ascii="宋体" w:hAnsi="宋体" w:eastAsia="宋体" w:cs="宋体"/>
          <w:color w:val="auto"/>
          <w:sz w:val="24"/>
          <w:szCs w:val="24"/>
          <w:highlight w:val="none"/>
        </w:rPr>
        <w:t>，不涉及事前绩效评估和风险评估。</w:t>
      </w:r>
    </w:p>
    <w:p w14:paraId="5D80F7BB">
      <w:pPr>
        <w:pStyle w:val="45"/>
        <w:keepNext w:val="0"/>
        <w:keepLines w:val="0"/>
        <w:pageBreakBefore w:val="0"/>
        <w:widowControl w:val="0"/>
        <w:shd w:val="clear" w:color="auto" w:fill="auto"/>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综上所述，本指标满分为3分，根据评分标准得</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分，本项目立项程序合规。</w:t>
      </w:r>
    </w:p>
    <w:p w14:paraId="03852A65">
      <w:pPr>
        <w:pStyle w:val="45"/>
        <w:keepNext w:val="0"/>
        <w:keepLines w:val="0"/>
        <w:pageBreakBefore w:val="0"/>
        <w:widowControl w:val="0"/>
        <w:shd w:val="clear" w:color="auto" w:fill="auto"/>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color w:val="auto"/>
          <w:sz w:val="24"/>
          <w:szCs w:val="24"/>
          <w:highlight w:val="none"/>
        </w:rPr>
      </w:pPr>
      <w:r>
        <w:rPr>
          <w:rFonts w:hint="eastAsia" w:ascii="宋体" w:hAnsi="宋体" w:eastAsia="宋体" w:cs="宋体"/>
          <w:b/>
          <w:bCs/>
          <w:color w:val="000000"/>
          <w:sz w:val="24"/>
          <w:szCs w:val="24"/>
          <w:highlight w:val="none"/>
          <w:lang w:val="en-US" w:eastAsia="zh-CN"/>
        </w:rPr>
        <w:t>3.绩效目标合理性</w:t>
      </w:r>
    </w:p>
    <w:p w14:paraId="029120CC">
      <w:pPr>
        <w:keepNext w:val="0"/>
        <w:keepLines w:val="0"/>
        <w:pageBreakBefore w:val="0"/>
        <w:widowControl w:val="0"/>
        <w:shd w:val="clear" w:color="auto" w:fill="auto"/>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该项目年初设定绩效总体目标主要内容为：根据《关于提前下达2024年中央农业生产发展资金（和地财农〔2023〕64号）文件实施此项目，主要实施内容为：补贴种公羊524只，购置冻精14000支。通过项目实施，保障动物防疫工作正常开展，确保不发生区域性重大动物疫情，促进畜牧业健康发展。</w:t>
      </w:r>
    </w:p>
    <w:p w14:paraId="200776BD">
      <w:pPr>
        <w:keepNext w:val="0"/>
        <w:keepLines w:val="0"/>
        <w:pageBreakBefore w:val="0"/>
        <w:widowControl w:val="0"/>
        <w:shd w:val="clear" w:color="auto" w:fill="auto"/>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000000"/>
          <w:sz w:val="24"/>
          <w:szCs w:val="24"/>
          <w:highlight w:val="none"/>
        </w:rPr>
        <w:t>综上所述，本指标满分为</w:t>
      </w:r>
      <w:r>
        <w:rPr>
          <w:rFonts w:hint="eastAsia" w:ascii="宋体" w:hAnsi="宋体" w:eastAsia="宋体" w:cs="宋体"/>
          <w:color w:val="000000"/>
          <w:sz w:val="24"/>
          <w:szCs w:val="24"/>
          <w:highlight w:val="none"/>
          <w:lang w:val="en-US" w:eastAsia="zh-CN"/>
        </w:rPr>
        <w:t>5</w:t>
      </w:r>
      <w:r>
        <w:rPr>
          <w:rFonts w:hint="eastAsia" w:ascii="宋体" w:hAnsi="宋体" w:eastAsia="宋体" w:cs="宋体"/>
          <w:color w:val="000000"/>
          <w:sz w:val="24"/>
          <w:szCs w:val="24"/>
          <w:highlight w:val="none"/>
        </w:rPr>
        <w:t>分，根据评分标准得</w:t>
      </w:r>
      <w:r>
        <w:rPr>
          <w:rFonts w:hint="eastAsia" w:ascii="宋体" w:hAnsi="宋体" w:eastAsia="宋体" w:cs="宋体"/>
          <w:color w:val="000000"/>
          <w:sz w:val="24"/>
          <w:szCs w:val="24"/>
          <w:highlight w:val="none"/>
          <w:lang w:val="en-US" w:eastAsia="zh-CN"/>
        </w:rPr>
        <w:t>5</w:t>
      </w:r>
      <w:r>
        <w:rPr>
          <w:rFonts w:hint="eastAsia" w:ascii="宋体" w:hAnsi="宋体" w:eastAsia="宋体" w:cs="宋体"/>
          <w:color w:val="000000"/>
          <w:sz w:val="24"/>
          <w:szCs w:val="24"/>
          <w:highlight w:val="none"/>
        </w:rPr>
        <w:t>分，本项目</w:t>
      </w:r>
      <w:r>
        <w:rPr>
          <w:rFonts w:hint="eastAsia" w:ascii="宋体" w:hAnsi="宋体" w:eastAsia="宋体" w:cs="宋体"/>
          <w:color w:val="000000"/>
          <w:sz w:val="24"/>
          <w:szCs w:val="24"/>
          <w:highlight w:val="none"/>
          <w:lang w:val="en-US" w:eastAsia="zh-CN"/>
        </w:rPr>
        <w:t>绩效目标合理</w:t>
      </w:r>
      <w:r>
        <w:rPr>
          <w:rFonts w:hint="eastAsia" w:ascii="宋体" w:hAnsi="宋体" w:eastAsia="宋体" w:cs="宋体"/>
          <w:color w:val="000000"/>
          <w:sz w:val="24"/>
          <w:szCs w:val="24"/>
          <w:highlight w:val="none"/>
        </w:rPr>
        <w:t>。</w:t>
      </w:r>
    </w:p>
    <w:p w14:paraId="55C0526F">
      <w:pPr>
        <w:pStyle w:val="45"/>
        <w:keepNext w:val="0"/>
        <w:keepLines w:val="0"/>
        <w:pageBreakBefore w:val="0"/>
        <w:widowControl w:val="0"/>
        <w:shd w:val="clear" w:color="auto" w:fill="auto"/>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4.绩效指标明确性</w:t>
      </w:r>
    </w:p>
    <w:p w14:paraId="24E554C6">
      <w:pPr>
        <w:pageBreakBefore w:val="0"/>
        <w:widowControl w:val="0"/>
        <w:numPr>
          <w:ilvl w:val="0"/>
          <w:numId w:val="0"/>
        </w:numPr>
        <w:shd w:val="clear" w:color="auto" w:fill="auto"/>
        <w:kinsoku/>
        <w:wordWrap/>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000000"/>
          <w:sz w:val="24"/>
          <w:szCs w:val="24"/>
          <w:highlight w:val="none"/>
        </w:rPr>
        <w:t>经检查我单位年初设置的《</w:t>
      </w:r>
      <w:r>
        <w:rPr>
          <w:rFonts w:hint="eastAsia" w:ascii="宋体" w:hAnsi="宋体" w:eastAsia="宋体" w:cs="宋体"/>
          <w:color w:val="000000"/>
          <w:sz w:val="24"/>
          <w:szCs w:val="24"/>
          <w:highlight w:val="none"/>
          <w:lang w:eastAsia="zh-CN"/>
        </w:rPr>
        <w:t>关于提前下达2024年中央农业生产发展资金预算的通知</w:t>
      </w:r>
      <w:r>
        <w:rPr>
          <w:rFonts w:hint="eastAsia" w:ascii="宋体" w:hAnsi="宋体" w:eastAsia="宋体" w:cs="宋体"/>
          <w:color w:val="000000"/>
          <w:sz w:val="24"/>
          <w:szCs w:val="24"/>
          <w:highlight w:val="none"/>
        </w:rPr>
        <w:t>项目支出绩效目标表》，得出如下结论：本项目已将年度绩效目标进行细化为绩效指标</w:t>
      </w:r>
      <w:r>
        <w:rPr>
          <w:rFonts w:hint="eastAsia" w:ascii="宋体" w:hAnsi="宋体" w:eastAsia="宋体" w:cs="宋体"/>
          <w:color w:val="000000"/>
          <w:sz w:val="24"/>
          <w:szCs w:val="24"/>
          <w:highlight w:val="none"/>
          <w:lang w:val="en-US" w:eastAsia="zh-CN"/>
        </w:rPr>
        <w:t>体系</w:t>
      </w:r>
      <w:r>
        <w:rPr>
          <w:rFonts w:hint="eastAsia" w:ascii="宋体" w:hAnsi="宋体" w:eastAsia="宋体" w:cs="宋体"/>
          <w:color w:val="000000"/>
          <w:sz w:val="24"/>
          <w:szCs w:val="24"/>
          <w:highlight w:val="none"/>
        </w:rPr>
        <w:t>，共设置</w:t>
      </w:r>
      <w:r>
        <w:rPr>
          <w:rFonts w:hint="eastAsia" w:ascii="宋体" w:hAnsi="宋体" w:eastAsia="宋体" w:cs="宋体"/>
          <w:color w:val="000000"/>
          <w:sz w:val="24"/>
          <w:szCs w:val="24"/>
          <w:highlight w:val="none"/>
          <w:lang w:val="en-US" w:eastAsia="zh-CN"/>
        </w:rPr>
        <w:t>一级指标4个，二级指标6个，三级指标9个，</w:t>
      </w:r>
      <w:r>
        <w:rPr>
          <w:rFonts w:hint="eastAsia" w:ascii="宋体" w:hAnsi="宋体" w:eastAsia="宋体" w:cs="宋体"/>
          <w:color w:val="auto"/>
          <w:sz w:val="24"/>
          <w:szCs w:val="24"/>
          <w:highlight w:val="none"/>
        </w:rPr>
        <w:t>定量指标</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个，定性指标</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个，指标量化率为</w:t>
      </w:r>
      <w:r>
        <w:rPr>
          <w:rFonts w:hint="eastAsia" w:ascii="宋体" w:hAnsi="宋体" w:eastAsia="宋体" w:cs="宋体"/>
          <w:color w:val="auto"/>
          <w:sz w:val="24"/>
          <w:szCs w:val="24"/>
          <w:highlight w:val="none"/>
          <w:lang w:val="en-US" w:eastAsia="zh-CN"/>
        </w:rPr>
        <w:t>88.88</w:t>
      </w:r>
      <w:r>
        <w:rPr>
          <w:rFonts w:hint="eastAsia" w:ascii="宋体" w:hAnsi="宋体" w:eastAsia="宋体" w:cs="宋体"/>
          <w:color w:val="auto"/>
          <w:sz w:val="24"/>
          <w:szCs w:val="24"/>
          <w:highlight w:val="none"/>
        </w:rPr>
        <w:t>%，量化率达70.0%以上</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将项目绩效目标细化分解为具体的绩效指标</w:t>
      </w:r>
      <w:r>
        <w:rPr>
          <w:rFonts w:hint="eastAsia" w:ascii="宋体" w:hAnsi="宋体" w:eastAsia="宋体" w:cs="宋体"/>
          <w:color w:val="auto"/>
          <w:sz w:val="24"/>
          <w:szCs w:val="24"/>
          <w:highlight w:val="none"/>
          <w:lang w:eastAsia="zh-CN"/>
        </w:rPr>
        <w:t>。</w:t>
      </w:r>
    </w:p>
    <w:p w14:paraId="40D947E9">
      <w:pPr>
        <w:keepNext w:val="0"/>
        <w:keepLines w:val="0"/>
        <w:pageBreakBefore w:val="0"/>
        <w:widowControl w:val="0"/>
        <w:shd w:val="clear" w:color="auto" w:fill="auto"/>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该《</w:t>
      </w:r>
      <w:r>
        <w:rPr>
          <w:rFonts w:hint="eastAsia" w:ascii="宋体" w:hAnsi="宋体" w:eastAsia="宋体" w:cs="宋体"/>
          <w:color w:val="000000"/>
          <w:sz w:val="24"/>
          <w:szCs w:val="24"/>
          <w:highlight w:val="none"/>
          <w:lang w:eastAsia="zh-CN"/>
        </w:rPr>
        <w:t>关于提前下达2024年中央农业生产发展资金预算的通知</w:t>
      </w:r>
      <w:r>
        <w:rPr>
          <w:rFonts w:hint="eastAsia" w:ascii="宋体" w:hAnsi="宋体" w:eastAsia="宋体" w:cs="宋体"/>
          <w:color w:val="000000"/>
          <w:sz w:val="24"/>
          <w:szCs w:val="24"/>
          <w:highlight w:val="none"/>
        </w:rPr>
        <w:t>项目绩效目标申报表》中，</w:t>
      </w:r>
      <w:r>
        <w:rPr>
          <w:rFonts w:hint="eastAsia" w:ascii="宋体" w:hAnsi="宋体" w:eastAsia="宋体" w:cs="宋体"/>
          <w:color w:val="000000"/>
          <w:sz w:val="24"/>
          <w:szCs w:val="24"/>
          <w:highlight w:val="none"/>
          <w:lang w:val="en-US" w:eastAsia="zh-CN"/>
        </w:rPr>
        <w:t>已设置</w:t>
      </w:r>
      <w:r>
        <w:rPr>
          <w:rFonts w:hint="eastAsia" w:ascii="宋体" w:hAnsi="宋体" w:eastAsia="宋体" w:cs="宋体"/>
          <w:color w:val="000000"/>
          <w:sz w:val="24"/>
          <w:szCs w:val="24"/>
          <w:highlight w:val="none"/>
        </w:rPr>
        <w:t>数量指标</w:t>
      </w:r>
      <w:r>
        <w:rPr>
          <w:rFonts w:hint="eastAsia" w:ascii="宋体" w:hAnsi="宋体" w:eastAsia="宋体" w:cs="宋体"/>
          <w:color w:val="000000"/>
          <w:sz w:val="24"/>
          <w:szCs w:val="24"/>
          <w:highlight w:val="none"/>
          <w:lang w:eastAsia="zh-CN"/>
        </w:rPr>
        <w:t>“补贴种公羊数量”</w:t>
      </w:r>
      <w:r>
        <w:rPr>
          <w:rFonts w:hint="eastAsia" w:ascii="宋体" w:hAnsi="宋体" w:eastAsia="宋体" w:cs="宋体"/>
          <w:color w:val="000000"/>
          <w:sz w:val="24"/>
          <w:szCs w:val="24"/>
          <w:highlight w:val="none"/>
          <w:lang w:val="en-US" w:eastAsia="zh-CN"/>
        </w:rPr>
        <w:t>及“设备购置数量”</w:t>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质量指标“资金使用合规率”“补贴资金覆盖率”</w:t>
      </w:r>
      <w:r>
        <w:rPr>
          <w:rFonts w:hint="eastAsia" w:ascii="宋体" w:hAnsi="宋体" w:eastAsia="宋体" w:cs="宋体"/>
          <w:color w:val="000000"/>
          <w:sz w:val="24"/>
          <w:szCs w:val="24"/>
          <w:highlight w:val="none"/>
        </w:rPr>
        <w:t>三级指标的年度指标值与年度绩效目标中任务数一致，已设置时效指标</w:t>
      </w:r>
      <w:r>
        <w:rPr>
          <w:rFonts w:hint="eastAsia" w:ascii="宋体" w:hAnsi="宋体" w:eastAsia="宋体" w:cs="宋体"/>
          <w:color w:val="000000"/>
          <w:sz w:val="24"/>
          <w:szCs w:val="24"/>
          <w:highlight w:val="none"/>
          <w:lang w:eastAsia="zh-CN"/>
        </w:rPr>
        <w:t>“项目完成时间”</w:t>
      </w:r>
      <w:r>
        <w:rPr>
          <w:rFonts w:hint="eastAsia" w:ascii="宋体" w:hAnsi="宋体" w:eastAsia="宋体" w:cs="宋体"/>
          <w:color w:val="000000"/>
          <w:sz w:val="24"/>
          <w:szCs w:val="24"/>
          <w:highlight w:val="none"/>
        </w:rPr>
        <w:t>。已设置的绩效目标具备明确性、可衡量性、可实现性、相关性、时限性。</w:t>
      </w:r>
    </w:p>
    <w:p w14:paraId="5E6BF401">
      <w:pPr>
        <w:keepNext w:val="0"/>
        <w:keepLines w:val="0"/>
        <w:pageBreakBefore w:val="0"/>
        <w:widowControl w:val="0"/>
        <w:shd w:val="clear" w:color="auto" w:fill="auto"/>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000000"/>
          <w:sz w:val="24"/>
          <w:szCs w:val="24"/>
          <w:highlight w:val="none"/>
        </w:rPr>
        <w:t>综上所述，本指标满分为</w:t>
      </w:r>
      <w:r>
        <w:rPr>
          <w:rFonts w:hint="eastAsia" w:ascii="宋体" w:hAnsi="宋体" w:eastAsia="宋体" w:cs="宋体"/>
          <w:color w:val="000000"/>
          <w:sz w:val="24"/>
          <w:szCs w:val="24"/>
          <w:highlight w:val="none"/>
          <w:lang w:val="en-US" w:eastAsia="zh-CN"/>
        </w:rPr>
        <w:t>5</w:t>
      </w:r>
      <w:r>
        <w:rPr>
          <w:rFonts w:hint="eastAsia" w:ascii="宋体" w:hAnsi="宋体" w:eastAsia="宋体" w:cs="宋体"/>
          <w:color w:val="000000"/>
          <w:sz w:val="24"/>
          <w:szCs w:val="24"/>
          <w:highlight w:val="none"/>
        </w:rPr>
        <w:t>分，根据评分标准得</w:t>
      </w:r>
      <w:r>
        <w:rPr>
          <w:rFonts w:hint="eastAsia" w:ascii="宋体" w:hAnsi="宋体" w:eastAsia="宋体" w:cs="宋体"/>
          <w:color w:val="000000"/>
          <w:sz w:val="24"/>
          <w:szCs w:val="24"/>
          <w:highlight w:val="none"/>
          <w:lang w:val="en-US" w:eastAsia="zh-CN"/>
        </w:rPr>
        <w:t>5</w:t>
      </w:r>
      <w:r>
        <w:rPr>
          <w:rFonts w:hint="eastAsia" w:ascii="宋体" w:hAnsi="宋体" w:eastAsia="宋体" w:cs="宋体"/>
          <w:color w:val="000000"/>
          <w:sz w:val="24"/>
          <w:szCs w:val="24"/>
          <w:highlight w:val="none"/>
        </w:rPr>
        <w:t>分，本项目</w:t>
      </w:r>
      <w:r>
        <w:rPr>
          <w:rFonts w:hint="eastAsia" w:ascii="宋体" w:hAnsi="宋体" w:eastAsia="宋体" w:cs="宋体"/>
          <w:color w:val="000000"/>
          <w:sz w:val="24"/>
          <w:szCs w:val="24"/>
          <w:highlight w:val="none"/>
          <w:lang w:val="en-US" w:eastAsia="zh-CN"/>
        </w:rPr>
        <w:t>绩效目标明确</w:t>
      </w:r>
      <w:r>
        <w:rPr>
          <w:rFonts w:hint="eastAsia" w:ascii="宋体" w:hAnsi="宋体" w:eastAsia="宋体" w:cs="宋体"/>
          <w:color w:val="000000"/>
          <w:sz w:val="24"/>
          <w:szCs w:val="24"/>
          <w:highlight w:val="none"/>
        </w:rPr>
        <w:t>。</w:t>
      </w:r>
    </w:p>
    <w:p w14:paraId="155911B7">
      <w:pPr>
        <w:pageBreakBefore w:val="0"/>
        <w:widowControl w:val="0"/>
        <w:shd w:val="clear" w:color="auto" w:fill="auto"/>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5.</w:t>
      </w:r>
      <w:r>
        <w:rPr>
          <w:rFonts w:hint="eastAsia" w:ascii="宋体" w:hAnsi="宋体" w:eastAsia="宋体" w:cs="宋体"/>
          <w:b/>
          <w:bCs/>
          <w:color w:val="auto"/>
          <w:sz w:val="24"/>
          <w:szCs w:val="24"/>
          <w:highlight w:val="none"/>
        </w:rPr>
        <w:t>预算编制科学性</w:t>
      </w:r>
    </w:p>
    <w:p w14:paraId="2B51F1CD">
      <w:pPr>
        <w:keepNext w:val="0"/>
        <w:keepLines w:val="0"/>
        <w:pageBreakBefore w:val="0"/>
        <w:widowControl w:val="0"/>
        <w:shd w:val="clear" w:color="auto" w:fill="auto"/>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该</w:t>
      </w:r>
      <w:r>
        <w:rPr>
          <w:rFonts w:hint="eastAsia" w:ascii="宋体" w:hAnsi="宋体" w:eastAsia="宋体" w:cs="宋体"/>
          <w:color w:val="000000"/>
          <w:sz w:val="24"/>
          <w:szCs w:val="24"/>
          <w:highlight w:val="none"/>
        </w:rPr>
        <w:t>项目预算编制较科学且经过论证；预算申请内容为</w:t>
      </w:r>
      <w:r>
        <w:rPr>
          <w:rFonts w:hint="eastAsia" w:ascii="宋体" w:hAnsi="宋体" w:eastAsia="宋体" w:cs="宋体"/>
          <w:color w:val="000000"/>
          <w:sz w:val="24"/>
          <w:szCs w:val="24"/>
          <w:highlight w:val="none"/>
          <w:lang w:eastAsia="zh-CN"/>
        </w:rPr>
        <w:t>：根据《关于提前下达2024年中央农业生产发展资金（和地财农〔2023〕64号）文件实施该项目。项目主要内容：补贴种公羊524只，购置冻精14000支。通过项目实施，保障动物防疫工作正常开展，确保不发生区域性重大动物疫情，促进畜牧业健康发展。</w:t>
      </w:r>
    </w:p>
    <w:p w14:paraId="03924230">
      <w:pPr>
        <w:keepNext w:val="0"/>
        <w:keepLines w:val="0"/>
        <w:pageBreakBefore w:val="0"/>
        <w:widowControl w:val="0"/>
        <w:shd w:val="clear" w:color="auto" w:fill="auto"/>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rPr>
        <w:t>本项目预算申请资金</w:t>
      </w:r>
      <w:r>
        <w:rPr>
          <w:rFonts w:hint="eastAsia" w:ascii="宋体" w:hAnsi="宋体" w:eastAsia="宋体" w:cs="宋体"/>
          <w:color w:val="000000"/>
          <w:sz w:val="24"/>
          <w:szCs w:val="24"/>
          <w:highlight w:val="none"/>
          <w:lang w:val="en-US" w:eastAsia="zh-CN"/>
        </w:rPr>
        <w:t>130万元</w:t>
      </w:r>
      <w:r>
        <w:rPr>
          <w:rFonts w:hint="eastAsia" w:ascii="宋体" w:hAnsi="宋体" w:eastAsia="宋体" w:cs="宋体"/>
          <w:color w:val="000000"/>
          <w:sz w:val="24"/>
          <w:szCs w:val="24"/>
          <w:highlight w:val="none"/>
        </w:rPr>
        <w:t>，我单位在预算申请中严格按照项目实施内容及测算标准进行核算，其中补贴种公羊524只，购置冻精14000支。预算确定资金量与实际工作任务相匹配。本项目预算额度测算依据充分，严格按照标准编制，预算确定资金量与实际工作任务相匹配</w:t>
      </w:r>
      <w:r>
        <w:rPr>
          <w:rFonts w:hint="eastAsia" w:ascii="宋体" w:hAnsi="宋体" w:eastAsia="宋体" w:cs="宋体"/>
          <w:color w:val="000000"/>
          <w:sz w:val="24"/>
          <w:szCs w:val="24"/>
          <w:highlight w:val="none"/>
          <w:lang w:eastAsia="zh-CN"/>
        </w:rPr>
        <w:t>。</w:t>
      </w:r>
    </w:p>
    <w:p w14:paraId="049AE85B">
      <w:pPr>
        <w:pageBreakBefore w:val="0"/>
        <w:widowControl w:val="0"/>
        <w:shd w:val="clear" w:color="auto" w:fill="auto"/>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综上所述，本指标满分为</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分，根据评分标准得</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分，本项目预算编制科学。</w:t>
      </w:r>
    </w:p>
    <w:p w14:paraId="6A227DBB">
      <w:pPr>
        <w:pageBreakBefore w:val="0"/>
        <w:widowControl w:val="0"/>
        <w:shd w:val="clear" w:color="auto" w:fill="auto"/>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6.</w:t>
      </w:r>
      <w:r>
        <w:rPr>
          <w:rFonts w:hint="eastAsia" w:ascii="宋体" w:hAnsi="宋体" w:eastAsia="宋体" w:cs="宋体"/>
          <w:b/>
          <w:bCs/>
          <w:color w:val="auto"/>
          <w:sz w:val="24"/>
          <w:szCs w:val="24"/>
          <w:highlight w:val="none"/>
        </w:rPr>
        <w:t>资金分配合理性</w:t>
      </w:r>
    </w:p>
    <w:p w14:paraId="5A1480B6">
      <w:pPr>
        <w:pageBreakBefore w:val="0"/>
        <w:widowControl w:val="0"/>
        <w:shd w:val="clear" w:color="auto" w:fill="auto"/>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本项目实际分配资金以</w:t>
      </w:r>
      <w:r>
        <w:rPr>
          <w:rFonts w:hint="eastAsia" w:ascii="宋体" w:hAnsi="宋体" w:eastAsia="宋体" w:cs="宋体"/>
          <w:color w:val="auto"/>
          <w:sz w:val="24"/>
          <w:szCs w:val="24"/>
          <w:highlight w:val="none"/>
          <w:lang w:eastAsia="zh-CN"/>
        </w:rPr>
        <w:t>《关于提前下达2024年中央农业生产发展资金预算的通知</w:t>
      </w:r>
      <w:r>
        <w:rPr>
          <w:rFonts w:hint="eastAsia" w:ascii="宋体" w:hAnsi="宋体" w:eastAsia="宋体" w:cs="宋体"/>
          <w:color w:val="auto"/>
          <w:sz w:val="24"/>
          <w:szCs w:val="24"/>
          <w:highlight w:val="none"/>
        </w:rPr>
        <w:t>项目实施方案》为依据进行资金分配，预算资金分配依据充分。本项目实际到位资金</w:t>
      </w:r>
      <w:r>
        <w:rPr>
          <w:rFonts w:hint="eastAsia" w:ascii="宋体" w:hAnsi="宋体" w:eastAsia="宋体" w:cs="宋体"/>
          <w:color w:val="auto"/>
          <w:sz w:val="24"/>
          <w:szCs w:val="24"/>
          <w:highlight w:val="none"/>
          <w:lang w:val="en-US" w:eastAsia="zh-CN"/>
        </w:rPr>
        <w:t>130万元</w:t>
      </w:r>
      <w:r>
        <w:rPr>
          <w:rFonts w:hint="eastAsia" w:ascii="宋体" w:hAnsi="宋体" w:eastAsia="宋体" w:cs="宋体"/>
          <w:color w:val="auto"/>
          <w:sz w:val="24"/>
          <w:szCs w:val="24"/>
          <w:highlight w:val="none"/>
        </w:rPr>
        <w:t>，资金分配额度合理，与我单位实际需求相适应。资金分配与实际相适应</w:t>
      </w:r>
      <w:r>
        <w:rPr>
          <w:rFonts w:hint="eastAsia" w:ascii="宋体" w:hAnsi="宋体" w:eastAsia="宋体" w:cs="宋体"/>
          <w:color w:val="auto"/>
          <w:sz w:val="24"/>
          <w:szCs w:val="24"/>
          <w:highlight w:val="none"/>
          <w:lang w:eastAsia="zh-CN"/>
        </w:rPr>
        <w:t>。</w:t>
      </w:r>
    </w:p>
    <w:p w14:paraId="4FCB3265">
      <w:pPr>
        <w:pageBreakBefore w:val="0"/>
        <w:widowControl w:val="0"/>
        <w:shd w:val="clear" w:color="auto" w:fill="auto"/>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000000"/>
          <w:sz w:val="24"/>
          <w:szCs w:val="24"/>
          <w:highlight w:val="none"/>
          <w:lang w:eastAsia="zh-CN"/>
        </w:rPr>
        <w:t>综上所述，本指标满分为</w:t>
      </w:r>
      <w:r>
        <w:rPr>
          <w:rFonts w:hint="eastAsia" w:ascii="宋体" w:hAnsi="宋体" w:eastAsia="宋体" w:cs="宋体"/>
          <w:color w:val="000000"/>
          <w:sz w:val="24"/>
          <w:szCs w:val="24"/>
          <w:highlight w:val="none"/>
          <w:lang w:val="en-US" w:eastAsia="zh-CN"/>
        </w:rPr>
        <w:t>4</w:t>
      </w:r>
      <w:r>
        <w:rPr>
          <w:rFonts w:hint="eastAsia" w:ascii="宋体" w:hAnsi="宋体" w:eastAsia="宋体" w:cs="宋体"/>
          <w:color w:val="000000"/>
          <w:sz w:val="24"/>
          <w:szCs w:val="24"/>
          <w:highlight w:val="none"/>
          <w:lang w:eastAsia="zh-CN"/>
        </w:rPr>
        <w:t>分，根据评分标准得</w:t>
      </w:r>
      <w:r>
        <w:rPr>
          <w:rFonts w:hint="eastAsia" w:ascii="宋体" w:hAnsi="宋体" w:eastAsia="宋体" w:cs="宋体"/>
          <w:color w:val="000000"/>
          <w:sz w:val="24"/>
          <w:szCs w:val="24"/>
          <w:highlight w:val="none"/>
          <w:lang w:val="en-US" w:eastAsia="zh-CN"/>
        </w:rPr>
        <w:t>4</w:t>
      </w:r>
      <w:r>
        <w:rPr>
          <w:rFonts w:hint="eastAsia" w:ascii="宋体" w:hAnsi="宋体" w:eastAsia="宋体" w:cs="宋体"/>
          <w:color w:val="000000"/>
          <w:sz w:val="24"/>
          <w:szCs w:val="24"/>
          <w:highlight w:val="none"/>
          <w:lang w:eastAsia="zh-CN"/>
        </w:rPr>
        <w:t>分，本项目资金分配合理。</w:t>
      </w:r>
    </w:p>
    <w:p w14:paraId="1D71BFB0">
      <w:pPr>
        <w:pStyle w:val="49"/>
        <w:pageBreakBefore w:val="0"/>
        <w:widowControl w:val="0"/>
        <w:shd w:val="clear" w:color="auto" w:fill="auto"/>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（二）项目过程情况</w:t>
      </w:r>
    </w:p>
    <w:p w14:paraId="2AF82225">
      <w:pPr>
        <w:pageBreakBefore w:val="0"/>
        <w:widowControl w:val="0"/>
        <w:shd w:val="clear" w:color="auto" w:fill="auto"/>
        <w:kinsoku/>
        <w:wordWrap/>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项目过程类指标包括资金管理和组织实施两方面的内容，由5个三级指标构成，权重分为</w:t>
      </w:r>
      <w:r>
        <w:rPr>
          <w:rFonts w:hint="eastAsia" w:ascii="宋体" w:hAnsi="宋体" w:eastAsia="宋体" w:cs="宋体"/>
          <w:color w:val="auto"/>
          <w:sz w:val="24"/>
          <w:szCs w:val="24"/>
          <w:highlight w:val="none"/>
          <w:lang w:val="en-US" w:eastAsia="zh-CN"/>
        </w:rPr>
        <w:t>12</w:t>
      </w:r>
      <w:r>
        <w:rPr>
          <w:rFonts w:hint="eastAsia" w:ascii="宋体" w:hAnsi="宋体" w:eastAsia="宋体" w:cs="宋体"/>
          <w:color w:val="auto"/>
          <w:sz w:val="24"/>
          <w:szCs w:val="24"/>
          <w:highlight w:val="none"/>
        </w:rPr>
        <w:t>分，实际得分</w:t>
      </w:r>
      <w:r>
        <w:rPr>
          <w:rFonts w:hint="eastAsia" w:ascii="宋体" w:hAnsi="宋体" w:eastAsia="宋体" w:cs="宋体"/>
          <w:color w:val="auto"/>
          <w:sz w:val="24"/>
          <w:szCs w:val="24"/>
          <w:highlight w:val="none"/>
          <w:lang w:val="en-US" w:eastAsia="zh-CN"/>
        </w:rPr>
        <w:t>12</w:t>
      </w:r>
      <w:r>
        <w:rPr>
          <w:rFonts w:hint="eastAsia" w:ascii="宋体" w:hAnsi="宋体" w:eastAsia="宋体" w:cs="宋体"/>
          <w:color w:val="auto"/>
          <w:sz w:val="24"/>
          <w:szCs w:val="24"/>
          <w:highlight w:val="none"/>
        </w:rPr>
        <w:t>分，得分率为</w:t>
      </w:r>
      <w:r>
        <w:rPr>
          <w:rFonts w:hint="eastAsia" w:ascii="宋体" w:hAnsi="宋体" w:eastAsia="宋体" w:cs="宋体"/>
          <w:color w:val="auto"/>
          <w:sz w:val="24"/>
          <w:szCs w:val="24"/>
          <w:highlight w:val="none"/>
          <w:lang w:val="en-US" w:eastAsia="zh-CN"/>
        </w:rPr>
        <w:t>100</w:t>
      </w:r>
      <w:r>
        <w:rPr>
          <w:rFonts w:hint="eastAsia" w:ascii="宋体" w:hAnsi="宋体" w:eastAsia="宋体" w:cs="宋体"/>
          <w:color w:val="auto"/>
          <w:sz w:val="24"/>
          <w:szCs w:val="24"/>
          <w:highlight w:val="none"/>
        </w:rPr>
        <w:t>%。</w:t>
      </w:r>
    </w:p>
    <w:p w14:paraId="5B43F6C3">
      <w:pPr>
        <w:pageBreakBefore w:val="0"/>
        <w:widowControl w:val="0"/>
        <w:numPr>
          <w:ilvl w:val="0"/>
          <w:numId w:val="5"/>
        </w:numPr>
        <w:shd w:val="clear" w:color="auto" w:fill="auto"/>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资金到位率</w:t>
      </w:r>
    </w:p>
    <w:p w14:paraId="17F29A56">
      <w:pPr>
        <w:pageBreakBefore w:val="0"/>
        <w:widowControl w:val="0"/>
        <w:shd w:val="clear" w:color="auto" w:fill="auto"/>
        <w:kinsoku/>
        <w:wordWrap/>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本项目预算资金为</w:t>
      </w:r>
      <w:r>
        <w:rPr>
          <w:rFonts w:hint="eastAsia" w:ascii="宋体" w:hAnsi="宋体" w:eastAsia="宋体" w:cs="宋体"/>
          <w:color w:val="auto"/>
          <w:sz w:val="24"/>
          <w:szCs w:val="24"/>
          <w:highlight w:val="none"/>
          <w:lang w:val="en-US" w:eastAsia="zh-CN"/>
        </w:rPr>
        <w:t>130万元</w:t>
      </w:r>
      <w:r>
        <w:rPr>
          <w:rFonts w:hint="eastAsia" w:ascii="宋体" w:hAnsi="宋体" w:eastAsia="宋体" w:cs="宋体"/>
          <w:color w:val="auto"/>
          <w:sz w:val="24"/>
          <w:szCs w:val="24"/>
          <w:highlight w:val="none"/>
        </w:rPr>
        <w:t>，其中：财政安排资金</w:t>
      </w:r>
      <w:r>
        <w:rPr>
          <w:rFonts w:hint="eastAsia" w:ascii="宋体" w:hAnsi="宋体" w:eastAsia="宋体" w:cs="宋体"/>
          <w:color w:val="auto"/>
          <w:sz w:val="24"/>
          <w:szCs w:val="24"/>
          <w:highlight w:val="none"/>
          <w:lang w:val="en-US" w:eastAsia="zh-CN"/>
        </w:rPr>
        <w:t>130万元</w:t>
      </w:r>
      <w:r>
        <w:rPr>
          <w:rFonts w:hint="eastAsia" w:ascii="宋体" w:hAnsi="宋体" w:eastAsia="宋体" w:cs="宋体"/>
          <w:color w:val="auto"/>
          <w:sz w:val="24"/>
          <w:szCs w:val="24"/>
          <w:highlight w:val="none"/>
        </w:rPr>
        <w:t>，其他资金</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万元，实际到位资金</w:t>
      </w:r>
      <w:r>
        <w:rPr>
          <w:rFonts w:hint="eastAsia" w:ascii="宋体" w:hAnsi="宋体" w:eastAsia="宋体" w:cs="宋体"/>
          <w:color w:val="auto"/>
          <w:sz w:val="24"/>
          <w:szCs w:val="24"/>
          <w:highlight w:val="none"/>
          <w:lang w:val="en-US" w:eastAsia="zh-CN"/>
        </w:rPr>
        <w:t>130万元</w:t>
      </w:r>
      <w:r>
        <w:rPr>
          <w:rFonts w:hint="eastAsia" w:ascii="宋体" w:hAnsi="宋体" w:eastAsia="宋体" w:cs="宋体"/>
          <w:color w:val="auto"/>
          <w:sz w:val="24"/>
          <w:szCs w:val="24"/>
          <w:highlight w:val="none"/>
        </w:rPr>
        <w:t>，资金到位率</w:t>
      </w:r>
      <w:r>
        <w:rPr>
          <w:rFonts w:hint="eastAsia" w:ascii="宋体" w:hAnsi="宋体" w:eastAsia="宋体" w:cs="宋体"/>
          <w:color w:val="auto"/>
          <w:sz w:val="24"/>
          <w:szCs w:val="24"/>
          <w:highlight w:val="none"/>
          <w:lang w:val="en-US" w:eastAsia="zh-CN"/>
        </w:rPr>
        <w:t>100%；通过分析可知，该项目</w:t>
      </w:r>
      <w:r>
        <w:rPr>
          <w:rFonts w:hint="eastAsia" w:ascii="宋体" w:hAnsi="宋体" w:eastAsia="宋体" w:cs="宋体"/>
          <w:color w:val="auto"/>
          <w:sz w:val="24"/>
          <w:szCs w:val="24"/>
          <w:highlight w:val="none"/>
        </w:rPr>
        <w:t>财政资金足额拨付到位，能够及时足额</w:t>
      </w:r>
      <w:r>
        <w:rPr>
          <w:rFonts w:hint="eastAsia" w:ascii="宋体" w:hAnsi="宋体" w:eastAsia="宋体" w:cs="宋体"/>
          <w:color w:val="auto"/>
          <w:sz w:val="24"/>
          <w:szCs w:val="24"/>
          <w:highlight w:val="none"/>
          <w:lang w:val="en-US" w:eastAsia="zh-CN"/>
        </w:rPr>
        <w:t>支付</w:t>
      </w:r>
      <w:r>
        <w:rPr>
          <w:rFonts w:hint="eastAsia" w:ascii="宋体" w:hAnsi="宋体" w:eastAsia="宋体" w:cs="宋体"/>
          <w:color w:val="auto"/>
          <w:sz w:val="24"/>
          <w:szCs w:val="24"/>
          <w:highlight w:val="none"/>
        </w:rPr>
        <w:t>给</w:t>
      </w:r>
      <w:r>
        <w:rPr>
          <w:rFonts w:hint="eastAsia" w:ascii="宋体" w:hAnsi="宋体" w:eastAsia="宋体" w:cs="宋体"/>
          <w:color w:val="auto"/>
          <w:sz w:val="24"/>
          <w:szCs w:val="24"/>
          <w:highlight w:val="none"/>
          <w:lang w:val="en-US" w:eastAsia="zh-CN"/>
        </w:rPr>
        <w:t>实施</w:t>
      </w:r>
      <w:r>
        <w:rPr>
          <w:rFonts w:hint="eastAsia" w:ascii="宋体" w:hAnsi="宋体" w:eastAsia="宋体" w:cs="宋体"/>
          <w:color w:val="auto"/>
          <w:sz w:val="24"/>
          <w:szCs w:val="24"/>
          <w:highlight w:val="none"/>
        </w:rPr>
        <w:t>单位</w:t>
      </w:r>
      <w:r>
        <w:rPr>
          <w:rFonts w:hint="eastAsia" w:ascii="宋体" w:hAnsi="宋体" w:eastAsia="宋体" w:cs="宋体"/>
          <w:color w:val="auto"/>
          <w:sz w:val="24"/>
          <w:szCs w:val="24"/>
          <w:highlight w:val="none"/>
          <w:lang w:eastAsia="zh-CN"/>
        </w:rPr>
        <w:t>。</w:t>
      </w:r>
    </w:p>
    <w:p w14:paraId="2064AF58">
      <w:pPr>
        <w:pageBreakBefore w:val="0"/>
        <w:widowControl w:val="0"/>
        <w:shd w:val="clear" w:color="auto" w:fill="auto"/>
        <w:kinsoku/>
        <w:wordWrap/>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根据评分标准，该指标不扣分，得</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分。</w:t>
      </w:r>
    </w:p>
    <w:p w14:paraId="565FF31A">
      <w:pPr>
        <w:pageBreakBefore w:val="0"/>
        <w:widowControl w:val="0"/>
        <w:shd w:val="clear" w:color="auto" w:fill="auto"/>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2.</w:t>
      </w:r>
      <w:r>
        <w:rPr>
          <w:rFonts w:hint="eastAsia" w:ascii="宋体" w:hAnsi="宋体" w:eastAsia="宋体" w:cs="宋体"/>
          <w:b/>
          <w:bCs/>
          <w:color w:val="auto"/>
          <w:sz w:val="24"/>
          <w:szCs w:val="24"/>
          <w:highlight w:val="none"/>
        </w:rPr>
        <w:t>预算执行率</w:t>
      </w:r>
    </w:p>
    <w:p w14:paraId="0223A69B">
      <w:pPr>
        <w:pageBreakBefore w:val="0"/>
        <w:widowControl w:val="0"/>
        <w:shd w:val="clear" w:color="auto" w:fill="auto"/>
        <w:kinsoku/>
        <w:wordWrap/>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本项目实际支出资金</w:t>
      </w:r>
      <w:r>
        <w:rPr>
          <w:rFonts w:hint="eastAsia" w:ascii="宋体" w:hAnsi="宋体" w:eastAsia="宋体" w:cs="宋体"/>
          <w:color w:val="auto"/>
          <w:sz w:val="24"/>
          <w:szCs w:val="24"/>
          <w:highlight w:val="none"/>
          <w:lang w:val="en-US" w:eastAsia="zh-CN"/>
        </w:rPr>
        <w:t>130万元</w:t>
      </w:r>
      <w:r>
        <w:rPr>
          <w:rFonts w:hint="eastAsia" w:ascii="宋体" w:hAnsi="宋体" w:eastAsia="宋体" w:cs="宋体"/>
          <w:color w:val="auto"/>
          <w:sz w:val="24"/>
          <w:szCs w:val="24"/>
          <w:highlight w:val="none"/>
        </w:rPr>
        <w:t>，预算执行率=（实际支出资金/实际到位资金）×100.0%=</w:t>
      </w:r>
      <w:r>
        <w:rPr>
          <w:rFonts w:hint="eastAsia" w:ascii="宋体" w:hAnsi="宋体" w:eastAsia="宋体" w:cs="宋体"/>
          <w:color w:val="auto"/>
          <w:sz w:val="24"/>
          <w:szCs w:val="24"/>
          <w:highlight w:val="none"/>
          <w:lang w:val="en-US" w:eastAsia="zh-CN"/>
        </w:rPr>
        <w:t>100</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通过分析可知，该项目</w:t>
      </w:r>
      <w:r>
        <w:rPr>
          <w:rFonts w:hint="eastAsia" w:ascii="宋体" w:hAnsi="宋体" w:eastAsia="宋体" w:cs="宋体"/>
          <w:color w:val="auto"/>
          <w:sz w:val="24"/>
          <w:szCs w:val="24"/>
          <w:highlight w:val="none"/>
        </w:rPr>
        <w:t>预算编制较为详细，项目资金支出总体能够按照预算执行</w:t>
      </w:r>
      <w:r>
        <w:rPr>
          <w:rFonts w:hint="eastAsia" w:ascii="宋体" w:hAnsi="宋体" w:eastAsia="宋体" w:cs="宋体"/>
          <w:color w:val="auto"/>
          <w:sz w:val="24"/>
          <w:szCs w:val="24"/>
          <w:highlight w:val="none"/>
          <w:lang w:eastAsia="zh-CN"/>
        </w:rPr>
        <w:t>。</w:t>
      </w:r>
    </w:p>
    <w:p w14:paraId="14C92103">
      <w:pPr>
        <w:pageBreakBefore w:val="0"/>
        <w:widowControl w:val="0"/>
        <w:shd w:val="clear" w:color="auto" w:fill="auto"/>
        <w:kinsoku/>
        <w:wordWrap/>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根据评分标准，该指标不扣分，得</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分。</w:t>
      </w:r>
    </w:p>
    <w:p w14:paraId="6486AB8B">
      <w:pPr>
        <w:pageBreakBefore w:val="0"/>
        <w:widowControl w:val="0"/>
        <w:shd w:val="clear" w:color="auto" w:fill="auto"/>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3.</w:t>
      </w:r>
      <w:r>
        <w:rPr>
          <w:rFonts w:hint="eastAsia" w:ascii="宋体" w:hAnsi="宋体" w:eastAsia="宋体" w:cs="宋体"/>
          <w:b/>
          <w:bCs/>
          <w:color w:val="auto"/>
          <w:sz w:val="24"/>
          <w:szCs w:val="24"/>
          <w:highlight w:val="none"/>
        </w:rPr>
        <w:t>资金使用合规性</w:t>
      </w:r>
    </w:p>
    <w:p w14:paraId="432C9469">
      <w:pPr>
        <w:pageBreakBefore w:val="0"/>
        <w:widowControl w:val="0"/>
        <w:shd w:val="clear" w:color="auto" w:fill="auto"/>
        <w:kinsoku/>
        <w:wordWrap/>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通过检查项目资金申请文件、</w:t>
      </w:r>
      <w:r>
        <w:rPr>
          <w:rFonts w:hint="eastAsia" w:ascii="宋体" w:hAnsi="宋体" w:eastAsia="宋体" w:cs="宋体"/>
          <w:color w:val="auto"/>
          <w:sz w:val="24"/>
          <w:szCs w:val="24"/>
          <w:highlight w:val="none"/>
          <w:lang w:val="en-US" w:eastAsia="zh-CN"/>
        </w:rPr>
        <w:t>国库支付凭证</w:t>
      </w:r>
      <w:r>
        <w:rPr>
          <w:rFonts w:hint="eastAsia" w:ascii="宋体" w:hAnsi="宋体" w:eastAsia="宋体" w:cs="宋体"/>
          <w:color w:val="auto"/>
          <w:sz w:val="24"/>
          <w:szCs w:val="24"/>
          <w:highlight w:val="none"/>
        </w:rPr>
        <w:t>等财务</w:t>
      </w:r>
      <w:r>
        <w:rPr>
          <w:rFonts w:hint="eastAsia" w:ascii="宋体" w:hAnsi="宋体" w:eastAsia="宋体" w:cs="宋体"/>
          <w:color w:val="auto"/>
          <w:sz w:val="24"/>
          <w:szCs w:val="24"/>
          <w:highlight w:val="none"/>
          <w:lang w:val="en-US" w:eastAsia="zh-CN"/>
        </w:rPr>
        <w:t>资料</w:t>
      </w:r>
      <w:r>
        <w:rPr>
          <w:rFonts w:hint="eastAsia" w:ascii="宋体" w:hAnsi="宋体" w:eastAsia="宋体" w:cs="宋体"/>
          <w:color w:val="auto"/>
          <w:sz w:val="24"/>
          <w:szCs w:val="24"/>
          <w:highlight w:val="none"/>
        </w:rPr>
        <w:t>，得出本项目资金支出符合国家财经法规、《政府会计制度》，资金的拨付有完整的审批程序和手续，资金实际使用方向与预算批复用途一致，不存在截留、挤占、挪用、虚列支出的情况。</w:t>
      </w:r>
      <w:r>
        <w:rPr>
          <w:rFonts w:hint="eastAsia" w:ascii="宋体" w:hAnsi="宋体" w:eastAsia="宋体" w:cs="宋体"/>
          <w:color w:val="auto"/>
          <w:sz w:val="24"/>
          <w:szCs w:val="24"/>
          <w:highlight w:val="none"/>
          <w:lang w:val="en-US" w:eastAsia="zh-CN"/>
        </w:rPr>
        <w:t>我单位</w:t>
      </w:r>
      <w:r>
        <w:rPr>
          <w:rFonts w:hint="eastAsia" w:ascii="宋体" w:hAnsi="宋体" w:eastAsia="宋体" w:cs="宋体"/>
          <w:color w:val="auto"/>
          <w:sz w:val="24"/>
          <w:szCs w:val="24"/>
          <w:highlight w:val="none"/>
        </w:rPr>
        <w:t>制定了相关的制度和管理规定对经费使用进行规范管理，财务制度健全、执行严格</w:t>
      </w:r>
      <w:r>
        <w:rPr>
          <w:rFonts w:hint="eastAsia" w:ascii="宋体" w:hAnsi="宋体" w:eastAsia="宋体" w:cs="宋体"/>
          <w:color w:val="auto"/>
          <w:sz w:val="24"/>
          <w:szCs w:val="24"/>
          <w:highlight w:val="none"/>
          <w:lang w:eastAsia="zh-CN"/>
        </w:rPr>
        <w:t>。</w:t>
      </w:r>
    </w:p>
    <w:p w14:paraId="1064D95C">
      <w:pPr>
        <w:pageBreakBefore w:val="0"/>
        <w:widowControl w:val="0"/>
        <w:shd w:val="clear" w:color="auto" w:fill="auto"/>
        <w:kinsoku/>
        <w:wordWrap/>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根据评分标准，该指标不扣分，得</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分。</w:t>
      </w:r>
    </w:p>
    <w:p w14:paraId="6A01E1AB">
      <w:pPr>
        <w:pageBreakBefore w:val="0"/>
        <w:widowControl w:val="0"/>
        <w:shd w:val="clear" w:color="auto" w:fill="auto"/>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4.</w:t>
      </w:r>
      <w:r>
        <w:rPr>
          <w:rFonts w:hint="eastAsia" w:ascii="宋体" w:hAnsi="宋体" w:eastAsia="宋体" w:cs="宋体"/>
          <w:b/>
          <w:bCs/>
          <w:color w:val="auto"/>
          <w:sz w:val="24"/>
          <w:szCs w:val="24"/>
          <w:highlight w:val="none"/>
        </w:rPr>
        <w:t>管理制度健全性</w:t>
      </w:r>
    </w:p>
    <w:p w14:paraId="7780EAFC">
      <w:pPr>
        <w:pageBreakBefore w:val="0"/>
        <w:widowControl w:val="0"/>
        <w:shd w:val="clear" w:color="auto" w:fill="auto"/>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b w:val="0"/>
          <w:bCs w:val="0"/>
          <w:color w:val="auto"/>
          <w:sz w:val="24"/>
          <w:szCs w:val="24"/>
          <w:highlight w:val="none"/>
          <w:lang w:eastAsia="zh-CN"/>
        </w:rPr>
        <w:t>年初本</w:t>
      </w:r>
      <w:r>
        <w:rPr>
          <w:rFonts w:hint="eastAsia" w:ascii="宋体" w:hAnsi="宋体" w:eastAsia="宋体" w:cs="宋体"/>
          <w:b w:val="0"/>
          <w:bCs w:val="0"/>
          <w:color w:val="auto"/>
          <w:sz w:val="24"/>
          <w:szCs w:val="24"/>
          <w:highlight w:val="none"/>
        </w:rPr>
        <w:t>单位已制定《</w:t>
      </w:r>
      <w:r>
        <w:rPr>
          <w:rFonts w:hint="eastAsia" w:ascii="宋体" w:hAnsi="宋体" w:eastAsia="宋体" w:cs="宋体"/>
          <w:color w:val="auto"/>
          <w:sz w:val="24"/>
          <w:szCs w:val="24"/>
          <w:highlight w:val="none"/>
        </w:rPr>
        <w:t>专项</w:t>
      </w:r>
      <w:r>
        <w:rPr>
          <w:rFonts w:hint="eastAsia" w:ascii="宋体" w:hAnsi="宋体" w:eastAsia="宋体" w:cs="宋体"/>
          <w:b w:val="0"/>
          <w:bCs w:val="0"/>
          <w:color w:val="auto"/>
          <w:sz w:val="24"/>
          <w:szCs w:val="24"/>
          <w:highlight w:val="none"/>
        </w:rPr>
        <w:t>资金管理办法》《</w:t>
      </w:r>
      <w:r>
        <w:rPr>
          <w:rFonts w:hint="eastAsia" w:ascii="宋体" w:hAnsi="宋体" w:eastAsia="宋体" w:cs="宋体"/>
          <w:b w:val="0"/>
          <w:bCs w:val="0"/>
          <w:color w:val="auto"/>
          <w:sz w:val="24"/>
          <w:szCs w:val="24"/>
          <w:highlight w:val="none"/>
          <w:lang w:val="en-US" w:eastAsia="zh-CN"/>
        </w:rPr>
        <w:t>项目</w:t>
      </w:r>
      <w:r>
        <w:rPr>
          <w:rFonts w:hint="eastAsia" w:ascii="宋体" w:hAnsi="宋体" w:eastAsia="宋体" w:cs="宋体"/>
          <w:b w:val="0"/>
          <w:bCs w:val="0"/>
          <w:color w:val="auto"/>
          <w:sz w:val="24"/>
          <w:szCs w:val="24"/>
          <w:highlight w:val="none"/>
        </w:rPr>
        <w:t>收支业务管理制度》《</w:t>
      </w:r>
      <w:r>
        <w:rPr>
          <w:rFonts w:hint="eastAsia" w:ascii="宋体" w:hAnsi="宋体" w:eastAsia="宋体" w:cs="宋体"/>
          <w:b w:val="0"/>
          <w:bCs w:val="0"/>
          <w:color w:val="auto"/>
          <w:sz w:val="24"/>
          <w:szCs w:val="24"/>
          <w:highlight w:val="none"/>
          <w:lang w:val="en-US" w:eastAsia="zh-CN"/>
        </w:rPr>
        <w:t>洛浦县畜牧兽医站</w:t>
      </w:r>
      <w:r>
        <w:rPr>
          <w:rFonts w:hint="eastAsia" w:ascii="宋体" w:hAnsi="宋体" w:eastAsia="宋体" w:cs="宋体"/>
          <w:b w:val="0"/>
          <w:bCs w:val="0"/>
          <w:color w:val="auto"/>
          <w:sz w:val="24"/>
          <w:szCs w:val="24"/>
          <w:highlight w:val="none"/>
        </w:rPr>
        <w:t>政府采购业务管理制度》《</w:t>
      </w:r>
      <w:r>
        <w:rPr>
          <w:rFonts w:hint="eastAsia" w:ascii="宋体" w:hAnsi="宋体" w:eastAsia="宋体" w:cs="宋体"/>
          <w:b w:val="0"/>
          <w:bCs w:val="0"/>
          <w:color w:val="auto"/>
          <w:sz w:val="24"/>
          <w:szCs w:val="24"/>
          <w:highlight w:val="none"/>
          <w:lang w:val="en-US" w:eastAsia="zh-CN"/>
        </w:rPr>
        <w:t>洛浦县畜牧兽医站合同</w:t>
      </w:r>
      <w:r>
        <w:rPr>
          <w:rFonts w:hint="eastAsia" w:ascii="宋体" w:hAnsi="宋体" w:eastAsia="宋体" w:cs="宋体"/>
          <w:b w:val="0"/>
          <w:bCs w:val="0"/>
          <w:color w:val="auto"/>
          <w:sz w:val="24"/>
          <w:szCs w:val="24"/>
          <w:highlight w:val="none"/>
        </w:rPr>
        <w:t>管理制度》，</w:t>
      </w:r>
      <w:r>
        <w:rPr>
          <w:rFonts w:hint="eastAsia" w:ascii="宋体" w:hAnsi="宋体" w:eastAsia="宋体" w:cs="宋体"/>
          <w:b w:val="0"/>
          <w:bCs w:val="0"/>
          <w:color w:val="auto"/>
          <w:sz w:val="24"/>
          <w:szCs w:val="24"/>
          <w:highlight w:val="none"/>
          <w:lang w:val="en-US" w:eastAsia="zh-CN"/>
        </w:rPr>
        <w:t>相关</w:t>
      </w:r>
      <w:r>
        <w:rPr>
          <w:rFonts w:hint="eastAsia" w:ascii="宋体" w:hAnsi="宋体" w:eastAsia="宋体" w:cs="宋体"/>
          <w:b w:val="0"/>
          <w:bCs w:val="0"/>
          <w:color w:val="auto"/>
          <w:sz w:val="24"/>
          <w:szCs w:val="24"/>
          <w:highlight w:val="none"/>
        </w:rPr>
        <w:t>制度均符合行政事业单位内控管理要求，财务和业务管理制度合法、合规、完整，本项目执行符合上述制度规定</w:t>
      </w:r>
      <w:r>
        <w:rPr>
          <w:rFonts w:hint="eastAsia" w:ascii="宋体" w:hAnsi="宋体" w:eastAsia="宋体" w:cs="宋体"/>
          <w:color w:val="auto"/>
          <w:sz w:val="24"/>
          <w:szCs w:val="24"/>
          <w:highlight w:val="none"/>
        </w:rPr>
        <w:t>。</w:t>
      </w:r>
    </w:p>
    <w:p w14:paraId="2540F8B0">
      <w:pPr>
        <w:pageBreakBefore w:val="0"/>
        <w:widowControl w:val="0"/>
        <w:shd w:val="clear" w:color="auto" w:fill="auto"/>
        <w:kinsoku/>
        <w:wordWrap/>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根据评分标准，该指标不扣分，得</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分。</w:t>
      </w:r>
    </w:p>
    <w:p w14:paraId="1C21596C">
      <w:pPr>
        <w:pageBreakBefore w:val="0"/>
        <w:widowControl w:val="0"/>
        <w:shd w:val="clear" w:color="auto" w:fill="auto"/>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5.</w:t>
      </w:r>
      <w:r>
        <w:rPr>
          <w:rFonts w:hint="eastAsia" w:ascii="宋体" w:hAnsi="宋体" w:eastAsia="宋体" w:cs="宋体"/>
          <w:b/>
          <w:bCs/>
          <w:color w:val="auto"/>
          <w:sz w:val="24"/>
          <w:szCs w:val="24"/>
          <w:highlight w:val="none"/>
        </w:rPr>
        <w:t>制度执行有效性</w:t>
      </w:r>
    </w:p>
    <w:p w14:paraId="16CF8E2D">
      <w:pPr>
        <w:pageBreakBefore w:val="0"/>
        <w:widowControl w:val="0"/>
        <w:shd w:val="clear" w:color="auto" w:fill="auto"/>
        <w:kinsoku/>
        <w:wordWrap/>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①该项目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p>
    <w:p w14:paraId="6EE3CECD">
      <w:pPr>
        <w:pageBreakBefore w:val="0"/>
        <w:widowControl w:val="0"/>
        <w:shd w:val="clear" w:color="auto" w:fill="auto"/>
        <w:kinsoku/>
        <w:wordWrap/>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②经现场查证项目合同书、验收评审表、财务支付凭证等资料齐全并及时归档。</w:t>
      </w:r>
    </w:p>
    <w:p w14:paraId="7D322E2D">
      <w:pPr>
        <w:pageBreakBefore w:val="0"/>
        <w:widowControl w:val="0"/>
        <w:shd w:val="clear" w:color="auto" w:fill="auto"/>
        <w:kinsoku/>
        <w:wordWrap/>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③该项目是否存在调整，调整手续是否齐全，如未调整，则填“该项目实施过程中不存在调整事项”。</w:t>
      </w:r>
    </w:p>
    <w:p w14:paraId="67826B20">
      <w:pPr>
        <w:pageBreakBefore w:val="0"/>
        <w:widowControl w:val="0"/>
        <w:shd w:val="clear" w:color="auto" w:fill="auto"/>
        <w:kinsoku/>
        <w:wordWrap/>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④该项目实施所需要的项目人员和场地设备均已落实到位，具体涉及内容包括：项目资金支出严格按照自治区、地区以及本单位资金管理办法执行，项目启动实施后，为了加快本项目的实施，成立了项目工作领导小组，由</w:t>
      </w:r>
      <w:r>
        <w:rPr>
          <w:rFonts w:hint="eastAsia" w:ascii="宋体" w:hAnsi="宋体" w:eastAsia="宋体" w:cs="宋体"/>
          <w:color w:val="auto"/>
          <w:sz w:val="24"/>
          <w:szCs w:val="24"/>
          <w:highlight w:val="none"/>
          <w:lang w:val="en-US" w:eastAsia="zh-CN"/>
        </w:rPr>
        <w:t>约麦尔尼亚孜·多来提</w:t>
      </w:r>
      <w:r>
        <w:rPr>
          <w:rFonts w:hint="eastAsia" w:ascii="宋体" w:hAnsi="宋体" w:eastAsia="宋体" w:cs="宋体"/>
          <w:color w:val="auto"/>
          <w:sz w:val="24"/>
          <w:szCs w:val="24"/>
          <w:highlight w:val="none"/>
        </w:rPr>
        <w:t>任组长，负责项目的组织工作；</w:t>
      </w:r>
      <w:r>
        <w:rPr>
          <w:rFonts w:hint="eastAsia" w:ascii="宋体" w:hAnsi="宋体" w:eastAsia="宋体" w:cs="宋体"/>
          <w:color w:val="auto"/>
          <w:sz w:val="24"/>
          <w:szCs w:val="24"/>
          <w:highlight w:val="none"/>
          <w:lang w:val="en-US" w:eastAsia="zh-CN"/>
        </w:rPr>
        <w:t>图尔贡江·托合提</w:t>
      </w:r>
      <w:r>
        <w:rPr>
          <w:rFonts w:hint="eastAsia" w:ascii="宋体" w:hAnsi="宋体" w:eastAsia="宋体" w:cs="宋体"/>
          <w:color w:val="auto"/>
          <w:sz w:val="24"/>
          <w:szCs w:val="24"/>
          <w:highlight w:val="none"/>
        </w:rPr>
        <w:t>任副组长，负责项目的实施工作；组员包括：布尼沙汗·吐送尼亚孜，主要负责项目监督管理以及资金核拨等工作。</w:t>
      </w:r>
    </w:p>
    <w:p w14:paraId="36D9FC1B">
      <w:pPr>
        <w:pageBreakBefore w:val="0"/>
        <w:widowControl w:val="0"/>
        <w:shd w:val="clear" w:color="auto" w:fill="auto"/>
        <w:kinsoku/>
        <w:wordWrap/>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根据评分标准，该指标不扣分，得</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分。</w:t>
      </w:r>
    </w:p>
    <w:p w14:paraId="6411AAEA">
      <w:pPr>
        <w:pStyle w:val="49"/>
        <w:pageBreakBefore w:val="0"/>
        <w:widowControl w:val="0"/>
        <w:shd w:val="clear" w:color="auto" w:fill="auto"/>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（三）项目产出情况</w:t>
      </w:r>
    </w:p>
    <w:p w14:paraId="74517B51">
      <w:pPr>
        <w:pageBreakBefore w:val="0"/>
        <w:widowControl w:val="0"/>
        <w:shd w:val="clear" w:color="auto" w:fill="auto"/>
        <w:kinsoku/>
        <w:wordWrap/>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项目产出类指标包括产出数量、产出质量、产出时效、产出成本四方面的内容，由</w:t>
      </w:r>
      <w:r>
        <w:rPr>
          <w:rFonts w:hint="eastAsia" w:ascii="宋体" w:hAnsi="宋体" w:eastAsia="宋体" w:cs="宋体"/>
          <w:color w:val="auto"/>
          <w:sz w:val="24"/>
          <w:szCs w:val="24"/>
          <w:highlight w:val="none"/>
          <w:lang w:val="en-US" w:eastAsia="zh-CN"/>
        </w:rPr>
        <w:t>9</w:t>
      </w:r>
      <w:r>
        <w:rPr>
          <w:rFonts w:hint="eastAsia" w:ascii="宋体" w:hAnsi="宋体" w:eastAsia="宋体" w:cs="宋体"/>
          <w:color w:val="auto"/>
          <w:sz w:val="24"/>
          <w:szCs w:val="24"/>
          <w:highlight w:val="none"/>
        </w:rPr>
        <w:t>个三级指标构成，权重分为</w:t>
      </w:r>
      <w:r>
        <w:rPr>
          <w:rFonts w:hint="eastAsia" w:ascii="宋体" w:hAnsi="宋体" w:eastAsia="宋体" w:cs="宋体"/>
          <w:color w:val="auto"/>
          <w:sz w:val="24"/>
          <w:szCs w:val="24"/>
          <w:highlight w:val="none"/>
          <w:lang w:val="en-US" w:eastAsia="zh-CN"/>
        </w:rPr>
        <w:t>40</w:t>
      </w:r>
      <w:r>
        <w:rPr>
          <w:rFonts w:hint="eastAsia" w:ascii="宋体" w:hAnsi="宋体" w:eastAsia="宋体" w:cs="宋体"/>
          <w:color w:val="auto"/>
          <w:sz w:val="24"/>
          <w:szCs w:val="24"/>
          <w:highlight w:val="none"/>
        </w:rPr>
        <w:t>分，实际得分</w:t>
      </w:r>
      <w:r>
        <w:rPr>
          <w:rFonts w:hint="eastAsia" w:ascii="宋体" w:hAnsi="宋体" w:eastAsia="宋体" w:cs="宋体"/>
          <w:color w:val="auto"/>
          <w:sz w:val="24"/>
          <w:szCs w:val="24"/>
          <w:highlight w:val="none"/>
          <w:lang w:val="en-US" w:eastAsia="zh-CN"/>
        </w:rPr>
        <w:t>40</w:t>
      </w:r>
      <w:r>
        <w:rPr>
          <w:rFonts w:hint="eastAsia" w:ascii="宋体" w:hAnsi="宋体" w:eastAsia="宋体" w:cs="宋体"/>
          <w:color w:val="auto"/>
          <w:sz w:val="24"/>
          <w:szCs w:val="24"/>
          <w:highlight w:val="none"/>
        </w:rPr>
        <w:t>分，得分率为</w:t>
      </w:r>
      <w:r>
        <w:rPr>
          <w:rFonts w:hint="eastAsia" w:ascii="宋体" w:hAnsi="宋体" w:eastAsia="宋体" w:cs="宋体"/>
          <w:color w:val="auto"/>
          <w:sz w:val="24"/>
          <w:szCs w:val="24"/>
          <w:highlight w:val="none"/>
          <w:lang w:val="en-US" w:eastAsia="zh-CN"/>
        </w:rPr>
        <w:t>100</w:t>
      </w:r>
      <w:r>
        <w:rPr>
          <w:rFonts w:hint="eastAsia" w:ascii="宋体" w:hAnsi="宋体" w:eastAsia="宋体" w:cs="宋体"/>
          <w:color w:val="auto"/>
          <w:sz w:val="24"/>
          <w:szCs w:val="24"/>
          <w:highlight w:val="none"/>
        </w:rPr>
        <w:t>%。</w:t>
      </w:r>
    </w:p>
    <w:p w14:paraId="4572A88A">
      <w:pPr>
        <w:pageBreakBefore w:val="0"/>
        <w:widowControl w:val="0"/>
        <w:numPr>
          <w:ilvl w:val="0"/>
          <w:numId w:val="0"/>
        </w:numPr>
        <w:shd w:val="clear" w:color="auto" w:fill="auto"/>
        <w:kinsoku/>
        <w:wordWrap/>
        <w:topLinePunct w:val="0"/>
        <w:autoSpaceDE/>
        <w:autoSpaceDN/>
        <w:bidi w:val="0"/>
        <w:adjustRightInd/>
        <w:snapToGrid/>
        <w:spacing w:line="360" w:lineRule="auto"/>
        <w:ind w:left="560" w:leftChars="200"/>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1.</w:t>
      </w:r>
      <w:r>
        <w:rPr>
          <w:rFonts w:hint="eastAsia" w:ascii="宋体" w:hAnsi="宋体" w:eastAsia="宋体" w:cs="宋体"/>
          <w:b/>
          <w:bCs/>
          <w:color w:val="auto"/>
          <w:sz w:val="24"/>
          <w:szCs w:val="24"/>
          <w:highlight w:val="none"/>
        </w:rPr>
        <w:t>对于“产出数量”</w:t>
      </w:r>
    </w:p>
    <w:p w14:paraId="63FE1B2D">
      <w:pPr>
        <w:pageBreakBefore w:val="0"/>
        <w:widowControl w:val="0"/>
        <w:shd w:val="clear" w:color="auto" w:fill="auto"/>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补贴种公羊数量，预期指标值</w:t>
      </w:r>
      <w:r>
        <w:rPr>
          <w:rFonts w:hint="eastAsia" w:ascii="宋体" w:hAnsi="宋体" w:eastAsia="宋体" w:cs="宋体"/>
          <w:color w:val="auto"/>
          <w:sz w:val="24"/>
          <w:szCs w:val="24"/>
          <w:highlight w:val="none"/>
          <w:lang w:val="en-US" w:eastAsia="zh-CN"/>
        </w:rPr>
        <w:t>等于425只</w:t>
      </w:r>
      <w:r>
        <w:rPr>
          <w:rFonts w:hint="eastAsia" w:ascii="宋体" w:hAnsi="宋体" w:eastAsia="宋体" w:cs="宋体"/>
          <w:color w:val="auto"/>
          <w:sz w:val="24"/>
          <w:szCs w:val="24"/>
          <w:highlight w:val="none"/>
        </w:rPr>
        <w:t>，实际完成值</w:t>
      </w:r>
      <w:r>
        <w:rPr>
          <w:rFonts w:hint="eastAsia" w:ascii="宋体" w:hAnsi="宋体" w:eastAsia="宋体" w:cs="宋体"/>
          <w:color w:val="auto"/>
          <w:sz w:val="24"/>
          <w:szCs w:val="24"/>
          <w:highlight w:val="none"/>
          <w:lang w:val="en-US" w:eastAsia="zh-CN"/>
        </w:rPr>
        <w:t>425只</w:t>
      </w:r>
      <w:r>
        <w:rPr>
          <w:rFonts w:hint="eastAsia" w:ascii="宋体" w:hAnsi="宋体" w:eastAsia="宋体" w:cs="宋体"/>
          <w:color w:val="auto"/>
          <w:sz w:val="24"/>
          <w:szCs w:val="24"/>
          <w:highlight w:val="none"/>
        </w:rPr>
        <w:t>，指标完成率</w:t>
      </w:r>
      <w:r>
        <w:rPr>
          <w:rFonts w:hint="eastAsia" w:ascii="宋体" w:hAnsi="宋体" w:eastAsia="宋体" w:cs="宋体"/>
          <w:color w:val="auto"/>
          <w:sz w:val="24"/>
          <w:szCs w:val="24"/>
          <w:highlight w:val="none"/>
          <w:lang w:val="en-US" w:eastAsia="zh-CN"/>
        </w:rPr>
        <w:t>100%</w:t>
      </w:r>
      <w:r>
        <w:rPr>
          <w:rFonts w:hint="eastAsia" w:ascii="宋体" w:hAnsi="宋体" w:eastAsia="宋体" w:cs="宋体"/>
          <w:color w:val="auto"/>
          <w:sz w:val="24"/>
          <w:szCs w:val="24"/>
          <w:highlight w:val="none"/>
        </w:rPr>
        <w:t>，与预期目标一致，根据评分标准，该指标不扣分，得</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分。</w:t>
      </w:r>
    </w:p>
    <w:p w14:paraId="61BD0D26">
      <w:pPr>
        <w:pageBreakBefore w:val="0"/>
        <w:widowControl w:val="0"/>
        <w:shd w:val="clear" w:color="auto" w:fill="auto"/>
        <w:kinsoku/>
        <w:wordWrap/>
        <w:topLinePunct w:val="0"/>
        <w:autoSpaceDE/>
        <w:autoSpaceDN/>
        <w:bidi w:val="0"/>
        <w:adjustRightInd/>
        <w:snapToGrid/>
        <w:spacing w:line="360" w:lineRule="auto"/>
        <w:ind w:left="0" w:leftChars="0" w:firstLine="480" w:firstLineChars="200"/>
        <w:jc w:val="both"/>
        <w:textAlignment w:val="auto"/>
        <w:rPr>
          <w:rFonts w:hint="eastAsia"/>
          <w:highlight w:val="none"/>
        </w:rPr>
      </w:pPr>
      <w:r>
        <w:rPr>
          <w:rFonts w:hint="eastAsia" w:ascii="宋体" w:hAnsi="宋体" w:eastAsia="宋体" w:cs="宋体"/>
          <w:color w:val="auto"/>
          <w:sz w:val="24"/>
          <w:szCs w:val="24"/>
          <w:highlight w:val="none"/>
        </w:rPr>
        <w:t>设备购置数量，预期指标值</w:t>
      </w:r>
      <w:r>
        <w:rPr>
          <w:rFonts w:hint="eastAsia" w:ascii="宋体" w:hAnsi="宋体" w:eastAsia="宋体" w:cs="宋体"/>
          <w:color w:val="auto"/>
          <w:sz w:val="24"/>
          <w:szCs w:val="24"/>
          <w:highlight w:val="none"/>
          <w:lang w:val="en-US" w:eastAsia="zh-CN"/>
        </w:rPr>
        <w:t>等于14000支</w:t>
      </w:r>
      <w:r>
        <w:rPr>
          <w:rFonts w:hint="eastAsia" w:ascii="宋体" w:hAnsi="宋体" w:eastAsia="宋体" w:cs="宋体"/>
          <w:color w:val="auto"/>
          <w:sz w:val="24"/>
          <w:szCs w:val="24"/>
          <w:highlight w:val="none"/>
        </w:rPr>
        <w:t>，实际完成值</w:t>
      </w:r>
      <w:r>
        <w:rPr>
          <w:rFonts w:hint="eastAsia" w:ascii="宋体" w:hAnsi="宋体" w:eastAsia="宋体" w:cs="宋体"/>
          <w:color w:val="auto"/>
          <w:sz w:val="24"/>
          <w:szCs w:val="24"/>
          <w:highlight w:val="none"/>
          <w:lang w:val="en-US" w:eastAsia="zh-CN"/>
        </w:rPr>
        <w:t>14000支</w:t>
      </w:r>
      <w:r>
        <w:rPr>
          <w:rFonts w:hint="eastAsia" w:ascii="宋体" w:hAnsi="宋体" w:eastAsia="宋体" w:cs="宋体"/>
          <w:color w:val="auto"/>
          <w:sz w:val="24"/>
          <w:szCs w:val="24"/>
          <w:highlight w:val="none"/>
        </w:rPr>
        <w:t>，指标完成率</w:t>
      </w:r>
      <w:r>
        <w:rPr>
          <w:rFonts w:hint="eastAsia" w:ascii="宋体" w:hAnsi="宋体" w:eastAsia="宋体" w:cs="宋体"/>
          <w:color w:val="auto"/>
          <w:sz w:val="24"/>
          <w:szCs w:val="24"/>
          <w:highlight w:val="none"/>
          <w:lang w:val="en-US" w:eastAsia="zh-CN"/>
        </w:rPr>
        <w:t>100%</w:t>
      </w:r>
      <w:r>
        <w:rPr>
          <w:rFonts w:hint="eastAsia" w:ascii="宋体" w:hAnsi="宋体" w:eastAsia="宋体" w:cs="宋体"/>
          <w:color w:val="auto"/>
          <w:sz w:val="24"/>
          <w:szCs w:val="24"/>
          <w:highlight w:val="none"/>
        </w:rPr>
        <w:t>，与预期目标一致，根据评分标准，该指标不扣分，得</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分。</w:t>
      </w:r>
    </w:p>
    <w:p w14:paraId="5176804F">
      <w:pPr>
        <w:pStyle w:val="10"/>
        <w:pageBreakBefore w:val="0"/>
        <w:widowControl w:val="0"/>
        <w:shd w:val="clear" w:color="auto" w:fill="auto"/>
        <w:kinsoku/>
        <w:wordWrap/>
        <w:topLinePunct w:val="0"/>
        <w:autoSpaceDE/>
        <w:autoSpaceDN/>
        <w:bidi w:val="0"/>
        <w:adjustRightInd/>
        <w:snapToGrid/>
        <w:spacing w:before="0" w:after="0" w:line="360" w:lineRule="auto"/>
        <w:ind w:left="0" w:leftChars="0" w:firstLine="480" w:firstLineChars="200"/>
        <w:jc w:val="both"/>
        <w:textAlignment w:val="auto"/>
        <w:rPr>
          <w:rFonts w:hint="eastAsia"/>
          <w:highlight w:val="none"/>
        </w:rPr>
      </w:pPr>
      <w:r>
        <w:rPr>
          <w:rFonts w:hint="eastAsia" w:ascii="宋体" w:hAnsi="宋体" w:eastAsia="宋体" w:cs="宋体"/>
          <w:b w:val="0"/>
          <w:bCs/>
          <w:color w:val="000000"/>
          <w:sz w:val="24"/>
          <w:szCs w:val="24"/>
          <w:highlight w:val="none"/>
        </w:rPr>
        <w:t>合计得10分。</w:t>
      </w:r>
    </w:p>
    <w:p w14:paraId="22E05ACD">
      <w:pPr>
        <w:pageBreakBefore w:val="0"/>
        <w:widowControl w:val="0"/>
        <w:numPr>
          <w:ilvl w:val="0"/>
          <w:numId w:val="0"/>
        </w:numPr>
        <w:shd w:val="clear" w:color="auto" w:fill="auto"/>
        <w:kinsoku/>
        <w:wordWrap/>
        <w:topLinePunct w:val="0"/>
        <w:autoSpaceDE/>
        <w:autoSpaceDN/>
        <w:bidi w:val="0"/>
        <w:adjustRightInd/>
        <w:snapToGrid/>
        <w:spacing w:line="360" w:lineRule="auto"/>
        <w:ind w:left="560" w:leftChars="200"/>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2.</w:t>
      </w:r>
      <w:r>
        <w:rPr>
          <w:rFonts w:hint="eastAsia" w:ascii="宋体" w:hAnsi="宋体" w:eastAsia="宋体" w:cs="宋体"/>
          <w:b/>
          <w:bCs/>
          <w:color w:val="auto"/>
          <w:sz w:val="24"/>
          <w:szCs w:val="24"/>
          <w:highlight w:val="none"/>
        </w:rPr>
        <w:t>对于“产出质量”</w:t>
      </w:r>
    </w:p>
    <w:p w14:paraId="294D8FE3">
      <w:pPr>
        <w:pageBreakBefore w:val="0"/>
        <w:widowControl w:val="0"/>
        <w:shd w:val="clear" w:color="auto" w:fill="auto"/>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资金使用合规率，预期指标值</w:t>
      </w:r>
      <w:r>
        <w:rPr>
          <w:rFonts w:hint="eastAsia" w:ascii="宋体" w:hAnsi="宋体" w:eastAsia="宋体" w:cs="宋体"/>
          <w:color w:val="auto"/>
          <w:sz w:val="24"/>
          <w:szCs w:val="24"/>
          <w:highlight w:val="none"/>
          <w:lang w:val="en-US" w:eastAsia="zh-CN"/>
        </w:rPr>
        <w:t>等于100%</w:t>
      </w:r>
      <w:r>
        <w:rPr>
          <w:rFonts w:hint="eastAsia" w:ascii="宋体" w:hAnsi="宋体" w:eastAsia="宋体" w:cs="宋体"/>
          <w:color w:val="auto"/>
          <w:sz w:val="24"/>
          <w:szCs w:val="24"/>
          <w:highlight w:val="none"/>
        </w:rPr>
        <w:t>，实际完成值</w:t>
      </w:r>
      <w:r>
        <w:rPr>
          <w:rFonts w:hint="eastAsia" w:ascii="宋体" w:hAnsi="宋体" w:eastAsia="宋体" w:cs="宋体"/>
          <w:color w:val="auto"/>
          <w:sz w:val="24"/>
          <w:szCs w:val="24"/>
          <w:highlight w:val="none"/>
          <w:lang w:val="en-US" w:eastAsia="zh-CN"/>
        </w:rPr>
        <w:t>100%</w:t>
      </w:r>
      <w:r>
        <w:rPr>
          <w:rFonts w:hint="eastAsia" w:ascii="宋体" w:hAnsi="宋体" w:eastAsia="宋体" w:cs="宋体"/>
          <w:color w:val="auto"/>
          <w:sz w:val="24"/>
          <w:szCs w:val="24"/>
          <w:highlight w:val="none"/>
        </w:rPr>
        <w:t>，指标完成率</w:t>
      </w:r>
      <w:r>
        <w:rPr>
          <w:rFonts w:hint="eastAsia" w:ascii="宋体" w:hAnsi="宋体" w:eastAsia="宋体" w:cs="宋体"/>
          <w:color w:val="auto"/>
          <w:sz w:val="24"/>
          <w:szCs w:val="24"/>
          <w:highlight w:val="none"/>
          <w:lang w:val="en-US" w:eastAsia="zh-CN"/>
        </w:rPr>
        <w:t>100%</w:t>
      </w:r>
      <w:r>
        <w:rPr>
          <w:rFonts w:hint="eastAsia" w:ascii="宋体" w:hAnsi="宋体" w:eastAsia="宋体" w:cs="宋体"/>
          <w:color w:val="auto"/>
          <w:sz w:val="24"/>
          <w:szCs w:val="24"/>
          <w:highlight w:val="none"/>
        </w:rPr>
        <w:t>，与预期目标一致，根据评分标准，该指标不扣分，得</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分。</w:t>
      </w:r>
    </w:p>
    <w:p w14:paraId="69D895CE">
      <w:pPr>
        <w:pageBreakBefore w:val="0"/>
        <w:widowControl w:val="0"/>
        <w:shd w:val="clear" w:color="auto" w:fill="auto"/>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val="0"/>
          <w:bCs/>
          <w:color w:val="000000"/>
          <w:sz w:val="24"/>
          <w:szCs w:val="24"/>
          <w:highlight w:val="none"/>
        </w:rPr>
      </w:pPr>
      <w:r>
        <w:rPr>
          <w:rFonts w:hint="eastAsia" w:ascii="宋体" w:hAnsi="宋体" w:eastAsia="宋体" w:cs="宋体"/>
          <w:color w:val="auto"/>
          <w:sz w:val="24"/>
          <w:szCs w:val="24"/>
          <w:highlight w:val="none"/>
        </w:rPr>
        <w:t>补助资金发放覆盖率，预期指标值</w:t>
      </w:r>
      <w:r>
        <w:rPr>
          <w:rFonts w:hint="eastAsia" w:ascii="宋体" w:hAnsi="宋体" w:eastAsia="宋体" w:cs="宋体"/>
          <w:color w:val="auto"/>
          <w:sz w:val="24"/>
          <w:szCs w:val="24"/>
          <w:highlight w:val="none"/>
          <w:lang w:val="en-US" w:eastAsia="zh-CN"/>
        </w:rPr>
        <w:t>等于100%</w:t>
      </w:r>
      <w:r>
        <w:rPr>
          <w:rFonts w:hint="eastAsia" w:ascii="宋体" w:hAnsi="宋体" w:eastAsia="宋体" w:cs="宋体"/>
          <w:color w:val="auto"/>
          <w:sz w:val="24"/>
          <w:szCs w:val="24"/>
          <w:highlight w:val="none"/>
        </w:rPr>
        <w:t>，实际完成值</w:t>
      </w:r>
      <w:r>
        <w:rPr>
          <w:rFonts w:hint="eastAsia" w:ascii="宋体" w:hAnsi="宋体" w:eastAsia="宋体" w:cs="宋体"/>
          <w:color w:val="auto"/>
          <w:sz w:val="24"/>
          <w:szCs w:val="24"/>
          <w:highlight w:val="none"/>
          <w:lang w:val="en-US" w:eastAsia="zh-CN"/>
        </w:rPr>
        <w:t>100%</w:t>
      </w:r>
      <w:r>
        <w:rPr>
          <w:rFonts w:hint="eastAsia" w:ascii="宋体" w:hAnsi="宋体" w:eastAsia="宋体" w:cs="宋体"/>
          <w:color w:val="auto"/>
          <w:sz w:val="24"/>
          <w:szCs w:val="24"/>
          <w:highlight w:val="none"/>
        </w:rPr>
        <w:t>，指标完成率</w:t>
      </w:r>
      <w:r>
        <w:rPr>
          <w:rFonts w:hint="eastAsia" w:ascii="宋体" w:hAnsi="宋体" w:eastAsia="宋体" w:cs="宋体"/>
          <w:color w:val="auto"/>
          <w:sz w:val="24"/>
          <w:szCs w:val="24"/>
          <w:highlight w:val="none"/>
          <w:lang w:val="en-US" w:eastAsia="zh-CN"/>
        </w:rPr>
        <w:t>100%</w:t>
      </w:r>
      <w:r>
        <w:rPr>
          <w:rFonts w:hint="eastAsia" w:ascii="宋体" w:hAnsi="宋体" w:eastAsia="宋体" w:cs="宋体"/>
          <w:color w:val="auto"/>
          <w:sz w:val="24"/>
          <w:szCs w:val="24"/>
          <w:highlight w:val="none"/>
        </w:rPr>
        <w:t>，与预期目标一致，根据评分标准，该指标不扣分，得</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分。</w:t>
      </w:r>
    </w:p>
    <w:p w14:paraId="40A1AA35">
      <w:pPr>
        <w:pStyle w:val="10"/>
        <w:pageBreakBefore w:val="0"/>
        <w:widowControl w:val="0"/>
        <w:shd w:val="clear" w:color="auto" w:fill="auto"/>
        <w:kinsoku/>
        <w:wordWrap/>
        <w:topLinePunct w:val="0"/>
        <w:autoSpaceDE/>
        <w:autoSpaceDN/>
        <w:bidi w:val="0"/>
        <w:adjustRightInd/>
        <w:snapToGrid/>
        <w:spacing w:before="0" w:after="0" w:line="360" w:lineRule="auto"/>
        <w:ind w:left="0" w:leftChars="0" w:firstLine="480" w:firstLineChars="200"/>
        <w:jc w:val="both"/>
        <w:textAlignment w:val="auto"/>
        <w:rPr>
          <w:rFonts w:hint="eastAsia"/>
          <w:highlight w:val="none"/>
        </w:rPr>
      </w:pPr>
      <w:r>
        <w:rPr>
          <w:rFonts w:hint="eastAsia" w:ascii="宋体" w:hAnsi="宋体" w:eastAsia="宋体" w:cs="宋体"/>
          <w:b w:val="0"/>
          <w:bCs/>
          <w:color w:val="000000"/>
          <w:sz w:val="24"/>
          <w:szCs w:val="24"/>
          <w:highlight w:val="none"/>
        </w:rPr>
        <w:t>合计得10分。</w:t>
      </w:r>
    </w:p>
    <w:p w14:paraId="6AF94422">
      <w:pPr>
        <w:pStyle w:val="10"/>
        <w:pageBreakBefore w:val="0"/>
        <w:widowControl w:val="0"/>
        <w:numPr>
          <w:ilvl w:val="0"/>
          <w:numId w:val="0"/>
        </w:numPr>
        <w:shd w:val="clear" w:color="auto" w:fill="auto"/>
        <w:kinsoku/>
        <w:wordWrap/>
        <w:topLinePunct w:val="0"/>
        <w:autoSpaceDE/>
        <w:autoSpaceDN/>
        <w:bidi w:val="0"/>
        <w:adjustRightInd/>
        <w:snapToGrid/>
        <w:spacing w:before="0" w:after="0" w:line="360" w:lineRule="auto"/>
        <w:ind w:left="560" w:leftChars="200"/>
        <w:jc w:val="both"/>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val="en-US" w:eastAsia="zh-CN"/>
        </w:rPr>
        <w:t>3.</w:t>
      </w:r>
      <w:r>
        <w:rPr>
          <w:rFonts w:hint="eastAsia" w:ascii="宋体" w:hAnsi="宋体" w:eastAsia="宋体" w:cs="宋体"/>
          <w:bCs/>
          <w:color w:val="auto"/>
          <w:sz w:val="24"/>
          <w:szCs w:val="24"/>
          <w:highlight w:val="none"/>
        </w:rPr>
        <w:t>对于“产出时效”</w:t>
      </w:r>
    </w:p>
    <w:p w14:paraId="3394A599">
      <w:pPr>
        <w:pStyle w:val="10"/>
        <w:pageBreakBefore w:val="0"/>
        <w:widowControl w:val="0"/>
        <w:shd w:val="clear" w:color="auto" w:fill="auto"/>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项目完成时间，预期指标值</w:t>
      </w:r>
      <w:r>
        <w:rPr>
          <w:rFonts w:hint="eastAsia" w:ascii="宋体" w:hAnsi="宋体" w:eastAsia="宋体" w:cs="宋体"/>
          <w:b w:val="0"/>
          <w:color w:val="auto"/>
          <w:sz w:val="24"/>
          <w:szCs w:val="24"/>
          <w:highlight w:val="none"/>
          <w:lang w:val="en-US" w:eastAsia="zh-CN"/>
        </w:rPr>
        <w:t>为2024年12月</w:t>
      </w:r>
      <w:r>
        <w:rPr>
          <w:rFonts w:hint="eastAsia" w:ascii="宋体" w:hAnsi="宋体" w:eastAsia="宋体" w:cs="宋体"/>
          <w:b w:val="0"/>
          <w:color w:val="auto"/>
          <w:sz w:val="24"/>
          <w:szCs w:val="24"/>
          <w:highlight w:val="none"/>
        </w:rPr>
        <w:t>，实际完成值</w:t>
      </w:r>
      <w:r>
        <w:rPr>
          <w:rFonts w:hint="eastAsia" w:ascii="宋体" w:hAnsi="宋体" w:eastAsia="宋体" w:cs="宋体"/>
          <w:b w:val="0"/>
          <w:color w:val="auto"/>
          <w:sz w:val="24"/>
          <w:szCs w:val="24"/>
          <w:highlight w:val="none"/>
          <w:lang w:val="en-US" w:eastAsia="zh-CN"/>
        </w:rPr>
        <w:t>2024年10月</w:t>
      </w:r>
      <w:r>
        <w:rPr>
          <w:rFonts w:hint="eastAsia" w:ascii="宋体" w:hAnsi="宋体" w:eastAsia="宋体" w:cs="宋体"/>
          <w:b w:val="0"/>
          <w:color w:val="auto"/>
          <w:sz w:val="24"/>
          <w:szCs w:val="24"/>
          <w:highlight w:val="none"/>
        </w:rPr>
        <w:t>，指标完成率100%，与预期目标一致，根据评分标准，该指标不扣分，得</w:t>
      </w:r>
      <w:r>
        <w:rPr>
          <w:rFonts w:hint="eastAsia" w:ascii="宋体" w:hAnsi="宋体" w:eastAsia="宋体" w:cs="宋体"/>
          <w:b w:val="0"/>
          <w:color w:val="auto"/>
          <w:sz w:val="24"/>
          <w:szCs w:val="24"/>
          <w:highlight w:val="none"/>
          <w:lang w:val="en-US" w:eastAsia="zh-CN"/>
        </w:rPr>
        <w:t>10</w:t>
      </w:r>
      <w:r>
        <w:rPr>
          <w:rFonts w:hint="eastAsia" w:ascii="宋体" w:hAnsi="宋体" w:eastAsia="宋体" w:cs="宋体"/>
          <w:b w:val="0"/>
          <w:color w:val="auto"/>
          <w:sz w:val="24"/>
          <w:szCs w:val="24"/>
          <w:highlight w:val="none"/>
        </w:rPr>
        <w:t>分。</w:t>
      </w:r>
    </w:p>
    <w:p w14:paraId="23C3A254">
      <w:pPr>
        <w:pStyle w:val="10"/>
        <w:pageBreakBefore w:val="0"/>
        <w:widowControl w:val="0"/>
        <w:shd w:val="clear" w:color="auto" w:fill="auto"/>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 w:val="0"/>
          <w:color w:val="auto"/>
          <w:sz w:val="24"/>
          <w:szCs w:val="24"/>
          <w:highlight w:val="none"/>
        </w:rPr>
      </w:pPr>
      <w:r>
        <w:rPr>
          <w:rFonts w:hint="eastAsia" w:ascii="宋体" w:hAnsi="宋体" w:eastAsia="宋体" w:cs="宋体"/>
          <w:b w:val="0"/>
          <w:bCs/>
          <w:color w:val="000000"/>
          <w:sz w:val="24"/>
          <w:szCs w:val="24"/>
          <w:highlight w:val="none"/>
        </w:rPr>
        <w:t>合计得10分。</w:t>
      </w:r>
    </w:p>
    <w:p w14:paraId="7C0A52B7">
      <w:pPr>
        <w:pStyle w:val="45"/>
        <w:pageBreakBefore w:val="0"/>
        <w:widowControl w:val="0"/>
        <w:shd w:val="clear" w:color="auto" w:fill="auto"/>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4.</w:t>
      </w:r>
      <w:r>
        <w:rPr>
          <w:rFonts w:hint="eastAsia" w:ascii="宋体" w:hAnsi="宋体" w:eastAsia="宋体" w:cs="宋体"/>
          <w:b/>
          <w:bCs/>
          <w:color w:val="auto"/>
          <w:sz w:val="24"/>
          <w:szCs w:val="24"/>
          <w:highlight w:val="none"/>
        </w:rPr>
        <w:t>对于“产出成本”</w:t>
      </w:r>
    </w:p>
    <w:p w14:paraId="6EC3F80E">
      <w:pPr>
        <w:pageBreakBefore w:val="0"/>
        <w:widowControl w:val="0"/>
        <w:shd w:val="clear" w:color="auto" w:fill="auto"/>
        <w:kinsoku/>
        <w:wordWrap/>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种公羊补贴标准，预期指标值</w:t>
      </w:r>
      <w:r>
        <w:rPr>
          <w:rFonts w:hint="eastAsia" w:ascii="宋体" w:hAnsi="宋体" w:eastAsia="宋体" w:cs="宋体"/>
          <w:color w:val="auto"/>
          <w:sz w:val="24"/>
          <w:szCs w:val="24"/>
          <w:highlight w:val="none"/>
          <w:lang w:val="en-US" w:eastAsia="zh-CN"/>
        </w:rPr>
        <w:t>小于等于70万元</w:t>
      </w:r>
      <w:r>
        <w:rPr>
          <w:rFonts w:hint="eastAsia" w:ascii="宋体" w:hAnsi="宋体" w:eastAsia="宋体" w:cs="宋体"/>
          <w:color w:val="auto"/>
          <w:sz w:val="24"/>
          <w:szCs w:val="24"/>
          <w:highlight w:val="none"/>
        </w:rPr>
        <w:t>，实际完成值</w:t>
      </w:r>
      <w:r>
        <w:rPr>
          <w:rFonts w:hint="eastAsia" w:ascii="宋体" w:hAnsi="宋体" w:eastAsia="宋体" w:cs="宋体"/>
          <w:color w:val="auto"/>
          <w:sz w:val="24"/>
          <w:szCs w:val="24"/>
          <w:highlight w:val="none"/>
          <w:lang w:val="en-US" w:eastAsia="zh-CN"/>
        </w:rPr>
        <w:t>70万元</w:t>
      </w:r>
      <w:r>
        <w:rPr>
          <w:rFonts w:hint="eastAsia" w:ascii="宋体" w:hAnsi="宋体" w:eastAsia="宋体" w:cs="宋体"/>
          <w:color w:val="auto"/>
          <w:sz w:val="24"/>
          <w:szCs w:val="24"/>
          <w:highlight w:val="none"/>
        </w:rPr>
        <w:t>，指标完成率100%</w:t>
      </w:r>
      <w:r>
        <w:rPr>
          <w:rFonts w:hint="eastAsia" w:ascii="宋体" w:hAnsi="宋体" w:eastAsia="宋体" w:cs="宋体"/>
          <w:color w:val="auto"/>
          <w:sz w:val="24"/>
          <w:szCs w:val="24"/>
          <w:highlight w:val="none"/>
          <w:lang w:eastAsia="zh-CN"/>
        </w:rPr>
        <w:t>，</w:t>
      </w:r>
      <w:r>
        <w:rPr>
          <w:rFonts w:hint="eastAsia" w:ascii="宋体" w:hAnsi="宋体" w:eastAsia="宋体" w:cs="宋体"/>
          <w:b w:val="0"/>
          <w:color w:val="auto"/>
          <w:kern w:val="2"/>
          <w:sz w:val="24"/>
          <w:szCs w:val="24"/>
          <w:highlight w:val="none"/>
          <w:lang w:val="en-US" w:eastAsia="zh-CN" w:bidi="ar-SA"/>
        </w:rPr>
        <w:t>与预期目标一致，根据评分标准，该指标不扣分</w:t>
      </w:r>
      <w:r>
        <w:rPr>
          <w:rFonts w:hint="eastAsia" w:ascii="宋体" w:hAnsi="宋体" w:eastAsia="宋体" w:cs="宋体"/>
          <w:color w:val="auto"/>
          <w:sz w:val="24"/>
          <w:szCs w:val="24"/>
          <w:highlight w:val="none"/>
        </w:rPr>
        <w:t>，得</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分。</w:t>
      </w:r>
    </w:p>
    <w:p w14:paraId="6A946B19">
      <w:pPr>
        <w:pageBreakBefore w:val="0"/>
        <w:widowControl w:val="0"/>
        <w:shd w:val="clear" w:color="auto" w:fill="auto"/>
        <w:kinsoku/>
        <w:wordWrap/>
        <w:topLinePunct w:val="0"/>
        <w:autoSpaceDE/>
        <w:autoSpaceDN/>
        <w:bidi w:val="0"/>
        <w:adjustRightInd/>
        <w:snapToGrid/>
        <w:spacing w:line="360" w:lineRule="auto"/>
        <w:ind w:left="0" w:leftChars="0" w:firstLine="640"/>
        <w:jc w:val="both"/>
        <w:textAlignment w:val="auto"/>
        <w:rPr>
          <w:rFonts w:hint="eastAsia"/>
          <w:highlight w:val="none"/>
        </w:rPr>
      </w:pPr>
      <w:r>
        <w:rPr>
          <w:rFonts w:hint="eastAsia" w:ascii="宋体" w:hAnsi="宋体" w:eastAsia="宋体" w:cs="宋体"/>
          <w:color w:val="auto"/>
          <w:sz w:val="24"/>
          <w:szCs w:val="24"/>
          <w:highlight w:val="none"/>
        </w:rPr>
        <w:t>购置冻精标准，预期指标值</w:t>
      </w:r>
      <w:r>
        <w:rPr>
          <w:rFonts w:hint="eastAsia" w:ascii="宋体" w:hAnsi="宋体" w:eastAsia="宋体" w:cs="宋体"/>
          <w:color w:val="auto"/>
          <w:sz w:val="24"/>
          <w:szCs w:val="24"/>
          <w:highlight w:val="none"/>
          <w:lang w:val="en-US" w:eastAsia="zh-CN"/>
        </w:rPr>
        <w:t>小于等于60万元</w:t>
      </w:r>
      <w:r>
        <w:rPr>
          <w:rFonts w:hint="eastAsia" w:ascii="宋体" w:hAnsi="宋体" w:eastAsia="宋体" w:cs="宋体"/>
          <w:color w:val="auto"/>
          <w:sz w:val="24"/>
          <w:szCs w:val="24"/>
          <w:highlight w:val="none"/>
        </w:rPr>
        <w:t>，实际完成值</w:t>
      </w:r>
      <w:r>
        <w:rPr>
          <w:rFonts w:hint="eastAsia" w:ascii="宋体" w:hAnsi="宋体" w:eastAsia="宋体" w:cs="宋体"/>
          <w:color w:val="auto"/>
          <w:sz w:val="24"/>
          <w:szCs w:val="24"/>
          <w:highlight w:val="none"/>
          <w:lang w:val="en-US" w:eastAsia="zh-CN"/>
        </w:rPr>
        <w:t>60万元</w:t>
      </w:r>
      <w:r>
        <w:rPr>
          <w:rFonts w:hint="eastAsia" w:ascii="宋体" w:hAnsi="宋体" w:eastAsia="宋体" w:cs="宋体"/>
          <w:color w:val="auto"/>
          <w:sz w:val="24"/>
          <w:szCs w:val="24"/>
          <w:highlight w:val="none"/>
        </w:rPr>
        <w:t>，指标完成率100%</w:t>
      </w:r>
      <w:r>
        <w:rPr>
          <w:rFonts w:hint="eastAsia" w:ascii="宋体" w:hAnsi="宋体" w:eastAsia="宋体" w:cs="宋体"/>
          <w:color w:val="auto"/>
          <w:sz w:val="24"/>
          <w:szCs w:val="24"/>
          <w:highlight w:val="none"/>
          <w:lang w:eastAsia="zh-CN"/>
        </w:rPr>
        <w:t>，</w:t>
      </w:r>
      <w:r>
        <w:rPr>
          <w:rFonts w:hint="eastAsia" w:ascii="宋体" w:hAnsi="宋体" w:eastAsia="宋体" w:cs="宋体"/>
          <w:b w:val="0"/>
          <w:color w:val="auto"/>
          <w:kern w:val="2"/>
          <w:sz w:val="24"/>
          <w:szCs w:val="24"/>
          <w:highlight w:val="none"/>
          <w:lang w:val="en-US" w:eastAsia="zh-CN" w:bidi="ar-SA"/>
        </w:rPr>
        <w:t>与预期目标一致，根据评分标准，该指标不扣分</w:t>
      </w:r>
      <w:r>
        <w:rPr>
          <w:rFonts w:hint="eastAsia" w:ascii="宋体" w:hAnsi="宋体" w:eastAsia="宋体" w:cs="宋体"/>
          <w:color w:val="auto"/>
          <w:sz w:val="24"/>
          <w:szCs w:val="24"/>
          <w:highlight w:val="none"/>
        </w:rPr>
        <w:t>，得</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分。</w:t>
      </w:r>
    </w:p>
    <w:p w14:paraId="66840591">
      <w:pPr>
        <w:pStyle w:val="10"/>
        <w:pageBreakBefore w:val="0"/>
        <w:widowControl w:val="0"/>
        <w:shd w:val="clear" w:color="auto" w:fill="auto"/>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b w:val="0"/>
          <w:bCs/>
          <w:color w:val="000000"/>
          <w:sz w:val="24"/>
          <w:szCs w:val="24"/>
          <w:highlight w:val="none"/>
        </w:rPr>
        <w:t>合计得10分。</w:t>
      </w:r>
    </w:p>
    <w:p w14:paraId="7D8C0416">
      <w:pPr>
        <w:pStyle w:val="49"/>
        <w:pageBreakBefore w:val="0"/>
        <w:widowControl w:val="0"/>
        <w:shd w:val="clear" w:color="auto" w:fill="auto"/>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（四）项目效益情况</w:t>
      </w:r>
    </w:p>
    <w:p w14:paraId="5EB8252C">
      <w:pPr>
        <w:pageBreakBefore w:val="0"/>
        <w:widowControl w:val="0"/>
        <w:shd w:val="clear" w:color="auto" w:fill="auto"/>
        <w:kinsoku/>
        <w:wordWrap/>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项目效益类指标包括项目效益</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个方面的内容，由</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个三级指标构成，权重分为</w:t>
      </w:r>
      <w:r>
        <w:rPr>
          <w:rFonts w:hint="eastAsia" w:ascii="宋体" w:hAnsi="宋体" w:eastAsia="宋体" w:cs="宋体"/>
          <w:color w:val="auto"/>
          <w:sz w:val="24"/>
          <w:szCs w:val="24"/>
          <w:highlight w:val="none"/>
          <w:lang w:val="en-US" w:eastAsia="zh-CN"/>
        </w:rPr>
        <w:t>25</w:t>
      </w:r>
      <w:r>
        <w:rPr>
          <w:rFonts w:hint="eastAsia" w:ascii="宋体" w:hAnsi="宋体" w:eastAsia="宋体" w:cs="宋体"/>
          <w:color w:val="auto"/>
          <w:sz w:val="24"/>
          <w:szCs w:val="24"/>
          <w:highlight w:val="none"/>
        </w:rPr>
        <w:t>分，实际得分</w:t>
      </w:r>
      <w:r>
        <w:rPr>
          <w:rFonts w:hint="eastAsia" w:ascii="宋体" w:hAnsi="宋体" w:eastAsia="宋体" w:cs="宋体"/>
          <w:color w:val="auto"/>
          <w:sz w:val="24"/>
          <w:szCs w:val="24"/>
          <w:highlight w:val="none"/>
          <w:lang w:val="en-US" w:eastAsia="zh-CN"/>
        </w:rPr>
        <w:t>25</w:t>
      </w:r>
      <w:r>
        <w:rPr>
          <w:rFonts w:hint="eastAsia" w:ascii="宋体" w:hAnsi="宋体" w:eastAsia="宋体" w:cs="宋体"/>
          <w:color w:val="auto"/>
          <w:sz w:val="24"/>
          <w:szCs w:val="24"/>
          <w:highlight w:val="none"/>
        </w:rPr>
        <w:t>分，得分率为100%。</w:t>
      </w:r>
      <w:bookmarkEnd w:id="13"/>
    </w:p>
    <w:p w14:paraId="13ED3B58">
      <w:pPr>
        <w:pageBreakBefore w:val="0"/>
        <w:widowControl w:val="0"/>
        <w:shd w:val="clear" w:color="auto" w:fill="auto"/>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1.</w:t>
      </w:r>
      <w:r>
        <w:rPr>
          <w:rFonts w:hint="eastAsia" w:ascii="宋体" w:hAnsi="宋体" w:eastAsia="宋体" w:cs="宋体"/>
          <w:b/>
          <w:bCs/>
          <w:color w:val="auto"/>
          <w:sz w:val="24"/>
          <w:szCs w:val="24"/>
          <w:highlight w:val="none"/>
        </w:rPr>
        <w:t>对于“社会效益指标”</w:t>
      </w:r>
    </w:p>
    <w:p w14:paraId="43C9193B">
      <w:pPr>
        <w:pageBreakBefore w:val="0"/>
        <w:widowControl w:val="0"/>
        <w:shd w:val="clear" w:color="auto" w:fill="auto"/>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促进畜牧业健康发展</w:t>
      </w:r>
      <w:r>
        <w:rPr>
          <w:rFonts w:hint="eastAsia" w:ascii="宋体" w:hAnsi="宋体" w:eastAsia="宋体" w:cs="宋体"/>
          <w:b w:val="0"/>
          <w:bCs w:val="0"/>
          <w:color w:val="auto"/>
          <w:sz w:val="24"/>
          <w:szCs w:val="24"/>
          <w:highlight w:val="none"/>
        </w:rPr>
        <w:t>，预期指标值为</w:t>
      </w:r>
      <w:r>
        <w:rPr>
          <w:rFonts w:hint="eastAsia" w:ascii="宋体" w:hAnsi="宋体" w:eastAsia="宋体" w:cs="宋体"/>
          <w:b w:val="0"/>
          <w:bCs w:val="0"/>
          <w:color w:val="auto"/>
          <w:sz w:val="24"/>
          <w:szCs w:val="24"/>
          <w:highlight w:val="none"/>
          <w:lang w:val="en-US" w:eastAsia="zh-CN"/>
        </w:rPr>
        <w:t>有效促进</w:t>
      </w:r>
      <w:r>
        <w:rPr>
          <w:rFonts w:hint="eastAsia" w:ascii="宋体" w:hAnsi="宋体" w:eastAsia="宋体" w:cs="宋体"/>
          <w:b w:val="0"/>
          <w:bCs w:val="0"/>
          <w:color w:val="auto"/>
          <w:sz w:val="24"/>
          <w:szCs w:val="24"/>
          <w:highlight w:val="none"/>
        </w:rPr>
        <w:t>，实际完成值为</w:t>
      </w:r>
      <w:r>
        <w:rPr>
          <w:rFonts w:hint="eastAsia" w:ascii="宋体" w:hAnsi="宋体" w:eastAsia="宋体" w:cs="宋体"/>
          <w:b w:val="0"/>
          <w:bCs w:val="0"/>
          <w:color w:val="auto"/>
          <w:sz w:val="24"/>
          <w:szCs w:val="24"/>
          <w:highlight w:val="none"/>
          <w:lang w:val="en-US" w:eastAsia="zh-CN"/>
        </w:rPr>
        <w:t>有效促进</w:t>
      </w:r>
      <w:r>
        <w:rPr>
          <w:rFonts w:hint="eastAsia" w:ascii="宋体" w:hAnsi="宋体" w:eastAsia="宋体" w:cs="宋体"/>
          <w:b w:val="0"/>
          <w:bCs w:val="0"/>
          <w:color w:val="auto"/>
          <w:sz w:val="24"/>
          <w:szCs w:val="24"/>
          <w:highlight w:val="none"/>
        </w:rPr>
        <w:t>，指标完成率为</w:t>
      </w:r>
      <w:r>
        <w:rPr>
          <w:rFonts w:hint="eastAsia" w:ascii="宋体" w:hAnsi="宋体" w:eastAsia="宋体" w:cs="宋体"/>
          <w:b w:val="0"/>
          <w:bCs w:val="0"/>
          <w:color w:val="auto"/>
          <w:sz w:val="24"/>
          <w:szCs w:val="24"/>
          <w:highlight w:val="none"/>
          <w:lang w:val="en-US" w:eastAsia="zh-CN"/>
        </w:rPr>
        <w:t>100%</w:t>
      </w:r>
      <w:r>
        <w:rPr>
          <w:rFonts w:hint="eastAsia" w:ascii="宋体" w:hAnsi="宋体" w:eastAsia="宋体" w:cs="宋体"/>
          <w:b w:val="0"/>
          <w:bCs w:val="0"/>
          <w:color w:val="auto"/>
          <w:sz w:val="24"/>
          <w:szCs w:val="24"/>
          <w:highlight w:val="none"/>
        </w:rPr>
        <w:t>，与预期指标一致，根据评分标准，该指标不扣分，得</w:t>
      </w:r>
      <w:r>
        <w:rPr>
          <w:rFonts w:hint="eastAsia" w:ascii="宋体" w:hAnsi="宋体" w:eastAsia="宋体" w:cs="宋体"/>
          <w:b w:val="0"/>
          <w:bCs w:val="0"/>
          <w:color w:val="auto"/>
          <w:sz w:val="24"/>
          <w:szCs w:val="24"/>
          <w:highlight w:val="none"/>
          <w:lang w:val="en-US" w:eastAsia="zh-CN"/>
        </w:rPr>
        <w:t>15</w:t>
      </w:r>
      <w:r>
        <w:rPr>
          <w:rFonts w:hint="eastAsia" w:ascii="宋体" w:hAnsi="宋体" w:eastAsia="宋体" w:cs="宋体"/>
          <w:b w:val="0"/>
          <w:bCs w:val="0"/>
          <w:color w:val="auto"/>
          <w:sz w:val="24"/>
          <w:szCs w:val="24"/>
          <w:highlight w:val="none"/>
        </w:rPr>
        <w:t>分。</w:t>
      </w:r>
    </w:p>
    <w:p w14:paraId="19EC2F4F">
      <w:pPr>
        <w:pageBreakBefore w:val="0"/>
        <w:widowControl w:val="0"/>
        <w:shd w:val="clear" w:color="auto" w:fill="auto"/>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2.</w:t>
      </w:r>
      <w:r>
        <w:rPr>
          <w:rFonts w:hint="eastAsia" w:ascii="宋体" w:hAnsi="宋体" w:eastAsia="宋体" w:cs="宋体"/>
          <w:b/>
          <w:bCs/>
          <w:color w:val="auto"/>
          <w:sz w:val="24"/>
          <w:szCs w:val="24"/>
          <w:highlight w:val="none"/>
        </w:rPr>
        <w:t>对于“经济效益指标”</w:t>
      </w:r>
    </w:p>
    <w:p w14:paraId="7E34D3F7">
      <w:pPr>
        <w:pStyle w:val="10"/>
        <w:pageBreakBefore w:val="0"/>
        <w:widowControl w:val="0"/>
        <w:shd w:val="clear" w:color="auto" w:fill="auto"/>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b w:val="0"/>
          <w:bCs w:val="0"/>
          <w:color w:val="auto"/>
          <w:sz w:val="24"/>
          <w:szCs w:val="24"/>
          <w:highlight w:val="none"/>
          <w:lang w:val="en-US" w:eastAsia="zh-CN"/>
        </w:rPr>
        <w:t>该项目不涉及</w:t>
      </w:r>
      <w:r>
        <w:rPr>
          <w:rFonts w:hint="eastAsia" w:ascii="宋体" w:hAnsi="宋体" w:eastAsia="宋体" w:cs="宋体"/>
          <w:b w:val="0"/>
          <w:bCs w:val="0"/>
          <w:color w:val="auto"/>
          <w:sz w:val="24"/>
          <w:szCs w:val="24"/>
          <w:highlight w:val="none"/>
        </w:rPr>
        <w:t>经济效益指标</w:t>
      </w:r>
      <w:r>
        <w:rPr>
          <w:rFonts w:hint="eastAsia" w:ascii="宋体" w:hAnsi="宋体" w:eastAsia="宋体" w:cs="宋体"/>
          <w:b w:val="0"/>
          <w:bCs w:val="0"/>
          <w:color w:val="auto"/>
          <w:sz w:val="24"/>
          <w:szCs w:val="24"/>
          <w:highlight w:val="none"/>
          <w:lang w:val="en-US" w:eastAsia="zh-CN"/>
        </w:rPr>
        <w:t>。</w:t>
      </w:r>
    </w:p>
    <w:p w14:paraId="3A0C378A">
      <w:pPr>
        <w:pStyle w:val="10"/>
        <w:pageBreakBefore w:val="0"/>
        <w:widowControl w:val="0"/>
        <w:shd w:val="clear" w:color="auto" w:fill="auto"/>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lang w:val="en-US" w:eastAsia="zh-CN"/>
        </w:rPr>
        <w:t>3.</w:t>
      </w:r>
      <w:r>
        <w:rPr>
          <w:rFonts w:hint="eastAsia" w:ascii="宋体" w:hAnsi="宋体" w:eastAsia="宋体" w:cs="宋体"/>
          <w:bCs/>
          <w:color w:val="auto"/>
          <w:sz w:val="24"/>
          <w:szCs w:val="24"/>
          <w:highlight w:val="none"/>
        </w:rPr>
        <w:t>对于“生态效益指标”</w:t>
      </w:r>
    </w:p>
    <w:p w14:paraId="666235D6">
      <w:pPr>
        <w:pStyle w:val="10"/>
        <w:pageBreakBefore w:val="0"/>
        <w:widowControl w:val="0"/>
        <w:shd w:val="clear" w:color="auto" w:fill="auto"/>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b w:val="0"/>
          <w:bCs w:val="0"/>
          <w:color w:val="auto"/>
          <w:sz w:val="24"/>
          <w:szCs w:val="24"/>
          <w:highlight w:val="none"/>
          <w:lang w:val="en-US" w:eastAsia="zh-CN"/>
        </w:rPr>
        <w:t>该项目不涉及生态效益指标。</w:t>
      </w:r>
    </w:p>
    <w:p w14:paraId="75A1EC2A">
      <w:pPr>
        <w:pStyle w:val="10"/>
        <w:pageBreakBefore w:val="0"/>
        <w:widowControl w:val="0"/>
        <w:shd w:val="clear" w:color="auto" w:fill="auto"/>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val="en-US" w:eastAsia="zh-CN"/>
        </w:rPr>
        <w:t>4.</w:t>
      </w:r>
      <w:r>
        <w:rPr>
          <w:rFonts w:hint="eastAsia" w:ascii="宋体" w:hAnsi="宋体" w:eastAsia="宋体" w:cs="宋体"/>
          <w:bCs/>
          <w:color w:val="auto"/>
          <w:sz w:val="24"/>
          <w:szCs w:val="24"/>
          <w:highlight w:val="none"/>
        </w:rPr>
        <w:t>满意度指标分析</w:t>
      </w:r>
    </w:p>
    <w:p w14:paraId="73B2A266">
      <w:pPr>
        <w:pStyle w:val="45"/>
        <w:pageBreakBefore w:val="0"/>
        <w:widowControl w:val="0"/>
        <w:shd w:val="clear" w:color="auto" w:fill="auto"/>
        <w:kinsoku/>
        <w:wordWrap/>
        <w:topLinePunct w:val="0"/>
        <w:autoSpaceDE/>
        <w:autoSpaceDN/>
        <w:bidi w:val="0"/>
        <w:adjustRightInd/>
        <w:snapToGrid/>
        <w:spacing w:line="360" w:lineRule="auto"/>
        <w:ind w:left="0" w:leftChars="0" w:firstLine="480" w:firstLineChars="200"/>
        <w:jc w:val="both"/>
        <w:textAlignment w:val="auto"/>
        <w:rPr>
          <w:rFonts w:hint="eastAsia" w:ascii="黑体" w:hAnsi="黑体" w:eastAsia="黑体" w:cs="黑体"/>
          <w:color w:val="auto"/>
          <w:sz w:val="24"/>
          <w:szCs w:val="24"/>
          <w:highlight w:val="none"/>
        </w:rPr>
      </w:pPr>
      <w:r>
        <w:rPr>
          <w:rFonts w:hint="eastAsia" w:ascii="宋体" w:hAnsi="宋体" w:eastAsia="宋体" w:cs="宋体"/>
          <w:color w:val="auto"/>
          <w:sz w:val="24"/>
          <w:szCs w:val="24"/>
          <w:highlight w:val="none"/>
        </w:rPr>
        <w:t>补助对象对政策满意度，预期指标值</w:t>
      </w:r>
      <w:r>
        <w:rPr>
          <w:rFonts w:hint="eastAsia" w:ascii="宋体" w:hAnsi="宋体" w:eastAsia="宋体" w:cs="宋体"/>
          <w:color w:val="auto"/>
          <w:sz w:val="24"/>
          <w:szCs w:val="24"/>
          <w:highlight w:val="none"/>
          <w:lang w:val="en-US" w:eastAsia="zh-CN"/>
        </w:rPr>
        <w:t>大于等于95%</w:t>
      </w:r>
      <w:r>
        <w:rPr>
          <w:rFonts w:hint="eastAsia" w:ascii="宋体" w:hAnsi="宋体" w:eastAsia="宋体" w:cs="宋体"/>
          <w:color w:val="auto"/>
          <w:sz w:val="24"/>
          <w:szCs w:val="24"/>
          <w:highlight w:val="none"/>
        </w:rPr>
        <w:t>，实际完成值</w:t>
      </w:r>
      <w:r>
        <w:rPr>
          <w:rFonts w:hint="eastAsia" w:ascii="宋体" w:hAnsi="宋体" w:eastAsia="宋体" w:cs="宋体"/>
          <w:color w:val="auto"/>
          <w:sz w:val="24"/>
          <w:szCs w:val="24"/>
          <w:highlight w:val="none"/>
          <w:lang w:val="en-US" w:eastAsia="zh-CN"/>
        </w:rPr>
        <w:t>95%</w:t>
      </w:r>
      <w:r>
        <w:rPr>
          <w:rFonts w:hint="eastAsia" w:ascii="宋体" w:hAnsi="宋体" w:eastAsia="宋体" w:cs="宋体"/>
          <w:color w:val="auto"/>
          <w:sz w:val="24"/>
          <w:szCs w:val="24"/>
          <w:highlight w:val="none"/>
        </w:rPr>
        <w:t>，指标完成率</w:t>
      </w:r>
      <w:r>
        <w:rPr>
          <w:rFonts w:hint="eastAsia" w:ascii="宋体" w:hAnsi="宋体" w:eastAsia="宋体" w:cs="宋体"/>
          <w:color w:val="auto"/>
          <w:sz w:val="24"/>
          <w:szCs w:val="24"/>
          <w:highlight w:val="none"/>
          <w:lang w:val="en-US" w:eastAsia="zh-CN"/>
        </w:rPr>
        <w:t>100%</w:t>
      </w:r>
      <w:r>
        <w:rPr>
          <w:rFonts w:hint="eastAsia" w:ascii="宋体" w:hAnsi="宋体" w:eastAsia="宋体" w:cs="宋体"/>
          <w:color w:val="auto"/>
          <w:sz w:val="24"/>
          <w:szCs w:val="24"/>
          <w:highlight w:val="none"/>
        </w:rPr>
        <w:t>，与预期目标一致，根据评分标准，该指标不扣分,得10分。</w:t>
      </w:r>
    </w:p>
    <w:p w14:paraId="6A73B803">
      <w:pPr>
        <w:pStyle w:val="10"/>
        <w:pageBreakBefore w:val="0"/>
        <w:widowControl w:val="0"/>
        <w:shd w:val="clear" w:color="auto" w:fill="auto"/>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黑体" w:hAnsi="黑体" w:eastAsia="黑体" w:cs="黑体"/>
          <w:color w:val="auto"/>
          <w:sz w:val="24"/>
          <w:szCs w:val="24"/>
          <w:highlight w:val="none"/>
        </w:rPr>
      </w:pPr>
      <w:r>
        <w:rPr>
          <w:rFonts w:hint="eastAsia" w:ascii="宋体" w:hAnsi="宋体" w:eastAsia="宋体" w:cs="宋体"/>
          <w:b w:val="0"/>
          <w:bCs/>
          <w:color w:val="000000"/>
          <w:sz w:val="24"/>
          <w:szCs w:val="24"/>
          <w:highlight w:val="none"/>
        </w:rPr>
        <w:t>合计得</w:t>
      </w:r>
      <w:r>
        <w:rPr>
          <w:rFonts w:hint="eastAsia" w:ascii="宋体" w:hAnsi="宋体" w:eastAsia="宋体" w:cs="宋体"/>
          <w:b w:val="0"/>
          <w:bCs/>
          <w:color w:val="000000"/>
          <w:sz w:val="24"/>
          <w:szCs w:val="24"/>
          <w:highlight w:val="none"/>
          <w:lang w:val="en-US" w:eastAsia="zh-CN"/>
        </w:rPr>
        <w:t>25</w:t>
      </w:r>
      <w:r>
        <w:rPr>
          <w:rFonts w:hint="eastAsia" w:ascii="宋体" w:hAnsi="宋体" w:eastAsia="宋体" w:cs="宋体"/>
          <w:b w:val="0"/>
          <w:bCs/>
          <w:color w:val="000000"/>
          <w:sz w:val="24"/>
          <w:szCs w:val="24"/>
          <w:highlight w:val="none"/>
        </w:rPr>
        <w:t>分。</w:t>
      </w:r>
    </w:p>
    <w:p w14:paraId="60763A84">
      <w:pPr>
        <w:pStyle w:val="2"/>
        <w:pageBreakBefore w:val="0"/>
        <w:widowControl w:val="0"/>
        <w:shd w:val="clear" w:color="auto" w:fill="auto"/>
        <w:kinsoku/>
        <w:wordWrap/>
        <w:topLinePunct w:val="0"/>
        <w:autoSpaceDE/>
        <w:autoSpaceDN/>
        <w:bidi w:val="0"/>
        <w:adjustRightInd/>
        <w:snapToGrid/>
        <w:spacing w:before="0" w:after="0" w:line="360" w:lineRule="auto"/>
        <w:ind w:left="0" w:leftChars="0" w:firstLine="643"/>
        <w:jc w:val="both"/>
        <w:textAlignment w:val="auto"/>
        <w:rPr>
          <w:rFonts w:hint="eastAsia" w:ascii="黑体" w:hAnsi="黑体" w:eastAsia="黑体" w:cs="黑体"/>
          <w:color w:val="auto"/>
          <w:sz w:val="24"/>
          <w:szCs w:val="24"/>
          <w:highlight w:val="none"/>
        </w:rPr>
      </w:pPr>
      <w:r>
        <w:rPr>
          <w:rFonts w:hint="eastAsia" w:ascii="黑体" w:hAnsi="黑体" w:eastAsia="黑体" w:cs="黑体"/>
          <w:color w:val="auto"/>
          <w:sz w:val="24"/>
          <w:szCs w:val="24"/>
          <w:highlight w:val="none"/>
        </w:rPr>
        <w:t>五、预算执行进度与绩效指标偏差情况</w:t>
      </w:r>
    </w:p>
    <w:p w14:paraId="1AC42071">
      <w:pPr>
        <w:pStyle w:val="45"/>
        <w:pageBreakBefore w:val="0"/>
        <w:widowControl w:val="0"/>
        <w:shd w:val="clear" w:color="auto" w:fill="auto"/>
        <w:kinsoku/>
        <w:wordWrap/>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本项目年初预算资金总额为</w:t>
      </w:r>
      <w:r>
        <w:rPr>
          <w:rFonts w:hint="eastAsia" w:ascii="宋体" w:hAnsi="宋体" w:eastAsia="宋体" w:cs="宋体"/>
          <w:color w:val="auto"/>
          <w:sz w:val="24"/>
          <w:szCs w:val="24"/>
          <w:highlight w:val="none"/>
          <w:lang w:val="en-US" w:eastAsia="zh-CN"/>
        </w:rPr>
        <w:t>130万元</w:t>
      </w:r>
      <w:r>
        <w:rPr>
          <w:rFonts w:hint="eastAsia" w:ascii="宋体" w:hAnsi="宋体" w:eastAsia="宋体" w:cs="宋体"/>
          <w:color w:val="auto"/>
          <w:sz w:val="24"/>
          <w:szCs w:val="24"/>
          <w:highlight w:val="none"/>
        </w:rPr>
        <w:t>，全年预算数为</w:t>
      </w:r>
      <w:r>
        <w:rPr>
          <w:rFonts w:hint="eastAsia" w:ascii="宋体" w:hAnsi="宋体" w:eastAsia="宋体" w:cs="宋体"/>
          <w:color w:val="auto"/>
          <w:sz w:val="24"/>
          <w:szCs w:val="24"/>
          <w:highlight w:val="none"/>
          <w:lang w:val="en-US" w:eastAsia="zh-CN"/>
        </w:rPr>
        <w:t>130万元</w:t>
      </w:r>
      <w:r>
        <w:rPr>
          <w:rFonts w:hint="eastAsia" w:ascii="宋体" w:hAnsi="宋体" w:eastAsia="宋体" w:cs="宋体"/>
          <w:color w:val="auto"/>
          <w:sz w:val="24"/>
          <w:szCs w:val="24"/>
          <w:highlight w:val="none"/>
        </w:rPr>
        <w:t>，全年执行数为</w:t>
      </w:r>
      <w:r>
        <w:rPr>
          <w:rFonts w:hint="eastAsia" w:ascii="宋体" w:hAnsi="宋体" w:eastAsia="宋体" w:cs="宋体"/>
          <w:color w:val="auto"/>
          <w:sz w:val="24"/>
          <w:szCs w:val="24"/>
          <w:highlight w:val="none"/>
          <w:lang w:val="en-US" w:eastAsia="zh-CN"/>
        </w:rPr>
        <w:t>130万元</w:t>
      </w:r>
      <w:r>
        <w:rPr>
          <w:rFonts w:hint="eastAsia" w:ascii="宋体" w:hAnsi="宋体" w:eastAsia="宋体" w:cs="宋体"/>
          <w:color w:val="auto"/>
          <w:sz w:val="24"/>
          <w:szCs w:val="24"/>
          <w:highlight w:val="none"/>
        </w:rPr>
        <w:t>，预算执行率为</w:t>
      </w:r>
      <w:r>
        <w:rPr>
          <w:rFonts w:hint="eastAsia" w:ascii="宋体" w:hAnsi="宋体" w:eastAsia="宋体" w:cs="宋体"/>
          <w:color w:val="auto"/>
          <w:sz w:val="24"/>
          <w:szCs w:val="24"/>
          <w:highlight w:val="none"/>
          <w:lang w:val="en-US" w:eastAsia="zh-CN"/>
        </w:rPr>
        <w:t>100</w:t>
      </w:r>
      <w:r>
        <w:rPr>
          <w:rFonts w:hint="eastAsia" w:ascii="宋体" w:hAnsi="宋体" w:eastAsia="宋体" w:cs="宋体"/>
          <w:color w:val="auto"/>
          <w:sz w:val="24"/>
          <w:szCs w:val="24"/>
          <w:highlight w:val="none"/>
        </w:rPr>
        <w:t>%。</w:t>
      </w:r>
    </w:p>
    <w:p w14:paraId="61B067B5">
      <w:pPr>
        <w:pStyle w:val="45"/>
        <w:pageBreakBefore w:val="0"/>
        <w:widowControl w:val="0"/>
        <w:shd w:val="clear" w:color="auto" w:fill="auto"/>
        <w:kinsoku/>
        <w:wordWrap/>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本项目共设置三级指标数量</w:t>
      </w:r>
      <w:r>
        <w:rPr>
          <w:rFonts w:hint="eastAsia" w:ascii="宋体" w:hAnsi="宋体" w:eastAsia="宋体" w:cs="宋体"/>
          <w:color w:val="auto"/>
          <w:sz w:val="24"/>
          <w:szCs w:val="24"/>
          <w:highlight w:val="none"/>
          <w:lang w:val="en-US" w:eastAsia="zh-CN"/>
        </w:rPr>
        <w:t>9</w:t>
      </w:r>
      <w:r>
        <w:rPr>
          <w:rFonts w:hint="eastAsia" w:ascii="宋体" w:hAnsi="宋体" w:eastAsia="宋体" w:cs="宋体"/>
          <w:color w:val="auto"/>
          <w:sz w:val="24"/>
          <w:szCs w:val="24"/>
          <w:highlight w:val="none"/>
        </w:rPr>
        <w:t>个，满分指标数量</w:t>
      </w:r>
      <w:r>
        <w:rPr>
          <w:rFonts w:hint="eastAsia" w:ascii="宋体" w:hAnsi="宋体" w:eastAsia="宋体" w:cs="宋体"/>
          <w:color w:val="auto"/>
          <w:sz w:val="24"/>
          <w:szCs w:val="24"/>
          <w:highlight w:val="none"/>
          <w:lang w:val="en-US" w:eastAsia="zh-CN"/>
        </w:rPr>
        <w:t>9</w:t>
      </w:r>
      <w:r>
        <w:rPr>
          <w:rFonts w:hint="eastAsia" w:ascii="宋体" w:hAnsi="宋体" w:eastAsia="宋体" w:cs="宋体"/>
          <w:color w:val="auto"/>
          <w:sz w:val="24"/>
          <w:szCs w:val="24"/>
          <w:highlight w:val="none"/>
        </w:rPr>
        <w:t>个，扣分指标数量</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个，经分析计算所有三级指标完成率得出，本项目总体完成率为</w:t>
      </w:r>
      <w:r>
        <w:rPr>
          <w:rFonts w:hint="eastAsia" w:ascii="宋体" w:hAnsi="宋体" w:eastAsia="宋体" w:cs="宋体"/>
          <w:color w:val="auto"/>
          <w:sz w:val="24"/>
          <w:szCs w:val="24"/>
          <w:highlight w:val="none"/>
          <w:lang w:val="en-US" w:eastAsia="zh-CN"/>
        </w:rPr>
        <w:t>100</w:t>
      </w:r>
      <w:r>
        <w:rPr>
          <w:rFonts w:hint="eastAsia" w:ascii="宋体" w:hAnsi="宋体" w:eastAsia="宋体" w:cs="宋体"/>
          <w:color w:val="auto"/>
          <w:sz w:val="24"/>
          <w:szCs w:val="24"/>
          <w:highlight w:val="none"/>
        </w:rPr>
        <w:t>%。</w:t>
      </w:r>
    </w:p>
    <w:p w14:paraId="2397D619">
      <w:pPr>
        <w:pStyle w:val="45"/>
        <w:pageBreakBefore w:val="0"/>
        <w:widowControl w:val="0"/>
        <w:shd w:val="clear" w:color="auto" w:fill="auto"/>
        <w:kinsoku/>
        <w:wordWrap/>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综上所述本项目预算执行率与总体完成率之间</w:t>
      </w:r>
      <w:r>
        <w:rPr>
          <w:rFonts w:hint="eastAsia" w:ascii="宋体" w:hAnsi="宋体" w:eastAsia="宋体" w:cs="宋体"/>
          <w:color w:val="auto"/>
          <w:sz w:val="24"/>
          <w:szCs w:val="24"/>
          <w:highlight w:val="none"/>
          <w:lang w:val="en-US" w:eastAsia="zh-CN"/>
        </w:rPr>
        <w:t>无偏差</w:t>
      </w:r>
      <w:r>
        <w:rPr>
          <w:rFonts w:hint="eastAsia" w:ascii="宋体" w:hAnsi="宋体" w:eastAsia="宋体" w:cs="宋体"/>
          <w:color w:val="auto"/>
          <w:sz w:val="24"/>
          <w:szCs w:val="24"/>
          <w:highlight w:val="none"/>
        </w:rPr>
        <w:t>。</w:t>
      </w:r>
    </w:p>
    <w:p w14:paraId="7634750A">
      <w:pPr>
        <w:pStyle w:val="2"/>
        <w:pageBreakBefore w:val="0"/>
        <w:widowControl w:val="0"/>
        <w:shd w:val="clear" w:color="auto" w:fill="auto"/>
        <w:kinsoku/>
        <w:wordWrap/>
        <w:overflowPunct/>
        <w:topLinePunct w:val="0"/>
        <w:autoSpaceDE/>
        <w:autoSpaceDN/>
        <w:bidi w:val="0"/>
        <w:adjustRightInd/>
        <w:snapToGrid/>
        <w:spacing w:before="0" w:after="0" w:line="360" w:lineRule="auto"/>
        <w:ind w:left="0" w:leftChars="0" w:firstLine="643"/>
        <w:jc w:val="both"/>
        <w:textAlignment w:val="auto"/>
        <w:rPr>
          <w:rFonts w:hint="eastAsia" w:ascii="黑体" w:hAnsi="黑体" w:eastAsia="黑体" w:cs="黑体"/>
          <w:b/>
          <w:bCs/>
          <w:color w:val="auto"/>
          <w:sz w:val="24"/>
          <w:szCs w:val="24"/>
          <w:highlight w:val="none"/>
        </w:rPr>
      </w:pPr>
      <w:bookmarkStart w:id="15" w:name="_Toc68364673"/>
      <w:r>
        <w:rPr>
          <w:rFonts w:hint="eastAsia" w:ascii="黑体" w:hAnsi="黑体" w:eastAsia="黑体" w:cs="黑体"/>
          <w:b/>
          <w:bCs/>
          <w:color w:val="auto"/>
          <w:sz w:val="24"/>
          <w:szCs w:val="24"/>
          <w:highlight w:val="none"/>
        </w:rPr>
        <w:t>六、主要经验及做法、存在的问题及原因分析</w:t>
      </w:r>
    </w:p>
    <w:p w14:paraId="0A605050">
      <w:pPr>
        <w:pStyle w:val="2"/>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auto"/>
        <w:ind w:left="560" w:left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（一）主要经验及做法</w:t>
      </w:r>
      <w:bookmarkEnd w:id="15"/>
      <w:bookmarkStart w:id="16" w:name="_Toc68364675"/>
    </w:p>
    <w:p w14:paraId="66382802">
      <w:pPr>
        <w:pStyle w:val="45"/>
        <w:pageBreakBefore w:val="0"/>
        <w:widowControl w:val="0"/>
        <w:shd w:val="clear" w:color="auto" w:fill="auto"/>
        <w:kinsoku/>
        <w:wordWrap/>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无</w:t>
      </w:r>
    </w:p>
    <w:p w14:paraId="4C1FF5D2">
      <w:pPr>
        <w:pStyle w:val="2"/>
        <w:pageBreakBefore w:val="0"/>
        <w:widowControl w:val="0"/>
        <w:shd w:val="clear" w:color="auto" w:fill="auto"/>
        <w:kinsoku/>
        <w:wordWrap/>
        <w:overflowPunct/>
        <w:topLinePunct w:val="0"/>
        <w:autoSpaceDE/>
        <w:autoSpaceDN/>
        <w:bidi w:val="0"/>
        <w:adjustRightInd/>
        <w:snapToGrid/>
        <w:spacing w:before="0" w:after="0" w:line="360" w:lineRule="auto"/>
        <w:ind w:left="0" w:leftChars="0" w:firstLine="643"/>
        <w:jc w:val="both"/>
        <w:textAlignment w:val="auto"/>
        <w:rPr>
          <w:color w:val="auto"/>
          <w:highlight w:val="none"/>
        </w:rPr>
      </w:pPr>
      <w:r>
        <w:rPr>
          <w:rFonts w:hint="eastAsia" w:ascii="黑体" w:hAnsi="黑体" w:eastAsia="黑体" w:cs="黑体"/>
          <w:color w:val="auto"/>
          <w:sz w:val="24"/>
          <w:szCs w:val="24"/>
          <w:highlight w:val="none"/>
        </w:rPr>
        <w:t>七、有关建议</w:t>
      </w:r>
      <w:bookmarkEnd w:id="16"/>
      <w:bookmarkStart w:id="17" w:name="_Toc68364676"/>
    </w:p>
    <w:p w14:paraId="603CB7D4">
      <w:pPr>
        <w:pStyle w:val="45"/>
        <w:pageBreakBefore w:val="0"/>
        <w:widowControl w:val="0"/>
        <w:shd w:val="clear" w:color="auto" w:fill="auto"/>
        <w:kinsoku/>
        <w:wordWrap/>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无</w:t>
      </w:r>
    </w:p>
    <w:p w14:paraId="00EDBC73">
      <w:pPr>
        <w:pStyle w:val="2"/>
        <w:pageBreakBefore w:val="0"/>
        <w:widowControl w:val="0"/>
        <w:shd w:val="clear" w:color="auto" w:fill="auto"/>
        <w:kinsoku/>
        <w:wordWrap/>
        <w:overflowPunct/>
        <w:topLinePunct w:val="0"/>
        <w:autoSpaceDE/>
        <w:autoSpaceDN/>
        <w:bidi w:val="0"/>
        <w:adjustRightInd/>
        <w:snapToGrid/>
        <w:spacing w:before="0" w:after="0" w:line="360" w:lineRule="auto"/>
        <w:ind w:left="0" w:leftChars="0" w:firstLine="643"/>
        <w:jc w:val="both"/>
        <w:textAlignment w:val="auto"/>
        <w:rPr>
          <w:rFonts w:hint="eastAsia" w:ascii="黑体" w:hAnsi="黑体" w:eastAsia="黑体" w:cs="黑体"/>
          <w:b/>
          <w:bCs/>
          <w:color w:val="auto"/>
          <w:sz w:val="24"/>
          <w:szCs w:val="24"/>
          <w:highlight w:val="none"/>
        </w:rPr>
      </w:pPr>
      <w:r>
        <w:rPr>
          <w:rFonts w:hint="eastAsia" w:ascii="黑体" w:hAnsi="黑体" w:eastAsia="黑体" w:cs="黑体"/>
          <w:b/>
          <w:bCs/>
          <w:color w:val="auto"/>
          <w:sz w:val="24"/>
          <w:szCs w:val="24"/>
          <w:highlight w:val="none"/>
        </w:rPr>
        <w:t>八、其他需要说明的问题</w:t>
      </w:r>
      <w:bookmarkEnd w:id="17"/>
    </w:p>
    <w:p w14:paraId="2DAF4430">
      <w:pPr>
        <w:pStyle w:val="45"/>
        <w:pageBreakBefore w:val="0"/>
        <w:widowControl w:val="0"/>
        <w:shd w:val="clear" w:color="auto" w:fill="auto"/>
        <w:kinsoku/>
        <w:wordWrap/>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我单位对上述项目支出绩效评价报告内反映内容的真实性、完整性负责，愿接受上级部门及社会公众监督。</w:t>
      </w:r>
    </w:p>
    <w:p w14:paraId="7B113A5C">
      <w:pPr>
        <w:pStyle w:val="45"/>
        <w:pageBreakBefore w:val="0"/>
        <w:widowControl w:val="0"/>
        <w:shd w:val="clear" w:color="auto" w:fill="auto"/>
        <w:kinsoku/>
        <w:wordWrap/>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sz w:val="24"/>
          <w:szCs w:val="24"/>
          <w:highlight w:val="none"/>
          <w:lang w:val="en-US" w:eastAsia="zh-CN"/>
        </w:rPr>
      </w:pPr>
    </w:p>
    <w:p w14:paraId="6FD1EA22">
      <w:pPr>
        <w:pStyle w:val="45"/>
        <w:pageBreakBefore w:val="0"/>
        <w:widowControl w:val="0"/>
        <w:shd w:val="clear" w:color="auto" w:fill="auto"/>
        <w:kinsoku/>
        <w:wordWrap/>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附件1：关于提前下达2024年中央农业生产发展资金预算的通知项目绩效评价指标体系</w:t>
      </w:r>
    </w:p>
    <w:p w14:paraId="079D2BF7">
      <w:pPr>
        <w:pStyle w:val="45"/>
        <w:pageBreakBefore w:val="0"/>
        <w:widowControl w:val="0"/>
        <w:shd w:val="clear" w:color="auto" w:fill="auto"/>
        <w:kinsoku/>
        <w:wordWrap/>
        <w:topLinePunct w:val="0"/>
        <w:autoSpaceDE/>
        <w:autoSpaceDN/>
        <w:bidi w:val="0"/>
        <w:adjustRightInd/>
        <w:snapToGrid/>
        <w:spacing w:line="360" w:lineRule="auto"/>
        <w:ind w:left="0" w:leftChars="0" w:firstLine="640"/>
        <w:jc w:val="both"/>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附件2：关于提前下达2024年中央农业生产发展资金预算的通知项目综合得分表</w:t>
      </w:r>
    </w:p>
    <w:p w14:paraId="455E25E5">
      <w:pPr>
        <w:pStyle w:val="45"/>
        <w:pageBreakBefore w:val="0"/>
        <w:widowControl w:val="0"/>
        <w:shd w:val="clear" w:color="auto" w:fill="auto"/>
        <w:kinsoku/>
        <w:wordWrap/>
        <w:topLinePunct w:val="0"/>
        <w:autoSpaceDE/>
        <w:autoSpaceDN/>
        <w:bidi w:val="0"/>
        <w:adjustRightInd/>
        <w:snapToGrid/>
        <w:spacing w:line="360" w:lineRule="auto"/>
        <w:ind w:left="0" w:leftChars="0" w:firstLine="640"/>
        <w:jc w:val="both"/>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附件3：满意度调查问分析情况</w:t>
      </w:r>
    </w:p>
    <w:p w14:paraId="387CA8EE">
      <w:pPr>
        <w:pStyle w:val="45"/>
        <w:pageBreakBefore w:val="0"/>
        <w:widowControl w:val="0"/>
        <w:shd w:val="clear" w:color="auto" w:fill="auto"/>
        <w:kinsoku/>
        <w:wordWrap/>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sz w:val="24"/>
          <w:szCs w:val="24"/>
          <w:highlight w:val="none"/>
          <w:lang w:val="en-US" w:eastAsia="zh-CN"/>
        </w:rPr>
      </w:pPr>
    </w:p>
    <w:p w14:paraId="24E688E4">
      <w:pPr>
        <w:pStyle w:val="10"/>
        <w:shd w:val="clear" w:color="auto" w:fill="auto"/>
        <w:ind w:left="0" w:leftChars="0" w:firstLine="0" w:firstLineChars="0"/>
        <w:jc w:val="both"/>
        <w:rPr>
          <w:rFonts w:hint="eastAsia" w:ascii="宋体" w:hAnsi="宋体" w:eastAsia="宋体" w:cs="宋体"/>
          <w:color w:val="auto"/>
          <w:sz w:val="24"/>
          <w:szCs w:val="24"/>
          <w:highlight w:val="none"/>
        </w:rPr>
      </w:pPr>
    </w:p>
    <w:p w14:paraId="0D5BE020">
      <w:pPr>
        <w:pStyle w:val="10"/>
        <w:shd w:val="clear" w:color="auto" w:fill="auto"/>
        <w:ind w:left="0" w:leftChars="0" w:firstLine="0" w:firstLineChars="0"/>
        <w:jc w:val="both"/>
        <w:rPr>
          <w:rFonts w:hint="eastAsia" w:ascii="宋体" w:hAnsi="宋体" w:eastAsia="宋体" w:cs="宋体"/>
          <w:color w:val="auto"/>
          <w:sz w:val="24"/>
          <w:szCs w:val="24"/>
          <w:highlight w:val="none"/>
        </w:rPr>
        <w:sectPr>
          <w:footerReference r:id="rId7" w:type="default"/>
          <w:pgSz w:w="11906" w:h="16838"/>
          <w:pgMar w:top="1985" w:right="1531" w:bottom="1701" w:left="1531" w:header="851" w:footer="992" w:gutter="0"/>
          <w:pgNumType w:fmt="decimal" w:start="1"/>
          <w:cols w:space="720" w:num="1"/>
          <w:docGrid w:type="linesAndChars" w:linePitch="386" w:charSpace="0"/>
        </w:sectPr>
      </w:pPr>
    </w:p>
    <w:tbl>
      <w:tblPr>
        <w:tblStyle w:val="23"/>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22"/>
        <w:gridCol w:w="500"/>
        <w:gridCol w:w="585"/>
        <w:gridCol w:w="553"/>
        <w:gridCol w:w="730"/>
        <w:gridCol w:w="553"/>
        <w:gridCol w:w="2875"/>
        <w:gridCol w:w="1118"/>
        <w:gridCol w:w="4272"/>
        <w:gridCol w:w="952"/>
        <w:gridCol w:w="508"/>
      </w:tblGrid>
      <w:tr w14:paraId="2CA895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13368" w:type="dxa"/>
            <w:gridSpan w:val="11"/>
            <w:tcBorders>
              <w:top w:val="nil"/>
              <w:left w:val="nil"/>
              <w:bottom w:val="nil"/>
              <w:right w:val="nil"/>
            </w:tcBorders>
            <w:noWrap/>
            <w:vAlign w:val="center"/>
          </w:tcPr>
          <w:p w14:paraId="2AA8BA62">
            <w:pPr>
              <w:keepNext w:val="0"/>
              <w:keepLines w:val="0"/>
              <w:pageBreakBefore w:val="0"/>
              <w:widowControl/>
              <w:shd w:val="clear" w:color="auto" w:fill="auto"/>
              <w:kinsoku/>
              <w:wordWrap/>
              <w:overflowPunct/>
              <w:topLinePunct w:val="0"/>
              <w:autoSpaceDE/>
              <w:autoSpaceDN/>
              <w:bidi w:val="0"/>
              <w:adjustRightInd/>
              <w:snapToGrid/>
              <w:ind w:firstLine="0" w:firstLineChars="0"/>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附件1：</w:t>
            </w:r>
          </w:p>
        </w:tc>
      </w:tr>
      <w:tr w14:paraId="0ADAE2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3368" w:type="dxa"/>
            <w:gridSpan w:val="11"/>
            <w:tcBorders>
              <w:top w:val="nil"/>
              <w:left w:val="nil"/>
              <w:bottom w:val="nil"/>
              <w:right w:val="nil"/>
            </w:tcBorders>
            <w:noWrap w:val="0"/>
            <w:vAlign w:val="center"/>
          </w:tcPr>
          <w:p w14:paraId="0E727729">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auto"/>
                <w:sz w:val="21"/>
                <w:szCs w:val="21"/>
                <w:highlight w:val="none"/>
                <w:u w:val="none"/>
              </w:rPr>
            </w:pPr>
            <w:r>
              <w:rPr>
                <w:rFonts w:hint="eastAsia" w:ascii="宋体" w:hAnsi="宋体" w:eastAsia="宋体" w:cs="宋体"/>
                <w:b/>
                <w:bCs/>
                <w:i w:val="0"/>
                <w:iCs w:val="0"/>
                <w:color w:val="000000"/>
                <w:kern w:val="0"/>
                <w:sz w:val="24"/>
                <w:szCs w:val="24"/>
                <w:highlight w:val="none"/>
                <w:u w:val="none"/>
                <w:lang w:val="en-US" w:eastAsia="zh-CN"/>
              </w:rPr>
              <w:t>关于提前下达2024年中央农业生产发展资金预算的通知项目绩效评价指标体系综合评分表</w:t>
            </w:r>
          </w:p>
        </w:tc>
      </w:tr>
      <w:tr w14:paraId="7E3121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722" w:type="dxa"/>
            <w:tcBorders>
              <w:top w:val="single" w:color="auto" w:sz="4" w:space="0"/>
              <w:left w:val="single" w:color="auto" w:sz="4" w:space="0"/>
              <w:bottom w:val="single" w:color="auto" w:sz="4" w:space="0"/>
              <w:right w:val="single" w:color="auto" w:sz="4" w:space="0"/>
            </w:tcBorders>
            <w:noWrap w:val="0"/>
            <w:vAlign w:val="center"/>
          </w:tcPr>
          <w:p w14:paraId="005207D6">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000000"/>
                <w:kern w:val="0"/>
                <w:sz w:val="18"/>
                <w:szCs w:val="18"/>
                <w:highlight w:val="none"/>
                <w:u w:val="none"/>
                <w:lang w:val="en-US" w:eastAsia="zh-CN"/>
              </w:rPr>
            </w:pPr>
            <w:r>
              <w:rPr>
                <w:rFonts w:hint="eastAsia" w:ascii="宋体" w:hAnsi="宋体" w:eastAsia="宋体" w:cs="宋体"/>
                <w:b/>
                <w:bCs/>
                <w:i w:val="0"/>
                <w:iCs w:val="0"/>
                <w:color w:val="000000"/>
                <w:kern w:val="0"/>
                <w:sz w:val="18"/>
                <w:szCs w:val="18"/>
                <w:highlight w:val="none"/>
                <w:u w:val="none"/>
                <w:lang w:val="en-US" w:eastAsia="zh-CN"/>
              </w:rPr>
              <w:t>一级指标</w:t>
            </w:r>
          </w:p>
        </w:tc>
        <w:tc>
          <w:tcPr>
            <w:tcW w:w="500" w:type="dxa"/>
            <w:tcBorders>
              <w:top w:val="single" w:color="auto" w:sz="4" w:space="0"/>
              <w:left w:val="single" w:color="auto" w:sz="4" w:space="0"/>
              <w:bottom w:val="single" w:color="auto" w:sz="4" w:space="0"/>
              <w:right w:val="single" w:color="auto" w:sz="4" w:space="0"/>
            </w:tcBorders>
            <w:noWrap w:val="0"/>
            <w:vAlign w:val="center"/>
          </w:tcPr>
          <w:p w14:paraId="736C351E">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000000"/>
                <w:kern w:val="0"/>
                <w:sz w:val="18"/>
                <w:szCs w:val="18"/>
                <w:highlight w:val="none"/>
                <w:u w:val="none"/>
                <w:lang w:val="en-US" w:eastAsia="zh-CN"/>
              </w:rPr>
            </w:pPr>
            <w:r>
              <w:rPr>
                <w:rFonts w:hint="eastAsia" w:ascii="宋体" w:hAnsi="宋体" w:eastAsia="宋体" w:cs="宋体"/>
                <w:b/>
                <w:bCs/>
                <w:i w:val="0"/>
                <w:iCs w:val="0"/>
                <w:color w:val="000000"/>
                <w:kern w:val="0"/>
                <w:sz w:val="18"/>
                <w:szCs w:val="18"/>
                <w:highlight w:val="none"/>
                <w:u w:val="none"/>
                <w:lang w:val="en-US" w:eastAsia="zh-CN"/>
              </w:rPr>
              <w:t>分值</w:t>
            </w:r>
          </w:p>
        </w:tc>
        <w:tc>
          <w:tcPr>
            <w:tcW w:w="585" w:type="dxa"/>
            <w:tcBorders>
              <w:top w:val="single" w:color="auto" w:sz="4" w:space="0"/>
              <w:left w:val="single" w:color="auto" w:sz="4" w:space="0"/>
              <w:bottom w:val="single" w:color="auto" w:sz="4" w:space="0"/>
              <w:right w:val="single" w:color="auto" w:sz="4" w:space="0"/>
            </w:tcBorders>
            <w:noWrap w:val="0"/>
            <w:vAlign w:val="center"/>
          </w:tcPr>
          <w:p w14:paraId="69BBDA23">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000000"/>
                <w:kern w:val="0"/>
                <w:sz w:val="18"/>
                <w:szCs w:val="18"/>
                <w:highlight w:val="none"/>
                <w:u w:val="none"/>
                <w:lang w:val="en-US" w:eastAsia="zh-CN"/>
              </w:rPr>
            </w:pPr>
            <w:r>
              <w:rPr>
                <w:rFonts w:hint="eastAsia" w:ascii="宋体" w:hAnsi="宋体" w:eastAsia="宋体" w:cs="宋体"/>
                <w:b/>
                <w:bCs/>
                <w:i w:val="0"/>
                <w:iCs w:val="0"/>
                <w:color w:val="000000"/>
                <w:kern w:val="0"/>
                <w:sz w:val="18"/>
                <w:szCs w:val="18"/>
                <w:highlight w:val="none"/>
                <w:u w:val="none"/>
                <w:lang w:val="en-US" w:eastAsia="zh-CN"/>
              </w:rPr>
              <w:t>二级指标</w:t>
            </w:r>
          </w:p>
        </w:tc>
        <w:tc>
          <w:tcPr>
            <w:tcW w:w="553" w:type="dxa"/>
            <w:tcBorders>
              <w:top w:val="single" w:color="auto" w:sz="4" w:space="0"/>
              <w:left w:val="single" w:color="auto" w:sz="4" w:space="0"/>
              <w:bottom w:val="single" w:color="auto" w:sz="4" w:space="0"/>
              <w:right w:val="single" w:color="auto" w:sz="4" w:space="0"/>
            </w:tcBorders>
            <w:noWrap w:val="0"/>
            <w:vAlign w:val="center"/>
          </w:tcPr>
          <w:p w14:paraId="6D6CF916">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000000"/>
                <w:kern w:val="0"/>
                <w:sz w:val="18"/>
                <w:szCs w:val="18"/>
                <w:highlight w:val="none"/>
                <w:u w:val="none"/>
                <w:lang w:val="en-US" w:eastAsia="zh-CN"/>
              </w:rPr>
            </w:pPr>
            <w:r>
              <w:rPr>
                <w:rFonts w:hint="eastAsia" w:ascii="宋体" w:hAnsi="宋体" w:eastAsia="宋体" w:cs="宋体"/>
                <w:b/>
                <w:bCs/>
                <w:i w:val="0"/>
                <w:iCs w:val="0"/>
                <w:color w:val="000000"/>
                <w:kern w:val="0"/>
                <w:sz w:val="18"/>
                <w:szCs w:val="18"/>
                <w:highlight w:val="none"/>
                <w:u w:val="none"/>
                <w:lang w:val="en-US" w:eastAsia="zh-CN"/>
              </w:rPr>
              <w:t>分值</w:t>
            </w:r>
          </w:p>
        </w:tc>
        <w:tc>
          <w:tcPr>
            <w:tcW w:w="730" w:type="dxa"/>
            <w:tcBorders>
              <w:top w:val="single" w:color="auto" w:sz="4" w:space="0"/>
              <w:left w:val="single" w:color="auto" w:sz="4" w:space="0"/>
              <w:bottom w:val="single" w:color="auto" w:sz="4" w:space="0"/>
              <w:right w:val="single" w:color="auto" w:sz="4" w:space="0"/>
            </w:tcBorders>
            <w:noWrap w:val="0"/>
            <w:vAlign w:val="center"/>
          </w:tcPr>
          <w:p w14:paraId="604C1724">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000000"/>
                <w:kern w:val="0"/>
                <w:sz w:val="18"/>
                <w:szCs w:val="18"/>
                <w:highlight w:val="none"/>
                <w:u w:val="none"/>
                <w:lang w:val="en-US" w:eastAsia="zh-CN"/>
              </w:rPr>
            </w:pPr>
            <w:r>
              <w:rPr>
                <w:rFonts w:hint="eastAsia" w:ascii="宋体" w:hAnsi="宋体" w:eastAsia="宋体" w:cs="宋体"/>
                <w:b/>
                <w:bCs/>
                <w:i w:val="0"/>
                <w:iCs w:val="0"/>
                <w:color w:val="000000"/>
                <w:kern w:val="0"/>
                <w:sz w:val="18"/>
                <w:szCs w:val="18"/>
                <w:highlight w:val="none"/>
                <w:u w:val="none"/>
                <w:lang w:val="en-US" w:eastAsia="zh-CN"/>
              </w:rPr>
              <w:t>三级指标</w:t>
            </w:r>
          </w:p>
        </w:tc>
        <w:tc>
          <w:tcPr>
            <w:tcW w:w="553" w:type="dxa"/>
            <w:tcBorders>
              <w:top w:val="single" w:color="auto" w:sz="4" w:space="0"/>
              <w:left w:val="single" w:color="auto" w:sz="4" w:space="0"/>
              <w:bottom w:val="single" w:color="auto" w:sz="4" w:space="0"/>
              <w:right w:val="single" w:color="auto" w:sz="4" w:space="0"/>
            </w:tcBorders>
            <w:noWrap w:val="0"/>
            <w:vAlign w:val="center"/>
          </w:tcPr>
          <w:p w14:paraId="3CC3FBCD">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000000"/>
                <w:kern w:val="0"/>
                <w:sz w:val="18"/>
                <w:szCs w:val="18"/>
                <w:highlight w:val="none"/>
                <w:u w:val="none"/>
                <w:lang w:val="en-US" w:eastAsia="zh-CN"/>
              </w:rPr>
            </w:pPr>
            <w:r>
              <w:rPr>
                <w:rFonts w:hint="eastAsia" w:ascii="宋体" w:hAnsi="宋体" w:eastAsia="宋体" w:cs="宋体"/>
                <w:b/>
                <w:bCs/>
                <w:i w:val="0"/>
                <w:iCs w:val="0"/>
                <w:color w:val="000000"/>
                <w:kern w:val="0"/>
                <w:sz w:val="18"/>
                <w:szCs w:val="18"/>
                <w:highlight w:val="none"/>
                <w:u w:val="none"/>
                <w:lang w:val="en-US" w:eastAsia="zh-CN"/>
              </w:rPr>
              <w:t>分值</w:t>
            </w:r>
          </w:p>
        </w:tc>
        <w:tc>
          <w:tcPr>
            <w:tcW w:w="2875" w:type="dxa"/>
            <w:tcBorders>
              <w:top w:val="single" w:color="auto" w:sz="4" w:space="0"/>
              <w:left w:val="single" w:color="auto" w:sz="4" w:space="0"/>
              <w:bottom w:val="single" w:color="auto" w:sz="4" w:space="0"/>
              <w:right w:val="single" w:color="auto" w:sz="4" w:space="0"/>
            </w:tcBorders>
            <w:noWrap w:val="0"/>
            <w:vAlign w:val="center"/>
          </w:tcPr>
          <w:p w14:paraId="10BB0880">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000000"/>
                <w:kern w:val="0"/>
                <w:sz w:val="18"/>
                <w:szCs w:val="18"/>
                <w:highlight w:val="none"/>
                <w:u w:val="none"/>
                <w:lang w:val="en-US" w:eastAsia="zh-CN"/>
              </w:rPr>
            </w:pPr>
            <w:r>
              <w:rPr>
                <w:rFonts w:hint="eastAsia" w:ascii="宋体" w:hAnsi="宋体" w:eastAsia="宋体" w:cs="宋体"/>
                <w:b/>
                <w:bCs/>
                <w:i w:val="0"/>
                <w:iCs w:val="0"/>
                <w:color w:val="000000"/>
                <w:kern w:val="0"/>
                <w:sz w:val="18"/>
                <w:szCs w:val="18"/>
                <w:highlight w:val="none"/>
                <w:u w:val="none"/>
                <w:lang w:val="en-US" w:eastAsia="zh-CN"/>
              </w:rPr>
              <w:t>指标解释</w:t>
            </w:r>
          </w:p>
        </w:tc>
        <w:tc>
          <w:tcPr>
            <w:tcW w:w="1118" w:type="dxa"/>
            <w:tcBorders>
              <w:top w:val="single" w:color="auto" w:sz="4" w:space="0"/>
              <w:left w:val="single" w:color="auto" w:sz="4" w:space="0"/>
              <w:bottom w:val="single" w:color="auto" w:sz="4" w:space="0"/>
              <w:right w:val="single" w:color="auto" w:sz="4" w:space="0"/>
            </w:tcBorders>
            <w:noWrap w:val="0"/>
            <w:vAlign w:val="center"/>
          </w:tcPr>
          <w:p w14:paraId="69A71C15">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000000"/>
                <w:kern w:val="0"/>
                <w:sz w:val="18"/>
                <w:szCs w:val="18"/>
                <w:highlight w:val="none"/>
                <w:u w:val="none"/>
                <w:lang w:val="en-US" w:eastAsia="zh-CN"/>
              </w:rPr>
            </w:pPr>
            <w:r>
              <w:rPr>
                <w:rFonts w:hint="eastAsia" w:ascii="宋体" w:hAnsi="宋体" w:eastAsia="宋体" w:cs="宋体"/>
                <w:b/>
                <w:bCs/>
                <w:i w:val="0"/>
                <w:iCs w:val="0"/>
                <w:color w:val="000000"/>
                <w:kern w:val="0"/>
                <w:sz w:val="18"/>
                <w:szCs w:val="18"/>
                <w:highlight w:val="none"/>
                <w:u w:val="none"/>
                <w:lang w:val="en-US" w:eastAsia="zh-CN"/>
              </w:rPr>
              <w:t>标杆值</w:t>
            </w:r>
          </w:p>
        </w:tc>
        <w:tc>
          <w:tcPr>
            <w:tcW w:w="4272" w:type="dxa"/>
            <w:tcBorders>
              <w:top w:val="single" w:color="auto" w:sz="4" w:space="0"/>
              <w:left w:val="single" w:color="auto" w:sz="4" w:space="0"/>
              <w:bottom w:val="single" w:color="auto" w:sz="4" w:space="0"/>
              <w:right w:val="single" w:color="auto" w:sz="4" w:space="0"/>
            </w:tcBorders>
            <w:noWrap w:val="0"/>
            <w:vAlign w:val="center"/>
          </w:tcPr>
          <w:p w14:paraId="7FC5751F">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000000"/>
                <w:kern w:val="0"/>
                <w:sz w:val="18"/>
                <w:szCs w:val="18"/>
                <w:highlight w:val="none"/>
                <w:u w:val="none"/>
                <w:lang w:val="en-US" w:eastAsia="zh-CN"/>
              </w:rPr>
            </w:pPr>
            <w:r>
              <w:rPr>
                <w:rFonts w:hint="eastAsia" w:ascii="宋体" w:hAnsi="宋体" w:eastAsia="宋体" w:cs="宋体"/>
                <w:b/>
                <w:bCs/>
                <w:i w:val="0"/>
                <w:iCs w:val="0"/>
                <w:color w:val="000000"/>
                <w:kern w:val="0"/>
                <w:sz w:val="18"/>
                <w:szCs w:val="18"/>
                <w:highlight w:val="none"/>
                <w:u w:val="none"/>
                <w:lang w:val="en-US" w:eastAsia="zh-CN"/>
              </w:rPr>
              <w:t>评分标准</w:t>
            </w:r>
          </w:p>
        </w:tc>
        <w:tc>
          <w:tcPr>
            <w:tcW w:w="952" w:type="dxa"/>
            <w:tcBorders>
              <w:top w:val="single" w:color="auto" w:sz="4" w:space="0"/>
              <w:left w:val="single" w:color="auto" w:sz="4" w:space="0"/>
              <w:bottom w:val="single" w:color="auto" w:sz="4" w:space="0"/>
              <w:right w:val="single" w:color="auto" w:sz="4" w:space="0"/>
            </w:tcBorders>
            <w:noWrap w:val="0"/>
            <w:vAlign w:val="center"/>
          </w:tcPr>
          <w:p w14:paraId="1F57113B">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000000"/>
                <w:kern w:val="0"/>
                <w:sz w:val="18"/>
                <w:szCs w:val="18"/>
                <w:highlight w:val="none"/>
                <w:u w:val="none"/>
                <w:lang w:val="en-US" w:eastAsia="zh-CN"/>
              </w:rPr>
            </w:pPr>
            <w:r>
              <w:rPr>
                <w:rFonts w:hint="eastAsia" w:ascii="宋体" w:hAnsi="宋体" w:eastAsia="宋体" w:cs="宋体"/>
                <w:b/>
                <w:bCs/>
                <w:i w:val="0"/>
                <w:iCs w:val="0"/>
                <w:color w:val="000000"/>
                <w:kern w:val="0"/>
                <w:sz w:val="18"/>
                <w:szCs w:val="18"/>
                <w:highlight w:val="none"/>
                <w:u w:val="none"/>
                <w:lang w:val="en-US" w:eastAsia="zh-CN"/>
              </w:rPr>
              <w:t>完成值</w:t>
            </w:r>
          </w:p>
        </w:tc>
        <w:tc>
          <w:tcPr>
            <w:tcW w:w="508" w:type="dxa"/>
            <w:tcBorders>
              <w:top w:val="single" w:color="auto" w:sz="4" w:space="0"/>
              <w:left w:val="single" w:color="auto" w:sz="4" w:space="0"/>
              <w:bottom w:val="single" w:color="auto" w:sz="4" w:space="0"/>
              <w:right w:val="single" w:color="auto" w:sz="4" w:space="0"/>
            </w:tcBorders>
            <w:noWrap w:val="0"/>
            <w:vAlign w:val="center"/>
          </w:tcPr>
          <w:p w14:paraId="69EBF9BF">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000000"/>
                <w:kern w:val="0"/>
                <w:sz w:val="18"/>
                <w:szCs w:val="18"/>
                <w:highlight w:val="none"/>
                <w:u w:val="none"/>
                <w:lang w:val="en-US" w:eastAsia="zh-CN"/>
              </w:rPr>
            </w:pPr>
            <w:r>
              <w:rPr>
                <w:rFonts w:hint="eastAsia" w:ascii="宋体" w:hAnsi="宋体" w:eastAsia="宋体" w:cs="宋体"/>
                <w:b/>
                <w:bCs/>
                <w:i w:val="0"/>
                <w:iCs w:val="0"/>
                <w:color w:val="000000"/>
                <w:kern w:val="0"/>
                <w:sz w:val="18"/>
                <w:szCs w:val="18"/>
                <w:highlight w:val="none"/>
                <w:u w:val="none"/>
                <w:lang w:val="en-US" w:eastAsia="zh-CN"/>
              </w:rPr>
              <w:t>得分</w:t>
            </w:r>
          </w:p>
        </w:tc>
      </w:tr>
      <w:tr w14:paraId="6F8558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8" w:hRule="atLeast"/>
        </w:trPr>
        <w:tc>
          <w:tcPr>
            <w:tcW w:w="722" w:type="dxa"/>
            <w:vMerge w:val="restart"/>
            <w:tcBorders>
              <w:top w:val="single" w:color="auto" w:sz="4" w:space="0"/>
              <w:left w:val="single" w:color="auto" w:sz="4" w:space="0"/>
              <w:bottom w:val="single" w:color="auto" w:sz="4" w:space="0"/>
              <w:right w:val="single" w:color="auto" w:sz="4" w:space="0"/>
            </w:tcBorders>
            <w:noWrap w:val="0"/>
            <w:vAlign w:val="center"/>
          </w:tcPr>
          <w:p w14:paraId="7B5B4B79">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项目决策</w:t>
            </w:r>
          </w:p>
        </w:tc>
        <w:tc>
          <w:tcPr>
            <w:tcW w:w="500" w:type="dxa"/>
            <w:vMerge w:val="restart"/>
            <w:tcBorders>
              <w:top w:val="single" w:color="auto" w:sz="4" w:space="0"/>
              <w:left w:val="single" w:color="auto" w:sz="4" w:space="0"/>
              <w:bottom w:val="single" w:color="auto" w:sz="4" w:space="0"/>
              <w:right w:val="single" w:color="auto" w:sz="4" w:space="0"/>
            </w:tcBorders>
            <w:noWrap w:val="0"/>
            <w:vAlign w:val="center"/>
          </w:tcPr>
          <w:p w14:paraId="0C0114F6">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23</w:t>
            </w:r>
          </w:p>
        </w:tc>
        <w:tc>
          <w:tcPr>
            <w:tcW w:w="585" w:type="dxa"/>
            <w:vMerge w:val="restart"/>
            <w:tcBorders>
              <w:top w:val="single" w:color="auto" w:sz="4" w:space="0"/>
              <w:left w:val="single" w:color="auto" w:sz="4" w:space="0"/>
              <w:bottom w:val="single" w:color="auto" w:sz="4" w:space="0"/>
              <w:right w:val="single" w:color="auto" w:sz="4" w:space="0"/>
            </w:tcBorders>
            <w:noWrap w:val="0"/>
            <w:vAlign w:val="center"/>
          </w:tcPr>
          <w:p w14:paraId="73EB0BAA">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项目立项</w:t>
            </w:r>
          </w:p>
        </w:tc>
        <w:tc>
          <w:tcPr>
            <w:tcW w:w="553" w:type="dxa"/>
            <w:vMerge w:val="restart"/>
            <w:tcBorders>
              <w:top w:val="single" w:color="auto" w:sz="4" w:space="0"/>
              <w:left w:val="single" w:color="auto" w:sz="4" w:space="0"/>
              <w:bottom w:val="single" w:color="auto" w:sz="4" w:space="0"/>
              <w:right w:val="single" w:color="auto" w:sz="4" w:space="0"/>
            </w:tcBorders>
            <w:noWrap w:val="0"/>
            <w:vAlign w:val="center"/>
          </w:tcPr>
          <w:p w14:paraId="0FFFEE36">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5</w:t>
            </w:r>
          </w:p>
        </w:tc>
        <w:tc>
          <w:tcPr>
            <w:tcW w:w="730" w:type="dxa"/>
            <w:tcBorders>
              <w:top w:val="single" w:color="auto" w:sz="4" w:space="0"/>
              <w:left w:val="single" w:color="auto" w:sz="4" w:space="0"/>
              <w:bottom w:val="single" w:color="auto" w:sz="4" w:space="0"/>
              <w:right w:val="single" w:color="auto" w:sz="4" w:space="0"/>
            </w:tcBorders>
            <w:noWrap w:val="0"/>
            <w:vAlign w:val="center"/>
          </w:tcPr>
          <w:p w14:paraId="167E3EBC">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立项依据充分性</w:t>
            </w:r>
          </w:p>
        </w:tc>
        <w:tc>
          <w:tcPr>
            <w:tcW w:w="553" w:type="dxa"/>
            <w:tcBorders>
              <w:top w:val="single" w:color="auto" w:sz="4" w:space="0"/>
              <w:left w:val="single" w:color="auto" w:sz="4" w:space="0"/>
              <w:bottom w:val="single" w:color="auto" w:sz="4" w:space="0"/>
              <w:right w:val="single" w:color="auto" w:sz="4" w:space="0"/>
            </w:tcBorders>
            <w:noWrap w:val="0"/>
            <w:vAlign w:val="center"/>
          </w:tcPr>
          <w:p w14:paraId="459AE454">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2</w:t>
            </w:r>
          </w:p>
        </w:tc>
        <w:tc>
          <w:tcPr>
            <w:tcW w:w="2875" w:type="dxa"/>
            <w:tcBorders>
              <w:top w:val="single" w:color="auto" w:sz="4" w:space="0"/>
              <w:left w:val="single" w:color="auto" w:sz="4" w:space="0"/>
              <w:bottom w:val="single" w:color="auto" w:sz="4" w:space="0"/>
              <w:right w:val="single" w:color="auto" w:sz="4" w:space="0"/>
            </w:tcBorders>
            <w:noWrap w:val="0"/>
            <w:vAlign w:val="center"/>
          </w:tcPr>
          <w:p w14:paraId="157D7F56">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项目立项是否符合法律法规、相关政策、发展规划以及部门职责，用以反映和考核项目立项依据情况。</w:t>
            </w:r>
          </w:p>
        </w:tc>
        <w:tc>
          <w:tcPr>
            <w:tcW w:w="1118" w:type="dxa"/>
            <w:tcBorders>
              <w:top w:val="single" w:color="auto" w:sz="4" w:space="0"/>
              <w:left w:val="single" w:color="auto" w:sz="4" w:space="0"/>
              <w:bottom w:val="single" w:color="auto" w:sz="4" w:space="0"/>
              <w:right w:val="single" w:color="auto" w:sz="4" w:space="0"/>
            </w:tcBorders>
            <w:noWrap w:val="0"/>
            <w:vAlign w:val="center"/>
          </w:tcPr>
          <w:p w14:paraId="21556BB3">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充分</w:t>
            </w:r>
          </w:p>
        </w:tc>
        <w:tc>
          <w:tcPr>
            <w:tcW w:w="4272" w:type="dxa"/>
            <w:tcBorders>
              <w:top w:val="single" w:color="auto" w:sz="4" w:space="0"/>
              <w:left w:val="single" w:color="auto" w:sz="4" w:space="0"/>
              <w:bottom w:val="single" w:color="auto" w:sz="4" w:space="0"/>
              <w:right w:val="single" w:color="auto" w:sz="4" w:space="0"/>
            </w:tcBorders>
            <w:noWrap w:val="0"/>
            <w:vAlign w:val="center"/>
          </w:tcPr>
          <w:p w14:paraId="498F9F35">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①项目立项是否符合国家法律法规、国民经济发展规划和相关政策；</w:t>
            </w:r>
          </w:p>
          <w:p w14:paraId="372D0330">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②项目立项是否符合行业发展规划和政策要求；</w:t>
            </w:r>
          </w:p>
          <w:p w14:paraId="6BCEE318">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③项目立项是否与部门职责范围相符，属于部门履职所需；</w:t>
            </w:r>
          </w:p>
          <w:p w14:paraId="2E09F594">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④项目是否属于公共财政支持范围，是否符合中央、地方事权支出责任划分原则；</w:t>
            </w:r>
          </w:p>
          <w:p w14:paraId="02580996">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⑤项目是否与相关部门同类项目或部门内部相关项目重复。</w:t>
            </w:r>
          </w:p>
          <w:p w14:paraId="5ECEDBC4">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以上每条要素占权重分的20%，每有一条不符合，扣除对应权重分，扣完为止。</w:t>
            </w:r>
          </w:p>
        </w:tc>
        <w:tc>
          <w:tcPr>
            <w:tcW w:w="952" w:type="dxa"/>
            <w:tcBorders>
              <w:top w:val="single" w:color="auto" w:sz="4" w:space="0"/>
              <w:left w:val="single" w:color="auto" w:sz="4" w:space="0"/>
              <w:bottom w:val="single" w:color="auto" w:sz="4" w:space="0"/>
              <w:right w:val="single" w:color="auto" w:sz="4" w:space="0"/>
            </w:tcBorders>
            <w:noWrap w:val="0"/>
            <w:vAlign w:val="center"/>
          </w:tcPr>
          <w:p w14:paraId="3BEC8740">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充分</w:t>
            </w:r>
          </w:p>
        </w:tc>
        <w:tc>
          <w:tcPr>
            <w:tcW w:w="508" w:type="dxa"/>
            <w:tcBorders>
              <w:top w:val="single" w:color="auto" w:sz="4" w:space="0"/>
              <w:left w:val="single" w:color="auto" w:sz="4" w:space="0"/>
              <w:bottom w:val="single" w:color="auto" w:sz="4" w:space="0"/>
              <w:right w:val="single" w:color="auto" w:sz="4" w:space="0"/>
            </w:tcBorders>
            <w:noWrap w:val="0"/>
            <w:vAlign w:val="center"/>
          </w:tcPr>
          <w:p w14:paraId="0D8C913F">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2</w:t>
            </w:r>
          </w:p>
        </w:tc>
      </w:tr>
      <w:tr w14:paraId="391B98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722" w:type="dxa"/>
            <w:vMerge w:val="continue"/>
            <w:tcBorders>
              <w:top w:val="single" w:color="auto" w:sz="4" w:space="0"/>
              <w:left w:val="single" w:color="auto" w:sz="4" w:space="0"/>
              <w:bottom w:val="single" w:color="auto" w:sz="4" w:space="0"/>
              <w:right w:val="single" w:color="auto" w:sz="4" w:space="0"/>
            </w:tcBorders>
            <w:noWrap w:val="0"/>
            <w:vAlign w:val="center"/>
          </w:tcPr>
          <w:p w14:paraId="018D996E">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500" w:type="dxa"/>
            <w:vMerge w:val="continue"/>
            <w:tcBorders>
              <w:top w:val="single" w:color="auto" w:sz="4" w:space="0"/>
              <w:left w:val="single" w:color="auto" w:sz="4" w:space="0"/>
              <w:bottom w:val="single" w:color="auto" w:sz="4" w:space="0"/>
              <w:right w:val="single" w:color="auto" w:sz="4" w:space="0"/>
            </w:tcBorders>
            <w:noWrap w:val="0"/>
            <w:vAlign w:val="center"/>
          </w:tcPr>
          <w:p w14:paraId="0CA038D8">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1E690E73">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553" w:type="dxa"/>
            <w:vMerge w:val="continue"/>
            <w:tcBorders>
              <w:top w:val="single" w:color="auto" w:sz="4" w:space="0"/>
              <w:left w:val="single" w:color="auto" w:sz="4" w:space="0"/>
              <w:bottom w:val="single" w:color="auto" w:sz="4" w:space="0"/>
              <w:right w:val="single" w:color="auto" w:sz="4" w:space="0"/>
            </w:tcBorders>
            <w:noWrap w:val="0"/>
            <w:vAlign w:val="center"/>
          </w:tcPr>
          <w:p w14:paraId="53A3AA75">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730" w:type="dxa"/>
            <w:tcBorders>
              <w:top w:val="single" w:color="auto" w:sz="4" w:space="0"/>
              <w:left w:val="single" w:color="auto" w:sz="4" w:space="0"/>
              <w:bottom w:val="single" w:color="auto" w:sz="4" w:space="0"/>
              <w:right w:val="single" w:color="auto" w:sz="4" w:space="0"/>
            </w:tcBorders>
            <w:noWrap w:val="0"/>
            <w:vAlign w:val="center"/>
          </w:tcPr>
          <w:p w14:paraId="56119858">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立项程序规范性</w:t>
            </w:r>
          </w:p>
        </w:tc>
        <w:tc>
          <w:tcPr>
            <w:tcW w:w="553" w:type="dxa"/>
            <w:tcBorders>
              <w:top w:val="single" w:color="auto" w:sz="4" w:space="0"/>
              <w:left w:val="single" w:color="auto" w:sz="4" w:space="0"/>
              <w:bottom w:val="single" w:color="auto" w:sz="4" w:space="0"/>
              <w:right w:val="single" w:color="auto" w:sz="4" w:space="0"/>
            </w:tcBorders>
            <w:noWrap w:val="0"/>
            <w:vAlign w:val="center"/>
          </w:tcPr>
          <w:p w14:paraId="34921685">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3</w:t>
            </w:r>
          </w:p>
        </w:tc>
        <w:tc>
          <w:tcPr>
            <w:tcW w:w="2875" w:type="dxa"/>
            <w:tcBorders>
              <w:top w:val="single" w:color="auto" w:sz="4" w:space="0"/>
              <w:left w:val="single" w:color="auto" w:sz="4" w:space="0"/>
              <w:bottom w:val="single" w:color="auto" w:sz="4" w:space="0"/>
              <w:right w:val="single" w:color="auto" w:sz="4" w:space="0"/>
            </w:tcBorders>
            <w:noWrap w:val="0"/>
            <w:vAlign w:val="center"/>
          </w:tcPr>
          <w:p w14:paraId="1B18FD69">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项目申请、设立过程是否符合相关要求，用以反映和考核项目立项的规范情况。</w:t>
            </w:r>
          </w:p>
        </w:tc>
        <w:tc>
          <w:tcPr>
            <w:tcW w:w="1118" w:type="dxa"/>
            <w:tcBorders>
              <w:top w:val="single" w:color="auto" w:sz="4" w:space="0"/>
              <w:left w:val="single" w:color="auto" w:sz="4" w:space="0"/>
              <w:bottom w:val="single" w:color="auto" w:sz="4" w:space="0"/>
              <w:right w:val="single" w:color="auto" w:sz="4" w:space="0"/>
            </w:tcBorders>
            <w:noWrap w:val="0"/>
            <w:vAlign w:val="center"/>
          </w:tcPr>
          <w:p w14:paraId="0A3F0D3D">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规范</w:t>
            </w:r>
          </w:p>
        </w:tc>
        <w:tc>
          <w:tcPr>
            <w:tcW w:w="4272" w:type="dxa"/>
            <w:tcBorders>
              <w:top w:val="single" w:color="auto" w:sz="4" w:space="0"/>
              <w:left w:val="single" w:color="auto" w:sz="4" w:space="0"/>
              <w:bottom w:val="single" w:color="auto" w:sz="4" w:space="0"/>
              <w:right w:val="single" w:color="auto" w:sz="4" w:space="0"/>
            </w:tcBorders>
            <w:noWrap w:val="0"/>
            <w:vAlign w:val="center"/>
          </w:tcPr>
          <w:p w14:paraId="7D2E9C1F">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①项目是否按照规定的程序申请设立；</w:t>
            </w:r>
          </w:p>
          <w:p w14:paraId="2A1B0F0A">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②审批文件、材料是否符合相关要求；</w:t>
            </w:r>
          </w:p>
          <w:p w14:paraId="33848498">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③事前是否已经过必要的可行性研究、专家论证、风险评估、绩效评估、集体决策。</w:t>
            </w:r>
          </w:p>
          <w:p w14:paraId="3A2400D8">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①②③齐全得权重分的100%，缺①扣权重分的40%，缺②扣权重分的30%，缺③扣权重分的30%。</w:t>
            </w:r>
          </w:p>
        </w:tc>
        <w:tc>
          <w:tcPr>
            <w:tcW w:w="952" w:type="dxa"/>
            <w:tcBorders>
              <w:top w:val="single" w:color="auto" w:sz="4" w:space="0"/>
              <w:left w:val="single" w:color="auto" w:sz="4" w:space="0"/>
              <w:bottom w:val="single" w:color="auto" w:sz="4" w:space="0"/>
              <w:right w:val="single" w:color="auto" w:sz="4" w:space="0"/>
            </w:tcBorders>
            <w:noWrap w:val="0"/>
            <w:vAlign w:val="center"/>
          </w:tcPr>
          <w:p w14:paraId="477760E8">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规范</w:t>
            </w:r>
          </w:p>
        </w:tc>
        <w:tc>
          <w:tcPr>
            <w:tcW w:w="508" w:type="dxa"/>
            <w:tcBorders>
              <w:top w:val="single" w:color="auto" w:sz="4" w:space="0"/>
              <w:left w:val="single" w:color="auto" w:sz="4" w:space="0"/>
              <w:bottom w:val="single" w:color="auto" w:sz="4" w:space="0"/>
              <w:right w:val="single" w:color="auto" w:sz="4" w:space="0"/>
            </w:tcBorders>
            <w:noWrap w:val="0"/>
            <w:vAlign w:val="center"/>
          </w:tcPr>
          <w:p w14:paraId="059CE376">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3</w:t>
            </w:r>
          </w:p>
        </w:tc>
      </w:tr>
      <w:tr w14:paraId="443E9B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722" w:type="dxa"/>
            <w:vMerge w:val="continue"/>
            <w:tcBorders>
              <w:top w:val="single" w:color="auto" w:sz="4" w:space="0"/>
              <w:left w:val="single" w:color="auto" w:sz="4" w:space="0"/>
              <w:bottom w:val="single" w:color="auto" w:sz="4" w:space="0"/>
              <w:right w:val="single" w:color="auto" w:sz="4" w:space="0"/>
            </w:tcBorders>
            <w:noWrap w:val="0"/>
            <w:vAlign w:val="center"/>
          </w:tcPr>
          <w:p w14:paraId="7517A9F2">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500" w:type="dxa"/>
            <w:vMerge w:val="continue"/>
            <w:tcBorders>
              <w:top w:val="single" w:color="auto" w:sz="4" w:space="0"/>
              <w:left w:val="single" w:color="auto" w:sz="4" w:space="0"/>
              <w:bottom w:val="single" w:color="auto" w:sz="4" w:space="0"/>
              <w:right w:val="single" w:color="auto" w:sz="4" w:space="0"/>
            </w:tcBorders>
            <w:noWrap w:val="0"/>
            <w:vAlign w:val="center"/>
          </w:tcPr>
          <w:p w14:paraId="243B154F">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585" w:type="dxa"/>
            <w:vMerge w:val="restart"/>
            <w:tcBorders>
              <w:top w:val="single" w:color="auto" w:sz="4" w:space="0"/>
              <w:left w:val="single" w:color="auto" w:sz="4" w:space="0"/>
              <w:bottom w:val="single" w:color="auto" w:sz="4" w:space="0"/>
              <w:right w:val="single" w:color="auto" w:sz="4" w:space="0"/>
            </w:tcBorders>
            <w:noWrap w:val="0"/>
            <w:vAlign w:val="center"/>
          </w:tcPr>
          <w:p w14:paraId="084F0810">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绩效目标</w:t>
            </w:r>
          </w:p>
        </w:tc>
        <w:tc>
          <w:tcPr>
            <w:tcW w:w="553" w:type="dxa"/>
            <w:vMerge w:val="restart"/>
            <w:tcBorders>
              <w:top w:val="single" w:color="auto" w:sz="4" w:space="0"/>
              <w:left w:val="single" w:color="auto" w:sz="4" w:space="0"/>
              <w:bottom w:val="single" w:color="auto" w:sz="4" w:space="0"/>
              <w:right w:val="single" w:color="auto" w:sz="4" w:space="0"/>
            </w:tcBorders>
            <w:noWrap w:val="0"/>
            <w:vAlign w:val="center"/>
          </w:tcPr>
          <w:p w14:paraId="29691962">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10</w:t>
            </w:r>
          </w:p>
        </w:tc>
        <w:tc>
          <w:tcPr>
            <w:tcW w:w="730" w:type="dxa"/>
            <w:tcBorders>
              <w:top w:val="single" w:color="auto" w:sz="4" w:space="0"/>
              <w:left w:val="single" w:color="auto" w:sz="4" w:space="0"/>
              <w:bottom w:val="single" w:color="auto" w:sz="4" w:space="0"/>
              <w:right w:val="single" w:color="auto" w:sz="4" w:space="0"/>
            </w:tcBorders>
            <w:noWrap w:val="0"/>
            <w:vAlign w:val="center"/>
          </w:tcPr>
          <w:p w14:paraId="61998B50">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绩效目标合理性</w:t>
            </w:r>
          </w:p>
        </w:tc>
        <w:tc>
          <w:tcPr>
            <w:tcW w:w="553" w:type="dxa"/>
            <w:tcBorders>
              <w:top w:val="single" w:color="auto" w:sz="4" w:space="0"/>
              <w:left w:val="single" w:color="auto" w:sz="4" w:space="0"/>
              <w:bottom w:val="single" w:color="auto" w:sz="4" w:space="0"/>
              <w:right w:val="single" w:color="auto" w:sz="4" w:space="0"/>
            </w:tcBorders>
            <w:noWrap w:val="0"/>
            <w:vAlign w:val="center"/>
          </w:tcPr>
          <w:p w14:paraId="27501058">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5</w:t>
            </w:r>
          </w:p>
        </w:tc>
        <w:tc>
          <w:tcPr>
            <w:tcW w:w="2875" w:type="dxa"/>
            <w:tcBorders>
              <w:top w:val="single" w:color="auto" w:sz="4" w:space="0"/>
              <w:left w:val="single" w:color="auto" w:sz="4" w:space="0"/>
              <w:bottom w:val="single" w:color="auto" w:sz="4" w:space="0"/>
              <w:right w:val="single" w:color="auto" w:sz="4" w:space="0"/>
            </w:tcBorders>
            <w:noWrap w:val="0"/>
            <w:vAlign w:val="center"/>
          </w:tcPr>
          <w:p w14:paraId="2B7F4D65">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项目所设定的绩效目标是否依据充分，是否符合客观实际，用以反映和考核项目绩效目标与项目实施的相符情况。</w:t>
            </w:r>
          </w:p>
        </w:tc>
        <w:tc>
          <w:tcPr>
            <w:tcW w:w="1118" w:type="dxa"/>
            <w:tcBorders>
              <w:top w:val="single" w:color="auto" w:sz="4" w:space="0"/>
              <w:left w:val="single" w:color="auto" w:sz="4" w:space="0"/>
              <w:bottom w:val="single" w:color="auto" w:sz="4" w:space="0"/>
              <w:right w:val="single" w:color="auto" w:sz="4" w:space="0"/>
            </w:tcBorders>
            <w:noWrap w:val="0"/>
            <w:vAlign w:val="center"/>
          </w:tcPr>
          <w:p w14:paraId="38ABCCE4">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合理</w:t>
            </w:r>
          </w:p>
        </w:tc>
        <w:tc>
          <w:tcPr>
            <w:tcW w:w="4272" w:type="dxa"/>
            <w:tcBorders>
              <w:top w:val="single" w:color="auto" w:sz="4" w:space="0"/>
              <w:left w:val="single" w:color="auto" w:sz="4" w:space="0"/>
              <w:bottom w:val="single" w:color="auto" w:sz="4" w:space="0"/>
              <w:right w:val="single" w:color="auto" w:sz="4" w:space="0"/>
            </w:tcBorders>
            <w:noWrap w:val="0"/>
            <w:vAlign w:val="center"/>
          </w:tcPr>
          <w:p w14:paraId="6B49E25B">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①项目是否有绩效目标；</w:t>
            </w:r>
          </w:p>
          <w:p w14:paraId="7764E981">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②项目绩效目标与实际工作内容是否具有相关性；</w:t>
            </w:r>
          </w:p>
          <w:p w14:paraId="256E85CA">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③项目预期产出效益和效果是否符合正常的业绩水平；</w:t>
            </w:r>
          </w:p>
          <w:p w14:paraId="6E951843">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④是否与预算确定的项目投资额或资金量相匹配。</w:t>
            </w:r>
          </w:p>
          <w:p w14:paraId="38D02490">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以上每条要素各占权重的25%，每有一条不符合，扣除对应的权重分，扣完为止。</w:t>
            </w:r>
          </w:p>
        </w:tc>
        <w:tc>
          <w:tcPr>
            <w:tcW w:w="952" w:type="dxa"/>
            <w:tcBorders>
              <w:top w:val="single" w:color="auto" w:sz="4" w:space="0"/>
              <w:left w:val="single" w:color="auto" w:sz="4" w:space="0"/>
              <w:bottom w:val="single" w:color="auto" w:sz="4" w:space="0"/>
              <w:right w:val="single" w:color="auto" w:sz="4" w:space="0"/>
            </w:tcBorders>
            <w:noWrap w:val="0"/>
            <w:vAlign w:val="center"/>
          </w:tcPr>
          <w:p w14:paraId="4B635906">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合理</w:t>
            </w:r>
          </w:p>
        </w:tc>
        <w:tc>
          <w:tcPr>
            <w:tcW w:w="508" w:type="dxa"/>
            <w:tcBorders>
              <w:top w:val="single" w:color="auto" w:sz="4" w:space="0"/>
              <w:left w:val="single" w:color="auto" w:sz="4" w:space="0"/>
              <w:bottom w:val="single" w:color="auto" w:sz="4" w:space="0"/>
              <w:right w:val="single" w:color="auto" w:sz="4" w:space="0"/>
            </w:tcBorders>
            <w:noWrap w:val="0"/>
            <w:vAlign w:val="center"/>
          </w:tcPr>
          <w:p w14:paraId="1F3DF3AB">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5</w:t>
            </w:r>
          </w:p>
        </w:tc>
      </w:tr>
      <w:tr w14:paraId="3D8571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22" w:type="dxa"/>
            <w:vMerge w:val="continue"/>
            <w:tcBorders>
              <w:top w:val="single" w:color="auto" w:sz="4" w:space="0"/>
              <w:left w:val="single" w:color="auto" w:sz="4" w:space="0"/>
              <w:bottom w:val="single" w:color="auto" w:sz="4" w:space="0"/>
              <w:right w:val="single" w:color="auto" w:sz="4" w:space="0"/>
            </w:tcBorders>
            <w:noWrap w:val="0"/>
            <w:vAlign w:val="center"/>
          </w:tcPr>
          <w:p w14:paraId="2EAB9428">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500" w:type="dxa"/>
            <w:vMerge w:val="continue"/>
            <w:tcBorders>
              <w:top w:val="single" w:color="auto" w:sz="4" w:space="0"/>
              <w:left w:val="single" w:color="auto" w:sz="4" w:space="0"/>
              <w:bottom w:val="single" w:color="auto" w:sz="4" w:space="0"/>
              <w:right w:val="single" w:color="auto" w:sz="4" w:space="0"/>
            </w:tcBorders>
            <w:noWrap w:val="0"/>
            <w:vAlign w:val="center"/>
          </w:tcPr>
          <w:p w14:paraId="43D1FDB5">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539FE76C">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553" w:type="dxa"/>
            <w:vMerge w:val="continue"/>
            <w:tcBorders>
              <w:top w:val="single" w:color="auto" w:sz="4" w:space="0"/>
              <w:left w:val="single" w:color="auto" w:sz="4" w:space="0"/>
              <w:bottom w:val="single" w:color="auto" w:sz="4" w:space="0"/>
              <w:right w:val="single" w:color="auto" w:sz="4" w:space="0"/>
            </w:tcBorders>
            <w:noWrap w:val="0"/>
            <w:vAlign w:val="center"/>
          </w:tcPr>
          <w:p w14:paraId="190200E4">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730" w:type="dxa"/>
            <w:tcBorders>
              <w:top w:val="single" w:color="auto" w:sz="4" w:space="0"/>
              <w:left w:val="single" w:color="auto" w:sz="4" w:space="0"/>
              <w:bottom w:val="single" w:color="auto" w:sz="4" w:space="0"/>
              <w:right w:val="single" w:color="auto" w:sz="4" w:space="0"/>
            </w:tcBorders>
            <w:noWrap w:val="0"/>
            <w:vAlign w:val="center"/>
          </w:tcPr>
          <w:p w14:paraId="1F90D0A9">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绩效指标明确性</w:t>
            </w:r>
          </w:p>
        </w:tc>
        <w:tc>
          <w:tcPr>
            <w:tcW w:w="553" w:type="dxa"/>
            <w:tcBorders>
              <w:top w:val="single" w:color="auto" w:sz="4" w:space="0"/>
              <w:left w:val="single" w:color="auto" w:sz="4" w:space="0"/>
              <w:bottom w:val="single" w:color="auto" w:sz="4" w:space="0"/>
              <w:right w:val="single" w:color="auto" w:sz="4" w:space="0"/>
            </w:tcBorders>
            <w:noWrap w:val="0"/>
            <w:vAlign w:val="center"/>
          </w:tcPr>
          <w:p w14:paraId="663D81CE">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5</w:t>
            </w:r>
          </w:p>
        </w:tc>
        <w:tc>
          <w:tcPr>
            <w:tcW w:w="2875" w:type="dxa"/>
            <w:tcBorders>
              <w:top w:val="single" w:color="auto" w:sz="4" w:space="0"/>
              <w:left w:val="single" w:color="auto" w:sz="4" w:space="0"/>
              <w:bottom w:val="single" w:color="auto" w:sz="4" w:space="0"/>
              <w:right w:val="single" w:color="auto" w:sz="4" w:space="0"/>
            </w:tcBorders>
            <w:noWrap w:val="0"/>
            <w:vAlign w:val="center"/>
          </w:tcPr>
          <w:p w14:paraId="40775FEC">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依据绩效目标设定的绩效指标是否清晰、细化、可衡量等，用以反映和考核项目绩效目标的明细化情况。</w:t>
            </w:r>
          </w:p>
        </w:tc>
        <w:tc>
          <w:tcPr>
            <w:tcW w:w="1118" w:type="dxa"/>
            <w:tcBorders>
              <w:top w:val="single" w:color="auto" w:sz="4" w:space="0"/>
              <w:left w:val="single" w:color="auto" w:sz="4" w:space="0"/>
              <w:bottom w:val="single" w:color="auto" w:sz="4" w:space="0"/>
              <w:right w:val="single" w:color="auto" w:sz="4" w:space="0"/>
            </w:tcBorders>
            <w:noWrap w:val="0"/>
            <w:vAlign w:val="center"/>
          </w:tcPr>
          <w:p w14:paraId="242745AA">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明确</w:t>
            </w:r>
          </w:p>
        </w:tc>
        <w:tc>
          <w:tcPr>
            <w:tcW w:w="4272" w:type="dxa"/>
            <w:tcBorders>
              <w:top w:val="single" w:color="auto" w:sz="4" w:space="0"/>
              <w:left w:val="single" w:color="auto" w:sz="4" w:space="0"/>
              <w:bottom w:val="single" w:color="auto" w:sz="4" w:space="0"/>
              <w:right w:val="single" w:color="auto" w:sz="4" w:space="0"/>
            </w:tcBorders>
            <w:noWrap w:val="0"/>
            <w:vAlign w:val="center"/>
          </w:tcPr>
          <w:p w14:paraId="3A9FFD9C">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①是否将项目绩效目标细化分解为具体的绩效指标；</w:t>
            </w:r>
          </w:p>
          <w:p w14:paraId="1F227C5E">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②是否通过清晰、可衡量的指标值予以体现；</w:t>
            </w:r>
          </w:p>
          <w:p w14:paraId="2176803E">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③是否与项目目标任务数或计划数相对应。</w:t>
            </w:r>
          </w:p>
          <w:p w14:paraId="37932A16">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①②③齐全得权重分的100%，缺①扣权重分的20%，缺②扣权重分的50%，缺③扣权重分的30%。</w:t>
            </w:r>
          </w:p>
        </w:tc>
        <w:tc>
          <w:tcPr>
            <w:tcW w:w="952" w:type="dxa"/>
            <w:tcBorders>
              <w:top w:val="single" w:color="auto" w:sz="4" w:space="0"/>
              <w:left w:val="single" w:color="auto" w:sz="4" w:space="0"/>
              <w:bottom w:val="single" w:color="auto" w:sz="4" w:space="0"/>
              <w:right w:val="single" w:color="auto" w:sz="4" w:space="0"/>
            </w:tcBorders>
            <w:noWrap w:val="0"/>
            <w:vAlign w:val="center"/>
          </w:tcPr>
          <w:p w14:paraId="7A365540">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明确</w:t>
            </w:r>
          </w:p>
        </w:tc>
        <w:tc>
          <w:tcPr>
            <w:tcW w:w="508" w:type="dxa"/>
            <w:tcBorders>
              <w:top w:val="single" w:color="auto" w:sz="4" w:space="0"/>
              <w:left w:val="single" w:color="auto" w:sz="4" w:space="0"/>
              <w:bottom w:val="single" w:color="auto" w:sz="4" w:space="0"/>
              <w:right w:val="single" w:color="auto" w:sz="4" w:space="0"/>
            </w:tcBorders>
            <w:noWrap w:val="0"/>
            <w:vAlign w:val="center"/>
          </w:tcPr>
          <w:p w14:paraId="0335F892">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5</w:t>
            </w:r>
          </w:p>
        </w:tc>
      </w:tr>
      <w:tr w14:paraId="77CAD7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22" w:type="dxa"/>
            <w:vMerge w:val="continue"/>
            <w:tcBorders>
              <w:top w:val="single" w:color="auto" w:sz="4" w:space="0"/>
              <w:left w:val="single" w:color="auto" w:sz="4" w:space="0"/>
              <w:bottom w:val="single" w:color="auto" w:sz="4" w:space="0"/>
              <w:right w:val="single" w:color="auto" w:sz="4" w:space="0"/>
            </w:tcBorders>
            <w:noWrap w:val="0"/>
            <w:vAlign w:val="center"/>
          </w:tcPr>
          <w:p w14:paraId="047036C1">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500" w:type="dxa"/>
            <w:vMerge w:val="continue"/>
            <w:tcBorders>
              <w:top w:val="single" w:color="auto" w:sz="4" w:space="0"/>
              <w:left w:val="single" w:color="auto" w:sz="4" w:space="0"/>
              <w:bottom w:val="single" w:color="auto" w:sz="4" w:space="0"/>
              <w:right w:val="single" w:color="auto" w:sz="4" w:space="0"/>
            </w:tcBorders>
            <w:noWrap w:val="0"/>
            <w:vAlign w:val="center"/>
          </w:tcPr>
          <w:p w14:paraId="6256F050">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585" w:type="dxa"/>
            <w:vMerge w:val="restart"/>
            <w:tcBorders>
              <w:top w:val="single" w:color="auto" w:sz="4" w:space="0"/>
              <w:left w:val="single" w:color="auto" w:sz="4" w:space="0"/>
              <w:bottom w:val="single" w:color="auto" w:sz="4" w:space="0"/>
              <w:right w:val="single" w:color="auto" w:sz="4" w:space="0"/>
            </w:tcBorders>
            <w:noWrap w:val="0"/>
            <w:vAlign w:val="center"/>
          </w:tcPr>
          <w:p w14:paraId="5572F891">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资金投入</w:t>
            </w:r>
          </w:p>
        </w:tc>
        <w:tc>
          <w:tcPr>
            <w:tcW w:w="553" w:type="dxa"/>
            <w:vMerge w:val="restart"/>
            <w:tcBorders>
              <w:top w:val="single" w:color="auto" w:sz="4" w:space="0"/>
              <w:left w:val="single" w:color="auto" w:sz="4" w:space="0"/>
              <w:bottom w:val="single" w:color="auto" w:sz="4" w:space="0"/>
              <w:right w:val="single" w:color="auto" w:sz="4" w:space="0"/>
            </w:tcBorders>
            <w:noWrap w:val="0"/>
            <w:vAlign w:val="center"/>
          </w:tcPr>
          <w:p w14:paraId="501E206E">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8</w:t>
            </w:r>
          </w:p>
        </w:tc>
        <w:tc>
          <w:tcPr>
            <w:tcW w:w="730" w:type="dxa"/>
            <w:tcBorders>
              <w:top w:val="single" w:color="auto" w:sz="4" w:space="0"/>
              <w:left w:val="single" w:color="auto" w:sz="4" w:space="0"/>
              <w:bottom w:val="single" w:color="auto" w:sz="4" w:space="0"/>
              <w:right w:val="single" w:color="auto" w:sz="4" w:space="0"/>
            </w:tcBorders>
            <w:noWrap w:val="0"/>
            <w:vAlign w:val="center"/>
          </w:tcPr>
          <w:p w14:paraId="234D03F8">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预算编制科学性</w:t>
            </w:r>
          </w:p>
        </w:tc>
        <w:tc>
          <w:tcPr>
            <w:tcW w:w="553" w:type="dxa"/>
            <w:tcBorders>
              <w:top w:val="single" w:color="auto" w:sz="4" w:space="0"/>
              <w:left w:val="single" w:color="auto" w:sz="4" w:space="0"/>
              <w:bottom w:val="single" w:color="auto" w:sz="4" w:space="0"/>
              <w:right w:val="single" w:color="auto" w:sz="4" w:space="0"/>
            </w:tcBorders>
            <w:noWrap w:val="0"/>
            <w:vAlign w:val="center"/>
          </w:tcPr>
          <w:p w14:paraId="2BB7FC80">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4</w:t>
            </w:r>
          </w:p>
        </w:tc>
        <w:tc>
          <w:tcPr>
            <w:tcW w:w="2875" w:type="dxa"/>
            <w:tcBorders>
              <w:top w:val="single" w:color="auto" w:sz="4" w:space="0"/>
              <w:left w:val="single" w:color="auto" w:sz="4" w:space="0"/>
              <w:bottom w:val="single" w:color="auto" w:sz="4" w:space="0"/>
              <w:right w:val="single" w:color="auto" w:sz="4" w:space="0"/>
            </w:tcBorders>
            <w:noWrap w:val="0"/>
            <w:vAlign w:val="center"/>
          </w:tcPr>
          <w:p w14:paraId="270745BA">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项目预算编制是否经过科学论证、有明确标准，资金额度与年度目标是否相适应，用以反映和考核项目预算编制的科学性、合理性情况。</w:t>
            </w:r>
          </w:p>
        </w:tc>
        <w:tc>
          <w:tcPr>
            <w:tcW w:w="1118" w:type="dxa"/>
            <w:tcBorders>
              <w:top w:val="single" w:color="auto" w:sz="4" w:space="0"/>
              <w:left w:val="single" w:color="auto" w:sz="4" w:space="0"/>
              <w:bottom w:val="single" w:color="auto" w:sz="4" w:space="0"/>
              <w:right w:val="single" w:color="auto" w:sz="4" w:space="0"/>
            </w:tcBorders>
            <w:noWrap w:val="0"/>
            <w:vAlign w:val="center"/>
          </w:tcPr>
          <w:p w14:paraId="6C8DF005">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科学</w:t>
            </w:r>
          </w:p>
        </w:tc>
        <w:tc>
          <w:tcPr>
            <w:tcW w:w="4272" w:type="dxa"/>
            <w:tcBorders>
              <w:top w:val="single" w:color="auto" w:sz="4" w:space="0"/>
              <w:left w:val="single" w:color="auto" w:sz="4" w:space="0"/>
              <w:bottom w:val="single" w:color="auto" w:sz="4" w:space="0"/>
              <w:right w:val="single" w:color="auto" w:sz="4" w:space="0"/>
            </w:tcBorders>
            <w:noWrap w:val="0"/>
            <w:vAlign w:val="center"/>
          </w:tcPr>
          <w:p w14:paraId="38BD3DF1">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①预算编制是否经过科学论证；</w:t>
            </w:r>
          </w:p>
          <w:p w14:paraId="25E4B203">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②预算内容与项目内容是否匹配；</w:t>
            </w:r>
          </w:p>
          <w:p w14:paraId="2E35F7AE">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③预算额度测算依据是否充分，是否按照标准编制；</w:t>
            </w:r>
          </w:p>
          <w:p w14:paraId="4B2110E5">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④预算确定的项目投资额或资金量是否与工作任务相匹配。</w:t>
            </w:r>
          </w:p>
          <w:p w14:paraId="4499A37A">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以上每条要素各占权重的25%，每有一条不符合，扣除对应的权重分，扣完为止。</w:t>
            </w:r>
          </w:p>
        </w:tc>
        <w:tc>
          <w:tcPr>
            <w:tcW w:w="952" w:type="dxa"/>
            <w:tcBorders>
              <w:top w:val="single" w:color="auto" w:sz="4" w:space="0"/>
              <w:left w:val="single" w:color="auto" w:sz="4" w:space="0"/>
              <w:bottom w:val="single" w:color="auto" w:sz="4" w:space="0"/>
              <w:right w:val="single" w:color="auto" w:sz="4" w:space="0"/>
            </w:tcBorders>
            <w:noWrap w:val="0"/>
            <w:vAlign w:val="center"/>
          </w:tcPr>
          <w:p w14:paraId="3D5B17DE">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科学</w:t>
            </w:r>
          </w:p>
        </w:tc>
        <w:tc>
          <w:tcPr>
            <w:tcW w:w="508" w:type="dxa"/>
            <w:tcBorders>
              <w:top w:val="single" w:color="auto" w:sz="4" w:space="0"/>
              <w:left w:val="single" w:color="auto" w:sz="4" w:space="0"/>
              <w:bottom w:val="single" w:color="auto" w:sz="4" w:space="0"/>
              <w:right w:val="single" w:color="auto" w:sz="4" w:space="0"/>
            </w:tcBorders>
            <w:noWrap w:val="0"/>
            <w:vAlign w:val="center"/>
          </w:tcPr>
          <w:p w14:paraId="041B5E5A">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4</w:t>
            </w:r>
          </w:p>
        </w:tc>
      </w:tr>
      <w:tr w14:paraId="430AF5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22" w:type="dxa"/>
            <w:vMerge w:val="continue"/>
            <w:tcBorders>
              <w:top w:val="single" w:color="auto" w:sz="4" w:space="0"/>
              <w:left w:val="single" w:color="auto" w:sz="4" w:space="0"/>
              <w:bottom w:val="single" w:color="auto" w:sz="4" w:space="0"/>
              <w:right w:val="single" w:color="auto" w:sz="4" w:space="0"/>
            </w:tcBorders>
            <w:noWrap w:val="0"/>
            <w:vAlign w:val="center"/>
          </w:tcPr>
          <w:p w14:paraId="1D61A239">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500" w:type="dxa"/>
            <w:vMerge w:val="continue"/>
            <w:tcBorders>
              <w:top w:val="single" w:color="auto" w:sz="4" w:space="0"/>
              <w:left w:val="single" w:color="auto" w:sz="4" w:space="0"/>
              <w:bottom w:val="single" w:color="auto" w:sz="4" w:space="0"/>
              <w:right w:val="single" w:color="auto" w:sz="4" w:space="0"/>
            </w:tcBorders>
            <w:noWrap w:val="0"/>
            <w:vAlign w:val="center"/>
          </w:tcPr>
          <w:p w14:paraId="1DDB176D">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06824661">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553" w:type="dxa"/>
            <w:vMerge w:val="continue"/>
            <w:tcBorders>
              <w:top w:val="single" w:color="auto" w:sz="4" w:space="0"/>
              <w:left w:val="single" w:color="auto" w:sz="4" w:space="0"/>
              <w:bottom w:val="single" w:color="auto" w:sz="4" w:space="0"/>
              <w:right w:val="single" w:color="auto" w:sz="4" w:space="0"/>
            </w:tcBorders>
            <w:noWrap w:val="0"/>
            <w:vAlign w:val="center"/>
          </w:tcPr>
          <w:p w14:paraId="62BB8F09">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730" w:type="dxa"/>
            <w:tcBorders>
              <w:top w:val="single" w:color="auto" w:sz="4" w:space="0"/>
              <w:left w:val="single" w:color="auto" w:sz="4" w:space="0"/>
              <w:bottom w:val="single" w:color="auto" w:sz="4" w:space="0"/>
              <w:right w:val="single" w:color="auto" w:sz="4" w:space="0"/>
            </w:tcBorders>
            <w:noWrap w:val="0"/>
            <w:vAlign w:val="center"/>
          </w:tcPr>
          <w:p w14:paraId="708FFA7F">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资金分配合理性</w:t>
            </w:r>
          </w:p>
        </w:tc>
        <w:tc>
          <w:tcPr>
            <w:tcW w:w="553" w:type="dxa"/>
            <w:tcBorders>
              <w:top w:val="single" w:color="auto" w:sz="4" w:space="0"/>
              <w:left w:val="single" w:color="auto" w:sz="4" w:space="0"/>
              <w:bottom w:val="single" w:color="auto" w:sz="4" w:space="0"/>
              <w:right w:val="single" w:color="auto" w:sz="4" w:space="0"/>
            </w:tcBorders>
            <w:noWrap w:val="0"/>
            <w:vAlign w:val="center"/>
          </w:tcPr>
          <w:p w14:paraId="6E6AC531">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4</w:t>
            </w:r>
          </w:p>
        </w:tc>
        <w:tc>
          <w:tcPr>
            <w:tcW w:w="2875" w:type="dxa"/>
            <w:tcBorders>
              <w:top w:val="single" w:color="auto" w:sz="4" w:space="0"/>
              <w:left w:val="single" w:color="auto" w:sz="4" w:space="0"/>
              <w:bottom w:val="single" w:color="auto" w:sz="4" w:space="0"/>
              <w:right w:val="single" w:color="auto" w:sz="4" w:space="0"/>
            </w:tcBorders>
            <w:noWrap w:val="0"/>
            <w:vAlign w:val="center"/>
          </w:tcPr>
          <w:p w14:paraId="28A7F0EF">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项目预算资金分配是否有测算依据，与补助单位或地方实际是否相适应，用以反映和考核项目预算资金分配的科学性、合理性情况。</w:t>
            </w:r>
          </w:p>
        </w:tc>
        <w:tc>
          <w:tcPr>
            <w:tcW w:w="1118" w:type="dxa"/>
            <w:tcBorders>
              <w:top w:val="single" w:color="auto" w:sz="4" w:space="0"/>
              <w:left w:val="single" w:color="auto" w:sz="4" w:space="0"/>
              <w:bottom w:val="single" w:color="auto" w:sz="4" w:space="0"/>
              <w:right w:val="single" w:color="auto" w:sz="4" w:space="0"/>
            </w:tcBorders>
            <w:noWrap w:val="0"/>
            <w:vAlign w:val="center"/>
          </w:tcPr>
          <w:p w14:paraId="637045BF">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合理</w:t>
            </w:r>
          </w:p>
        </w:tc>
        <w:tc>
          <w:tcPr>
            <w:tcW w:w="4272" w:type="dxa"/>
            <w:tcBorders>
              <w:top w:val="single" w:color="auto" w:sz="4" w:space="0"/>
              <w:left w:val="single" w:color="auto" w:sz="4" w:space="0"/>
              <w:bottom w:val="single" w:color="auto" w:sz="4" w:space="0"/>
              <w:right w:val="single" w:color="auto" w:sz="4" w:space="0"/>
            </w:tcBorders>
            <w:noWrap w:val="0"/>
            <w:vAlign w:val="center"/>
          </w:tcPr>
          <w:p w14:paraId="18552695">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①预算资金分配依据是否充分；</w:t>
            </w:r>
          </w:p>
          <w:p w14:paraId="5D63756B">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②资金分配额度是否合理，与项目单位或地方实际是否相适应。</w:t>
            </w:r>
          </w:p>
          <w:p w14:paraId="3E239829">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以上每条要素各占权重的50%，每有一条不符合，扣除对应的权重分，扣完为止。</w:t>
            </w:r>
          </w:p>
        </w:tc>
        <w:tc>
          <w:tcPr>
            <w:tcW w:w="952" w:type="dxa"/>
            <w:tcBorders>
              <w:top w:val="single" w:color="auto" w:sz="4" w:space="0"/>
              <w:left w:val="single" w:color="auto" w:sz="4" w:space="0"/>
              <w:bottom w:val="single" w:color="auto" w:sz="4" w:space="0"/>
              <w:right w:val="single" w:color="auto" w:sz="4" w:space="0"/>
            </w:tcBorders>
            <w:noWrap w:val="0"/>
            <w:vAlign w:val="center"/>
          </w:tcPr>
          <w:p w14:paraId="244AF5C3">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合理</w:t>
            </w:r>
          </w:p>
        </w:tc>
        <w:tc>
          <w:tcPr>
            <w:tcW w:w="508" w:type="dxa"/>
            <w:tcBorders>
              <w:top w:val="single" w:color="auto" w:sz="4" w:space="0"/>
              <w:left w:val="single" w:color="auto" w:sz="4" w:space="0"/>
              <w:bottom w:val="single" w:color="auto" w:sz="4" w:space="0"/>
              <w:right w:val="single" w:color="auto" w:sz="4" w:space="0"/>
            </w:tcBorders>
            <w:noWrap w:val="0"/>
            <w:vAlign w:val="center"/>
          </w:tcPr>
          <w:p w14:paraId="2C360F5D">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4</w:t>
            </w:r>
          </w:p>
        </w:tc>
      </w:tr>
      <w:tr w14:paraId="336018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22" w:type="dxa"/>
            <w:vMerge w:val="restart"/>
            <w:tcBorders>
              <w:top w:val="single" w:color="auto" w:sz="4" w:space="0"/>
              <w:left w:val="single" w:color="auto" w:sz="4" w:space="0"/>
              <w:bottom w:val="single" w:color="auto" w:sz="4" w:space="0"/>
              <w:right w:val="single" w:color="auto" w:sz="4" w:space="0"/>
            </w:tcBorders>
            <w:noWrap w:val="0"/>
            <w:vAlign w:val="center"/>
          </w:tcPr>
          <w:p w14:paraId="5636790B">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项目过程</w:t>
            </w:r>
          </w:p>
        </w:tc>
        <w:tc>
          <w:tcPr>
            <w:tcW w:w="500" w:type="dxa"/>
            <w:vMerge w:val="restart"/>
            <w:tcBorders>
              <w:top w:val="single" w:color="auto" w:sz="4" w:space="0"/>
              <w:left w:val="single" w:color="auto" w:sz="4" w:space="0"/>
              <w:bottom w:val="single" w:color="auto" w:sz="4" w:space="0"/>
              <w:right w:val="single" w:color="auto" w:sz="4" w:space="0"/>
            </w:tcBorders>
            <w:noWrap w:val="0"/>
            <w:vAlign w:val="center"/>
          </w:tcPr>
          <w:p w14:paraId="158244DD">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12</w:t>
            </w:r>
          </w:p>
        </w:tc>
        <w:tc>
          <w:tcPr>
            <w:tcW w:w="585" w:type="dxa"/>
            <w:vMerge w:val="restart"/>
            <w:tcBorders>
              <w:top w:val="single" w:color="auto" w:sz="4" w:space="0"/>
              <w:left w:val="single" w:color="auto" w:sz="4" w:space="0"/>
              <w:bottom w:val="single" w:color="auto" w:sz="4" w:space="0"/>
              <w:right w:val="single" w:color="auto" w:sz="4" w:space="0"/>
            </w:tcBorders>
            <w:noWrap w:val="0"/>
            <w:vAlign w:val="center"/>
          </w:tcPr>
          <w:p w14:paraId="5F8BBF14">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资金管理</w:t>
            </w:r>
          </w:p>
        </w:tc>
        <w:tc>
          <w:tcPr>
            <w:tcW w:w="553" w:type="dxa"/>
            <w:vMerge w:val="restart"/>
            <w:tcBorders>
              <w:top w:val="single" w:color="auto" w:sz="4" w:space="0"/>
              <w:left w:val="single" w:color="auto" w:sz="4" w:space="0"/>
              <w:bottom w:val="single" w:color="auto" w:sz="4" w:space="0"/>
              <w:right w:val="single" w:color="auto" w:sz="4" w:space="0"/>
            </w:tcBorders>
            <w:noWrap w:val="0"/>
            <w:vAlign w:val="center"/>
          </w:tcPr>
          <w:p w14:paraId="0FB116AE">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6</w:t>
            </w:r>
          </w:p>
        </w:tc>
        <w:tc>
          <w:tcPr>
            <w:tcW w:w="730" w:type="dxa"/>
            <w:tcBorders>
              <w:top w:val="single" w:color="auto" w:sz="4" w:space="0"/>
              <w:left w:val="single" w:color="auto" w:sz="4" w:space="0"/>
              <w:bottom w:val="single" w:color="auto" w:sz="4" w:space="0"/>
              <w:right w:val="single" w:color="auto" w:sz="4" w:space="0"/>
            </w:tcBorders>
            <w:noWrap w:val="0"/>
            <w:vAlign w:val="center"/>
          </w:tcPr>
          <w:p w14:paraId="22EEE7E5">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资金到位率</w:t>
            </w:r>
          </w:p>
        </w:tc>
        <w:tc>
          <w:tcPr>
            <w:tcW w:w="553" w:type="dxa"/>
            <w:tcBorders>
              <w:top w:val="single" w:color="auto" w:sz="4" w:space="0"/>
              <w:left w:val="single" w:color="auto" w:sz="4" w:space="0"/>
              <w:bottom w:val="single" w:color="auto" w:sz="4" w:space="0"/>
              <w:right w:val="single" w:color="auto" w:sz="4" w:space="0"/>
            </w:tcBorders>
            <w:noWrap w:val="0"/>
            <w:vAlign w:val="center"/>
          </w:tcPr>
          <w:p w14:paraId="01FFB843">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1</w:t>
            </w:r>
          </w:p>
        </w:tc>
        <w:tc>
          <w:tcPr>
            <w:tcW w:w="2875" w:type="dxa"/>
            <w:tcBorders>
              <w:top w:val="single" w:color="auto" w:sz="4" w:space="0"/>
              <w:left w:val="single" w:color="auto" w:sz="4" w:space="0"/>
              <w:bottom w:val="single" w:color="auto" w:sz="4" w:space="0"/>
              <w:right w:val="single" w:color="auto" w:sz="4" w:space="0"/>
            </w:tcBorders>
            <w:noWrap w:val="0"/>
            <w:vAlign w:val="center"/>
          </w:tcPr>
          <w:p w14:paraId="3C170516">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实际到位资金与预算资金的比率，用以反映和考核资金落实情况对项目实施的总体保障程度。</w:t>
            </w:r>
          </w:p>
        </w:tc>
        <w:tc>
          <w:tcPr>
            <w:tcW w:w="1118" w:type="dxa"/>
            <w:tcBorders>
              <w:top w:val="single" w:color="auto" w:sz="4" w:space="0"/>
              <w:left w:val="single" w:color="auto" w:sz="4" w:space="0"/>
              <w:bottom w:val="single" w:color="auto" w:sz="4" w:space="0"/>
              <w:right w:val="single" w:color="auto" w:sz="4" w:space="0"/>
            </w:tcBorders>
            <w:noWrap w:val="0"/>
            <w:vAlign w:val="center"/>
          </w:tcPr>
          <w:p w14:paraId="728E316F">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100%</w:t>
            </w:r>
          </w:p>
        </w:tc>
        <w:tc>
          <w:tcPr>
            <w:tcW w:w="4272" w:type="dxa"/>
            <w:tcBorders>
              <w:top w:val="single" w:color="auto" w:sz="4" w:space="0"/>
              <w:left w:val="single" w:color="auto" w:sz="4" w:space="0"/>
              <w:bottom w:val="single" w:color="auto" w:sz="4" w:space="0"/>
              <w:right w:val="single" w:color="auto" w:sz="4" w:space="0"/>
            </w:tcBorders>
            <w:noWrap w:val="0"/>
            <w:vAlign w:val="center"/>
          </w:tcPr>
          <w:p w14:paraId="2BCDB076">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资金到位率=（实际到位资金/预算资金）×100%。</w:t>
            </w:r>
          </w:p>
          <w:p w14:paraId="7589C9D6">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资金到位率=100%，得权重分满分，每降低1%，扣除5%权重分，扣完为止。</w:t>
            </w:r>
          </w:p>
        </w:tc>
        <w:tc>
          <w:tcPr>
            <w:tcW w:w="952" w:type="dxa"/>
            <w:tcBorders>
              <w:top w:val="single" w:color="auto" w:sz="4" w:space="0"/>
              <w:left w:val="single" w:color="auto" w:sz="4" w:space="0"/>
              <w:bottom w:val="single" w:color="auto" w:sz="4" w:space="0"/>
              <w:right w:val="single" w:color="auto" w:sz="4" w:space="0"/>
            </w:tcBorders>
            <w:noWrap w:val="0"/>
            <w:vAlign w:val="center"/>
          </w:tcPr>
          <w:p w14:paraId="2BB60419">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100%</w:t>
            </w:r>
          </w:p>
        </w:tc>
        <w:tc>
          <w:tcPr>
            <w:tcW w:w="508" w:type="dxa"/>
            <w:tcBorders>
              <w:top w:val="single" w:color="auto" w:sz="4" w:space="0"/>
              <w:left w:val="single" w:color="auto" w:sz="4" w:space="0"/>
              <w:bottom w:val="single" w:color="auto" w:sz="4" w:space="0"/>
              <w:right w:val="single" w:color="auto" w:sz="4" w:space="0"/>
            </w:tcBorders>
            <w:noWrap w:val="0"/>
            <w:vAlign w:val="center"/>
          </w:tcPr>
          <w:p w14:paraId="5DEB48F8">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1</w:t>
            </w:r>
          </w:p>
        </w:tc>
      </w:tr>
      <w:tr w14:paraId="419F50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2" w:hRule="atLeast"/>
        </w:trPr>
        <w:tc>
          <w:tcPr>
            <w:tcW w:w="722" w:type="dxa"/>
            <w:vMerge w:val="continue"/>
            <w:tcBorders>
              <w:top w:val="single" w:color="auto" w:sz="4" w:space="0"/>
              <w:left w:val="single" w:color="auto" w:sz="4" w:space="0"/>
              <w:bottom w:val="single" w:color="auto" w:sz="4" w:space="0"/>
              <w:right w:val="single" w:color="auto" w:sz="4" w:space="0"/>
            </w:tcBorders>
            <w:noWrap w:val="0"/>
            <w:vAlign w:val="center"/>
          </w:tcPr>
          <w:p w14:paraId="0741851B">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500" w:type="dxa"/>
            <w:vMerge w:val="continue"/>
            <w:tcBorders>
              <w:top w:val="single" w:color="auto" w:sz="4" w:space="0"/>
              <w:left w:val="single" w:color="auto" w:sz="4" w:space="0"/>
              <w:bottom w:val="single" w:color="auto" w:sz="4" w:space="0"/>
              <w:right w:val="single" w:color="auto" w:sz="4" w:space="0"/>
            </w:tcBorders>
            <w:noWrap w:val="0"/>
            <w:vAlign w:val="center"/>
          </w:tcPr>
          <w:p w14:paraId="43D3673D">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2BA05AC4">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553" w:type="dxa"/>
            <w:vMerge w:val="continue"/>
            <w:tcBorders>
              <w:top w:val="single" w:color="auto" w:sz="4" w:space="0"/>
              <w:left w:val="single" w:color="auto" w:sz="4" w:space="0"/>
              <w:bottom w:val="single" w:color="auto" w:sz="4" w:space="0"/>
              <w:right w:val="single" w:color="auto" w:sz="4" w:space="0"/>
            </w:tcBorders>
            <w:noWrap w:val="0"/>
            <w:vAlign w:val="center"/>
          </w:tcPr>
          <w:p w14:paraId="257DFEC4">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730" w:type="dxa"/>
            <w:tcBorders>
              <w:top w:val="single" w:color="auto" w:sz="4" w:space="0"/>
              <w:left w:val="single" w:color="auto" w:sz="4" w:space="0"/>
              <w:bottom w:val="single" w:color="auto" w:sz="4" w:space="0"/>
              <w:right w:val="single" w:color="auto" w:sz="4" w:space="0"/>
            </w:tcBorders>
            <w:noWrap w:val="0"/>
            <w:vAlign w:val="center"/>
          </w:tcPr>
          <w:p w14:paraId="5E6EC04C">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预算执行率</w:t>
            </w:r>
          </w:p>
        </w:tc>
        <w:tc>
          <w:tcPr>
            <w:tcW w:w="553" w:type="dxa"/>
            <w:tcBorders>
              <w:top w:val="single" w:color="auto" w:sz="4" w:space="0"/>
              <w:left w:val="single" w:color="auto" w:sz="4" w:space="0"/>
              <w:bottom w:val="single" w:color="auto" w:sz="4" w:space="0"/>
              <w:right w:val="single" w:color="auto" w:sz="4" w:space="0"/>
            </w:tcBorders>
            <w:noWrap w:val="0"/>
            <w:vAlign w:val="center"/>
          </w:tcPr>
          <w:p w14:paraId="79E61C77">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2</w:t>
            </w:r>
          </w:p>
        </w:tc>
        <w:tc>
          <w:tcPr>
            <w:tcW w:w="2875" w:type="dxa"/>
            <w:tcBorders>
              <w:top w:val="single" w:color="auto" w:sz="4" w:space="0"/>
              <w:left w:val="single" w:color="auto" w:sz="4" w:space="0"/>
              <w:bottom w:val="single" w:color="auto" w:sz="4" w:space="0"/>
              <w:right w:val="single" w:color="auto" w:sz="4" w:space="0"/>
            </w:tcBorders>
            <w:noWrap w:val="0"/>
            <w:vAlign w:val="center"/>
          </w:tcPr>
          <w:p w14:paraId="3DCF6723">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项目预算资金是否按照计划执行，用以反映或考核项目预算执行情况。</w:t>
            </w:r>
          </w:p>
        </w:tc>
        <w:tc>
          <w:tcPr>
            <w:tcW w:w="1118" w:type="dxa"/>
            <w:tcBorders>
              <w:top w:val="single" w:color="auto" w:sz="4" w:space="0"/>
              <w:left w:val="single" w:color="auto" w:sz="4" w:space="0"/>
              <w:bottom w:val="single" w:color="auto" w:sz="4" w:space="0"/>
              <w:right w:val="single" w:color="auto" w:sz="4" w:space="0"/>
            </w:tcBorders>
            <w:noWrap w:val="0"/>
            <w:vAlign w:val="center"/>
          </w:tcPr>
          <w:p w14:paraId="0139EFBC">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100%</w:t>
            </w:r>
          </w:p>
        </w:tc>
        <w:tc>
          <w:tcPr>
            <w:tcW w:w="4272" w:type="dxa"/>
            <w:tcBorders>
              <w:top w:val="single" w:color="auto" w:sz="4" w:space="0"/>
              <w:left w:val="single" w:color="auto" w:sz="4" w:space="0"/>
              <w:bottom w:val="single" w:color="auto" w:sz="4" w:space="0"/>
              <w:right w:val="single" w:color="auto" w:sz="4" w:space="0"/>
            </w:tcBorders>
            <w:noWrap w:val="0"/>
            <w:vAlign w:val="center"/>
          </w:tcPr>
          <w:p w14:paraId="6C9C2215">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预算执行率=（实际支出资金/实际到位资金）×100%。</w:t>
            </w:r>
          </w:p>
          <w:p w14:paraId="23C1D859">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预算执行率=100%，得权重分满分；若预算执行率＜100%，得分=预算执行率*分值；若执行率≤60%，则不得分。</w:t>
            </w:r>
          </w:p>
        </w:tc>
        <w:tc>
          <w:tcPr>
            <w:tcW w:w="952" w:type="dxa"/>
            <w:tcBorders>
              <w:top w:val="single" w:color="auto" w:sz="4" w:space="0"/>
              <w:left w:val="single" w:color="auto" w:sz="4" w:space="0"/>
              <w:bottom w:val="single" w:color="auto" w:sz="4" w:space="0"/>
              <w:right w:val="single" w:color="auto" w:sz="4" w:space="0"/>
            </w:tcBorders>
            <w:noWrap w:val="0"/>
            <w:vAlign w:val="center"/>
          </w:tcPr>
          <w:p w14:paraId="74D50DFC">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100%</w:t>
            </w:r>
          </w:p>
        </w:tc>
        <w:tc>
          <w:tcPr>
            <w:tcW w:w="508" w:type="dxa"/>
            <w:tcBorders>
              <w:top w:val="single" w:color="auto" w:sz="4" w:space="0"/>
              <w:left w:val="single" w:color="auto" w:sz="4" w:space="0"/>
              <w:bottom w:val="single" w:color="auto" w:sz="4" w:space="0"/>
              <w:right w:val="single" w:color="auto" w:sz="4" w:space="0"/>
            </w:tcBorders>
            <w:noWrap w:val="0"/>
            <w:vAlign w:val="center"/>
          </w:tcPr>
          <w:p w14:paraId="63259AD8">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2</w:t>
            </w:r>
          </w:p>
        </w:tc>
      </w:tr>
      <w:tr w14:paraId="5B3C48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22" w:type="dxa"/>
            <w:vMerge w:val="continue"/>
            <w:tcBorders>
              <w:top w:val="single" w:color="auto" w:sz="4" w:space="0"/>
              <w:left w:val="single" w:color="auto" w:sz="4" w:space="0"/>
              <w:bottom w:val="single" w:color="auto" w:sz="4" w:space="0"/>
              <w:right w:val="single" w:color="auto" w:sz="4" w:space="0"/>
            </w:tcBorders>
            <w:noWrap w:val="0"/>
            <w:vAlign w:val="center"/>
          </w:tcPr>
          <w:p w14:paraId="470763E1">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500" w:type="dxa"/>
            <w:vMerge w:val="continue"/>
            <w:tcBorders>
              <w:top w:val="single" w:color="auto" w:sz="4" w:space="0"/>
              <w:left w:val="single" w:color="auto" w:sz="4" w:space="0"/>
              <w:bottom w:val="single" w:color="auto" w:sz="4" w:space="0"/>
              <w:right w:val="single" w:color="auto" w:sz="4" w:space="0"/>
            </w:tcBorders>
            <w:noWrap w:val="0"/>
            <w:vAlign w:val="center"/>
          </w:tcPr>
          <w:p w14:paraId="67DFE500">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118A4D5B">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553" w:type="dxa"/>
            <w:vMerge w:val="continue"/>
            <w:tcBorders>
              <w:top w:val="single" w:color="auto" w:sz="4" w:space="0"/>
              <w:left w:val="single" w:color="auto" w:sz="4" w:space="0"/>
              <w:bottom w:val="single" w:color="auto" w:sz="4" w:space="0"/>
              <w:right w:val="single" w:color="auto" w:sz="4" w:space="0"/>
            </w:tcBorders>
            <w:noWrap w:val="0"/>
            <w:vAlign w:val="center"/>
          </w:tcPr>
          <w:p w14:paraId="2042431F">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730" w:type="dxa"/>
            <w:tcBorders>
              <w:top w:val="single" w:color="auto" w:sz="4" w:space="0"/>
              <w:left w:val="single" w:color="auto" w:sz="4" w:space="0"/>
              <w:bottom w:val="single" w:color="auto" w:sz="4" w:space="0"/>
              <w:right w:val="single" w:color="auto" w:sz="4" w:space="0"/>
            </w:tcBorders>
            <w:noWrap w:val="0"/>
            <w:vAlign w:val="center"/>
          </w:tcPr>
          <w:p w14:paraId="63AE90FD">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资金使用合规性</w:t>
            </w:r>
          </w:p>
        </w:tc>
        <w:tc>
          <w:tcPr>
            <w:tcW w:w="553" w:type="dxa"/>
            <w:tcBorders>
              <w:top w:val="single" w:color="auto" w:sz="4" w:space="0"/>
              <w:left w:val="single" w:color="auto" w:sz="4" w:space="0"/>
              <w:bottom w:val="single" w:color="auto" w:sz="4" w:space="0"/>
              <w:right w:val="single" w:color="auto" w:sz="4" w:space="0"/>
            </w:tcBorders>
            <w:noWrap w:val="0"/>
            <w:vAlign w:val="center"/>
          </w:tcPr>
          <w:p w14:paraId="5BC07844">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3</w:t>
            </w:r>
          </w:p>
        </w:tc>
        <w:tc>
          <w:tcPr>
            <w:tcW w:w="2875" w:type="dxa"/>
            <w:tcBorders>
              <w:top w:val="single" w:color="auto" w:sz="4" w:space="0"/>
              <w:left w:val="single" w:color="auto" w:sz="4" w:space="0"/>
              <w:bottom w:val="single" w:color="auto" w:sz="4" w:space="0"/>
              <w:right w:val="single" w:color="auto" w:sz="4" w:space="0"/>
            </w:tcBorders>
            <w:noWrap w:val="0"/>
            <w:vAlign w:val="center"/>
          </w:tcPr>
          <w:p w14:paraId="7656221D">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项目资金使用是否符合相关的财务管理制度规定，用以反映和考核项目资金的规范运行情况。</w:t>
            </w:r>
          </w:p>
        </w:tc>
        <w:tc>
          <w:tcPr>
            <w:tcW w:w="1118" w:type="dxa"/>
            <w:tcBorders>
              <w:top w:val="single" w:color="auto" w:sz="4" w:space="0"/>
              <w:left w:val="single" w:color="auto" w:sz="4" w:space="0"/>
              <w:bottom w:val="single" w:color="auto" w:sz="4" w:space="0"/>
              <w:right w:val="single" w:color="auto" w:sz="4" w:space="0"/>
            </w:tcBorders>
            <w:noWrap w:val="0"/>
            <w:vAlign w:val="center"/>
          </w:tcPr>
          <w:p w14:paraId="66EC43AC">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合规</w:t>
            </w:r>
          </w:p>
        </w:tc>
        <w:tc>
          <w:tcPr>
            <w:tcW w:w="4272" w:type="dxa"/>
            <w:tcBorders>
              <w:top w:val="single" w:color="auto" w:sz="4" w:space="0"/>
              <w:left w:val="single" w:color="auto" w:sz="4" w:space="0"/>
              <w:bottom w:val="single" w:color="auto" w:sz="4" w:space="0"/>
              <w:right w:val="single" w:color="auto" w:sz="4" w:space="0"/>
            </w:tcBorders>
            <w:noWrap w:val="0"/>
            <w:vAlign w:val="center"/>
          </w:tcPr>
          <w:p w14:paraId="710CB2D0">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①否符合国家财经法规和财务管理制度以及有关专项资金管理办法的规定；</w:t>
            </w:r>
          </w:p>
          <w:p w14:paraId="51D230CF">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②资金的拨付是否有完整的审批程序和手续；</w:t>
            </w:r>
          </w:p>
          <w:p w14:paraId="67CBD23E">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③是否符合项目预算批复或合同规定的用途；</w:t>
            </w:r>
          </w:p>
          <w:p w14:paraId="532BBE61">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④是否存在截留、挤占、挪用、虚列支出等情况。</w:t>
            </w:r>
          </w:p>
          <w:p w14:paraId="48B3153E">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以上每条指标各占权重分的25%，要素①②不符合，扣除对应权重分；要素③④不符合属于重大违纪，该指标不得分。</w:t>
            </w:r>
          </w:p>
        </w:tc>
        <w:tc>
          <w:tcPr>
            <w:tcW w:w="952" w:type="dxa"/>
            <w:tcBorders>
              <w:top w:val="single" w:color="auto" w:sz="4" w:space="0"/>
              <w:left w:val="single" w:color="auto" w:sz="4" w:space="0"/>
              <w:bottom w:val="single" w:color="auto" w:sz="4" w:space="0"/>
              <w:right w:val="single" w:color="auto" w:sz="4" w:space="0"/>
            </w:tcBorders>
            <w:noWrap w:val="0"/>
            <w:vAlign w:val="center"/>
          </w:tcPr>
          <w:p w14:paraId="400CC718">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合规</w:t>
            </w:r>
          </w:p>
        </w:tc>
        <w:tc>
          <w:tcPr>
            <w:tcW w:w="508" w:type="dxa"/>
            <w:tcBorders>
              <w:top w:val="single" w:color="auto" w:sz="4" w:space="0"/>
              <w:left w:val="single" w:color="auto" w:sz="4" w:space="0"/>
              <w:bottom w:val="single" w:color="auto" w:sz="4" w:space="0"/>
              <w:right w:val="single" w:color="auto" w:sz="4" w:space="0"/>
            </w:tcBorders>
            <w:noWrap w:val="0"/>
            <w:vAlign w:val="center"/>
          </w:tcPr>
          <w:p w14:paraId="118512EC">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3</w:t>
            </w:r>
          </w:p>
        </w:tc>
      </w:tr>
      <w:tr w14:paraId="47D473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22" w:type="dxa"/>
            <w:vMerge w:val="continue"/>
            <w:tcBorders>
              <w:top w:val="single" w:color="auto" w:sz="4" w:space="0"/>
              <w:left w:val="single" w:color="auto" w:sz="4" w:space="0"/>
              <w:bottom w:val="single" w:color="auto" w:sz="4" w:space="0"/>
              <w:right w:val="single" w:color="auto" w:sz="4" w:space="0"/>
            </w:tcBorders>
            <w:noWrap w:val="0"/>
            <w:vAlign w:val="center"/>
          </w:tcPr>
          <w:p w14:paraId="31C27279">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500" w:type="dxa"/>
            <w:vMerge w:val="continue"/>
            <w:tcBorders>
              <w:top w:val="single" w:color="auto" w:sz="4" w:space="0"/>
              <w:left w:val="single" w:color="auto" w:sz="4" w:space="0"/>
              <w:bottom w:val="single" w:color="auto" w:sz="4" w:space="0"/>
              <w:right w:val="single" w:color="auto" w:sz="4" w:space="0"/>
            </w:tcBorders>
            <w:noWrap w:val="0"/>
            <w:vAlign w:val="center"/>
          </w:tcPr>
          <w:p w14:paraId="39016600">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585" w:type="dxa"/>
            <w:vMerge w:val="restart"/>
            <w:tcBorders>
              <w:top w:val="single" w:color="auto" w:sz="4" w:space="0"/>
              <w:left w:val="single" w:color="auto" w:sz="4" w:space="0"/>
              <w:bottom w:val="single" w:color="auto" w:sz="4" w:space="0"/>
              <w:right w:val="single" w:color="auto" w:sz="4" w:space="0"/>
            </w:tcBorders>
            <w:noWrap w:val="0"/>
            <w:vAlign w:val="center"/>
          </w:tcPr>
          <w:p w14:paraId="7DCCC184">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组织实施</w:t>
            </w:r>
          </w:p>
        </w:tc>
        <w:tc>
          <w:tcPr>
            <w:tcW w:w="553" w:type="dxa"/>
            <w:vMerge w:val="restart"/>
            <w:tcBorders>
              <w:top w:val="single" w:color="auto" w:sz="4" w:space="0"/>
              <w:left w:val="single" w:color="auto" w:sz="4" w:space="0"/>
              <w:bottom w:val="single" w:color="auto" w:sz="4" w:space="0"/>
              <w:right w:val="single" w:color="auto" w:sz="4" w:space="0"/>
            </w:tcBorders>
            <w:noWrap w:val="0"/>
            <w:vAlign w:val="center"/>
          </w:tcPr>
          <w:p w14:paraId="722E675C">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6</w:t>
            </w:r>
          </w:p>
        </w:tc>
        <w:tc>
          <w:tcPr>
            <w:tcW w:w="730" w:type="dxa"/>
            <w:tcBorders>
              <w:top w:val="single" w:color="auto" w:sz="4" w:space="0"/>
              <w:left w:val="single" w:color="auto" w:sz="4" w:space="0"/>
              <w:bottom w:val="single" w:color="auto" w:sz="4" w:space="0"/>
              <w:right w:val="single" w:color="auto" w:sz="4" w:space="0"/>
            </w:tcBorders>
            <w:noWrap w:val="0"/>
            <w:vAlign w:val="center"/>
          </w:tcPr>
          <w:p w14:paraId="6C4D526B">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管理制度健全性</w:t>
            </w:r>
          </w:p>
        </w:tc>
        <w:tc>
          <w:tcPr>
            <w:tcW w:w="553" w:type="dxa"/>
            <w:tcBorders>
              <w:top w:val="single" w:color="auto" w:sz="4" w:space="0"/>
              <w:left w:val="single" w:color="auto" w:sz="4" w:space="0"/>
              <w:bottom w:val="single" w:color="auto" w:sz="4" w:space="0"/>
              <w:right w:val="single" w:color="auto" w:sz="4" w:space="0"/>
            </w:tcBorders>
            <w:noWrap w:val="0"/>
            <w:vAlign w:val="center"/>
          </w:tcPr>
          <w:p w14:paraId="480C993B">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3</w:t>
            </w:r>
          </w:p>
        </w:tc>
        <w:tc>
          <w:tcPr>
            <w:tcW w:w="2875" w:type="dxa"/>
            <w:tcBorders>
              <w:top w:val="single" w:color="auto" w:sz="4" w:space="0"/>
              <w:left w:val="single" w:color="auto" w:sz="4" w:space="0"/>
              <w:bottom w:val="single" w:color="auto" w:sz="4" w:space="0"/>
              <w:right w:val="single" w:color="auto" w:sz="4" w:space="0"/>
            </w:tcBorders>
            <w:noWrap w:val="0"/>
            <w:vAlign w:val="center"/>
          </w:tcPr>
          <w:p w14:paraId="45D5EE6C">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项目实施单位的财务和业务管理制度是否健全，用以反映和考核财务和业务管理制度对项目顺利实施的保障情况。</w:t>
            </w:r>
          </w:p>
        </w:tc>
        <w:tc>
          <w:tcPr>
            <w:tcW w:w="1118" w:type="dxa"/>
            <w:tcBorders>
              <w:top w:val="single" w:color="auto" w:sz="4" w:space="0"/>
              <w:left w:val="single" w:color="auto" w:sz="4" w:space="0"/>
              <w:bottom w:val="single" w:color="auto" w:sz="4" w:space="0"/>
              <w:right w:val="single" w:color="auto" w:sz="4" w:space="0"/>
            </w:tcBorders>
            <w:noWrap w:val="0"/>
            <w:vAlign w:val="center"/>
          </w:tcPr>
          <w:p w14:paraId="5E54C141">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健全</w:t>
            </w:r>
          </w:p>
        </w:tc>
        <w:tc>
          <w:tcPr>
            <w:tcW w:w="4272" w:type="dxa"/>
            <w:tcBorders>
              <w:top w:val="single" w:color="auto" w:sz="4" w:space="0"/>
              <w:left w:val="single" w:color="auto" w:sz="4" w:space="0"/>
              <w:bottom w:val="single" w:color="auto" w:sz="4" w:space="0"/>
              <w:right w:val="single" w:color="auto" w:sz="4" w:space="0"/>
            </w:tcBorders>
            <w:noWrap w:val="0"/>
            <w:vAlign w:val="center"/>
          </w:tcPr>
          <w:p w14:paraId="62D18368">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①是否已制定或具有相应的财务和业务管理制度；</w:t>
            </w:r>
          </w:p>
          <w:p w14:paraId="58CBD658">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②财务和业务管理制度是否合法、合规、完整。</w:t>
            </w:r>
          </w:p>
          <w:p w14:paraId="4185031C">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以上每条要素各占权重的50%，每有一条不符合，扣除对应的权重分，扣完为止。</w:t>
            </w:r>
          </w:p>
        </w:tc>
        <w:tc>
          <w:tcPr>
            <w:tcW w:w="952" w:type="dxa"/>
            <w:tcBorders>
              <w:top w:val="single" w:color="auto" w:sz="4" w:space="0"/>
              <w:left w:val="single" w:color="auto" w:sz="4" w:space="0"/>
              <w:bottom w:val="single" w:color="auto" w:sz="4" w:space="0"/>
              <w:right w:val="single" w:color="auto" w:sz="4" w:space="0"/>
            </w:tcBorders>
            <w:noWrap w:val="0"/>
            <w:vAlign w:val="center"/>
          </w:tcPr>
          <w:p w14:paraId="0AD9A054">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健全</w:t>
            </w:r>
          </w:p>
        </w:tc>
        <w:tc>
          <w:tcPr>
            <w:tcW w:w="508" w:type="dxa"/>
            <w:tcBorders>
              <w:top w:val="single" w:color="auto" w:sz="4" w:space="0"/>
              <w:left w:val="single" w:color="auto" w:sz="4" w:space="0"/>
              <w:bottom w:val="single" w:color="auto" w:sz="4" w:space="0"/>
              <w:right w:val="single" w:color="auto" w:sz="4" w:space="0"/>
            </w:tcBorders>
            <w:noWrap w:val="0"/>
            <w:vAlign w:val="center"/>
          </w:tcPr>
          <w:p w14:paraId="0AB3D868">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3</w:t>
            </w:r>
          </w:p>
        </w:tc>
      </w:tr>
      <w:tr w14:paraId="03EB4A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722" w:type="dxa"/>
            <w:vMerge w:val="continue"/>
            <w:tcBorders>
              <w:top w:val="single" w:color="auto" w:sz="4" w:space="0"/>
              <w:left w:val="single" w:color="auto" w:sz="4" w:space="0"/>
              <w:bottom w:val="single" w:color="auto" w:sz="4" w:space="0"/>
              <w:right w:val="single" w:color="auto" w:sz="4" w:space="0"/>
            </w:tcBorders>
            <w:noWrap w:val="0"/>
            <w:vAlign w:val="center"/>
          </w:tcPr>
          <w:p w14:paraId="405F9009">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500" w:type="dxa"/>
            <w:vMerge w:val="continue"/>
            <w:tcBorders>
              <w:top w:val="single" w:color="auto" w:sz="4" w:space="0"/>
              <w:left w:val="single" w:color="auto" w:sz="4" w:space="0"/>
              <w:bottom w:val="single" w:color="auto" w:sz="4" w:space="0"/>
              <w:right w:val="single" w:color="auto" w:sz="4" w:space="0"/>
            </w:tcBorders>
            <w:noWrap w:val="0"/>
            <w:vAlign w:val="center"/>
          </w:tcPr>
          <w:p w14:paraId="471BA7CB">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04DAE289">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553" w:type="dxa"/>
            <w:vMerge w:val="continue"/>
            <w:tcBorders>
              <w:top w:val="single" w:color="auto" w:sz="4" w:space="0"/>
              <w:left w:val="single" w:color="auto" w:sz="4" w:space="0"/>
              <w:bottom w:val="single" w:color="auto" w:sz="4" w:space="0"/>
              <w:right w:val="single" w:color="auto" w:sz="4" w:space="0"/>
            </w:tcBorders>
            <w:noWrap w:val="0"/>
            <w:vAlign w:val="center"/>
          </w:tcPr>
          <w:p w14:paraId="6CF5BEF1">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730" w:type="dxa"/>
            <w:tcBorders>
              <w:top w:val="single" w:color="auto" w:sz="4" w:space="0"/>
              <w:left w:val="single" w:color="auto" w:sz="4" w:space="0"/>
              <w:bottom w:val="single" w:color="auto" w:sz="4" w:space="0"/>
              <w:right w:val="single" w:color="auto" w:sz="4" w:space="0"/>
            </w:tcBorders>
            <w:noWrap w:val="0"/>
            <w:vAlign w:val="center"/>
          </w:tcPr>
          <w:p w14:paraId="5B7E634E">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制度执行有效性</w:t>
            </w:r>
          </w:p>
        </w:tc>
        <w:tc>
          <w:tcPr>
            <w:tcW w:w="553" w:type="dxa"/>
            <w:tcBorders>
              <w:top w:val="single" w:color="auto" w:sz="4" w:space="0"/>
              <w:left w:val="single" w:color="auto" w:sz="4" w:space="0"/>
              <w:bottom w:val="single" w:color="auto" w:sz="4" w:space="0"/>
              <w:right w:val="single" w:color="auto" w:sz="4" w:space="0"/>
            </w:tcBorders>
            <w:noWrap w:val="0"/>
            <w:vAlign w:val="center"/>
          </w:tcPr>
          <w:p w14:paraId="1C770C27">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3</w:t>
            </w:r>
          </w:p>
        </w:tc>
        <w:tc>
          <w:tcPr>
            <w:tcW w:w="2875" w:type="dxa"/>
            <w:tcBorders>
              <w:top w:val="single" w:color="auto" w:sz="4" w:space="0"/>
              <w:left w:val="single" w:color="auto" w:sz="4" w:space="0"/>
              <w:bottom w:val="single" w:color="auto" w:sz="4" w:space="0"/>
              <w:right w:val="single" w:color="auto" w:sz="4" w:space="0"/>
            </w:tcBorders>
            <w:noWrap w:val="0"/>
            <w:vAlign w:val="center"/>
          </w:tcPr>
          <w:p w14:paraId="1C925D02">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项目实施是否符合相关管理规定，用以反映和考核相关管理制度的有效执行情况。</w:t>
            </w:r>
          </w:p>
        </w:tc>
        <w:tc>
          <w:tcPr>
            <w:tcW w:w="1118" w:type="dxa"/>
            <w:tcBorders>
              <w:top w:val="single" w:color="auto" w:sz="4" w:space="0"/>
              <w:left w:val="single" w:color="auto" w:sz="4" w:space="0"/>
              <w:bottom w:val="single" w:color="auto" w:sz="4" w:space="0"/>
              <w:right w:val="single" w:color="auto" w:sz="4" w:space="0"/>
            </w:tcBorders>
            <w:noWrap w:val="0"/>
            <w:vAlign w:val="center"/>
          </w:tcPr>
          <w:p w14:paraId="42C313B1">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有效</w:t>
            </w:r>
          </w:p>
        </w:tc>
        <w:tc>
          <w:tcPr>
            <w:tcW w:w="4272" w:type="dxa"/>
            <w:tcBorders>
              <w:top w:val="single" w:color="auto" w:sz="4" w:space="0"/>
              <w:left w:val="single" w:color="auto" w:sz="4" w:space="0"/>
              <w:bottom w:val="single" w:color="auto" w:sz="4" w:space="0"/>
              <w:right w:val="single" w:color="auto" w:sz="4" w:space="0"/>
            </w:tcBorders>
            <w:noWrap w:val="0"/>
            <w:vAlign w:val="center"/>
          </w:tcPr>
          <w:p w14:paraId="2FB6E02B">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①否遵守相关法律法规和相关管理规定；</w:t>
            </w:r>
          </w:p>
          <w:p w14:paraId="46E1167B">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②项目调整及支出调整手续是否完备；</w:t>
            </w:r>
          </w:p>
          <w:p w14:paraId="2F8719BC">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③项目资料是否齐全并及时归档。</w:t>
            </w:r>
          </w:p>
          <w:p w14:paraId="4DBF790C">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①②③齐全得权重分的100%，缺①扣权重分的30%，缺②扣权重分的40%，缺③扣权重分的30%。</w:t>
            </w:r>
          </w:p>
        </w:tc>
        <w:tc>
          <w:tcPr>
            <w:tcW w:w="952" w:type="dxa"/>
            <w:tcBorders>
              <w:top w:val="single" w:color="auto" w:sz="4" w:space="0"/>
              <w:left w:val="single" w:color="auto" w:sz="4" w:space="0"/>
              <w:bottom w:val="single" w:color="auto" w:sz="4" w:space="0"/>
              <w:right w:val="single" w:color="auto" w:sz="4" w:space="0"/>
            </w:tcBorders>
            <w:noWrap w:val="0"/>
            <w:vAlign w:val="center"/>
          </w:tcPr>
          <w:p w14:paraId="7DE304B4">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有效</w:t>
            </w:r>
          </w:p>
        </w:tc>
        <w:tc>
          <w:tcPr>
            <w:tcW w:w="508" w:type="dxa"/>
            <w:tcBorders>
              <w:top w:val="single" w:color="auto" w:sz="4" w:space="0"/>
              <w:left w:val="single" w:color="auto" w:sz="4" w:space="0"/>
              <w:bottom w:val="single" w:color="auto" w:sz="4" w:space="0"/>
              <w:right w:val="single" w:color="auto" w:sz="4" w:space="0"/>
            </w:tcBorders>
            <w:noWrap w:val="0"/>
            <w:vAlign w:val="center"/>
          </w:tcPr>
          <w:p w14:paraId="66A60A72">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3</w:t>
            </w:r>
          </w:p>
        </w:tc>
      </w:tr>
      <w:tr w14:paraId="056CF6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22" w:type="dxa"/>
            <w:vMerge w:val="restart"/>
            <w:tcBorders>
              <w:top w:val="single" w:color="auto" w:sz="4" w:space="0"/>
              <w:left w:val="single" w:color="auto" w:sz="4" w:space="0"/>
              <w:bottom w:val="single" w:color="auto" w:sz="4" w:space="0"/>
              <w:right w:val="single" w:color="auto" w:sz="4" w:space="0"/>
            </w:tcBorders>
            <w:noWrap w:val="0"/>
            <w:vAlign w:val="center"/>
          </w:tcPr>
          <w:p w14:paraId="4DC81431">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bookmarkStart w:id="18" w:name="OLE_LINK7" w:colFirst="0" w:colLast="10"/>
            <w:r>
              <w:rPr>
                <w:rFonts w:hint="eastAsia" w:ascii="宋体" w:hAnsi="宋体" w:eastAsia="宋体" w:cs="宋体"/>
                <w:i w:val="0"/>
                <w:iCs w:val="0"/>
                <w:color w:val="000000"/>
                <w:kern w:val="0"/>
                <w:sz w:val="18"/>
                <w:szCs w:val="18"/>
                <w:highlight w:val="none"/>
                <w:u w:val="none"/>
                <w:lang w:val="en-US" w:eastAsia="zh-CN"/>
              </w:rPr>
              <w:t>项目产出</w:t>
            </w:r>
          </w:p>
        </w:tc>
        <w:tc>
          <w:tcPr>
            <w:tcW w:w="500" w:type="dxa"/>
            <w:vMerge w:val="restart"/>
            <w:tcBorders>
              <w:top w:val="single" w:color="auto" w:sz="4" w:space="0"/>
              <w:left w:val="single" w:color="auto" w:sz="4" w:space="0"/>
              <w:bottom w:val="single" w:color="auto" w:sz="4" w:space="0"/>
              <w:right w:val="single" w:color="auto" w:sz="4" w:space="0"/>
            </w:tcBorders>
            <w:noWrap w:val="0"/>
            <w:vAlign w:val="center"/>
          </w:tcPr>
          <w:p w14:paraId="7E195711">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40</w:t>
            </w:r>
          </w:p>
        </w:tc>
        <w:tc>
          <w:tcPr>
            <w:tcW w:w="585" w:type="dxa"/>
            <w:vMerge w:val="restart"/>
            <w:tcBorders>
              <w:top w:val="single" w:color="auto" w:sz="4" w:space="0"/>
              <w:left w:val="single" w:color="auto" w:sz="4" w:space="0"/>
              <w:right w:val="single" w:color="auto" w:sz="4" w:space="0"/>
            </w:tcBorders>
            <w:noWrap w:val="0"/>
            <w:vAlign w:val="center"/>
          </w:tcPr>
          <w:p w14:paraId="769F00F3">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产出数量</w:t>
            </w:r>
          </w:p>
        </w:tc>
        <w:tc>
          <w:tcPr>
            <w:tcW w:w="553" w:type="dxa"/>
            <w:vMerge w:val="restart"/>
            <w:tcBorders>
              <w:top w:val="single" w:color="auto" w:sz="4" w:space="0"/>
              <w:left w:val="single" w:color="auto" w:sz="4" w:space="0"/>
              <w:right w:val="single" w:color="auto" w:sz="4" w:space="0"/>
            </w:tcBorders>
            <w:noWrap w:val="0"/>
            <w:vAlign w:val="center"/>
          </w:tcPr>
          <w:p w14:paraId="7A54093D">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10</w:t>
            </w:r>
          </w:p>
        </w:tc>
        <w:tc>
          <w:tcPr>
            <w:tcW w:w="730" w:type="dxa"/>
            <w:vMerge w:val="restart"/>
            <w:tcBorders>
              <w:top w:val="single" w:color="auto" w:sz="4" w:space="0"/>
              <w:left w:val="single" w:color="auto" w:sz="4" w:space="0"/>
              <w:right w:val="single" w:color="auto" w:sz="4" w:space="0"/>
            </w:tcBorders>
            <w:noWrap w:val="0"/>
            <w:vAlign w:val="center"/>
          </w:tcPr>
          <w:p w14:paraId="61305E25">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实际完成率</w:t>
            </w:r>
          </w:p>
        </w:tc>
        <w:tc>
          <w:tcPr>
            <w:tcW w:w="553" w:type="dxa"/>
            <w:vMerge w:val="restart"/>
            <w:tcBorders>
              <w:top w:val="single" w:color="auto" w:sz="4" w:space="0"/>
              <w:left w:val="single" w:color="auto" w:sz="4" w:space="0"/>
              <w:right w:val="single" w:color="auto" w:sz="4" w:space="0"/>
            </w:tcBorders>
            <w:noWrap w:val="0"/>
            <w:vAlign w:val="center"/>
          </w:tcPr>
          <w:p w14:paraId="1B25709E">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10</w:t>
            </w:r>
          </w:p>
        </w:tc>
        <w:tc>
          <w:tcPr>
            <w:tcW w:w="2875" w:type="dxa"/>
            <w:tcBorders>
              <w:top w:val="single" w:color="auto" w:sz="4" w:space="0"/>
              <w:left w:val="single" w:color="auto" w:sz="4" w:space="0"/>
              <w:bottom w:val="single" w:color="auto" w:sz="4" w:space="0"/>
              <w:right w:val="single" w:color="auto" w:sz="4" w:space="0"/>
            </w:tcBorders>
            <w:noWrap w:val="0"/>
            <w:vAlign w:val="center"/>
          </w:tcPr>
          <w:p w14:paraId="00FDC072">
            <w:pPr>
              <w:keepNext w:val="0"/>
              <w:keepLines w:val="0"/>
              <w:widowControl/>
              <w:suppressLineNumbers w:val="0"/>
              <w:shd w:val="clear" w:color="auto" w:fill="auto"/>
              <w:ind w:firstLine="400" w:firstLineChars="20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20"/>
                <w:szCs w:val="20"/>
                <w:highlight w:val="none"/>
                <w:u w:val="none"/>
                <w:lang w:val="en-US" w:eastAsia="zh-CN"/>
              </w:rPr>
              <w:t>补贴种公羊数量</w:t>
            </w:r>
          </w:p>
        </w:tc>
        <w:tc>
          <w:tcPr>
            <w:tcW w:w="1118" w:type="dxa"/>
            <w:tcBorders>
              <w:top w:val="single" w:color="auto" w:sz="4" w:space="0"/>
              <w:left w:val="single" w:color="auto" w:sz="4" w:space="0"/>
              <w:bottom w:val="single" w:color="auto" w:sz="4" w:space="0"/>
              <w:right w:val="single" w:color="auto" w:sz="4" w:space="0"/>
            </w:tcBorders>
            <w:noWrap w:val="0"/>
            <w:vAlign w:val="center"/>
          </w:tcPr>
          <w:p w14:paraId="009563EC">
            <w:pPr>
              <w:keepNext w:val="0"/>
              <w:keepLines w:val="0"/>
              <w:widowControl/>
              <w:suppressLineNumbers w:val="0"/>
              <w:shd w:val="clear" w:color="auto" w:fill="auto"/>
              <w:ind w:left="0" w:leftChars="0" w:firstLine="0" w:firstLineChars="0"/>
              <w:jc w:val="both"/>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20"/>
                <w:szCs w:val="20"/>
                <w:highlight w:val="none"/>
                <w:u w:val="none"/>
                <w:lang w:val="en-US" w:eastAsia="zh-CN"/>
              </w:rPr>
              <w:t>=425只</w:t>
            </w:r>
          </w:p>
        </w:tc>
        <w:tc>
          <w:tcPr>
            <w:tcW w:w="4272" w:type="dxa"/>
            <w:vMerge w:val="restart"/>
            <w:tcBorders>
              <w:top w:val="single" w:color="auto" w:sz="4" w:space="0"/>
              <w:left w:val="single" w:color="auto" w:sz="4" w:space="0"/>
              <w:right w:val="single" w:color="auto" w:sz="4" w:space="0"/>
            </w:tcBorders>
            <w:noWrap w:val="0"/>
            <w:vAlign w:val="center"/>
          </w:tcPr>
          <w:p w14:paraId="71745774">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实际完成率=（实际完成/预期完成）×100%。</w:t>
            </w:r>
            <w:r>
              <w:rPr>
                <w:rFonts w:hint="eastAsia" w:ascii="宋体" w:hAnsi="宋体" w:eastAsia="宋体" w:cs="宋体"/>
                <w:i w:val="0"/>
                <w:iCs w:val="0"/>
                <w:color w:val="000000"/>
                <w:kern w:val="0"/>
                <w:sz w:val="18"/>
                <w:szCs w:val="18"/>
                <w:highlight w:val="none"/>
                <w:u w:val="none"/>
                <w:lang w:val="en-US" w:eastAsia="zh-CN"/>
              </w:rPr>
              <w:br w:type="textWrapping"/>
            </w:r>
            <w:r>
              <w:rPr>
                <w:rFonts w:hint="eastAsia" w:ascii="宋体" w:hAnsi="宋体" w:eastAsia="宋体" w:cs="宋体"/>
                <w:i w:val="0"/>
                <w:iCs w:val="0"/>
                <w:color w:val="000000"/>
                <w:kern w:val="0"/>
                <w:sz w:val="18"/>
                <w:szCs w:val="18"/>
                <w:highlight w:val="none"/>
                <w:u w:val="none"/>
                <w:lang w:val="en-US" w:eastAsia="zh-CN"/>
              </w:rPr>
              <w:t>①实际完成率≥100%，且偏离程度＜20%，得满分；</w:t>
            </w:r>
            <w:r>
              <w:rPr>
                <w:rFonts w:hint="eastAsia" w:ascii="宋体" w:hAnsi="宋体" w:eastAsia="宋体" w:cs="宋体"/>
                <w:i w:val="0"/>
                <w:iCs w:val="0"/>
                <w:color w:val="000000"/>
                <w:kern w:val="0"/>
                <w:sz w:val="18"/>
                <w:szCs w:val="18"/>
                <w:highlight w:val="none"/>
                <w:u w:val="none"/>
                <w:lang w:val="en-US" w:eastAsia="zh-CN"/>
              </w:rPr>
              <w:br w:type="textWrapping"/>
            </w:r>
            <w:r>
              <w:rPr>
                <w:rFonts w:hint="eastAsia" w:ascii="宋体" w:hAnsi="宋体" w:eastAsia="宋体" w:cs="宋体"/>
                <w:i w:val="0"/>
                <w:iCs w:val="0"/>
                <w:color w:val="000000"/>
                <w:kern w:val="0"/>
                <w:sz w:val="18"/>
                <w:szCs w:val="18"/>
                <w:highlight w:val="none"/>
                <w:u w:val="none"/>
                <w:lang w:val="en-US" w:eastAsia="zh-CN"/>
              </w:rPr>
              <w:t>②实际完成率≥100%，偏离程度≥20%，得0分；</w:t>
            </w:r>
            <w:r>
              <w:rPr>
                <w:rFonts w:hint="eastAsia" w:ascii="宋体" w:hAnsi="宋体" w:eastAsia="宋体" w:cs="宋体"/>
                <w:i w:val="0"/>
                <w:iCs w:val="0"/>
                <w:color w:val="000000"/>
                <w:kern w:val="0"/>
                <w:sz w:val="18"/>
                <w:szCs w:val="18"/>
                <w:highlight w:val="none"/>
                <w:u w:val="none"/>
                <w:lang w:val="en-US" w:eastAsia="zh-CN"/>
              </w:rPr>
              <w:br w:type="textWrapping"/>
            </w:r>
            <w:r>
              <w:rPr>
                <w:rFonts w:hint="eastAsia" w:ascii="宋体" w:hAnsi="宋体" w:eastAsia="宋体" w:cs="宋体"/>
                <w:i w:val="0"/>
                <w:iCs w:val="0"/>
                <w:color w:val="000000"/>
                <w:kern w:val="0"/>
                <w:sz w:val="18"/>
                <w:szCs w:val="18"/>
                <w:highlight w:val="none"/>
                <w:u w:val="none"/>
                <w:lang w:val="en-US" w:eastAsia="zh-CN"/>
              </w:rPr>
              <w:t>③实际完成率×100%＜100%，得分=实际完成率×指标分值。</w:t>
            </w:r>
          </w:p>
        </w:tc>
        <w:tc>
          <w:tcPr>
            <w:tcW w:w="952" w:type="dxa"/>
            <w:tcBorders>
              <w:top w:val="single" w:color="auto" w:sz="4" w:space="0"/>
              <w:left w:val="single" w:color="auto" w:sz="4" w:space="0"/>
              <w:bottom w:val="single" w:color="auto" w:sz="4" w:space="0"/>
              <w:right w:val="single" w:color="auto" w:sz="4" w:space="0"/>
            </w:tcBorders>
            <w:noWrap w:val="0"/>
            <w:vAlign w:val="center"/>
          </w:tcPr>
          <w:p w14:paraId="2363F269">
            <w:pPr>
              <w:keepNext w:val="0"/>
              <w:keepLines w:val="0"/>
              <w:widowControl/>
              <w:suppressLineNumbers w:val="0"/>
              <w:shd w:val="clear" w:color="auto" w:fill="auto"/>
              <w:ind w:left="0" w:leftChars="0" w:firstLine="0" w:firstLineChars="0"/>
              <w:jc w:val="both"/>
              <w:textAlignment w:val="center"/>
              <w:rPr>
                <w:rFonts w:hint="default"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20"/>
                <w:szCs w:val="20"/>
                <w:highlight w:val="none"/>
                <w:u w:val="none"/>
                <w:lang w:val="en-US" w:eastAsia="zh-CN"/>
              </w:rPr>
              <w:t>425只</w:t>
            </w:r>
          </w:p>
        </w:tc>
        <w:tc>
          <w:tcPr>
            <w:tcW w:w="508" w:type="dxa"/>
            <w:tcBorders>
              <w:top w:val="single" w:color="auto" w:sz="4" w:space="0"/>
              <w:left w:val="single" w:color="auto" w:sz="4" w:space="0"/>
              <w:bottom w:val="single" w:color="auto" w:sz="4" w:space="0"/>
              <w:right w:val="single" w:color="auto" w:sz="4" w:space="0"/>
            </w:tcBorders>
            <w:noWrap w:val="0"/>
            <w:vAlign w:val="center"/>
          </w:tcPr>
          <w:p w14:paraId="5FF3A48D">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10</w:t>
            </w:r>
          </w:p>
        </w:tc>
      </w:tr>
      <w:tr w14:paraId="606C79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22" w:type="dxa"/>
            <w:vMerge w:val="continue"/>
            <w:tcBorders>
              <w:left w:val="single" w:color="auto" w:sz="4" w:space="0"/>
              <w:right w:val="single" w:color="auto" w:sz="4" w:space="0"/>
            </w:tcBorders>
            <w:noWrap w:val="0"/>
            <w:vAlign w:val="center"/>
          </w:tcPr>
          <w:p w14:paraId="206DD880">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500" w:type="dxa"/>
            <w:vMerge w:val="continue"/>
            <w:tcBorders>
              <w:left w:val="single" w:color="auto" w:sz="4" w:space="0"/>
              <w:right w:val="single" w:color="auto" w:sz="4" w:space="0"/>
            </w:tcBorders>
            <w:noWrap w:val="0"/>
            <w:vAlign w:val="center"/>
          </w:tcPr>
          <w:p w14:paraId="789C1ED2">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585" w:type="dxa"/>
            <w:vMerge w:val="continue"/>
            <w:tcBorders>
              <w:left w:val="single" w:color="auto" w:sz="4" w:space="0"/>
              <w:bottom w:val="single" w:color="auto" w:sz="4" w:space="0"/>
              <w:right w:val="single" w:color="auto" w:sz="4" w:space="0"/>
            </w:tcBorders>
            <w:noWrap w:val="0"/>
            <w:vAlign w:val="center"/>
          </w:tcPr>
          <w:p w14:paraId="5F47C95E">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553" w:type="dxa"/>
            <w:vMerge w:val="continue"/>
            <w:tcBorders>
              <w:left w:val="single" w:color="auto" w:sz="4" w:space="0"/>
              <w:bottom w:val="single" w:color="auto" w:sz="4" w:space="0"/>
              <w:right w:val="single" w:color="auto" w:sz="4" w:space="0"/>
            </w:tcBorders>
            <w:noWrap w:val="0"/>
            <w:vAlign w:val="center"/>
          </w:tcPr>
          <w:p w14:paraId="54A164A0">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730" w:type="dxa"/>
            <w:vMerge w:val="continue"/>
            <w:tcBorders>
              <w:left w:val="single" w:color="auto" w:sz="4" w:space="0"/>
              <w:bottom w:val="single" w:color="auto" w:sz="4" w:space="0"/>
              <w:right w:val="single" w:color="auto" w:sz="4" w:space="0"/>
            </w:tcBorders>
            <w:noWrap w:val="0"/>
            <w:vAlign w:val="center"/>
          </w:tcPr>
          <w:p w14:paraId="0A09B53B">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553" w:type="dxa"/>
            <w:vMerge w:val="continue"/>
            <w:tcBorders>
              <w:left w:val="single" w:color="auto" w:sz="4" w:space="0"/>
              <w:bottom w:val="single" w:color="auto" w:sz="4" w:space="0"/>
              <w:right w:val="single" w:color="auto" w:sz="4" w:space="0"/>
            </w:tcBorders>
            <w:noWrap w:val="0"/>
            <w:vAlign w:val="center"/>
          </w:tcPr>
          <w:p w14:paraId="354D36C4">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2875" w:type="dxa"/>
            <w:tcBorders>
              <w:top w:val="single" w:color="auto" w:sz="4" w:space="0"/>
              <w:left w:val="single" w:color="auto" w:sz="4" w:space="0"/>
              <w:bottom w:val="single" w:color="auto" w:sz="4" w:space="0"/>
              <w:right w:val="single" w:color="auto" w:sz="4" w:space="0"/>
            </w:tcBorders>
            <w:noWrap w:val="0"/>
            <w:vAlign w:val="center"/>
          </w:tcPr>
          <w:p w14:paraId="322556CF">
            <w:pPr>
              <w:keepNext w:val="0"/>
              <w:keepLines w:val="0"/>
              <w:widowControl/>
              <w:suppressLineNumbers w:val="0"/>
              <w:shd w:val="clear" w:color="auto" w:fill="auto"/>
              <w:ind w:firstLine="400" w:firstLineChars="20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20"/>
                <w:szCs w:val="20"/>
                <w:highlight w:val="none"/>
                <w:u w:val="none"/>
                <w:lang w:val="en-US" w:eastAsia="zh-CN"/>
              </w:rPr>
              <w:t>设备购置数量</w:t>
            </w:r>
          </w:p>
        </w:tc>
        <w:tc>
          <w:tcPr>
            <w:tcW w:w="1118" w:type="dxa"/>
            <w:tcBorders>
              <w:top w:val="single" w:color="auto" w:sz="4" w:space="0"/>
              <w:left w:val="single" w:color="auto" w:sz="4" w:space="0"/>
              <w:bottom w:val="single" w:color="auto" w:sz="4" w:space="0"/>
              <w:right w:val="single" w:color="auto" w:sz="4" w:space="0"/>
            </w:tcBorders>
            <w:noWrap w:val="0"/>
            <w:vAlign w:val="center"/>
          </w:tcPr>
          <w:p w14:paraId="7F010E84">
            <w:pPr>
              <w:keepNext w:val="0"/>
              <w:keepLines w:val="0"/>
              <w:widowControl/>
              <w:suppressLineNumbers w:val="0"/>
              <w:shd w:val="clear" w:color="auto" w:fill="auto"/>
              <w:ind w:left="0" w:leftChars="0" w:firstLine="0" w:firstLineChars="0"/>
              <w:jc w:val="both"/>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20"/>
                <w:szCs w:val="20"/>
                <w:highlight w:val="none"/>
                <w:u w:val="none"/>
                <w:lang w:val="en-US" w:eastAsia="zh-CN"/>
              </w:rPr>
              <w:t>=14000支</w:t>
            </w:r>
          </w:p>
        </w:tc>
        <w:tc>
          <w:tcPr>
            <w:tcW w:w="4272" w:type="dxa"/>
            <w:vMerge w:val="continue"/>
            <w:tcBorders>
              <w:left w:val="single" w:color="auto" w:sz="4" w:space="0"/>
              <w:bottom w:val="single" w:color="auto" w:sz="4" w:space="0"/>
              <w:right w:val="single" w:color="auto" w:sz="4" w:space="0"/>
            </w:tcBorders>
            <w:noWrap w:val="0"/>
            <w:vAlign w:val="center"/>
          </w:tcPr>
          <w:p w14:paraId="38370255">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p>
        </w:tc>
        <w:tc>
          <w:tcPr>
            <w:tcW w:w="952" w:type="dxa"/>
            <w:tcBorders>
              <w:top w:val="single" w:color="auto" w:sz="4" w:space="0"/>
              <w:left w:val="single" w:color="auto" w:sz="4" w:space="0"/>
              <w:bottom w:val="single" w:color="auto" w:sz="4" w:space="0"/>
              <w:right w:val="single" w:color="auto" w:sz="4" w:space="0"/>
            </w:tcBorders>
            <w:noWrap w:val="0"/>
            <w:vAlign w:val="center"/>
          </w:tcPr>
          <w:p w14:paraId="14BE8479">
            <w:pPr>
              <w:keepNext w:val="0"/>
              <w:keepLines w:val="0"/>
              <w:widowControl/>
              <w:suppressLineNumbers w:val="0"/>
              <w:shd w:val="clear" w:color="auto" w:fill="auto"/>
              <w:ind w:left="0" w:leftChars="0" w:firstLine="0" w:firstLineChars="0"/>
              <w:jc w:val="both"/>
              <w:textAlignment w:val="center"/>
              <w:rPr>
                <w:rFonts w:hint="default"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20"/>
                <w:szCs w:val="20"/>
                <w:highlight w:val="none"/>
                <w:u w:val="none"/>
                <w:lang w:val="en-US" w:eastAsia="zh-CN"/>
              </w:rPr>
              <w:t>14000支</w:t>
            </w:r>
          </w:p>
        </w:tc>
        <w:tc>
          <w:tcPr>
            <w:tcW w:w="508" w:type="dxa"/>
            <w:tcBorders>
              <w:top w:val="single" w:color="auto" w:sz="4" w:space="0"/>
              <w:left w:val="single" w:color="auto" w:sz="4" w:space="0"/>
              <w:bottom w:val="single" w:color="auto" w:sz="4" w:space="0"/>
              <w:right w:val="single" w:color="auto" w:sz="4" w:space="0"/>
            </w:tcBorders>
            <w:noWrap w:val="0"/>
            <w:vAlign w:val="center"/>
          </w:tcPr>
          <w:p w14:paraId="4CBE0DEC">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r>
      <w:tr w14:paraId="592F16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2" w:type="dxa"/>
            <w:vMerge w:val="continue"/>
            <w:tcBorders>
              <w:top w:val="single" w:color="auto" w:sz="4" w:space="0"/>
              <w:left w:val="single" w:color="auto" w:sz="4" w:space="0"/>
              <w:bottom w:val="single" w:color="auto" w:sz="4" w:space="0"/>
              <w:right w:val="single" w:color="auto" w:sz="4" w:space="0"/>
            </w:tcBorders>
            <w:noWrap w:val="0"/>
            <w:vAlign w:val="center"/>
          </w:tcPr>
          <w:p w14:paraId="3AC38944">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500" w:type="dxa"/>
            <w:vMerge w:val="continue"/>
            <w:tcBorders>
              <w:top w:val="single" w:color="auto" w:sz="4" w:space="0"/>
              <w:left w:val="single" w:color="auto" w:sz="4" w:space="0"/>
              <w:bottom w:val="single" w:color="auto" w:sz="4" w:space="0"/>
              <w:right w:val="single" w:color="auto" w:sz="4" w:space="0"/>
            </w:tcBorders>
            <w:noWrap w:val="0"/>
            <w:vAlign w:val="center"/>
          </w:tcPr>
          <w:p w14:paraId="74C8E4B1">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585" w:type="dxa"/>
            <w:vMerge w:val="restart"/>
            <w:tcBorders>
              <w:top w:val="single" w:color="auto" w:sz="4" w:space="0"/>
              <w:left w:val="single" w:color="auto" w:sz="4" w:space="0"/>
              <w:right w:val="single" w:color="auto" w:sz="4" w:space="0"/>
            </w:tcBorders>
            <w:noWrap w:val="0"/>
            <w:vAlign w:val="center"/>
          </w:tcPr>
          <w:p w14:paraId="3AFAF728">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产出质量</w:t>
            </w:r>
          </w:p>
        </w:tc>
        <w:tc>
          <w:tcPr>
            <w:tcW w:w="553" w:type="dxa"/>
            <w:vMerge w:val="restart"/>
            <w:tcBorders>
              <w:top w:val="single" w:color="auto" w:sz="4" w:space="0"/>
              <w:left w:val="single" w:color="auto" w:sz="4" w:space="0"/>
              <w:right w:val="single" w:color="auto" w:sz="4" w:space="0"/>
            </w:tcBorders>
            <w:noWrap w:val="0"/>
            <w:vAlign w:val="center"/>
          </w:tcPr>
          <w:p w14:paraId="6D908DDC">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10</w:t>
            </w:r>
          </w:p>
        </w:tc>
        <w:tc>
          <w:tcPr>
            <w:tcW w:w="730" w:type="dxa"/>
            <w:vMerge w:val="restart"/>
            <w:tcBorders>
              <w:top w:val="single" w:color="auto" w:sz="4" w:space="0"/>
              <w:left w:val="single" w:color="auto" w:sz="4" w:space="0"/>
              <w:right w:val="single" w:color="auto" w:sz="4" w:space="0"/>
            </w:tcBorders>
            <w:noWrap w:val="0"/>
            <w:vAlign w:val="center"/>
          </w:tcPr>
          <w:p w14:paraId="365EE69C">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质量达标率</w:t>
            </w:r>
          </w:p>
        </w:tc>
        <w:tc>
          <w:tcPr>
            <w:tcW w:w="553" w:type="dxa"/>
            <w:tcBorders>
              <w:top w:val="single" w:color="auto" w:sz="4" w:space="0"/>
              <w:left w:val="single" w:color="auto" w:sz="4" w:space="0"/>
              <w:bottom w:val="single" w:color="auto" w:sz="4" w:space="0"/>
              <w:right w:val="single" w:color="auto" w:sz="4" w:space="0"/>
            </w:tcBorders>
            <w:noWrap w:val="0"/>
            <w:vAlign w:val="center"/>
          </w:tcPr>
          <w:p w14:paraId="50EB19FD">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5</w:t>
            </w:r>
          </w:p>
        </w:tc>
        <w:tc>
          <w:tcPr>
            <w:tcW w:w="2875" w:type="dxa"/>
            <w:tcBorders>
              <w:top w:val="single" w:color="auto" w:sz="4" w:space="0"/>
              <w:left w:val="single" w:color="auto" w:sz="4" w:space="0"/>
              <w:bottom w:val="single" w:color="auto" w:sz="4" w:space="0"/>
              <w:right w:val="single" w:color="auto" w:sz="4" w:space="0"/>
            </w:tcBorders>
            <w:noWrap w:val="0"/>
            <w:vAlign w:val="center"/>
          </w:tcPr>
          <w:p w14:paraId="1EBA663B">
            <w:pPr>
              <w:keepNext w:val="0"/>
              <w:keepLines w:val="0"/>
              <w:widowControl/>
              <w:suppressLineNumbers w:val="0"/>
              <w:shd w:val="clear" w:color="auto" w:fill="auto"/>
              <w:ind w:firstLine="400" w:firstLineChars="20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20"/>
                <w:szCs w:val="20"/>
                <w:highlight w:val="none"/>
                <w:u w:val="none"/>
                <w:lang w:val="en-US" w:eastAsia="zh-CN"/>
              </w:rPr>
              <w:t>资金使用合规率</w:t>
            </w:r>
          </w:p>
        </w:tc>
        <w:tc>
          <w:tcPr>
            <w:tcW w:w="1118" w:type="dxa"/>
            <w:tcBorders>
              <w:top w:val="single" w:color="auto" w:sz="4" w:space="0"/>
              <w:left w:val="single" w:color="auto" w:sz="4" w:space="0"/>
              <w:bottom w:val="single" w:color="auto" w:sz="4" w:space="0"/>
              <w:right w:val="single" w:color="auto" w:sz="4" w:space="0"/>
            </w:tcBorders>
            <w:noWrap w:val="0"/>
            <w:vAlign w:val="center"/>
          </w:tcPr>
          <w:p w14:paraId="0A77E0DC">
            <w:pPr>
              <w:keepNext w:val="0"/>
              <w:keepLines w:val="0"/>
              <w:widowControl/>
              <w:suppressLineNumbers w:val="0"/>
              <w:shd w:val="clear" w:color="auto" w:fill="auto"/>
              <w:ind w:left="0" w:leftChars="0" w:firstLine="0" w:firstLineChars="0"/>
              <w:jc w:val="both"/>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20"/>
                <w:szCs w:val="20"/>
                <w:highlight w:val="none"/>
                <w:u w:val="none"/>
                <w:lang w:val="en-US" w:eastAsia="zh-CN"/>
              </w:rPr>
              <w:t>=100%</w:t>
            </w:r>
          </w:p>
        </w:tc>
        <w:tc>
          <w:tcPr>
            <w:tcW w:w="4272" w:type="dxa"/>
            <w:vMerge w:val="restart"/>
            <w:tcBorders>
              <w:top w:val="single" w:color="auto" w:sz="4" w:space="0"/>
              <w:left w:val="single" w:color="auto" w:sz="4" w:space="0"/>
              <w:right w:val="single" w:color="auto" w:sz="4" w:space="0"/>
            </w:tcBorders>
            <w:noWrap w:val="0"/>
            <w:vAlign w:val="center"/>
          </w:tcPr>
          <w:p w14:paraId="75A23165">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若指标达到标杆值，则得100%权重分；否则，得分=（实际完成/预期完成）×100%×指标分值。</w:t>
            </w:r>
          </w:p>
          <w:p w14:paraId="79519ED3">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若指标完成值达到标杆值，则得100%权重分；否则，不得分。</w:t>
            </w:r>
          </w:p>
        </w:tc>
        <w:tc>
          <w:tcPr>
            <w:tcW w:w="952" w:type="dxa"/>
            <w:tcBorders>
              <w:top w:val="single" w:color="auto" w:sz="4" w:space="0"/>
              <w:left w:val="single" w:color="auto" w:sz="4" w:space="0"/>
              <w:bottom w:val="single" w:color="auto" w:sz="4" w:space="0"/>
              <w:right w:val="single" w:color="auto" w:sz="4" w:space="0"/>
            </w:tcBorders>
            <w:noWrap w:val="0"/>
            <w:vAlign w:val="center"/>
          </w:tcPr>
          <w:p w14:paraId="77AF5175">
            <w:pPr>
              <w:keepNext w:val="0"/>
              <w:keepLines w:val="0"/>
              <w:widowControl/>
              <w:suppressLineNumbers w:val="0"/>
              <w:shd w:val="clear" w:color="auto" w:fill="auto"/>
              <w:ind w:left="0" w:leftChars="0" w:firstLine="0" w:firstLineChars="0"/>
              <w:jc w:val="both"/>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20"/>
                <w:szCs w:val="20"/>
                <w:highlight w:val="none"/>
                <w:u w:val="none"/>
                <w:lang w:val="en-US" w:eastAsia="zh-CN"/>
              </w:rPr>
              <w:t>100%</w:t>
            </w:r>
          </w:p>
        </w:tc>
        <w:tc>
          <w:tcPr>
            <w:tcW w:w="508" w:type="dxa"/>
            <w:tcBorders>
              <w:top w:val="single" w:color="auto" w:sz="4" w:space="0"/>
              <w:left w:val="single" w:color="auto" w:sz="4" w:space="0"/>
              <w:bottom w:val="single" w:color="auto" w:sz="4" w:space="0"/>
              <w:right w:val="single" w:color="auto" w:sz="4" w:space="0"/>
            </w:tcBorders>
            <w:noWrap w:val="0"/>
            <w:vAlign w:val="center"/>
          </w:tcPr>
          <w:p w14:paraId="445C32A0">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5</w:t>
            </w:r>
          </w:p>
        </w:tc>
      </w:tr>
      <w:tr w14:paraId="05DF7F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2" w:type="dxa"/>
            <w:vMerge w:val="continue"/>
            <w:tcBorders>
              <w:left w:val="single" w:color="auto" w:sz="4" w:space="0"/>
              <w:bottom w:val="single" w:color="auto" w:sz="4" w:space="0"/>
              <w:right w:val="single" w:color="auto" w:sz="4" w:space="0"/>
            </w:tcBorders>
            <w:noWrap w:val="0"/>
            <w:vAlign w:val="center"/>
          </w:tcPr>
          <w:p w14:paraId="2D217D10">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highlight w:val="none"/>
              </w:rPr>
            </w:pPr>
          </w:p>
        </w:tc>
        <w:tc>
          <w:tcPr>
            <w:tcW w:w="500" w:type="dxa"/>
            <w:vMerge w:val="continue"/>
            <w:tcBorders>
              <w:left w:val="single" w:color="auto" w:sz="4" w:space="0"/>
              <w:bottom w:val="single" w:color="auto" w:sz="4" w:space="0"/>
              <w:right w:val="single" w:color="auto" w:sz="4" w:space="0"/>
            </w:tcBorders>
            <w:noWrap w:val="0"/>
            <w:vAlign w:val="center"/>
          </w:tcPr>
          <w:p w14:paraId="1453F67D">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highlight w:val="none"/>
              </w:rPr>
            </w:pPr>
          </w:p>
        </w:tc>
        <w:tc>
          <w:tcPr>
            <w:tcW w:w="585" w:type="dxa"/>
            <w:vMerge w:val="continue"/>
            <w:tcBorders>
              <w:left w:val="single" w:color="auto" w:sz="4" w:space="0"/>
              <w:bottom w:val="single" w:color="auto" w:sz="4" w:space="0"/>
              <w:right w:val="single" w:color="auto" w:sz="4" w:space="0"/>
            </w:tcBorders>
            <w:noWrap w:val="0"/>
            <w:vAlign w:val="center"/>
          </w:tcPr>
          <w:p w14:paraId="148D526B">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highlight w:val="none"/>
              </w:rPr>
            </w:pPr>
          </w:p>
        </w:tc>
        <w:tc>
          <w:tcPr>
            <w:tcW w:w="553" w:type="dxa"/>
            <w:vMerge w:val="continue"/>
            <w:tcBorders>
              <w:left w:val="single" w:color="auto" w:sz="4" w:space="0"/>
              <w:bottom w:val="single" w:color="auto" w:sz="4" w:space="0"/>
              <w:right w:val="single" w:color="auto" w:sz="4" w:space="0"/>
            </w:tcBorders>
            <w:noWrap w:val="0"/>
            <w:vAlign w:val="center"/>
          </w:tcPr>
          <w:p w14:paraId="770E590F">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highlight w:val="none"/>
              </w:rPr>
            </w:pPr>
          </w:p>
        </w:tc>
        <w:tc>
          <w:tcPr>
            <w:tcW w:w="730" w:type="dxa"/>
            <w:vMerge w:val="continue"/>
            <w:tcBorders>
              <w:left w:val="single" w:color="auto" w:sz="4" w:space="0"/>
              <w:bottom w:val="single" w:color="auto" w:sz="4" w:space="0"/>
              <w:right w:val="single" w:color="auto" w:sz="4" w:space="0"/>
            </w:tcBorders>
            <w:noWrap w:val="0"/>
            <w:vAlign w:val="center"/>
          </w:tcPr>
          <w:p w14:paraId="4C30035A">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highlight w:val="none"/>
              </w:rPr>
            </w:pPr>
          </w:p>
        </w:tc>
        <w:tc>
          <w:tcPr>
            <w:tcW w:w="553" w:type="dxa"/>
            <w:tcBorders>
              <w:top w:val="single" w:color="auto" w:sz="4" w:space="0"/>
              <w:left w:val="single" w:color="auto" w:sz="4" w:space="0"/>
              <w:bottom w:val="single" w:color="auto" w:sz="4" w:space="0"/>
              <w:right w:val="single" w:color="auto" w:sz="4" w:space="0"/>
            </w:tcBorders>
            <w:noWrap w:val="0"/>
            <w:vAlign w:val="center"/>
          </w:tcPr>
          <w:p w14:paraId="251563D2">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5</w:t>
            </w:r>
          </w:p>
        </w:tc>
        <w:tc>
          <w:tcPr>
            <w:tcW w:w="2875" w:type="dxa"/>
            <w:tcBorders>
              <w:top w:val="single" w:color="auto" w:sz="4" w:space="0"/>
              <w:left w:val="single" w:color="auto" w:sz="4" w:space="0"/>
              <w:bottom w:val="single" w:color="auto" w:sz="4" w:space="0"/>
              <w:right w:val="single" w:color="auto" w:sz="4" w:space="0"/>
            </w:tcBorders>
            <w:noWrap w:val="0"/>
            <w:vAlign w:val="center"/>
          </w:tcPr>
          <w:p w14:paraId="6F9E82CE">
            <w:pPr>
              <w:keepNext w:val="0"/>
              <w:keepLines w:val="0"/>
              <w:widowControl/>
              <w:suppressLineNumbers w:val="0"/>
              <w:shd w:val="clear" w:color="auto" w:fill="auto"/>
              <w:ind w:firstLine="400" w:firstLineChars="20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20"/>
                <w:szCs w:val="20"/>
                <w:highlight w:val="none"/>
                <w:u w:val="none"/>
                <w:lang w:val="en-US" w:eastAsia="zh-CN"/>
              </w:rPr>
              <w:t>补贴资金覆盖率</w:t>
            </w:r>
          </w:p>
        </w:tc>
        <w:tc>
          <w:tcPr>
            <w:tcW w:w="1118" w:type="dxa"/>
            <w:tcBorders>
              <w:top w:val="single" w:color="auto" w:sz="4" w:space="0"/>
              <w:left w:val="single" w:color="auto" w:sz="4" w:space="0"/>
              <w:bottom w:val="single" w:color="auto" w:sz="4" w:space="0"/>
              <w:right w:val="single" w:color="auto" w:sz="4" w:space="0"/>
            </w:tcBorders>
            <w:noWrap w:val="0"/>
            <w:vAlign w:val="center"/>
          </w:tcPr>
          <w:p w14:paraId="0D4E93D4">
            <w:pPr>
              <w:keepNext w:val="0"/>
              <w:keepLines w:val="0"/>
              <w:widowControl/>
              <w:suppressLineNumbers w:val="0"/>
              <w:shd w:val="clear" w:color="auto" w:fill="auto"/>
              <w:ind w:left="0" w:leftChars="0" w:firstLine="0" w:firstLineChars="0"/>
              <w:jc w:val="both"/>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20"/>
                <w:szCs w:val="20"/>
                <w:highlight w:val="none"/>
                <w:u w:val="none"/>
                <w:lang w:val="en-US" w:eastAsia="zh-CN"/>
              </w:rPr>
              <w:t>=100%</w:t>
            </w:r>
          </w:p>
        </w:tc>
        <w:tc>
          <w:tcPr>
            <w:tcW w:w="4272" w:type="dxa"/>
            <w:vMerge w:val="continue"/>
            <w:tcBorders>
              <w:left w:val="single" w:color="auto" w:sz="4" w:space="0"/>
              <w:right w:val="single" w:color="auto" w:sz="4" w:space="0"/>
            </w:tcBorders>
            <w:noWrap w:val="0"/>
            <w:vAlign w:val="center"/>
          </w:tcPr>
          <w:p w14:paraId="05FC61DA">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952" w:type="dxa"/>
            <w:tcBorders>
              <w:top w:val="single" w:color="auto" w:sz="4" w:space="0"/>
              <w:left w:val="single" w:color="auto" w:sz="4" w:space="0"/>
              <w:bottom w:val="single" w:color="auto" w:sz="4" w:space="0"/>
              <w:right w:val="single" w:color="auto" w:sz="4" w:space="0"/>
            </w:tcBorders>
            <w:noWrap w:val="0"/>
            <w:vAlign w:val="center"/>
          </w:tcPr>
          <w:p w14:paraId="72245B17">
            <w:pPr>
              <w:keepNext w:val="0"/>
              <w:keepLines w:val="0"/>
              <w:widowControl/>
              <w:suppressLineNumbers w:val="0"/>
              <w:shd w:val="clear" w:color="auto" w:fill="auto"/>
              <w:ind w:left="0" w:leftChars="0" w:firstLine="0" w:firstLineChars="0"/>
              <w:jc w:val="both"/>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20"/>
                <w:szCs w:val="20"/>
                <w:highlight w:val="none"/>
                <w:u w:val="none"/>
                <w:lang w:val="en-US" w:eastAsia="zh-CN"/>
              </w:rPr>
              <w:t>100%</w:t>
            </w:r>
          </w:p>
        </w:tc>
        <w:tc>
          <w:tcPr>
            <w:tcW w:w="508" w:type="dxa"/>
            <w:tcBorders>
              <w:top w:val="single" w:color="auto" w:sz="4" w:space="0"/>
              <w:left w:val="single" w:color="auto" w:sz="4" w:space="0"/>
              <w:bottom w:val="single" w:color="auto" w:sz="4" w:space="0"/>
              <w:right w:val="single" w:color="auto" w:sz="4" w:space="0"/>
            </w:tcBorders>
            <w:noWrap w:val="0"/>
            <w:vAlign w:val="center"/>
          </w:tcPr>
          <w:p w14:paraId="3888B80D">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5</w:t>
            </w:r>
          </w:p>
        </w:tc>
      </w:tr>
      <w:tr w14:paraId="735126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22" w:type="dxa"/>
            <w:vMerge w:val="continue"/>
            <w:tcBorders>
              <w:top w:val="single" w:color="auto" w:sz="4" w:space="0"/>
              <w:left w:val="single" w:color="auto" w:sz="4" w:space="0"/>
              <w:bottom w:val="single" w:color="auto" w:sz="4" w:space="0"/>
              <w:right w:val="single" w:color="auto" w:sz="4" w:space="0"/>
            </w:tcBorders>
            <w:noWrap w:val="0"/>
            <w:vAlign w:val="center"/>
          </w:tcPr>
          <w:p w14:paraId="0E8B6260">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500" w:type="dxa"/>
            <w:vMerge w:val="continue"/>
            <w:tcBorders>
              <w:top w:val="single" w:color="auto" w:sz="4" w:space="0"/>
              <w:left w:val="single" w:color="auto" w:sz="4" w:space="0"/>
              <w:bottom w:val="single" w:color="auto" w:sz="4" w:space="0"/>
              <w:right w:val="single" w:color="auto" w:sz="4" w:space="0"/>
            </w:tcBorders>
            <w:noWrap w:val="0"/>
            <w:vAlign w:val="center"/>
          </w:tcPr>
          <w:p w14:paraId="5365D5B4">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585" w:type="dxa"/>
            <w:tcBorders>
              <w:top w:val="single" w:color="auto" w:sz="4" w:space="0"/>
              <w:left w:val="single" w:color="auto" w:sz="4" w:space="0"/>
              <w:right w:val="single" w:color="auto" w:sz="4" w:space="0"/>
            </w:tcBorders>
            <w:noWrap w:val="0"/>
            <w:vAlign w:val="center"/>
          </w:tcPr>
          <w:p w14:paraId="26C94AC7">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产出时效</w:t>
            </w:r>
          </w:p>
        </w:tc>
        <w:tc>
          <w:tcPr>
            <w:tcW w:w="553" w:type="dxa"/>
            <w:tcBorders>
              <w:top w:val="single" w:color="auto" w:sz="4" w:space="0"/>
              <w:left w:val="single" w:color="auto" w:sz="4" w:space="0"/>
              <w:right w:val="single" w:color="auto" w:sz="4" w:space="0"/>
            </w:tcBorders>
            <w:noWrap w:val="0"/>
            <w:vAlign w:val="center"/>
          </w:tcPr>
          <w:p w14:paraId="6554C672">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10</w:t>
            </w:r>
          </w:p>
        </w:tc>
        <w:tc>
          <w:tcPr>
            <w:tcW w:w="730" w:type="dxa"/>
            <w:tcBorders>
              <w:top w:val="single" w:color="auto" w:sz="4" w:space="0"/>
              <w:left w:val="single" w:color="auto" w:sz="4" w:space="0"/>
              <w:right w:val="single" w:color="auto" w:sz="4" w:space="0"/>
            </w:tcBorders>
            <w:noWrap w:val="0"/>
            <w:vAlign w:val="center"/>
          </w:tcPr>
          <w:p w14:paraId="2C9E2503">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完成及时率</w:t>
            </w:r>
          </w:p>
        </w:tc>
        <w:tc>
          <w:tcPr>
            <w:tcW w:w="553" w:type="dxa"/>
            <w:tcBorders>
              <w:top w:val="single" w:color="auto" w:sz="4" w:space="0"/>
              <w:left w:val="single" w:color="auto" w:sz="4" w:space="0"/>
              <w:bottom w:val="single" w:color="auto" w:sz="4" w:space="0"/>
              <w:right w:val="single" w:color="auto" w:sz="4" w:space="0"/>
            </w:tcBorders>
            <w:noWrap w:val="0"/>
            <w:vAlign w:val="center"/>
          </w:tcPr>
          <w:p w14:paraId="5B06F44C">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10</w:t>
            </w:r>
          </w:p>
        </w:tc>
        <w:tc>
          <w:tcPr>
            <w:tcW w:w="2875" w:type="dxa"/>
            <w:tcBorders>
              <w:top w:val="single" w:color="auto" w:sz="4" w:space="0"/>
              <w:left w:val="single" w:color="auto" w:sz="4" w:space="0"/>
              <w:bottom w:val="single" w:color="auto" w:sz="4" w:space="0"/>
              <w:right w:val="single" w:color="auto" w:sz="4" w:space="0"/>
            </w:tcBorders>
            <w:noWrap w:val="0"/>
            <w:vAlign w:val="center"/>
          </w:tcPr>
          <w:p w14:paraId="402AE1D7">
            <w:pPr>
              <w:keepNext w:val="0"/>
              <w:keepLines w:val="0"/>
              <w:widowControl/>
              <w:suppressLineNumbers w:val="0"/>
              <w:shd w:val="clear" w:color="auto" w:fill="auto"/>
              <w:ind w:firstLine="400" w:firstLineChars="200"/>
              <w:jc w:val="left"/>
              <w:textAlignment w:val="center"/>
              <w:rPr>
                <w:rFonts w:hint="eastAsia" w:ascii="宋体" w:hAnsi="宋体" w:eastAsia="宋体" w:cs="宋体"/>
                <w:i w:val="0"/>
                <w:iCs w:val="0"/>
                <w:color w:val="000000"/>
                <w:kern w:val="2"/>
                <w:sz w:val="20"/>
                <w:szCs w:val="20"/>
                <w:highlight w:val="none"/>
                <w:u w:val="none"/>
                <w:lang w:val="en-US" w:eastAsia="zh-CN" w:bidi="ar-SA"/>
              </w:rPr>
            </w:pPr>
            <w:r>
              <w:rPr>
                <w:rFonts w:hint="eastAsia" w:ascii="宋体" w:hAnsi="宋体" w:eastAsia="宋体" w:cs="宋体"/>
                <w:i w:val="0"/>
                <w:iCs w:val="0"/>
                <w:color w:val="000000"/>
                <w:kern w:val="0"/>
                <w:sz w:val="20"/>
                <w:szCs w:val="20"/>
                <w:highlight w:val="none"/>
                <w:u w:val="none"/>
                <w:lang w:val="en-US" w:eastAsia="zh-CN"/>
              </w:rPr>
              <w:t>项目完成时间</w:t>
            </w:r>
          </w:p>
        </w:tc>
        <w:tc>
          <w:tcPr>
            <w:tcW w:w="1118" w:type="dxa"/>
            <w:tcBorders>
              <w:top w:val="single" w:color="auto" w:sz="4" w:space="0"/>
              <w:left w:val="single" w:color="auto" w:sz="4" w:space="0"/>
              <w:bottom w:val="single" w:color="auto" w:sz="4" w:space="0"/>
              <w:right w:val="single" w:color="auto" w:sz="4" w:space="0"/>
            </w:tcBorders>
            <w:noWrap w:val="0"/>
            <w:vAlign w:val="center"/>
          </w:tcPr>
          <w:p w14:paraId="45A36577">
            <w:pPr>
              <w:keepNext w:val="0"/>
              <w:keepLines w:val="0"/>
              <w:widowControl/>
              <w:suppressLineNumbers w:val="0"/>
              <w:shd w:val="clear" w:color="auto" w:fill="auto"/>
              <w:ind w:left="0" w:leftChars="0" w:firstLine="0" w:firstLineChars="0"/>
              <w:jc w:val="both"/>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20"/>
                <w:szCs w:val="20"/>
                <w:highlight w:val="none"/>
                <w:u w:val="none"/>
                <w:lang w:val="en-US" w:eastAsia="zh-CN"/>
              </w:rPr>
              <w:t>2024年12月</w:t>
            </w:r>
          </w:p>
        </w:tc>
        <w:tc>
          <w:tcPr>
            <w:tcW w:w="4272" w:type="dxa"/>
            <w:tcBorders>
              <w:top w:val="single" w:color="auto" w:sz="4" w:space="0"/>
              <w:left w:val="single" w:color="auto" w:sz="4" w:space="0"/>
              <w:right w:val="single" w:color="auto" w:sz="4" w:space="0"/>
            </w:tcBorders>
            <w:noWrap w:val="0"/>
            <w:vAlign w:val="center"/>
          </w:tcPr>
          <w:p w14:paraId="0F05F1D2">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若指标完成值达到标杆值，则得100%权重分；否则，得分=（实际完成/预期完成）×100%×指标分值。</w:t>
            </w:r>
          </w:p>
          <w:p w14:paraId="01856D27">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若在规定时间内完成，得100%权重分；若未在规定的时间内完成，得分=（1-未在规定时间内完成工作数/实际完成工作总数）×分值。</w:t>
            </w:r>
          </w:p>
        </w:tc>
        <w:tc>
          <w:tcPr>
            <w:tcW w:w="952" w:type="dxa"/>
            <w:tcBorders>
              <w:top w:val="single" w:color="auto" w:sz="4" w:space="0"/>
              <w:left w:val="single" w:color="auto" w:sz="4" w:space="0"/>
              <w:bottom w:val="single" w:color="auto" w:sz="4" w:space="0"/>
              <w:right w:val="single" w:color="auto" w:sz="4" w:space="0"/>
            </w:tcBorders>
            <w:noWrap w:val="0"/>
            <w:vAlign w:val="center"/>
          </w:tcPr>
          <w:p w14:paraId="59F46AE7">
            <w:pPr>
              <w:keepNext w:val="0"/>
              <w:keepLines w:val="0"/>
              <w:widowControl/>
              <w:suppressLineNumbers w:val="0"/>
              <w:shd w:val="clear" w:color="auto" w:fill="auto"/>
              <w:ind w:left="0" w:leftChars="0" w:firstLine="0" w:firstLineChars="0"/>
              <w:jc w:val="both"/>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20"/>
                <w:szCs w:val="20"/>
                <w:highlight w:val="none"/>
                <w:u w:val="none"/>
                <w:lang w:val="en-US" w:eastAsia="zh-CN"/>
              </w:rPr>
              <w:t>2024年10月</w:t>
            </w:r>
          </w:p>
        </w:tc>
        <w:tc>
          <w:tcPr>
            <w:tcW w:w="508" w:type="dxa"/>
            <w:tcBorders>
              <w:top w:val="single" w:color="auto" w:sz="4" w:space="0"/>
              <w:left w:val="single" w:color="auto" w:sz="4" w:space="0"/>
              <w:bottom w:val="single" w:color="auto" w:sz="4" w:space="0"/>
              <w:right w:val="single" w:color="auto" w:sz="4" w:space="0"/>
            </w:tcBorders>
            <w:noWrap w:val="0"/>
            <w:vAlign w:val="center"/>
          </w:tcPr>
          <w:p w14:paraId="0BF547CE">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10</w:t>
            </w:r>
          </w:p>
        </w:tc>
      </w:tr>
      <w:tr w14:paraId="74A108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1" w:hRule="atLeast"/>
        </w:trPr>
        <w:tc>
          <w:tcPr>
            <w:tcW w:w="722" w:type="dxa"/>
            <w:vMerge w:val="continue"/>
            <w:tcBorders>
              <w:top w:val="single" w:color="auto" w:sz="4" w:space="0"/>
              <w:left w:val="single" w:color="auto" w:sz="4" w:space="0"/>
              <w:bottom w:val="single" w:color="auto" w:sz="4" w:space="0"/>
              <w:right w:val="single" w:color="auto" w:sz="4" w:space="0"/>
            </w:tcBorders>
            <w:noWrap w:val="0"/>
            <w:vAlign w:val="center"/>
          </w:tcPr>
          <w:p w14:paraId="3AE9A120">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500" w:type="dxa"/>
            <w:vMerge w:val="continue"/>
            <w:tcBorders>
              <w:top w:val="single" w:color="auto" w:sz="4" w:space="0"/>
              <w:left w:val="single" w:color="auto" w:sz="4" w:space="0"/>
              <w:bottom w:val="single" w:color="auto" w:sz="4" w:space="0"/>
              <w:right w:val="single" w:color="auto" w:sz="4" w:space="0"/>
            </w:tcBorders>
            <w:noWrap w:val="0"/>
            <w:vAlign w:val="center"/>
          </w:tcPr>
          <w:p w14:paraId="71742C30">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585" w:type="dxa"/>
            <w:vMerge w:val="restart"/>
            <w:tcBorders>
              <w:top w:val="single" w:color="auto" w:sz="4" w:space="0"/>
              <w:left w:val="single" w:color="auto" w:sz="4" w:space="0"/>
              <w:right w:val="single" w:color="auto" w:sz="4" w:space="0"/>
            </w:tcBorders>
            <w:noWrap w:val="0"/>
            <w:vAlign w:val="center"/>
          </w:tcPr>
          <w:p w14:paraId="27AF378A">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产出成本</w:t>
            </w:r>
          </w:p>
        </w:tc>
        <w:tc>
          <w:tcPr>
            <w:tcW w:w="553" w:type="dxa"/>
            <w:vMerge w:val="restart"/>
            <w:tcBorders>
              <w:top w:val="single" w:color="auto" w:sz="4" w:space="0"/>
              <w:left w:val="single" w:color="auto" w:sz="4" w:space="0"/>
              <w:right w:val="single" w:color="auto" w:sz="4" w:space="0"/>
            </w:tcBorders>
            <w:noWrap w:val="0"/>
            <w:vAlign w:val="center"/>
          </w:tcPr>
          <w:p w14:paraId="7F5E96F4">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10</w:t>
            </w:r>
          </w:p>
        </w:tc>
        <w:tc>
          <w:tcPr>
            <w:tcW w:w="730" w:type="dxa"/>
            <w:vMerge w:val="restart"/>
            <w:tcBorders>
              <w:top w:val="single" w:color="auto" w:sz="4" w:space="0"/>
              <w:left w:val="single" w:color="auto" w:sz="4" w:space="0"/>
              <w:right w:val="single" w:color="auto" w:sz="4" w:space="0"/>
            </w:tcBorders>
            <w:noWrap w:val="0"/>
            <w:vAlign w:val="center"/>
          </w:tcPr>
          <w:p w14:paraId="68046C96">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成本节约率</w:t>
            </w:r>
          </w:p>
        </w:tc>
        <w:tc>
          <w:tcPr>
            <w:tcW w:w="553" w:type="dxa"/>
            <w:vMerge w:val="restart"/>
            <w:tcBorders>
              <w:top w:val="single" w:color="auto" w:sz="4" w:space="0"/>
              <w:left w:val="single" w:color="auto" w:sz="4" w:space="0"/>
              <w:right w:val="single" w:color="auto" w:sz="4" w:space="0"/>
            </w:tcBorders>
            <w:noWrap w:val="0"/>
            <w:vAlign w:val="center"/>
          </w:tcPr>
          <w:p w14:paraId="0A183EA0">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10</w:t>
            </w:r>
          </w:p>
        </w:tc>
        <w:tc>
          <w:tcPr>
            <w:tcW w:w="2875" w:type="dxa"/>
            <w:tcBorders>
              <w:top w:val="single" w:color="auto" w:sz="4" w:space="0"/>
              <w:left w:val="single" w:color="auto" w:sz="4" w:space="0"/>
              <w:bottom w:val="single" w:color="auto" w:sz="4" w:space="0"/>
              <w:right w:val="single" w:color="auto" w:sz="4" w:space="0"/>
            </w:tcBorders>
            <w:noWrap w:val="0"/>
            <w:vAlign w:val="center"/>
          </w:tcPr>
          <w:p w14:paraId="609BF3F0">
            <w:pPr>
              <w:keepNext w:val="0"/>
              <w:keepLines w:val="0"/>
              <w:widowControl/>
              <w:suppressLineNumbers w:val="0"/>
              <w:shd w:val="clear" w:color="auto" w:fill="auto"/>
              <w:ind w:firstLine="400" w:firstLineChars="20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20"/>
                <w:szCs w:val="20"/>
                <w:highlight w:val="none"/>
                <w:u w:val="none"/>
                <w:lang w:val="en-US" w:eastAsia="zh-CN"/>
              </w:rPr>
              <w:t>种公羊补贴标准</w:t>
            </w:r>
          </w:p>
        </w:tc>
        <w:tc>
          <w:tcPr>
            <w:tcW w:w="1118" w:type="dxa"/>
            <w:tcBorders>
              <w:top w:val="single" w:color="auto" w:sz="4" w:space="0"/>
              <w:left w:val="single" w:color="auto" w:sz="4" w:space="0"/>
              <w:bottom w:val="single" w:color="auto" w:sz="4" w:space="0"/>
              <w:right w:val="single" w:color="auto" w:sz="4" w:space="0"/>
            </w:tcBorders>
            <w:noWrap w:val="0"/>
            <w:vAlign w:val="center"/>
          </w:tcPr>
          <w:p w14:paraId="35F9CF42">
            <w:pPr>
              <w:keepNext w:val="0"/>
              <w:keepLines w:val="0"/>
              <w:widowControl/>
              <w:suppressLineNumbers w:val="0"/>
              <w:shd w:val="clear" w:color="auto" w:fill="auto"/>
              <w:ind w:left="0" w:leftChars="0" w:firstLine="0" w:firstLineChars="0"/>
              <w:jc w:val="both"/>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20"/>
                <w:szCs w:val="20"/>
                <w:highlight w:val="none"/>
                <w:u w:val="none"/>
                <w:lang w:val="en-US" w:eastAsia="zh-CN"/>
              </w:rPr>
              <w:t>&lt;=70万元</w:t>
            </w:r>
          </w:p>
        </w:tc>
        <w:tc>
          <w:tcPr>
            <w:tcW w:w="4272" w:type="dxa"/>
            <w:vMerge w:val="restart"/>
            <w:tcBorders>
              <w:top w:val="single" w:color="auto" w:sz="4" w:space="0"/>
              <w:left w:val="single" w:color="auto" w:sz="4" w:space="0"/>
              <w:right w:val="single" w:color="auto" w:sz="4" w:space="0"/>
            </w:tcBorders>
            <w:noWrap w:val="0"/>
            <w:vAlign w:val="center"/>
          </w:tcPr>
          <w:p w14:paraId="4CC4889A">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实际完成率=（实际支付资金数/计划应支付资金数）×100%。</w:t>
            </w:r>
            <w:r>
              <w:rPr>
                <w:rFonts w:hint="eastAsia" w:ascii="宋体" w:hAnsi="宋体" w:eastAsia="宋体" w:cs="宋体"/>
                <w:i w:val="0"/>
                <w:iCs w:val="0"/>
                <w:color w:val="000000"/>
                <w:kern w:val="0"/>
                <w:sz w:val="18"/>
                <w:szCs w:val="18"/>
                <w:highlight w:val="none"/>
                <w:u w:val="none"/>
                <w:lang w:val="en-US" w:eastAsia="zh-CN"/>
              </w:rPr>
              <w:br w:type="textWrapping"/>
            </w:r>
            <w:r>
              <w:rPr>
                <w:rFonts w:hint="eastAsia" w:ascii="宋体" w:hAnsi="宋体" w:eastAsia="宋体" w:cs="宋体"/>
                <w:i w:val="0"/>
                <w:iCs w:val="0"/>
                <w:color w:val="000000"/>
                <w:kern w:val="0"/>
                <w:sz w:val="18"/>
                <w:szCs w:val="18"/>
                <w:highlight w:val="none"/>
                <w:u w:val="none"/>
                <w:lang w:val="en-US" w:eastAsia="zh-CN"/>
              </w:rPr>
              <w:t>①实际完成率＞年度指标值，得0得分；</w:t>
            </w:r>
            <w:r>
              <w:rPr>
                <w:rFonts w:hint="eastAsia" w:ascii="宋体" w:hAnsi="宋体" w:eastAsia="宋体" w:cs="宋体"/>
                <w:i w:val="0"/>
                <w:iCs w:val="0"/>
                <w:color w:val="000000"/>
                <w:kern w:val="0"/>
                <w:sz w:val="18"/>
                <w:szCs w:val="18"/>
                <w:highlight w:val="none"/>
                <w:u w:val="none"/>
                <w:lang w:val="en-US" w:eastAsia="zh-CN"/>
              </w:rPr>
              <w:br w:type="textWrapping"/>
            </w:r>
            <w:r>
              <w:rPr>
                <w:rFonts w:hint="eastAsia" w:ascii="宋体" w:hAnsi="宋体" w:eastAsia="宋体" w:cs="宋体"/>
                <w:i w:val="0"/>
                <w:iCs w:val="0"/>
                <w:color w:val="000000"/>
                <w:kern w:val="0"/>
                <w:sz w:val="18"/>
                <w:szCs w:val="18"/>
                <w:highlight w:val="none"/>
                <w:u w:val="none"/>
                <w:lang w:val="en-US" w:eastAsia="zh-CN"/>
              </w:rPr>
              <w:t>②实际完成率≤年度指标值，且偏离程度＜20%，得满分；</w:t>
            </w:r>
            <w:r>
              <w:rPr>
                <w:rFonts w:hint="eastAsia" w:ascii="宋体" w:hAnsi="宋体" w:eastAsia="宋体" w:cs="宋体"/>
                <w:i w:val="0"/>
                <w:iCs w:val="0"/>
                <w:color w:val="000000"/>
                <w:kern w:val="0"/>
                <w:sz w:val="18"/>
                <w:szCs w:val="18"/>
                <w:highlight w:val="none"/>
                <w:u w:val="none"/>
                <w:lang w:val="en-US" w:eastAsia="zh-CN"/>
              </w:rPr>
              <w:br w:type="textWrapping"/>
            </w:r>
            <w:r>
              <w:rPr>
                <w:rFonts w:hint="eastAsia" w:ascii="宋体" w:hAnsi="宋体" w:eastAsia="宋体" w:cs="宋体"/>
                <w:i w:val="0"/>
                <w:iCs w:val="0"/>
                <w:color w:val="000000"/>
                <w:kern w:val="0"/>
                <w:sz w:val="18"/>
                <w:szCs w:val="18"/>
                <w:highlight w:val="none"/>
                <w:u w:val="none"/>
                <w:lang w:val="en-US" w:eastAsia="zh-CN"/>
              </w:rPr>
              <w:t>③实际完成率＜年度指标值，且偏离程度≥20%，得分=实际完成率×分值。</w:t>
            </w:r>
          </w:p>
        </w:tc>
        <w:tc>
          <w:tcPr>
            <w:tcW w:w="952" w:type="dxa"/>
            <w:tcBorders>
              <w:top w:val="single" w:color="auto" w:sz="4" w:space="0"/>
              <w:left w:val="single" w:color="auto" w:sz="4" w:space="0"/>
              <w:bottom w:val="single" w:color="auto" w:sz="4" w:space="0"/>
              <w:right w:val="single" w:color="auto" w:sz="4" w:space="0"/>
            </w:tcBorders>
            <w:noWrap w:val="0"/>
            <w:vAlign w:val="center"/>
          </w:tcPr>
          <w:p w14:paraId="3EFCC8F3">
            <w:pPr>
              <w:keepNext w:val="0"/>
              <w:keepLines w:val="0"/>
              <w:widowControl/>
              <w:suppressLineNumbers w:val="0"/>
              <w:shd w:val="clear" w:color="auto" w:fill="auto"/>
              <w:ind w:left="0" w:leftChars="0" w:firstLine="0" w:firstLineChars="0"/>
              <w:jc w:val="both"/>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20"/>
                <w:szCs w:val="20"/>
                <w:highlight w:val="none"/>
                <w:u w:val="none"/>
                <w:lang w:val="en-US" w:eastAsia="zh-CN"/>
              </w:rPr>
              <w:t>70万元</w:t>
            </w:r>
          </w:p>
        </w:tc>
        <w:tc>
          <w:tcPr>
            <w:tcW w:w="508" w:type="dxa"/>
            <w:tcBorders>
              <w:top w:val="single" w:color="auto" w:sz="4" w:space="0"/>
              <w:left w:val="single" w:color="auto" w:sz="4" w:space="0"/>
              <w:bottom w:val="single" w:color="auto" w:sz="4" w:space="0"/>
              <w:right w:val="single" w:color="auto" w:sz="4" w:space="0"/>
            </w:tcBorders>
            <w:noWrap w:val="0"/>
            <w:vAlign w:val="center"/>
          </w:tcPr>
          <w:p w14:paraId="30303359">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5</w:t>
            </w:r>
          </w:p>
        </w:tc>
      </w:tr>
      <w:tr w14:paraId="2FF833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1" w:hRule="atLeast"/>
        </w:trPr>
        <w:tc>
          <w:tcPr>
            <w:tcW w:w="722" w:type="dxa"/>
            <w:vMerge w:val="continue"/>
            <w:tcBorders>
              <w:top w:val="single" w:color="auto" w:sz="4" w:space="0"/>
              <w:left w:val="single" w:color="auto" w:sz="4" w:space="0"/>
              <w:bottom w:val="single" w:color="auto" w:sz="4" w:space="0"/>
              <w:right w:val="single" w:color="auto" w:sz="4" w:space="0"/>
            </w:tcBorders>
            <w:noWrap w:val="0"/>
            <w:vAlign w:val="center"/>
          </w:tcPr>
          <w:p w14:paraId="00834D09">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500" w:type="dxa"/>
            <w:vMerge w:val="continue"/>
            <w:tcBorders>
              <w:top w:val="single" w:color="auto" w:sz="4" w:space="0"/>
              <w:left w:val="single" w:color="auto" w:sz="4" w:space="0"/>
              <w:bottom w:val="single" w:color="auto" w:sz="4" w:space="0"/>
              <w:right w:val="single" w:color="auto" w:sz="4" w:space="0"/>
            </w:tcBorders>
            <w:noWrap w:val="0"/>
            <w:vAlign w:val="center"/>
          </w:tcPr>
          <w:p w14:paraId="43A8AE4F">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585" w:type="dxa"/>
            <w:vMerge w:val="continue"/>
            <w:tcBorders>
              <w:left w:val="single" w:color="auto" w:sz="4" w:space="0"/>
              <w:bottom w:val="single" w:color="auto" w:sz="4" w:space="0"/>
              <w:right w:val="single" w:color="auto" w:sz="4" w:space="0"/>
            </w:tcBorders>
            <w:noWrap w:val="0"/>
            <w:vAlign w:val="center"/>
          </w:tcPr>
          <w:p w14:paraId="5C1CEB36">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553" w:type="dxa"/>
            <w:vMerge w:val="continue"/>
            <w:tcBorders>
              <w:left w:val="single" w:color="auto" w:sz="4" w:space="0"/>
              <w:bottom w:val="single" w:color="auto" w:sz="4" w:space="0"/>
              <w:right w:val="single" w:color="auto" w:sz="4" w:space="0"/>
            </w:tcBorders>
            <w:noWrap w:val="0"/>
            <w:vAlign w:val="center"/>
          </w:tcPr>
          <w:p w14:paraId="150367AB">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730" w:type="dxa"/>
            <w:vMerge w:val="continue"/>
            <w:tcBorders>
              <w:left w:val="single" w:color="auto" w:sz="4" w:space="0"/>
              <w:bottom w:val="single" w:color="auto" w:sz="4" w:space="0"/>
              <w:right w:val="single" w:color="auto" w:sz="4" w:space="0"/>
            </w:tcBorders>
            <w:noWrap w:val="0"/>
            <w:vAlign w:val="center"/>
          </w:tcPr>
          <w:p w14:paraId="520A4D9E">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553" w:type="dxa"/>
            <w:vMerge w:val="continue"/>
            <w:tcBorders>
              <w:left w:val="single" w:color="auto" w:sz="4" w:space="0"/>
              <w:bottom w:val="single" w:color="auto" w:sz="4" w:space="0"/>
              <w:right w:val="single" w:color="auto" w:sz="4" w:space="0"/>
            </w:tcBorders>
            <w:noWrap w:val="0"/>
            <w:vAlign w:val="center"/>
          </w:tcPr>
          <w:p w14:paraId="4972F130">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000000"/>
                <w:kern w:val="0"/>
                <w:sz w:val="18"/>
                <w:szCs w:val="18"/>
                <w:highlight w:val="none"/>
                <w:u w:val="none"/>
                <w:lang w:val="en-US" w:eastAsia="zh-CN"/>
              </w:rPr>
            </w:pPr>
          </w:p>
        </w:tc>
        <w:tc>
          <w:tcPr>
            <w:tcW w:w="2875" w:type="dxa"/>
            <w:tcBorders>
              <w:top w:val="single" w:color="auto" w:sz="4" w:space="0"/>
              <w:left w:val="single" w:color="auto" w:sz="4" w:space="0"/>
              <w:bottom w:val="single" w:color="auto" w:sz="4" w:space="0"/>
              <w:right w:val="single" w:color="auto" w:sz="4" w:space="0"/>
            </w:tcBorders>
            <w:noWrap w:val="0"/>
            <w:vAlign w:val="center"/>
          </w:tcPr>
          <w:p w14:paraId="57BC6481">
            <w:pPr>
              <w:keepNext w:val="0"/>
              <w:keepLines w:val="0"/>
              <w:widowControl/>
              <w:suppressLineNumbers w:val="0"/>
              <w:shd w:val="clear" w:color="auto" w:fill="auto"/>
              <w:ind w:firstLine="400" w:firstLineChars="20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20"/>
                <w:szCs w:val="20"/>
                <w:highlight w:val="none"/>
                <w:u w:val="none"/>
                <w:lang w:val="en-US" w:eastAsia="zh-CN"/>
              </w:rPr>
              <w:t>购置冻精标准</w:t>
            </w:r>
          </w:p>
        </w:tc>
        <w:tc>
          <w:tcPr>
            <w:tcW w:w="1118" w:type="dxa"/>
            <w:tcBorders>
              <w:top w:val="single" w:color="auto" w:sz="4" w:space="0"/>
              <w:left w:val="single" w:color="auto" w:sz="4" w:space="0"/>
              <w:bottom w:val="single" w:color="auto" w:sz="4" w:space="0"/>
              <w:right w:val="single" w:color="auto" w:sz="4" w:space="0"/>
            </w:tcBorders>
            <w:noWrap w:val="0"/>
            <w:vAlign w:val="center"/>
          </w:tcPr>
          <w:p w14:paraId="6278FBA8">
            <w:pPr>
              <w:keepNext w:val="0"/>
              <w:keepLines w:val="0"/>
              <w:widowControl/>
              <w:suppressLineNumbers w:val="0"/>
              <w:shd w:val="clear" w:color="auto" w:fill="auto"/>
              <w:ind w:left="0" w:leftChars="0" w:firstLine="0" w:firstLineChars="0"/>
              <w:jc w:val="both"/>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20"/>
                <w:szCs w:val="20"/>
                <w:highlight w:val="none"/>
                <w:u w:val="none"/>
                <w:lang w:val="en-US" w:eastAsia="zh-CN"/>
              </w:rPr>
              <w:t>&lt;=60万元</w:t>
            </w:r>
          </w:p>
        </w:tc>
        <w:tc>
          <w:tcPr>
            <w:tcW w:w="4272" w:type="dxa"/>
            <w:vMerge w:val="continue"/>
            <w:tcBorders>
              <w:left w:val="single" w:color="auto" w:sz="4" w:space="0"/>
              <w:bottom w:val="single" w:color="auto" w:sz="4" w:space="0"/>
              <w:right w:val="single" w:color="auto" w:sz="4" w:space="0"/>
            </w:tcBorders>
            <w:noWrap w:val="0"/>
            <w:vAlign w:val="center"/>
          </w:tcPr>
          <w:p w14:paraId="1070574D">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p>
        </w:tc>
        <w:tc>
          <w:tcPr>
            <w:tcW w:w="952" w:type="dxa"/>
            <w:tcBorders>
              <w:top w:val="single" w:color="auto" w:sz="4" w:space="0"/>
              <w:left w:val="single" w:color="auto" w:sz="4" w:space="0"/>
              <w:bottom w:val="single" w:color="auto" w:sz="4" w:space="0"/>
              <w:right w:val="single" w:color="auto" w:sz="4" w:space="0"/>
            </w:tcBorders>
            <w:noWrap w:val="0"/>
            <w:vAlign w:val="center"/>
          </w:tcPr>
          <w:p w14:paraId="4D8D093E">
            <w:pPr>
              <w:keepNext w:val="0"/>
              <w:keepLines w:val="0"/>
              <w:widowControl/>
              <w:suppressLineNumbers w:val="0"/>
              <w:shd w:val="clear" w:color="auto" w:fill="auto"/>
              <w:ind w:left="0" w:leftChars="0" w:firstLine="0" w:firstLineChars="0"/>
              <w:jc w:val="both"/>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20"/>
                <w:szCs w:val="20"/>
                <w:highlight w:val="none"/>
                <w:u w:val="none"/>
                <w:lang w:val="en-US" w:eastAsia="zh-CN"/>
              </w:rPr>
              <w:t>60万元</w:t>
            </w:r>
          </w:p>
        </w:tc>
        <w:tc>
          <w:tcPr>
            <w:tcW w:w="508" w:type="dxa"/>
            <w:tcBorders>
              <w:top w:val="single" w:color="auto" w:sz="4" w:space="0"/>
              <w:left w:val="single" w:color="auto" w:sz="4" w:space="0"/>
              <w:bottom w:val="single" w:color="auto" w:sz="4" w:space="0"/>
              <w:right w:val="single" w:color="auto" w:sz="4" w:space="0"/>
            </w:tcBorders>
            <w:noWrap w:val="0"/>
            <w:vAlign w:val="center"/>
          </w:tcPr>
          <w:p w14:paraId="3812B68D">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5</w:t>
            </w:r>
            <w:bookmarkEnd w:id="18"/>
          </w:p>
        </w:tc>
      </w:tr>
      <w:tr w14:paraId="09DE1B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10" w:hRule="atLeast"/>
        </w:trPr>
        <w:tc>
          <w:tcPr>
            <w:tcW w:w="722" w:type="dxa"/>
            <w:vMerge w:val="restart"/>
            <w:tcBorders>
              <w:top w:val="single" w:color="auto" w:sz="4" w:space="0"/>
              <w:left w:val="single" w:color="auto" w:sz="4" w:space="0"/>
              <w:bottom w:val="single" w:color="auto" w:sz="4" w:space="0"/>
              <w:right w:val="single" w:color="auto" w:sz="4" w:space="0"/>
            </w:tcBorders>
            <w:noWrap w:val="0"/>
            <w:vAlign w:val="center"/>
          </w:tcPr>
          <w:p w14:paraId="4C91F68E">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项目效益</w:t>
            </w:r>
          </w:p>
        </w:tc>
        <w:tc>
          <w:tcPr>
            <w:tcW w:w="500" w:type="dxa"/>
            <w:vMerge w:val="restart"/>
            <w:tcBorders>
              <w:top w:val="single" w:color="auto" w:sz="4" w:space="0"/>
              <w:left w:val="single" w:color="auto" w:sz="4" w:space="0"/>
              <w:bottom w:val="single" w:color="auto" w:sz="4" w:space="0"/>
              <w:right w:val="single" w:color="auto" w:sz="4" w:space="0"/>
            </w:tcBorders>
            <w:noWrap w:val="0"/>
            <w:vAlign w:val="center"/>
          </w:tcPr>
          <w:p w14:paraId="52929E1B">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25</w:t>
            </w:r>
          </w:p>
        </w:tc>
        <w:tc>
          <w:tcPr>
            <w:tcW w:w="585" w:type="dxa"/>
            <w:vMerge w:val="restart"/>
            <w:tcBorders>
              <w:top w:val="single" w:color="auto" w:sz="4" w:space="0"/>
              <w:left w:val="single" w:color="auto" w:sz="4" w:space="0"/>
              <w:bottom w:val="single" w:color="auto" w:sz="4" w:space="0"/>
              <w:right w:val="single" w:color="auto" w:sz="4" w:space="0"/>
            </w:tcBorders>
            <w:noWrap w:val="0"/>
            <w:vAlign w:val="center"/>
          </w:tcPr>
          <w:p w14:paraId="2E6050F2">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项目效益</w:t>
            </w:r>
          </w:p>
        </w:tc>
        <w:tc>
          <w:tcPr>
            <w:tcW w:w="553" w:type="dxa"/>
            <w:vMerge w:val="restart"/>
            <w:tcBorders>
              <w:top w:val="single" w:color="auto" w:sz="4" w:space="0"/>
              <w:left w:val="single" w:color="auto" w:sz="4" w:space="0"/>
              <w:bottom w:val="single" w:color="auto" w:sz="4" w:space="0"/>
              <w:right w:val="single" w:color="auto" w:sz="4" w:space="0"/>
            </w:tcBorders>
            <w:noWrap w:val="0"/>
            <w:vAlign w:val="center"/>
          </w:tcPr>
          <w:p w14:paraId="6A3D95DC">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25</w:t>
            </w:r>
          </w:p>
        </w:tc>
        <w:tc>
          <w:tcPr>
            <w:tcW w:w="730" w:type="dxa"/>
            <w:tcBorders>
              <w:top w:val="single" w:color="auto" w:sz="4" w:space="0"/>
              <w:left w:val="single" w:color="auto" w:sz="4" w:space="0"/>
              <w:bottom w:val="single" w:color="auto" w:sz="4" w:space="0"/>
              <w:right w:val="single" w:color="auto" w:sz="4" w:space="0"/>
            </w:tcBorders>
            <w:noWrap w:val="0"/>
            <w:vAlign w:val="center"/>
          </w:tcPr>
          <w:p w14:paraId="48D33F4C">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社会效益</w:t>
            </w:r>
          </w:p>
        </w:tc>
        <w:tc>
          <w:tcPr>
            <w:tcW w:w="553" w:type="dxa"/>
            <w:tcBorders>
              <w:top w:val="single" w:color="auto" w:sz="4" w:space="0"/>
              <w:left w:val="single" w:color="auto" w:sz="4" w:space="0"/>
              <w:bottom w:val="single" w:color="auto" w:sz="4" w:space="0"/>
              <w:right w:val="single" w:color="auto" w:sz="4" w:space="0"/>
            </w:tcBorders>
            <w:noWrap w:val="0"/>
            <w:vAlign w:val="center"/>
          </w:tcPr>
          <w:p w14:paraId="30ECF9E7">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15</w:t>
            </w:r>
          </w:p>
        </w:tc>
        <w:tc>
          <w:tcPr>
            <w:tcW w:w="2875" w:type="dxa"/>
            <w:tcBorders>
              <w:top w:val="single" w:color="auto" w:sz="4" w:space="0"/>
              <w:left w:val="single" w:color="auto" w:sz="4" w:space="0"/>
              <w:bottom w:val="single" w:color="auto" w:sz="4" w:space="0"/>
              <w:right w:val="single" w:color="auto" w:sz="4" w:space="0"/>
            </w:tcBorders>
            <w:noWrap w:val="0"/>
            <w:vAlign w:val="center"/>
          </w:tcPr>
          <w:p w14:paraId="196C3B02">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促进畜牧业健康发展</w:t>
            </w:r>
          </w:p>
        </w:tc>
        <w:tc>
          <w:tcPr>
            <w:tcW w:w="1118" w:type="dxa"/>
            <w:tcBorders>
              <w:top w:val="single" w:color="auto" w:sz="4" w:space="0"/>
              <w:left w:val="single" w:color="auto" w:sz="4" w:space="0"/>
              <w:bottom w:val="single" w:color="auto" w:sz="4" w:space="0"/>
              <w:right w:val="single" w:color="auto" w:sz="4" w:space="0"/>
            </w:tcBorders>
            <w:noWrap w:val="0"/>
            <w:vAlign w:val="center"/>
          </w:tcPr>
          <w:p w14:paraId="0C615D99">
            <w:pPr>
              <w:keepNext w:val="0"/>
              <w:keepLines w:val="0"/>
              <w:widowControl/>
              <w:suppressLineNumbers w:val="0"/>
              <w:shd w:val="clear" w:color="auto" w:fill="auto"/>
              <w:ind w:left="0" w:leftChars="0" w:firstLine="0" w:firstLineChars="0"/>
              <w:jc w:val="both"/>
              <w:textAlignment w:val="center"/>
              <w:rPr>
                <w:rFonts w:hint="eastAsia" w:ascii="宋体" w:hAnsi="宋体" w:eastAsia="宋体" w:cs="宋体"/>
                <w:i w:val="0"/>
                <w:iCs w:val="0"/>
                <w:color w:val="000000"/>
                <w:kern w:val="2"/>
                <w:sz w:val="20"/>
                <w:szCs w:val="20"/>
                <w:highlight w:val="none"/>
                <w:u w:val="none"/>
                <w:lang w:val="en-US" w:eastAsia="zh-CN" w:bidi="ar-SA"/>
              </w:rPr>
            </w:pPr>
            <w:r>
              <w:rPr>
                <w:rFonts w:hint="eastAsia" w:ascii="宋体" w:hAnsi="宋体" w:eastAsia="宋体" w:cs="宋体"/>
                <w:i w:val="0"/>
                <w:iCs w:val="0"/>
                <w:color w:val="000000"/>
                <w:kern w:val="0"/>
                <w:sz w:val="20"/>
                <w:szCs w:val="20"/>
                <w:highlight w:val="none"/>
                <w:u w:val="none"/>
                <w:lang w:val="en-US" w:eastAsia="zh-CN"/>
              </w:rPr>
              <w:t>有效促进</w:t>
            </w:r>
          </w:p>
        </w:tc>
        <w:tc>
          <w:tcPr>
            <w:tcW w:w="4272" w:type="dxa"/>
            <w:tcBorders>
              <w:top w:val="single" w:color="auto" w:sz="4" w:space="0"/>
              <w:left w:val="single" w:color="auto" w:sz="4" w:space="0"/>
              <w:bottom w:val="single" w:color="auto" w:sz="4" w:space="0"/>
              <w:right w:val="single" w:color="auto" w:sz="4" w:space="0"/>
            </w:tcBorders>
            <w:noWrap w:val="0"/>
            <w:vAlign w:val="center"/>
          </w:tcPr>
          <w:p w14:paraId="1FF98EC6">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按评判等级赋分。分为基本达成目标、部分实现目标、实现目标程度较低三个档次，并分别按照该指标对应分值区间100%-80%（含）、80%-60%（含）、60%-0%合理确定分值。</w:t>
            </w:r>
          </w:p>
        </w:tc>
        <w:tc>
          <w:tcPr>
            <w:tcW w:w="952" w:type="dxa"/>
            <w:tcBorders>
              <w:top w:val="single" w:color="auto" w:sz="4" w:space="0"/>
              <w:left w:val="single" w:color="auto" w:sz="4" w:space="0"/>
              <w:bottom w:val="single" w:color="auto" w:sz="4" w:space="0"/>
              <w:right w:val="single" w:color="auto" w:sz="4" w:space="0"/>
            </w:tcBorders>
            <w:noWrap w:val="0"/>
            <w:vAlign w:val="center"/>
          </w:tcPr>
          <w:p w14:paraId="01CA3E2B">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有效促进</w:t>
            </w:r>
          </w:p>
        </w:tc>
        <w:tc>
          <w:tcPr>
            <w:tcW w:w="508" w:type="dxa"/>
            <w:tcBorders>
              <w:top w:val="single" w:color="auto" w:sz="4" w:space="0"/>
              <w:left w:val="single" w:color="auto" w:sz="4" w:space="0"/>
              <w:bottom w:val="single" w:color="auto" w:sz="4" w:space="0"/>
              <w:right w:val="single" w:color="auto" w:sz="4" w:space="0"/>
            </w:tcBorders>
            <w:noWrap w:val="0"/>
            <w:vAlign w:val="center"/>
          </w:tcPr>
          <w:p w14:paraId="00BECC52">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15</w:t>
            </w:r>
          </w:p>
        </w:tc>
      </w:tr>
      <w:tr w14:paraId="079557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22" w:type="dxa"/>
            <w:vMerge w:val="continue"/>
            <w:tcBorders>
              <w:top w:val="single" w:color="auto" w:sz="4" w:space="0"/>
              <w:left w:val="single" w:color="auto" w:sz="4" w:space="0"/>
              <w:bottom w:val="single" w:color="auto" w:sz="4" w:space="0"/>
              <w:right w:val="single" w:color="auto" w:sz="4" w:space="0"/>
            </w:tcBorders>
            <w:noWrap w:val="0"/>
            <w:vAlign w:val="center"/>
          </w:tcPr>
          <w:p w14:paraId="0CF69164">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500" w:type="dxa"/>
            <w:vMerge w:val="continue"/>
            <w:tcBorders>
              <w:top w:val="single" w:color="auto" w:sz="4" w:space="0"/>
              <w:left w:val="single" w:color="auto" w:sz="4" w:space="0"/>
              <w:bottom w:val="single" w:color="auto" w:sz="4" w:space="0"/>
              <w:right w:val="single" w:color="auto" w:sz="4" w:space="0"/>
            </w:tcBorders>
            <w:noWrap w:val="0"/>
            <w:vAlign w:val="center"/>
          </w:tcPr>
          <w:p w14:paraId="78C983A2">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6CC414F0">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553" w:type="dxa"/>
            <w:vMerge w:val="continue"/>
            <w:tcBorders>
              <w:top w:val="single" w:color="auto" w:sz="4" w:space="0"/>
              <w:left w:val="single" w:color="auto" w:sz="4" w:space="0"/>
              <w:bottom w:val="single" w:color="auto" w:sz="4" w:space="0"/>
              <w:right w:val="single" w:color="auto" w:sz="4" w:space="0"/>
            </w:tcBorders>
            <w:noWrap w:val="0"/>
            <w:vAlign w:val="center"/>
          </w:tcPr>
          <w:p w14:paraId="0C48195C">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730" w:type="dxa"/>
            <w:tcBorders>
              <w:top w:val="single" w:color="auto" w:sz="4" w:space="0"/>
              <w:left w:val="single" w:color="auto" w:sz="4" w:space="0"/>
              <w:bottom w:val="single" w:color="auto" w:sz="4" w:space="0"/>
              <w:right w:val="single" w:color="auto" w:sz="4" w:space="0"/>
            </w:tcBorders>
            <w:noWrap w:val="0"/>
            <w:vAlign w:val="center"/>
          </w:tcPr>
          <w:p w14:paraId="4664815A">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服务对象满意度</w:t>
            </w:r>
          </w:p>
        </w:tc>
        <w:tc>
          <w:tcPr>
            <w:tcW w:w="553" w:type="dxa"/>
            <w:tcBorders>
              <w:top w:val="single" w:color="auto" w:sz="4" w:space="0"/>
              <w:left w:val="single" w:color="auto" w:sz="4" w:space="0"/>
              <w:bottom w:val="single" w:color="auto" w:sz="4" w:space="0"/>
              <w:right w:val="single" w:color="auto" w:sz="4" w:space="0"/>
            </w:tcBorders>
            <w:noWrap w:val="0"/>
            <w:vAlign w:val="center"/>
          </w:tcPr>
          <w:p w14:paraId="58B44CEE">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10</w:t>
            </w:r>
          </w:p>
        </w:tc>
        <w:tc>
          <w:tcPr>
            <w:tcW w:w="2875" w:type="dxa"/>
            <w:tcBorders>
              <w:top w:val="single" w:color="auto" w:sz="4" w:space="0"/>
              <w:left w:val="single" w:color="auto" w:sz="4" w:space="0"/>
              <w:bottom w:val="single" w:color="auto" w:sz="4" w:space="0"/>
              <w:right w:val="single" w:color="auto" w:sz="4" w:space="0"/>
            </w:tcBorders>
            <w:noWrap w:val="0"/>
            <w:vAlign w:val="center"/>
          </w:tcPr>
          <w:p w14:paraId="61062CC9">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补助对象对政策满意度</w:t>
            </w:r>
          </w:p>
        </w:tc>
        <w:tc>
          <w:tcPr>
            <w:tcW w:w="1118" w:type="dxa"/>
            <w:tcBorders>
              <w:top w:val="single" w:color="auto" w:sz="4" w:space="0"/>
              <w:left w:val="single" w:color="auto" w:sz="4" w:space="0"/>
              <w:bottom w:val="single" w:color="auto" w:sz="4" w:space="0"/>
              <w:right w:val="single" w:color="auto" w:sz="4" w:space="0"/>
            </w:tcBorders>
            <w:noWrap w:val="0"/>
            <w:vAlign w:val="center"/>
          </w:tcPr>
          <w:p w14:paraId="1AA803F3">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&gt;=95%</w:t>
            </w:r>
          </w:p>
        </w:tc>
        <w:tc>
          <w:tcPr>
            <w:tcW w:w="4272" w:type="dxa"/>
            <w:tcBorders>
              <w:top w:val="single" w:color="auto" w:sz="4" w:space="0"/>
              <w:left w:val="single" w:color="auto" w:sz="4" w:space="0"/>
              <w:bottom w:val="single" w:color="auto" w:sz="4" w:space="0"/>
              <w:right w:val="single" w:color="auto" w:sz="4" w:space="0"/>
            </w:tcBorders>
            <w:noWrap w:val="0"/>
            <w:vAlign w:val="center"/>
          </w:tcPr>
          <w:p w14:paraId="35662F61">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根据问卷调查，满意度达到标杆值，得权重分的100%；否则低于95%，得分=实际满意度*指标分值。</w:t>
            </w:r>
          </w:p>
        </w:tc>
        <w:tc>
          <w:tcPr>
            <w:tcW w:w="952" w:type="dxa"/>
            <w:tcBorders>
              <w:top w:val="single" w:color="auto" w:sz="4" w:space="0"/>
              <w:left w:val="single" w:color="auto" w:sz="4" w:space="0"/>
              <w:bottom w:val="single" w:color="auto" w:sz="4" w:space="0"/>
              <w:right w:val="single" w:color="auto" w:sz="4" w:space="0"/>
            </w:tcBorders>
            <w:noWrap w:val="0"/>
            <w:vAlign w:val="center"/>
          </w:tcPr>
          <w:p w14:paraId="6EEB4849">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95%</w:t>
            </w:r>
          </w:p>
        </w:tc>
        <w:tc>
          <w:tcPr>
            <w:tcW w:w="508" w:type="dxa"/>
            <w:tcBorders>
              <w:top w:val="single" w:color="auto" w:sz="4" w:space="0"/>
              <w:left w:val="single" w:color="auto" w:sz="4" w:space="0"/>
              <w:bottom w:val="single" w:color="auto" w:sz="4" w:space="0"/>
              <w:right w:val="single" w:color="auto" w:sz="4" w:space="0"/>
            </w:tcBorders>
            <w:noWrap w:val="0"/>
            <w:vAlign w:val="center"/>
          </w:tcPr>
          <w:p w14:paraId="38CF55D7">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10</w:t>
            </w:r>
          </w:p>
        </w:tc>
      </w:tr>
      <w:tr w14:paraId="693DD9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22" w:type="dxa"/>
            <w:tcBorders>
              <w:top w:val="single" w:color="auto" w:sz="4" w:space="0"/>
              <w:left w:val="single" w:color="auto" w:sz="4" w:space="0"/>
              <w:bottom w:val="single" w:color="auto" w:sz="4" w:space="0"/>
              <w:right w:val="single" w:color="auto" w:sz="4" w:space="0"/>
            </w:tcBorders>
            <w:noWrap w:val="0"/>
            <w:vAlign w:val="center"/>
          </w:tcPr>
          <w:p w14:paraId="58CCF2A7">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总分</w:t>
            </w:r>
          </w:p>
        </w:tc>
        <w:tc>
          <w:tcPr>
            <w:tcW w:w="500" w:type="dxa"/>
            <w:tcBorders>
              <w:top w:val="single" w:color="auto" w:sz="4" w:space="0"/>
              <w:left w:val="single" w:color="auto" w:sz="4" w:space="0"/>
              <w:bottom w:val="single" w:color="auto" w:sz="4" w:space="0"/>
              <w:right w:val="single" w:color="auto" w:sz="4" w:space="0"/>
            </w:tcBorders>
            <w:noWrap w:val="0"/>
            <w:vAlign w:val="center"/>
          </w:tcPr>
          <w:p w14:paraId="05BDA36E">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100</w:t>
            </w:r>
          </w:p>
        </w:tc>
        <w:tc>
          <w:tcPr>
            <w:tcW w:w="585" w:type="dxa"/>
            <w:tcBorders>
              <w:top w:val="single" w:color="auto" w:sz="4" w:space="0"/>
              <w:left w:val="single" w:color="auto" w:sz="4" w:space="0"/>
              <w:bottom w:val="single" w:color="auto" w:sz="4" w:space="0"/>
              <w:right w:val="single" w:color="auto" w:sz="4" w:space="0"/>
            </w:tcBorders>
            <w:noWrap w:val="0"/>
            <w:vAlign w:val="center"/>
          </w:tcPr>
          <w:p w14:paraId="6ECDF60B">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553" w:type="dxa"/>
            <w:tcBorders>
              <w:top w:val="single" w:color="auto" w:sz="4" w:space="0"/>
              <w:left w:val="single" w:color="auto" w:sz="4" w:space="0"/>
              <w:bottom w:val="single" w:color="auto" w:sz="4" w:space="0"/>
              <w:right w:val="single" w:color="auto" w:sz="4" w:space="0"/>
            </w:tcBorders>
            <w:noWrap w:val="0"/>
            <w:vAlign w:val="center"/>
          </w:tcPr>
          <w:p w14:paraId="6EA59B44">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100</w:t>
            </w:r>
          </w:p>
        </w:tc>
        <w:tc>
          <w:tcPr>
            <w:tcW w:w="730" w:type="dxa"/>
            <w:tcBorders>
              <w:top w:val="single" w:color="auto" w:sz="4" w:space="0"/>
              <w:left w:val="single" w:color="auto" w:sz="4" w:space="0"/>
              <w:bottom w:val="single" w:color="auto" w:sz="4" w:space="0"/>
              <w:right w:val="single" w:color="auto" w:sz="4" w:space="0"/>
            </w:tcBorders>
            <w:noWrap w:val="0"/>
            <w:vAlign w:val="center"/>
          </w:tcPr>
          <w:p w14:paraId="47149996">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553" w:type="dxa"/>
            <w:tcBorders>
              <w:top w:val="single" w:color="auto" w:sz="4" w:space="0"/>
              <w:left w:val="single" w:color="auto" w:sz="4" w:space="0"/>
              <w:bottom w:val="single" w:color="auto" w:sz="4" w:space="0"/>
              <w:right w:val="single" w:color="auto" w:sz="4" w:space="0"/>
            </w:tcBorders>
            <w:noWrap w:val="0"/>
            <w:vAlign w:val="center"/>
          </w:tcPr>
          <w:p w14:paraId="698CEA6B">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100</w:t>
            </w:r>
          </w:p>
        </w:tc>
        <w:tc>
          <w:tcPr>
            <w:tcW w:w="2875" w:type="dxa"/>
            <w:tcBorders>
              <w:top w:val="single" w:color="auto" w:sz="4" w:space="0"/>
              <w:left w:val="single" w:color="auto" w:sz="4" w:space="0"/>
              <w:bottom w:val="single" w:color="auto" w:sz="4" w:space="0"/>
              <w:right w:val="single" w:color="auto" w:sz="4" w:space="0"/>
            </w:tcBorders>
            <w:noWrap w:val="0"/>
            <w:vAlign w:val="center"/>
          </w:tcPr>
          <w:p w14:paraId="001473C3">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1118" w:type="dxa"/>
            <w:tcBorders>
              <w:top w:val="single" w:color="auto" w:sz="4" w:space="0"/>
              <w:left w:val="single" w:color="auto" w:sz="4" w:space="0"/>
              <w:bottom w:val="single" w:color="auto" w:sz="4" w:space="0"/>
              <w:right w:val="single" w:color="auto" w:sz="4" w:space="0"/>
            </w:tcBorders>
            <w:noWrap w:val="0"/>
            <w:vAlign w:val="center"/>
          </w:tcPr>
          <w:p w14:paraId="38E2F6B1">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w:t>
            </w:r>
          </w:p>
        </w:tc>
        <w:tc>
          <w:tcPr>
            <w:tcW w:w="4272" w:type="dxa"/>
            <w:tcBorders>
              <w:top w:val="single" w:color="auto" w:sz="4" w:space="0"/>
              <w:left w:val="single" w:color="auto" w:sz="4" w:space="0"/>
              <w:bottom w:val="single" w:color="auto" w:sz="4" w:space="0"/>
              <w:right w:val="single" w:color="auto" w:sz="4" w:space="0"/>
            </w:tcBorders>
            <w:noWrap w:val="0"/>
            <w:vAlign w:val="center"/>
          </w:tcPr>
          <w:p w14:paraId="24179057">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952" w:type="dxa"/>
            <w:tcBorders>
              <w:top w:val="single" w:color="auto" w:sz="4" w:space="0"/>
              <w:left w:val="single" w:color="auto" w:sz="4" w:space="0"/>
              <w:bottom w:val="single" w:color="auto" w:sz="4" w:space="0"/>
              <w:right w:val="single" w:color="auto" w:sz="4" w:space="0"/>
            </w:tcBorders>
            <w:noWrap w:val="0"/>
            <w:vAlign w:val="center"/>
          </w:tcPr>
          <w:p w14:paraId="100204E9">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508" w:type="dxa"/>
            <w:tcBorders>
              <w:top w:val="single" w:color="auto" w:sz="4" w:space="0"/>
              <w:left w:val="single" w:color="auto" w:sz="4" w:space="0"/>
              <w:bottom w:val="single" w:color="auto" w:sz="4" w:space="0"/>
              <w:right w:val="single" w:color="auto" w:sz="4" w:space="0"/>
            </w:tcBorders>
            <w:noWrap w:val="0"/>
            <w:vAlign w:val="center"/>
          </w:tcPr>
          <w:p w14:paraId="5D12D73C">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100</w:t>
            </w:r>
          </w:p>
        </w:tc>
      </w:tr>
    </w:tbl>
    <w:p w14:paraId="2AE12206">
      <w:pPr>
        <w:pStyle w:val="10"/>
        <w:shd w:val="clear" w:color="auto" w:fill="auto"/>
        <w:ind w:left="0" w:leftChars="0" w:firstLine="0" w:firstLineChars="0"/>
        <w:jc w:val="both"/>
        <w:rPr>
          <w:rFonts w:hint="eastAsia" w:ascii="宋体" w:hAnsi="宋体" w:eastAsia="宋体" w:cs="宋体"/>
          <w:color w:val="auto"/>
          <w:sz w:val="24"/>
          <w:szCs w:val="24"/>
          <w:highlight w:val="none"/>
          <w:lang w:eastAsia="zh-CN"/>
        </w:rPr>
      </w:pPr>
    </w:p>
    <w:p w14:paraId="579A5AD9">
      <w:pPr>
        <w:pStyle w:val="10"/>
        <w:shd w:val="clear" w:color="auto" w:fill="auto"/>
        <w:ind w:left="0" w:leftChars="0" w:firstLine="0" w:firstLineChars="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附件2：</w:t>
      </w:r>
    </w:p>
    <w:tbl>
      <w:tblPr>
        <w:tblStyle w:val="2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363"/>
        <w:gridCol w:w="1778"/>
        <w:gridCol w:w="2786"/>
        <w:gridCol w:w="2314"/>
        <w:gridCol w:w="3449"/>
        <w:gridCol w:w="1331"/>
      </w:tblGrid>
      <w:tr w14:paraId="7DCE3E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13021" w:type="dxa"/>
            <w:gridSpan w:val="6"/>
            <w:tcBorders>
              <w:top w:val="nil"/>
              <w:left w:val="nil"/>
              <w:bottom w:val="nil"/>
              <w:right w:val="nil"/>
            </w:tcBorders>
            <w:noWrap/>
            <w:vAlign w:val="center"/>
          </w:tcPr>
          <w:p w14:paraId="4B6F5904">
            <w:pPr>
              <w:keepNext w:val="0"/>
              <w:keepLines w:val="0"/>
              <w:widowControl/>
              <w:suppressLineNumbers w:val="0"/>
              <w:shd w:val="clear" w:color="auto" w:fill="auto"/>
              <w:jc w:val="center"/>
              <w:textAlignment w:val="center"/>
              <w:rPr>
                <w:rFonts w:hint="eastAsia" w:ascii="宋体" w:hAnsi="宋体" w:eastAsia="宋体" w:cs="宋体"/>
                <w:b/>
                <w:bCs/>
                <w:i w:val="0"/>
                <w:iCs w:val="0"/>
                <w:color w:val="auto"/>
                <w:sz w:val="36"/>
                <w:szCs w:val="36"/>
                <w:highlight w:val="none"/>
                <w:u w:val="none"/>
              </w:rPr>
            </w:pPr>
            <w:r>
              <w:rPr>
                <w:rFonts w:hint="eastAsia" w:ascii="宋体" w:hAnsi="宋体" w:eastAsia="宋体" w:cs="宋体"/>
                <w:b/>
                <w:bCs/>
                <w:i w:val="0"/>
                <w:iCs w:val="0"/>
                <w:color w:val="auto"/>
                <w:kern w:val="0"/>
                <w:sz w:val="36"/>
                <w:szCs w:val="36"/>
                <w:highlight w:val="none"/>
                <w:u w:val="none"/>
                <w:lang w:val="en-US" w:eastAsia="zh-CN"/>
              </w:rPr>
              <w:t>关于提前下达2024年中央农业生产发展资金预算的通知项目综合得分表</w:t>
            </w:r>
          </w:p>
        </w:tc>
      </w:tr>
      <w:tr w14:paraId="016A56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36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E039E14">
            <w:pPr>
              <w:keepNext w:val="0"/>
              <w:keepLines w:val="0"/>
              <w:widowControl/>
              <w:suppressLineNumbers w:val="0"/>
              <w:shd w:val="clear" w:color="auto" w:fill="auto"/>
              <w:ind w:left="0" w:leftChars="0" w:firstLine="0" w:firstLineChars="0"/>
              <w:jc w:val="both"/>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rPr>
              <w:t>指标</w:t>
            </w:r>
          </w:p>
        </w:tc>
        <w:tc>
          <w:tcPr>
            <w:tcW w:w="1778"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5152FEE">
            <w:pPr>
              <w:keepNext w:val="0"/>
              <w:keepLines w:val="0"/>
              <w:widowControl/>
              <w:suppressLineNumbers w:val="0"/>
              <w:shd w:val="clear" w:color="auto" w:fill="auto"/>
              <w:ind w:left="0" w:leftChars="0" w:firstLine="0" w:firstLineChars="0"/>
              <w:jc w:val="both"/>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rPr>
              <w:t>项目决策</w:t>
            </w:r>
          </w:p>
        </w:tc>
        <w:tc>
          <w:tcPr>
            <w:tcW w:w="278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B6EBB8E">
            <w:pPr>
              <w:keepNext w:val="0"/>
              <w:keepLines w:val="0"/>
              <w:widowControl/>
              <w:suppressLineNumbers w:val="0"/>
              <w:shd w:val="clear" w:color="auto" w:fill="auto"/>
              <w:jc w:val="both"/>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rPr>
              <w:t>项目过程</w:t>
            </w:r>
          </w:p>
        </w:tc>
        <w:tc>
          <w:tcPr>
            <w:tcW w:w="231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3F9B901">
            <w:pPr>
              <w:keepNext w:val="0"/>
              <w:keepLines w:val="0"/>
              <w:widowControl/>
              <w:suppressLineNumbers w:val="0"/>
              <w:shd w:val="clear" w:color="auto" w:fill="auto"/>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rPr>
              <w:t>项目产出</w:t>
            </w:r>
          </w:p>
        </w:tc>
        <w:tc>
          <w:tcPr>
            <w:tcW w:w="34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A241038">
            <w:pPr>
              <w:keepNext w:val="0"/>
              <w:keepLines w:val="0"/>
              <w:widowControl/>
              <w:suppressLineNumbers w:val="0"/>
              <w:shd w:val="clear" w:color="auto" w:fill="auto"/>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rPr>
              <w:t>项目效益</w:t>
            </w:r>
          </w:p>
        </w:tc>
        <w:tc>
          <w:tcPr>
            <w:tcW w:w="133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E7F64C0">
            <w:pPr>
              <w:keepNext w:val="0"/>
              <w:keepLines w:val="0"/>
              <w:widowControl/>
              <w:suppressLineNumbers w:val="0"/>
              <w:shd w:val="clear" w:color="auto" w:fill="auto"/>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rPr>
              <w:t>合计</w:t>
            </w:r>
          </w:p>
        </w:tc>
      </w:tr>
      <w:tr w14:paraId="71318E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36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21A65CD">
            <w:pPr>
              <w:keepNext w:val="0"/>
              <w:keepLines w:val="0"/>
              <w:widowControl/>
              <w:suppressLineNumbers w:val="0"/>
              <w:shd w:val="clear" w:color="auto" w:fill="auto"/>
              <w:ind w:left="0" w:leftChars="0" w:firstLine="0" w:firstLineChars="0"/>
              <w:jc w:val="both"/>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rPr>
              <w:t>权重</w:t>
            </w:r>
          </w:p>
        </w:tc>
        <w:tc>
          <w:tcPr>
            <w:tcW w:w="1778" w:type="dxa"/>
            <w:tcBorders>
              <w:top w:val="single" w:color="auto" w:sz="4" w:space="0"/>
              <w:left w:val="single" w:color="auto" w:sz="4" w:space="0"/>
              <w:bottom w:val="single" w:color="auto" w:sz="4" w:space="0"/>
              <w:right w:val="single" w:color="auto" w:sz="4" w:space="0"/>
            </w:tcBorders>
            <w:noWrap w:val="0"/>
            <w:vAlign w:val="center"/>
          </w:tcPr>
          <w:p w14:paraId="5BE146E2">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23.00</w:t>
            </w:r>
          </w:p>
        </w:tc>
        <w:tc>
          <w:tcPr>
            <w:tcW w:w="2786" w:type="dxa"/>
            <w:tcBorders>
              <w:top w:val="single" w:color="auto" w:sz="4" w:space="0"/>
              <w:left w:val="single" w:color="auto" w:sz="4" w:space="0"/>
              <w:bottom w:val="single" w:color="auto" w:sz="4" w:space="0"/>
              <w:right w:val="single" w:color="auto" w:sz="4" w:space="0"/>
            </w:tcBorders>
            <w:noWrap w:val="0"/>
            <w:vAlign w:val="center"/>
          </w:tcPr>
          <w:p w14:paraId="54E53C21">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12.00</w:t>
            </w:r>
          </w:p>
        </w:tc>
        <w:tc>
          <w:tcPr>
            <w:tcW w:w="2314" w:type="dxa"/>
            <w:tcBorders>
              <w:top w:val="single" w:color="auto" w:sz="4" w:space="0"/>
              <w:left w:val="single" w:color="auto" w:sz="4" w:space="0"/>
              <w:bottom w:val="single" w:color="auto" w:sz="4" w:space="0"/>
              <w:right w:val="single" w:color="auto" w:sz="4" w:space="0"/>
            </w:tcBorders>
            <w:noWrap w:val="0"/>
            <w:vAlign w:val="center"/>
          </w:tcPr>
          <w:p w14:paraId="0C24BA77">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40.00</w:t>
            </w:r>
          </w:p>
        </w:tc>
        <w:tc>
          <w:tcPr>
            <w:tcW w:w="3449" w:type="dxa"/>
            <w:tcBorders>
              <w:top w:val="single" w:color="auto" w:sz="4" w:space="0"/>
              <w:left w:val="single" w:color="auto" w:sz="4" w:space="0"/>
              <w:bottom w:val="single" w:color="auto" w:sz="4" w:space="0"/>
              <w:right w:val="single" w:color="auto" w:sz="4" w:space="0"/>
            </w:tcBorders>
            <w:noWrap w:val="0"/>
            <w:vAlign w:val="center"/>
          </w:tcPr>
          <w:p w14:paraId="6AAA45AB">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25.00</w:t>
            </w:r>
          </w:p>
        </w:tc>
        <w:tc>
          <w:tcPr>
            <w:tcW w:w="1331" w:type="dxa"/>
            <w:tcBorders>
              <w:top w:val="single" w:color="auto" w:sz="4" w:space="0"/>
              <w:left w:val="single" w:color="auto" w:sz="4" w:space="0"/>
              <w:bottom w:val="single" w:color="auto" w:sz="4" w:space="0"/>
              <w:right w:val="single" w:color="auto" w:sz="4" w:space="0"/>
            </w:tcBorders>
            <w:noWrap w:val="0"/>
            <w:vAlign w:val="center"/>
          </w:tcPr>
          <w:p w14:paraId="4378B05F">
            <w:pPr>
              <w:keepNext w:val="0"/>
              <w:keepLines w:val="0"/>
              <w:widowControl/>
              <w:suppressLineNumbers w:val="0"/>
              <w:shd w:val="clear" w:color="auto" w:fill="auto"/>
              <w:ind w:left="0" w:leftChars="0" w:firstLine="240" w:firstLineChars="10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100.00</w:t>
            </w:r>
          </w:p>
        </w:tc>
      </w:tr>
      <w:tr w14:paraId="5E3B22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36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9063A97">
            <w:pPr>
              <w:keepNext w:val="0"/>
              <w:keepLines w:val="0"/>
              <w:widowControl/>
              <w:suppressLineNumbers w:val="0"/>
              <w:shd w:val="clear" w:color="auto" w:fill="auto"/>
              <w:ind w:left="0" w:leftChars="0" w:firstLine="0" w:firstLineChars="0"/>
              <w:jc w:val="both"/>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rPr>
              <w:t>得分</w:t>
            </w:r>
          </w:p>
        </w:tc>
        <w:tc>
          <w:tcPr>
            <w:tcW w:w="1778"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DA0F7CC">
            <w:pPr>
              <w:keepNext w:val="0"/>
              <w:keepLines w:val="0"/>
              <w:widowControl/>
              <w:suppressLineNumbers w:val="0"/>
              <w:shd w:val="clear" w:color="auto" w:fill="auto"/>
              <w:ind w:firstLine="480" w:firstLineChars="200"/>
              <w:jc w:val="center"/>
              <w:textAlignment w:val="center"/>
              <w:rPr>
                <w:rFonts w:hint="default" w:ascii="宋体" w:hAnsi="宋体" w:eastAsia="宋体" w:cs="宋体"/>
                <w:i w:val="0"/>
                <w:iCs w:val="0"/>
                <w:color w:val="auto"/>
                <w:sz w:val="24"/>
                <w:szCs w:val="24"/>
                <w:highlight w:val="none"/>
                <w:u w:val="none"/>
                <w:lang w:val="en-US"/>
              </w:rPr>
            </w:pPr>
            <w:r>
              <w:rPr>
                <w:rFonts w:hint="eastAsia" w:ascii="宋体" w:hAnsi="宋体" w:eastAsia="宋体" w:cs="宋体"/>
                <w:i w:val="0"/>
                <w:iCs w:val="0"/>
                <w:color w:val="auto"/>
                <w:kern w:val="0"/>
                <w:sz w:val="24"/>
                <w:szCs w:val="24"/>
                <w:highlight w:val="none"/>
                <w:u w:val="none"/>
                <w:lang w:val="en-US" w:eastAsia="zh-CN"/>
              </w:rPr>
              <w:t>23.00</w:t>
            </w:r>
          </w:p>
        </w:tc>
        <w:tc>
          <w:tcPr>
            <w:tcW w:w="278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D2A5713">
            <w:pPr>
              <w:keepNext w:val="0"/>
              <w:keepLines w:val="0"/>
              <w:widowControl/>
              <w:suppressLineNumbers w:val="0"/>
              <w:shd w:val="clear" w:color="auto" w:fill="auto"/>
              <w:ind w:firstLine="480" w:firstLineChars="200"/>
              <w:jc w:val="center"/>
              <w:textAlignment w:val="center"/>
              <w:rPr>
                <w:rFonts w:hint="default" w:ascii="宋体" w:hAnsi="宋体" w:eastAsia="宋体" w:cs="宋体"/>
                <w:i w:val="0"/>
                <w:iCs w:val="0"/>
                <w:color w:val="auto"/>
                <w:sz w:val="24"/>
                <w:szCs w:val="24"/>
                <w:highlight w:val="none"/>
                <w:u w:val="none"/>
                <w:lang w:val="en-US"/>
              </w:rPr>
            </w:pPr>
            <w:r>
              <w:rPr>
                <w:rFonts w:hint="eastAsia" w:ascii="宋体" w:hAnsi="宋体" w:eastAsia="宋体" w:cs="宋体"/>
                <w:i w:val="0"/>
                <w:iCs w:val="0"/>
                <w:color w:val="auto"/>
                <w:kern w:val="0"/>
                <w:sz w:val="24"/>
                <w:szCs w:val="24"/>
                <w:highlight w:val="none"/>
                <w:u w:val="none"/>
                <w:lang w:val="en-US" w:eastAsia="zh-CN"/>
              </w:rPr>
              <w:t>12.00</w:t>
            </w:r>
          </w:p>
        </w:tc>
        <w:tc>
          <w:tcPr>
            <w:tcW w:w="2314"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636FE26">
            <w:pPr>
              <w:keepNext w:val="0"/>
              <w:keepLines w:val="0"/>
              <w:widowControl/>
              <w:suppressLineNumbers w:val="0"/>
              <w:shd w:val="clear" w:color="auto" w:fill="auto"/>
              <w:ind w:firstLine="480" w:firstLineChars="200"/>
              <w:jc w:val="center"/>
              <w:textAlignment w:val="center"/>
              <w:rPr>
                <w:rFonts w:hint="default" w:ascii="宋体" w:hAnsi="宋体" w:eastAsia="宋体" w:cs="宋体"/>
                <w:i w:val="0"/>
                <w:iCs w:val="0"/>
                <w:color w:val="auto"/>
                <w:sz w:val="24"/>
                <w:szCs w:val="24"/>
                <w:highlight w:val="none"/>
                <w:u w:val="none"/>
                <w:lang w:val="en-US"/>
              </w:rPr>
            </w:pPr>
            <w:r>
              <w:rPr>
                <w:rFonts w:hint="eastAsia" w:ascii="宋体" w:hAnsi="宋体" w:eastAsia="宋体" w:cs="宋体"/>
                <w:i w:val="0"/>
                <w:iCs w:val="0"/>
                <w:color w:val="auto"/>
                <w:kern w:val="0"/>
                <w:sz w:val="24"/>
                <w:szCs w:val="24"/>
                <w:highlight w:val="none"/>
                <w:u w:val="none"/>
                <w:lang w:val="en-US" w:eastAsia="zh-CN"/>
              </w:rPr>
              <w:t>40.00</w:t>
            </w:r>
          </w:p>
        </w:tc>
        <w:tc>
          <w:tcPr>
            <w:tcW w:w="34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AA15FE0">
            <w:pPr>
              <w:keepNext w:val="0"/>
              <w:keepLines w:val="0"/>
              <w:widowControl/>
              <w:suppressLineNumbers w:val="0"/>
              <w:shd w:val="clear" w:color="auto" w:fill="auto"/>
              <w:ind w:firstLine="480" w:firstLineChars="200"/>
              <w:jc w:val="center"/>
              <w:textAlignment w:val="center"/>
              <w:rPr>
                <w:rFonts w:hint="default" w:ascii="宋体" w:hAnsi="宋体" w:eastAsia="宋体" w:cs="宋体"/>
                <w:i w:val="0"/>
                <w:iCs w:val="0"/>
                <w:color w:val="auto"/>
                <w:sz w:val="24"/>
                <w:szCs w:val="24"/>
                <w:highlight w:val="none"/>
                <w:u w:val="none"/>
                <w:lang w:val="en-US"/>
              </w:rPr>
            </w:pPr>
            <w:r>
              <w:rPr>
                <w:rFonts w:hint="eastAsia" w:ascii="宋体" w:hAnsi="宋体" w:eastAsia="宋体" w:cs="宋体"/>
                <w:i w:val="0"/>
                <w:iCs w:val="0"/>
                <w:color w:val="auto"/>
                <w:kern w:val="0"/>
                <w:sz w:val="24"/>
                <w:szCs w:val="24"/>
                <w:highlight w:val="none"/>
                <w:u w:val="none"/>
                <w:lang w:val="en-US" w:eastAsia="zh-CN"/>
              </w:rPr>
              <w:t>25.00</w:t>
            </w:r>
          </w:p>
        </w:tc>
        <w:tc>
          <w:tcPr>
            <w:tcW w:w="1331" w:type="dxa"/>
            <w:tcBorders>
              <w:top w:val="single" w:color="auto" w:sz="4" w:space="0"/>
              <w:left w:val="single" w:color="auto" w:sz="4" w:space="0"/>
              <w:bottom w:val="single" w:color="auto" w:sz="4" w:space="0"/>
              <w:right w:val="single" w:color="auto" w:sz="4" w:space="0"/>
            </w:tcBorders>
            <w:noWrap w:val="0"/>
            <w:vAlign w:val="center"/>
          </w:tcPr>
          <w:p w14:paraId="6ED3F237">
            <w:pPr>
              <w:keepNext w:val="0"/>
              <w:keepLines w:val="0"/>
              <w:widowControl/>
              <w:suppressLineNumbers w:val="0"/>
              <w:shd w:val="clear" w:color="auto" w:fill="auto"/>
              <w:ind w:left="0" w:leftChars="0" w:firstLine="240" w:firstLineChars="100"/>
              <w:jc w:val="center"/>
              <w:textAlignment w:val="center"/>
              <w:rPr>
                <w:rFonts w:hint="default" w:ascii="宋体" w:hAnsi="宋体" w:eastAsia="宋体" w:cs="宋体"/>
                <w:i w:val="0"/>
                <w:iCs w:val="0"/>
                <w:color w:val="auto"/>
                <w:sz w:val="24"/>
                <w:szCs w:val="24"/>
                <w:highlight w:val="none"/>
                <w:u w:val="none"/>
                <w:lang w:val="en-US"/>
              </w:rPr>
            </w:pPr>
            <w:r>
              <w:rPr>
                <w:rFonts w:hint="eastAsia" w:ascii="宋体" w:hAnsi="宋体" w:eastAsia="宋体" w:cs="宋体"/>
                <w:i w:val="0"/>
                <w:iCs w:val="0"/>
                <w:color w:val="auto"/>
                <w:kern w:val="0"/>
                <w:sz w:val="24"/>
                <w:szCs w:val="24"/>
                <w:highlight w:val="none"/>
                <w:u w:val="none"/>
                <w:lang w:val="en-US" w:eastAsia="zh-CN"/>
              </w:rPr>
              <w:t>100.00</w:t>
            </w:r>
          </w:p>
        </w:tc>
      </w:tr>
      <w:tr w14:paraId="7FE9CA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36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1165D9F">
            <w:pPr>
              <w:keepNext w:val="0"/>
              <w:keepLines w:val="0"/>
              <w:widowControl/>
              <w:suppressLineNumbers w:val="0"/>
              <w:shd w:val="clear" w:color="auto" w:fill="auto"/>
              <w:ind w:left="0" w:leftChars="0" w:firstLine="0" w:firstLineChars="0"/>
              <w:jc w:val="both"/>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rPr>
              <w:t>得分率</w:t>
            </w:r>
          </w:p>
        </w:tc>
        <w:tc>
          <w:tcPr>
            <w:tcW w:w="1778" w:type="dxa"/>
            <w:tcBorders>
              <w:top w:val="single" w:color="auto" w:sz="4" w:space="0"/>
              <w:left w:val="single" w:color="auto" w:sz="4" w:space="0"/>
              <w:bottom w:val="single" w:color="auto" w:sz="4" w:space="0"/>
              <w:right w:val="single" w:color="auto" w:sz="4" w:space="0"/>
            </w:tcBorders>
            <w:noWrap w:val="0"/>
            <w:vAlign w:val="center"/>
          </w:tcPr>
          <w:p w14:paraId="3B792DE7">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4"/>
                <w:szCs w:val="24"/>
                <w:highlight w:val="none"/>
                <w:u w:val="none"/>
              </w:rPr>
            </w:pPr>
            <w:bookmarkStart w:id="19" w:name="OLE_LINK8"/>
            <w:r>
              <w:rPr>
                <w:rFonts w:hint="eastAsia" w:ascii="宋体" w:hAnsi="宋体" w:eastAsia="宋体" w:cs="宋体"/>
                <w:i w:val="0"/>
                <w:iCs w:val="0"/>
                <w:color w:val="auto"/>
                <w:kern w:val="0"/>
                <w:sz w:val="24"/>
                <w:szCs w:val="24"/>
                <w:highlight w:val="none"/>
                <w:u w:val="none"/>
                <w:lang w:val="en-US" w:eastAsia="zh-CN"/>
              </w:rPr>
              <w:t>100%</w:t>
            </w:r>
            <w:bookmarkEnd w:id="19"/>
          </w:p>
        </w:tc>
        <w:tc>
          <w:tcPr>
            <w:tcW w:w="2786" w:type="dxa"/>
            <w:tcBorders>
              <w:top w:val="single" w:color="auto" w:sz="4" w:space="0"/>
              <w:left w:val="single" w:color="auto" w:sz="4" w:space="0"/>
              <w:bottom w:val="single" w:color="auto" w:sz="4" w:space="0"/>
              <w:right w:val="single" w:color="auto" w:sz="4" w:space="0"/>
            </w:tcBorders>
            <w:noWrap w:val="0"/>
            <w:vAlign w:val="center"/>
          </w:tcPr>
          <w:p w14:paraId="7F782058">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100%</w:t>
            </w:r>
          </w:p>
        </w:tc>
        <w:tc>
          <w:tcPr>
            <w:tcW w:w="2314" w:type="dxa"/>
            <w:tcBorders>
              <w:top w:val="single" w:color="auto" w:sz="4" w:space="0"/>
              <w:left w:val="single" w:color="auto" w:sz="4" w:space="0"/>
              <w:bottom w:val="single" w:color="auto" w:sz="4" w:space="0"/>
              <w:right w:val="single" w:color="auto" w:sz="4" w:space="0"/>
            </w:tcBorders>
            <w:noWrap w:val="0"/>
            <w:vAlign w:val="center"/>
          </w:tcPr>
          <w:p w14:paraId="23B6D5F1">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100%</w:t>
            </w:r>
          </w:p>
        </w:tc>
        <w:tc>
          <w:tcPr>
            <w:tcW w:w="3449" w:type="dxa"/>
            <w:tcBorders>
              <w:top w:val="single" w:color="auto" w:sz="4" w:space="0"/>
              <w:left w:val="single" w:color="auto" w:sz="4" w:space="0"/>
              <w:bottom w:val="single" w:color="auto" w:sz="4" w:space="0"/>
              <w:right w:val="single" w:color="auto" w:sz="4" w:space="0"/>
            </w:tcBorders>
            <w:noWrap w:val="0"/>
            <w:vAlign w:val="center"/>
          </w:tcPr>
          <w:p w14:paraId="2DE73E5F">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100%</w:t>
            </w:r>
          </w:p>
        </w:tc>
        <w:tc>
          <w:tcPr>
            <w:tcW w:w="1331" w:type="dxa"/>
            <w:tcBorders>
              <w:top w:val="single" w:color="auto" w:sz="4" w:space="0"/>
              <w:left w:val="single" w:color="auto" w:sz="4" w:space="0"/>
              <w:bottom w:val="single" w:color="auto" w:sz="4" w:space="0"/>
              <w:right w:val="single" w:color="auto" w:sz="4" w:space="0"/>
            </w:tcBorders>
            <w:noWrap w:val="0"/>
            <w:vAlign w:val="center"/>
          </w:tcPr>
          <w:p w14:paraId="43760ECD">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100%</w:t>
            </w:r>
          </w:p>
        </w:tc>
      </w:tr>
    </w:tbl>
    <w:p w14:paraId="0587189C">
      <w:pPr>
        <w:pStyle w:val="10"/>
        <w:shd w:val="clear" w:color="auto" w:fill="auto"/>
        <w:ind w:left="0" w:leftChars="0" w:firstLine="0" w:firstLineChars="0"/>
        <w:jc w:val="both"/>
        <w:rPr>
          <w:rFonts w:hint="default" w:ascii="宋体" w:hAnsi="宋体" w:eastAsia="宋体" w:cs="宋体"/>
          <w:color w:val="auto"/>
          <w:sz w:val="24"/>
          <w:szCs w:val="24"/>
          <w:highlight w:val="none"/>
          <w:lang w:val="en-US" w:eastAsia="zh-CN"/>
        </w:rPr>
      </w:pPr>
    </w:p>
    <w:p w14:paraId="4527163D">
      <w:pPr>
        <w:pStyle w:val="10"/>
        <w:shd w:val="clear" w:color="auto" w:fill="auto"/>
        <w:ind w:left="0" w:leftChars="0" w:firstLine="0" w:firstLineChars="0"/>
        <w:jc w:val="both"/>
        <w:rPr>
          <w:rFonts w:hint="eastAsia" w:ascii="宋体" w:hAnsi="宋体" w:eastAsia="宋体" w:cs="宋体"/>
          <w:color w:val="auto"/>
          <w:sz w:val="24"/>
          <w:szCs w:val="24"/>
          <w:highlight w:val="none"/>
          <w:lang w:eastAsia="zh-CN"/>
        </w:rPr>
        <w:sectPr>
          <w:pgSz w:w="16838" w:h="11906" w:orient="landscape"/>
          <w:pgMar w:top="1531" w:right="1985" w:bottom="1531" w:left="1701" w:header="851" w:footer="992" w:gutter="0"/>
          <w:pgNumType w:fmt="decimal"/>
          <w:cols w:space="720" w:num="1"/>
          <w:docGrid w:type="linesAndChars" w:linePitch="386" w:charSpace="0"/>
        </w:sectPr>
      </w:pPr>
    </w:p>
    <w:p w14:paraId="60AD0C2F">
      <w:pPr>
        <w:keepNext w:val="0"/>
        <w:keepLines w:val="0"/>
        <w:pageBreakBefore w:val="0"/>
        <w:widowControl w:val="0"/>
        <w:shd w:val="clear" w:color="auto" w:fill="auto"/>
        <w:kinsoku/>
        <w:wordWrap/>
        <w:overflowPunct/>
        <w:topLinePunct w:val="0"/>
        <w:autoSpaceDE/>
        <w:autoSpaceDN/>
        <w:bidi w:val="0"/>
        <w:adjustRightInd w:val="0"/>
        <w:snapToGrid/>
        <w:spacing w:line="360" w:lineRule="auto"/>
        <w:ind w:left="0" w:leftChars="0" w:firstLine="480" w:firstLineChars="200"/>
        <w:jc w:val="both"/>
        <w:textAlignment w:val="auto"/>
        <w:rPr>
          <w:rFonts w:hint="default"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附件3：</w:t>
      </w:r>
    </w:p>
    <w:p w14:paraId="34EC18C8">
      <w:pPr>
        <w:keepNext w:val="0"/>
        <w:keepLines w:val="0"/>
        <w:widowControl/>
        <w:suppressLineNumbers w:val="0"/>
        <w:shd w:val="clear" w:color="auto" w:fill="auto"/>
        <w:ind w:left="0" w:leftChars="0" w:firstLine="0" w:firstLineChars="0"/>
        <w:jc w:val="center"/>
        <w:textAlignment w:val="center"/>
        <w:rPr>
          <w:rFonts w:hint="eastAsia" w:ascii="宋体" w:hAnsi="宋体" w:eastAsia="宋体" w:cs="宋体"/>
          <w:b/>
          <w:bCs/>
          <w:i w:val="0"/>
          <w:iCs w:val="0"/>
          <w:color w:val="auto"/>
          <w:kern w:val="0"/>
          <w:sz w:val="36"/>
          <w:szCs w:val="36"/>
          <w:highlight w:val="none"/>
          <w:u w:val="none"/>
          <w:lang w:val="en-US" w:eastAsia="zh-CN"/>
        </w:rPr>
      </w:pPr>
      <w:r>
        <w:rPr>
          <w:rFonts w:hint="eastAsia" w:ascii="宋体" w:hAnsi="宋体" w:eastAsia="宋体" w:cs="宋体"/>
          <w:b/>
          <w:bCs/>
          <w:i w:val="0"/>
          <w:iCs w:val="0"/>
          <w:color w:val="auto"/>
          <w:kern w:val="0"/>
          <w:sz w:val="36"/>
          <w:szCs w:val="36"/>
          <w:highlight w:val="none"/>
          <w:u w:val="none"/>
          <w:lang w:val="en-US" w:eastAsia="zh-CN"/>
        </w:rPr>
        <w:t>2024年中央农业生产发展资金满意度</w:t>
      </w:r>
    </w:p>
    <w:p w14:paraId="76A85F1C">
      <w:pPr>
        <w:keepNext w:val="0"/>
        <w:keepLines w:val="0"/>
        <w:widowControl/>
        <w:suppressLineNumbers w:val="0"/>
        <w:shd w:val="clear" w:color="auto" w:fill="auto"/>
        <w:ind w:left="0" w:leftChars="0" w:firstLine="0" w:firstLineChars="0"/>
        <w:jc w:val="center"/>
        <w:textAlignment w:val="center"/>
        <w:rPr>
          <w:rFonts w:hint="eastAsia" w:ascii="宋体" w:hAnsi="宋体" w:eastAsia="宋体" w:cs="宋体"/>
          <w:b/>
          <w:bCs/>
          <w:i w:val="0"/>
          <w:iCs w:val="0"/>
          <w:color w:val="auto"/>
          <w:kern w:val="0"/>
          <w:sz w:val="36"/>
          <w:szCs w:val="36"/>
          <w:highlight w:val="none"/>
          <w:u w:val="none"/>
          <w:lang w:val="en-US" w:eastAsia="zh-CN"/>
        </w:rPr>
      </w:pPr>
      <w:r>
        <w:rPr>
          <w:rFonts w:hint="eastAsia" w:ascii="宋体" w:hAnsi="宋体" w:eastAsia="宋体" w:cs="宋体"/>
          <w:b/>
          <w:bCs/>
          <w:i w:val="0"/>
          <w:iCs w:val="0"/>
          <w:color w:val="auto"/>
          <w:kern w:val="0"/>
          <w:sz w:val="36"/>
          <w:szCs w:val="36"/>
          <w:highlight w:val="none"/>
          <w:u w:val="none"/>
          <w:lang w:val="en-US" w:eastAsia="zh-CN"/>
        </w:rPr>
        <w:t>调查问卷分析报告</w:t>
      </w:r>
    </w:p>
    <w:p w14:paraId="0EF88099">
      <w:pPr>
        <w:keepNext w:val="0"/>
        <w:keepLines w:val="0"/>
        <w:pageBreakBefore w:val="0"/>
        <w:widowControl w:val="0"/>
        <w:shd w:val="clear" w:color="auto" w:fill="auto"/>
        <w:kinsoku/>
        <w:wordWrap/>
        <w:overflowPunct/>
        <w:topLinePunct w:val="0"/>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lang w:val="en-US" w:eastAsia="zh-CN"/>
        </w:rPr>
      </w:pPr>
    </w:p>
    <w:p w14:paraId="369F7FCC">
      <w:pPr>
        <w:keepNext w:val="0"/>
        <w:keepLines w:val="0"/>
        <w:pageBreakBefore w:val="0"/>
        <w:widowControl w:val="0"/>
        <w:shd w:val="clear" w:color="auto" w:fill="auto"/>
        <w:kinsoku/>
        <w:wordWrap/>
        <w:overflowPunct/>
        <w:topLinePunct w:val="0"/>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为客观评价该项目的社会效果，了解项目受益群体对项目实施后的真实评价 情况，对本项目开展满意度问卷调查。问卷调查工作情况如下。问卷调查工作情 况如下：</w:t>
      </w:r>
    </w:p>
    <w:p w14:paraId="6584CB15">
      <w:pPr>
        <w:keepNext w:val="0"/>
        <w:keepLines w:val="0"/>
        <w:pageBreakBefore w:val="0"/>
        <w:widowControl w:val="0"/>
        <w:shd w:val="clear" w:color="auto" w:fill="auto"/>
        <w:kinsoku/>
        <w:wordWrap/>
        <w:overflowPunct/>
        <w:topLinePunct w:val="0"/>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lang w:val="en-US" w:eastAsia="zh-CN"/>
        </w:rPr>
      </w:pPr>
    </w:p>
    <w:p w14:paraId="7D384F79">
      <w:pPr>
        <w:keepNext w:val="0"/>
        <w:keepLines w:val="0"/>
        <w:pageBreakBefore w:val="0"/>
        <w:widowControl w:val="0"/>
        <w:shd w:val="clear" w:color="auto" w:fill="auto"/>
        <w:kinsoku/>
        <w:wordWrap/>
        <w:overflowPunct/>
        <w:topLinePunct w:val="0"/>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一、该问卷调查从2025年2月22日开始至2025年3月5日结束，调查问 卷共设置3道题目。</w:t>
      </w:r>
    </w:p>
    <w:p w14:paraId="28992A25">
      <w:pPr>
        <w:keepNext w:val="0"/>
        <w:keepLines w:val="0"/>
        <w:pageBreakBefore w:val="0"/>
        <w:widowControl w:val="0"/>
        <w:shd w:val="clear" w:color="auto" w:fill="auto"/>
        <w:kinsoku/>
        <w:wordWrap/>
        <w:overflowPunct/>
        <w:topLinePunct w:val="0"/>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1.调查对象</w:t>
      </w:r>
    </w:p>
    <w:p w14:paraId="3E83AB5E">
      <w:pPr>
        <w:keepNext w:val="0"/>
        <w:keepLines w:val="0"/>
        <w:pageBreakBefore w:val="0"/>
        <w:widowControl w:val="0"/>
        <w:shd w:val="clear" w:color="auto" w:fill="auto"/>
        <w:kinsoku/>
        <w:wordWrap/>
        <w:overflowPunct/>
        <w:topLinePunct w:val="0"/>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本次调查的受益对象为受益农户。</w:t>
      </w:r>
    </w:p>
    <w:p w14:paraId="5AD84635">
      <w:pPr>
        <w:keepNext w:val="0"/>
        <w:keepLines w:val="0"/>
        <w:pageBreakBefore w:val="0"/>
        <w:widowControl w:val="0"/>
        <w:shd w:val="clear" w:color="auto" w:fill="auto"/>
        <w:kinsoku/>
        <w:wordWrap/>
        <w:overflowPunct/>
        <w:topLinePunct w:val="0"/>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2.调查内容</w:t>
      </w:r>
    </w:p>
    <w:p w14:paraId="2E4A27E2">
      <w:pPr>
        <w:keepNext w:val="0"/>
        <w:keepLines w:val="0"/>
        <w:pageBreakBefore w:val="0"/>
        <w:widowControl w:val="0"/>
        <w:shd w:val="clear" w:color="auto" w:fill="auto"/>
        <w:kinsoku/>
        <w:wordWrap/>
        <w:overflowPunct/>
        <w:topLinePunct w:val="0"/>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①您对2024年2024年中央农业生产发展资金的服务满意程度?</w:t>
      </w:r>
    </w:p>
    <w:p w14:paraId="32FD4873">
      <w:pPr>
        <w:keepNext w:val="0"/>
        <w:keepLines w:val="0"/>
        <w:pageBreakBefore w:val="0"/>
        <w:widowControl w:val="0"/>
        <w:shd w:val="clear" w:color="auto" w:fill="auto"/>
        <w:kinsoku/>
        <w:wordWrap/>
        <w:overflowPunct/>
        <w:topLinePunct w:val="0"/>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非常满意  基本满意   满意    不满意</w:t>
      </w:r>
    </w:p>
    <w:p w14:paraId="63F4A33F">
      <w:pPr>
        <w:keepNext w:val="0"/>
        <w:keepLines w:val="0"/>
        <w:pageBreakBefore w:val="0"/>
        <w:widowControl w:val="0"/>
        <w:shd w:val="clear" w:color="auto" w:fill="auto"/>
        <w:kinsoku/>
        <w:wordWrap/>
        <w:overflowPunct/>
        <w:topLinePunct w:val="0"/>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②您对2024年2024年中央农业生产发展资金的扶持农户补助工作保障如 何?</w:t>
      </w:r>
    </w:p>
    <w:p w14:paraId="6632DD14">
      <w:pPr>
        <w:keepNext w:val="0"/>
        <w:keepLines w:val="0"/>
        <w:pageBreakBefore w:val="0"/>
        <w:widowControl w:val="0"/>
        <w:shd w:val="clear" w:color="auto" w:fill="auto"/>
        <w:kinsoku/>
        <w:wordWrap/>
        <w:overflowPunct/>
        <w:topLinePunct w:val="0"/>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有效保障      基本保障    不能保证</w:t>
      </w:r>
    </w:p>
    <w:p w14:paraId="0DF9ADCF">
      <w:pPr>
        <w:keepNext w:val="0"/>
        <w:keepLines w:val="0"/>
        <w:pageBreakBefore w:val="0"/>
        <w:widowControl w:val="0"/>
        <w:shd w:val="clear" w:color="auto" w:fill="auto"/>
        <w:kinsoku/>
        <w:wordWrap/>
        <w:overflowPunct/>
        <w:topLinePunct w:val="0"/>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③总的来说，您对目前2024年2024年中央农业生产发展资金实施后的促进 畜牧业健康发展满意程度如何?</w:t>
      </w:r>
    </w:p>
    <w:p w14:paraId="2BF3B755">
      <w:pPr>
        <w:keepNext w:val="0"/>
        <w:keepLines w:val="0"/>
        <w:pageBreakBefore w:val="0"/>
        <w:widowControl w:val="0"/>
        <w:shd w:val="clear" w:color="auto" w:fill="auto"/>
        <w:kinsoku/>
        <w:wordWrap/>
        <w:overflowPunct/>
        <w:topLinePunct w:val="0"/>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非常满意   基本满意   满意    不满意</w:t>
      </w:r>
    </w:p>
    <w:p w14:paraId="7AA52084">
      <w:pPr>
        <w:keepNext w:val="0"/>
        <w:keepLines w:val="0"/>
        <w:pageBreakBefore w:val="0"/>
        <w:widowControl w:val="0"/>
        <w:shd w:val="clear" w:color="auto" w:fill="auto"/>
        <w:kinsoku/>
        <w:wordWrap/>
        <w:overflowPunct/>
        <w:topLinePunct w:val="0"/>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3.调查方法</w:t>
      </w:r>
    </w:p>
    <w:p w14:paraId="20CFDD32">
      <w:pPr>
        <w:keepNext w:val="0"/>
        <w:keepLines w:val="0"/>
        <w:pageBreakBefore w:val="0"/>
        <w:widowControl w:val="0"/>
        <w:shd w:val="clear" w:color="auto" w:fill="auto"/>
        <w:kinsoku/>
        <w:wordWrap/>
        <w:overflowPunct/>
        <w:topLinePunct w:val="0"/>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问卷调查采取分层抽样和随机抽样相结合的方式进行。在全面调查开展之前 会先进行论证，依据论证结果对问卷和抽样方案再进行一次修改和调整之后再付 诸实施。</w:t>
      </w:r>
    </w:p>
    <w:p w14:paraId="7311E1AD">
      <w:pPr>
        <w:keepNext w:val="0"/>
        <w:keepLines w:val="0"/>
        <w:pageBreakBefore w:val="0"/>
        <w:widowControl w:val="0"/>
        <w:shd w:val="clear" w:color="auto" w:fill="auto"/>
        <w:kinsoku/>
        <w:wordWrap/>
        <w:overflowPunct/>
        <w:topLinePunct w:val="0"/>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4.抽样方式</w:t>
      </w:r>
    </w:p>
    <w:p w14:paraId="454BC074">
      <w:pPr>
        <w:keepNext w:val="0"/>
        <w:keepLines w:val="0"/>
        <w:pageBreakBefore w:val="0"/>
        <w:widowControl w:val="0"/>
        <w:shd w:val="clear" w:color="auto" w:fill="auto"/>
        <w:kinsoku/>
        <w:wordWrap/>
        <w:overflowPunct/>
        <w:topLinePunct w:val="0"/>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为确保问卷调查的全面性和代表性，本次调查问卷调查采取随机抽样和分层 抽样相结合方式进行。</w:t>
      </w:r>
    </w:p>
    <w:p w14:paraId="28B94E49">
      <w:pPr>
        <w:keepNext w:val="0"/>
        <w:keepLines w:val="0"/>
        <w:pageBreakBefore w:val="0"/>
        <w:widowControl w:val="0"/>
        <w:shd w:val="clear" w:color="auto" w:fill="auto"/>
        <w:kinsoku/>
        <w:wordWrap/>
        <w:overflowPunct/>
        <w:topLinePunct w:val="0"/>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5.问卷的发放和回收</w:t>
      </w:r>
    </w:p>
    <w:p w14:paraId="0A2D3914">
      <w:pPr>
        <w:keepNext w:val="0"/>
        <w:keepLines w:val="0"/>
        <w:pageBreakBefore w:val="0"/>
        <w:widowControl w:val="0"/>
        <w:shd w:val="clear" w:color="auto" w:fill="auto"/>
        <w:kinsoku/>
        <w:wordWrap/>
        <w:overflowPunct/>
        <w:topLinePunct w:val="0"/>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为了给调查对象营造良好的作答环境，保证调查的科学性和严谨性，由我单 位工作人员在线下发放问卷，邀请相应的调查对象填写问卷。到目前为止共回收 问卷30份，其中有效问卷30份，有效问卷回收率为100%。</w:t>
      </w:r>
    </w:p>
    <w:p w14:paraId="72B110E1">
      <w:pPr>
        <w:keepNext w:val="0"/>
        <w:keepLines w:val="0"/>
        <w:pageBreakBefore w:val="0"/>
        <w:widowControl w:val="0"/>
        <w:shd w:val="clear" w:color="auto" w:fill="auto"/>
        <w:kinsoku/>
        <w:wordWrap/>
        <w:overflowPunct/>
        <w:topLinePunct w:val="0"/>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6.问卷调查分析结果</w:t>
      </w:r>
    </w:p>
    <w:p w14:paraId="5723F6EE">
      <w:pPr>
        <w:keepNext w:val="0"/>
        <w:keepLines w:val="0"/>
        <w:pageBreakBefore w:val="0"/>
        <w:widowControl w:val="0"/>
        <w:shd w:val="clear" w:color="auto" w:fill="auto"/>
        <w:kinsoku/>
        <w:wordWrap/>
        <w:overflowPunct/>
        <w:topLinePunct w:val="0"/>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本次调查过程中，评价小组实际发放问卷30份，回收问卷30份，问卷回收 率为100.00%,有效问卷30份，有效回收率100.00%,本次调查的整体情况如下：</w:t>
      </w:r>
    </w:p>
    <w:p w14:paraId="6340C022">
      <w:pPr>
        <w:keepNext w:val="0"/>
        <w:keepLines w:val="0"/>
        <w:pageBreakBefore w:val="0"/>
        <w:widowControl w:val="0"/>
        <w:shd w:val="clear" w:color="auto" w:fill="auto"/>
        <w:kinsoku/>
        <w:wordWrap/>
        <w:overflowPunct/>
        <w:topLinePunct w:val="0"/>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第一个问题：该项统计有效问卷数量30份，选择非常满意的人数为30人。 选择比较满意的人数为0人，选择一般的人数0人，选择不满意的人数0人，选 择非常不满意的人数0人。</w:t>
      </w:r>
    </w:p>
    <w:p w14:paraId="48F6D2DD">
      <w:pPr>
        <w:keepNext w:val="0"/>
        <w:keepLines w:val="0"/>
        <w:pageBreakBefore w:val="0"/>
        <w:widowControl w:val="0"/>
        <w:shd w:val="clear" w:color="auto" w:fill="auto"/>
        <w:kinsoku/>
        <w:wordWrap/>
        <w:overflowPunct/>
        <w:topLinePunct w:val="0"/>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第二个问题：该项统计有效问卷数量30份，选择非常满意的人数为30人。 选择比较满意的人数为0人，选择一般的人数0人，选择不满意的人数0人，选 择非常不满意的人数0人。</w:t>
      </w:r>
    </w:p>
    <w:p w14:paraId="3B5FEE04">
      <w:pPr>
        <w:keepNext w:val="0"/>
        <w:keepLines w:val="0"/>
        <w:pageBreakBefore w:val="0"/>
        <w:widowControl w:val="0"/>
        <w:shd w:val="clear" w:color="auto" w:fill="auto"/>
        <w:kinsoku/>
        <w:wordWrap/>
        <w:overflowPunct/>
        <w:topLinePunct w:val="0"/>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第三个问题：该项统计有效问卷数量30份，选择非常满意的人数为30人。 选择比较满意的人数为0人，选择一般的人数0人，选择不满意的人数0人，选 择非常不满意的人数0人。</w:t>
      </w:r>
    </w:p>
    <w:p w14:paraId="763955B7">
      <w:pPr>
        <w:keepNext w:val="0"/>
        <w:keepLines w:val="0"/>
        <w:pageBreakBefore w:val="0"/>
        <w:widowControl w:val="0"/>
        <w:shd w:val="clear" w:color="auto" w:fill="auto"/>
        <w:kinsoku/>
        <w:wordWrap/>
        <w:overflowPunct/>
        <w:topLinePunct w:val="0"/>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2024年2024年中央农业生产发展资金针对受益人员发放30份调查问卷，</w:t>
      </w:r>
    </w:p>
    <w:p w14:paraId="1B7FD4B6">
      <w:pPr>
        <w:keepNext w:val="0"/>
        <w:keepLines w:val="0"/>
        <w:pageBreakBefore w:val="0"/>
        <w:widowControl w:val="0"/>
        <w:shd w:val="clear" w:color="auto" w:fill="auto"/>
        <w:kinsoku/>
        <w:wordWrap/>
        <w:overflowPunct/>
        <w:topLinePunct w:val="0"/>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最终统计受益人群满意度为100%。</w:t>
      </w:r>
    </w:p>
    <w:p w14:paraId="0CD3CDEC">
      <w:pPr>
        <w:keepNext w:val="0"/>
        <w:keepLines w:val="0"/>
        <w:pageBreakBefore w:val="0"/>
        <w:widowControl w:val="0"/>
        <w:shd w:val="clear" w:color="auto" w:fill="auto"/>
        <w:kinsoku/>
        <w:wordWrap/>
        <w:overflowPunct/>
        <w:topLinePunct w:val="0"/>
        <w:autoSpaceDE/>
        <w:autoSpaceDN/>
        <w:bidi w:val="0"/>
        <w:adjustRightInd w:val="0"/>
        <w:snapToGrid/>
        <w:spacing w:line="360" w:lineRule="auto"/>
        <w:ind w:left="0" w:leftChars="0" w:firstLine="480" w:firstLineChars="200"/>
        <w:jc w:val="right"/>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洛浦县畜牧兽医站</w:t>
      </w:r>
    </w:p>
    <w:p w14:paraId="55CF3994">
      <w:pPr>
        <w:keepNext w:val="0"/>
        <w:keepLines w:val="0"/>
        <w:pageBreakBefore w:val="0"/>
        <w:widowControl w:val="0"/>
        <w:shd w:val="clear" w:color="auto" w:fill="auto"/>
        <w:kinsoku/>
        <w:wordWrap/>
        <w:overflowPunct/>
        <w:topLinePunct w:val="0"/>
        <w:autoSpaceDE/>
        <w:autoSpaceDN/>
        <w:bidi w:val="0"/>
        <w:adjustRightInd w:val="0"/>
        <w:snapToGrid/>
        <w:spacing w:line="360" w:lineRule="auto"/>
        <w:ind w:left="0" w:leftChars="0" w:firstLine="480" w:firstLineChars="200"/>
        <w:jc w:val="right"/>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2025年3月5 日</w:t>
      </w:r>
    </w:p>
    <w:sectPr>
      <w:pgSz w:w="11906" w:h="16838"/>
      <w:pgMar w:top="1985" w:right="1531" w:bottom="1984" w:left="1531" w:header="851" w:footer="992" w:gutter="0"/>
      <w:pgNumType w:fmt="decimal"/>
      <w:cols w:space="720" w:num="1"/>
      <w:docGrid w:type="linesAndChars" w:linePitch="38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0668BDD-74A4-4BBD-8C30-F981EFAE4B5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方正仿宋_GBK">
    <w:panose1 w:val="02000000000000000000"/>
    <w:charset w:val="86"/>
    <w:family w:val="script"/>
    <w:pitch w:val="default"/>
    <w:sig w:usb0="A00002BF" w:usb1="38CF7CFA" w:usb2="00082016" w:usb3="00000000" w:csb0="00040001" w:csb1="00000000"/>
    <w:embedRegular r:id="rId2" w:fontKey="{A4BF5F75-7242-43AA-A5DF-B67F4A8B723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AAFF97">
    <w:pPr>
      <w:pStyle w:val="15"/>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9C845C">
    <w:pPr>
      <w:pStyle w:val="15"/>
      <w:ind w:firstLine="360"/>
    </w:pPr>
    <w: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aspectratio="f"/>
          <v:textbox inset="0mm,0mm,0mm,0mm" style="mso-fit-shape-to-text:t;">
            <w:txbxContent>
              <w:p w14:paraId="5EACC341">
                <w:pPr>
                  <w:pStyle w:val="15"/>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lang w:val="en-US" w:eastAsia="zh-CN"/>
                  </w:rPr>
                  <w:t>25</w:t>
                </w:r>
                <w:r>
                  <w:t xml:space="preserve"> 页</w:t>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560"/>
      </w:pPr>
      <w:r>
        <w:separator/>
      </w:r>
    </w:p>
  </w:footnote>
  <w:footnote w:type="continuationSeparator" w:id="1">
    <w:p>
      <w:pPr>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C88833">
    <w:pPr>
      <w:pStyle w:val="16"/>
      <w:pBdr>
        <w:bottom w:val="none" w:color="auto" w:sz="0" w:space="1"/>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singleLevel"/>
    <w:tmpl w:val="B5E306ED"/>
    <w:lvl w:ilvl="0" w:tentative="0">
      <w:start w:val="1"/>
      <w:numFmt w:val="decimal"/>
      <w:lvlText w:val="%1."/>
      <w:lvlJc w:val="left"/>
      <w:pPr>
        <w:tabs>
          <w:tab w:val="left" w:pos="312"/>
        </w:tabs>
      </w:pPr>
    </w:lvl>
  </w:abstractNum>
  <w:abstractNum w:abstractNumId="1">
    <w:nsid w:val="BF205925"/>
    <w:multiLevelType w:val="singleLevel"/>
    <w:tmpl w:val="BF205925"/>
    <w:lvl w:ilvl="0" w:tentative="0">
      <w:start w:val="1"/>
      <w:numFmt w:val="decimal"/>
      <w:suff w:val="nothing"/>
      <w:lvlText w:val="%1）"/>
      <w:lvlJc w:val="left"/>
    </w:lvl>
  </w:abstractNum>
  <w:abstractNum w:abstractNumId="2">
    <w:nsid w:val="CF092B84"/>
    <w:multiLevelType w:val="singleLevel"/>
    <w:tmpl w:val="CF092B84"/>
    <w:lvl w:ilvl="0" w:tentative="0">
      <w:start w:val="2"/>
      <w:numFmt w:val="decimal"/>
      <w:lvlText w:val="%1."/>
      <w:lvlJc w:val="left"/>
      <w:pPr>
        <w:tabs>
          <w:tab w:val="left" w:pos="312"/>
        </w:tabs>
      </w:pPr>
    </w:lvl>
  </w:abstractNum>
  <w:abstractNum w:abstractNumId="3">
    <w:nsid w:val="0053208E"/>
    <w:multiLevelType w:val="singleLevel"/>
    <w:tmpl w:val="0053208E"/>
    <w:lvl w:ilvl="0" w:tentative="0">
      <w:start w:val="1"/>
      <w:numFmt w:val="decimal"/>
      <w:lvlText w:val="%1."/>
      <w:lvlJc w:val="left"/>
      <w:pPr>
        <w:tabs>
          <w:tab w:val="left" w:pos="312"/>
        </w:tabs>
      </w:pPr>
    </w:lvl>
  </w:abstractNum>
  <w:abstractNum w:abstractNumId="4">
    <w:nsid w:val="59ADCABA"/>
    <w:multiLevelType w:val="singleLevel"/>
    <w:tmpl w:val="59ADCABA"/>
    <w:lvl w:ilvl="0" w:tentative="0">
      <w:start w:val="1"/>
      <w:numFmt w:val="decimal"/>
      <w:suff w:val="nothing"/>
      <w:lvlText w:val="（%1）"/>
      <w:lvlJc w:val="left"/>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doNotDisplayPageBoundaries w:val="1"/>
  <w:embedTrueTypeFonts/>
  <w:saveSubsetFonts/>
  <w:bordersDoNotSurroundHeader w:val="0"/>
  <w:bordersDoNotSurroundFooter w:val="0"/>
  <w:doNotTrackMoves/>
  <w:documentProtection w:enforcement="0"/>
  <w:defaultTabStop w:val="420"/>
  <w:drawingGridHorizontalSpacing w:val="140"/>
  <w:drawingGridVerticalSpacing w:val="193"/>
  <w:noPunctuationKerning w:val="1"/>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zIzNjhjZjkxMjg2OGJjOTQ0NThhNzBhOGI4YTVmYWYifQ=="/>
  </w:docVars>
  <w:rsids>
    <w:rsidRoot w:val="00000000"/>
    <w:rsid w:val="485E010F"/>
    <w:rsid w:val="5E7A631C"/>
  </w:rsids>
  <m:mathPr>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9" w:semiHidden="0"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uiPriority="39" w:semiHidden="0" w:name="toc 5"/>
    <w:lsdException w:qFormat="1" w:uiPriority="39" w:semiHidden="0" w:name="toc 6"/>
    <w:lsdException w:uiPriority="39" w:semiHidden="0" w:name="toc 7"/>
    <w:lsdException w:qFormat="1" w:uiPriority="39" w:semiHidden="0" w:name="toc 8"/>
    <w:lsdException w:qFormat="1" w:uiPriority="39" w:semiHidden="0" w:name="toc 9"/>
    <w:lsdException w:uiPriority="99" w:name="Normal Indent"/>
    <w:lsdException w:uiPriority="99" w:name="footnote text"/>
    <w:lsdException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semiHidden="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Times New Roman" w:hAnsi="Times New Roman" w:eastAsia="仿宋_GB2312" w:cs="黑体"/>
      <w:kern w:val="2"/>
      <w:sz w:val="28"/>
      <w:szCs w:val="22"/>
      <w:lang w:val="en-US" w:eastAsia="zh-CN" w:bidi="ar-SA"/>
    </w:rPr>
  </w:style>
  <w:style w:type="paragraph" w:styleId="2">
    <w:name w:val="heading 1"/>
    <w:basedOn w:val="1"/>
    <w:next w:val="3"/>
    <w:link w:val="30"/>
    <w:qFormat/>
    <w:uiPriority w:val="9"/>
    <w:pPr>
      <w:keepNext/>
      <w:keepLines/>
      <w:spacing w:before="340" w:after="330" w:line="578" w:lineRule="auto"/>
      <w:jc w:val="left"/>
      <w:outlineLvl w:val="0"/>
    </w:pPr>
    <w:rPr>
      <w:rFonts w:ascii="Times New Roman" w:hAnsi="Times New Roman" w:cs="Times New Roman"/>
      <w:b/>
      <w:bCs/>
      <w:kern w:val="44"/>
      <w:sz w:val="32"/>
      <w:szCs w:val="44"/>
    </w:rPr>
  </w:style>
  <w:style w:type="paragraph" w:styleId="5">
    <w:name w:val="heading 2"/>
    <w:basedOn w:val="1"/>
    <w:next w:val="1"/>
    <w:link w:val="33"/>
    <w:qFormat/>
    <w:uiPriority w:val="0"/>
    <w:pPr>
      <w:keepNext/>
      <w:keepLines/>
      <w:spacing w:before="260" w:after="260" w:line="415" w:lineRule="auto"/>
      <w:ind w:firstLine="200"/>
      <w:jc w:val="left"/>
      <w:outlineLvl w:val="1"/>
    </w:pPr>
    <w:rPr>
      <w:rFonts w:ascii="Cambria" w:hAnsi="Cambria" w:cs="Times New Roman"/>
      <w:b/>
      <w:bCs/>
      <w:kern w:val="0"/>
      <w:sz w:val="30"/>
      <w:szCs w:val="32"/>
    </w:rPr>
  </w:style>
  <w:style w:type="paragraph" w:styleId="6">
    <w:name w:val="heading 3"/>
    <w:basedOn w:val="1"/>
    <w:next w:val="1"/>
    <w:link w:val="34"/>
    <w:qFormat/>
    <w:uiPriority w:val="9"/>
    <w:pPr>
      <w:keepNext/>
      <w:keepLines/>
      <w:spacing w:before="260" w:after="260" w:line="416" w:lineRule="auto"/>
      <w:jc w:val="left"/>
      <w:outlineLvl w:val="2"/>
    </w:pPr>
    <w:rPr>
      <w:rFonts w:cs="Times New Roman"/>
      <w:bCs/>
      <w:kern w:val="0"/>
      <w:szCs w:val="32"/>
    </w:rPr>
  </w:style>
  <w:style w:type="paragraph" w:styleId="7">
    <w:name w:val="heading 4"/>
    <w:basedOn w:val="1"/>
    <w:next w:val="1"/>
    <w:link w:val="35"/>
    <w:qFormat/>
    <w:uiPriority w:val="9"/>
    <w:pPr>
      <w:keepNext/>
      <w:keepLines/>
      <w:spacing w:before="280" w:after="290" w:line="376" w:lineRule="auto"/>
      <w:outlineLvl w:val="3"/>
    </w:pPr>
    <w:rPr>
      <w:rFonts w:ascii="Cambria" w:hAnsi="Cambria" w:eastAsia="宋体" w:cs="Times New Roman"/>
      <w:b/>
      <w:bCs/>
      <w:kern w:val="0"/>
      <w:szCs w:val="28"/>
    </w:rPr>
  </w:style>
  <w:style w:type="character" w:default="1" w:styleId="25">
    <w:name w:val="Default Paragraph Font"/>
    <w:unhideWhenUsed/>
    <w:qFormat/>
    <w:uiPriority w:val="1"/>
  </w:style>
  <w:style w:type="table" w:default="1" w:styleId="23">
    <w:name w:val="Normal Table"/>
    <w:unhideWhenUsed/>
    <w:qFormat/>
    <w:uiPriority w:val="99"/>
    <w:tblPr>
      <w:tblCellMar>
        <w:top w:w="0" w:type="dxa"/>
        <w:left w:w="108" w:type="dxa"/>
        <w:bottom w:w="0" w:type="dxa"/>
        <w:right w:w="108" w:type="dxa"/>
      </w:tblCellMar>
    </w:tblPr>
  </w:style>
  <w:style w:type="paragraph" w:styleId="3">
    <w:name w:val="Body Text First Indent 2"/>
    <w:basedOn w:val="4"/>
    <w:link w:val="32"/>
    <w:unhideWhenUsed/>
    <w:qFormat/>
    <w:uiPriority w:val="0"/>
    <w:pPr>
      <w:ind w:firstLine="420"/>
    </w:pPr>
  </w:style>
  <w:style w:type="paragraph" w:styleId="4">
    <w:name w:val="Body Text Indent"/>
    <w:basedOn w:val="1"/>
    <w:link w:val="31"/>
    <w:unhideWhenUsed/>
    <w:qFormat/>
    <w:uiPriority w:val="99"/>
    <w:pPr>
      <w:spacing w:after="120"/>
      <w:ind w:left="420" w:leftChars="200"/>
    </w:pPr>
    <w:rPr>
      <w:rFonts w:cs="Times New Roman"/>
      <w:kern w:val="0"/>
      <w:szCs w:val="20"/>
    </w:rPr>
  </w:style>
  <w:style w:type="paragraph" w:styleId="8">
    <w:name w:val="toc 7"/>
    <w:basedOn w:val="1"/>
    <w:next w:val="1"/>
    <w:unhideWhenUsed/>
    <w:uiPriority w:val="39"/>
    <w:pPr>
      <w:ind w:left="1680"/>
      <w:jc w:val="left"/>
    </w:pPr>
    <w:rPr>
      <w:rFonts w:ascii="Calibri" w:hAnsi="Calibri" w:cs="Calibri"/>
      <w:sz w:val="18"/>
      <w:szCs w:val="18"/>
    </w:rPr>
  </w:style>
  <w:style w:type="paragraph" w:styleId="9">
    <w:name w:val="Document Map"/>
    <w:basedOn w:val="1"/>
    <w:link w:val="36"/>
    <w:unhideWhenUsed/>
    <w:uiPriority w:val="99"/>
    <w:rPr>
      <w:rFonts w:ascii="宋体" w:eastAsia="宋体" w:cs="Times New Roman"/>
      <w:kern w:val="0"/>
      <w:sz w:val="18"/>
      <w:szCs w:val="18"/>
    </w:rPr>
  </w:style>
  <w:style w:type="paragraph" w:styleId="10">
    <w:name w:val="Body Text"/>
    <w:basedOn w:val="1"/>
    <w:qFormat/>
    <w:uiPriority w:val="0"/>
    <w:pPr>
      <w:spacing w:before="240" w:after="240" w:line="360" w:lineRule="auto"/>
      <w:jc w:val="center"/>
    </w:pPr>
    <w:rPr>
      <w:b/>
      <w:sz w:val="44"/>
    </w:rPr>
  </w:style>
  <w:style w:type="paragraph" w:styleId="11">
    <w:name w:val="toc 5"/>
    <w:basedOn w:val="1"/>
    <w:next w:val="1"/>
    <w:unhideWhenUsed/>
    <w:uiPriority w:val="39"/>
    <w:pPr>
      <w:ind w:left="1120"/>
      <w:jc w:val="left"/>
    </w:pPr>
    <w:rPr>
      <w:rFonts w:ascii="Calibri" w:hAnsi="Calibri" w:cs="Calibri"/>
      <w:sz w:val="18"/>
      <w:szCs w:val="18"/>
    </w:rPr>
  </w:style>
  <w:style w:type="paragraph" w:styleId="12">
    <w:name w:val="toc 3"/>
    <w:basedOn w:val="1"/>
    <w:next w:val="1"/>
    <w:unhideWhenUsed/>
    <w:qFormat/>
    <w:uiPriority w:val="39"/>
    <w:pPr>
      <w:ind w:left="560"/>
      <w:jc w:val="left"/>
    </w:pPr>
    <w:rPr>
      <w:rFonts w:ascii="Calibri" w:hAnsi="Calibri" w:cs="Calibri"/>
      <w:i/>
      <w:iCs/>
      <w:sz w:val="20"/>
      <w:szCs w:val="20"/>
    </w:rPr>
  </w:style>
  <w:style w:type="paragraph" w:styleId="13">
    <w:name w:val="toc 8"/>
    <w:basedOn w:val="1"/>
    <w:next w:val="1"/>
    <w:unhideWhenUsed/>
    <w:qFormat/>
    <w:uiPriority w:val="39"/>
    <w:pPr>
      <w:ind w:left="1960"/>
      <w:jc w:val="left"/>
    </w:pPr>
    <w:rPr>
      <w:rFonts w:ascii="Calibri" w:hAnsi="Calibri" w:cs="Calibri"/>
      <w:sz w:val="18"/>
      <w:szCs w:val="18"/>
    </w:rPr>
  </w:style>
  <w:style w:type="paragraph" w:styleId="14">
    <w:name w:val="Balloon Text"/>
    <w:basedOn w:val="1"/>
    <w:link w:val="38"/>
    <w:unhideWhenUsed/>
    <w:qFormat/>
    <w:uiPriority w:val="99"/>
    <w:rPr>
      <w:rFonts w:cs="Times New Roman"/>
      <w:kern w:val="0"/>
      <w:sz w:val="18"/>
      <w:szCs w:val="18"/>
    </w:rPr>
  </w:style>
  <w:style w:type="paragraph" w:styleId="15">
    <w:name w:val="footer"/>
    <w:basedOn w:val="1"/>
    <w:link w:val="39"/>
    <w:unhideWhenUsed/>
    <w:qFormat/>
    <w:uiPriority w:val="99"/>
    <w:pPr>
      <w:tabs>
        <w:tab w:val="center" w:pos="4153"/>
        <w:tab w:val="right" w:pos="8306"/>
      </w:tabs>
      <w:snapToGrid w:val="0"/>
      <w:jc w:val="left"/>
    </w:pPr>
    <w:rPr>
      <w:rFonts w:cs="Times New Roman"/>
      <w:kern w:val="0"/>
      <w:sz w:val="18"/>
      <w:szCs w:val="18"/>
    </w:rPr>
  </w:style>
  <w:style w:type="paragraph" w:styleId="16">
    <w:name w:val="header"/>
    <w:basedOn w:val="1"/>
    <w:link w:val="40"/>
    <w:unhideWhenUsed/>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paragraph" w:styleId="17">
    <w:name w:val="toc 1"/>
    <w:basedOn w:val="1"/>
    <w:next w:val="1"/>
    <w:unhideWhenUsed/>
    <w:qFormat/>
    <w:uiPriority w:val="39"/>
    <w:pPr>
      <w:spacing w:before="120" w:after="120"/>
      <w:jc w:val="left"/>
    </w:pPr>
    <w:rPr>
      <w:rFonts w:ascii="Calibri" w:hAnsi="Calibri" w:cs="Calibri"/>
      <w:b/>
      <w:bCs/>
      <w:caps/>
      <w:sz w:val="20"/>
      <w:szCs w:val="20"/>
    </w:rPr>
  </w:style>
  <w:style w:type="paragraph" w:styleId="18">
    <w:name w:val="toc 4"/>
    <w:basedOn w:val="1"/>
    <w:next w:val="1"/>
    <w:unhideWhenUsed/>
    <w:qFormat/>
    <w:uiPriority w:val="39"/>
    <w:pPr>
      <w:ind w:left="840"/>
      <w:jc w:val="left"/>
    </w:pPr>
    <w:rPr>
      <w:rFonts w:ascii="Calibri" w:hAnsi="Calibri" w:cs="Calibri"/>
      <w:sz w:val="18"/>
      <w:szCs w:val="18"/>
    </w:rPr>
  </w:style>
  <w:style w:type="paragraph" w:styleId="19">
    <w:name w:val="toc 6"/>
    <w:basedOn w:val="1"/>
    <w:next w:val="1"/>
    <w:unhideWhenUsed/>
    <w:qFormat/>
    <w:uiPriority w:val="39"/>
    <w:pPr>
      <w:ind w:left="1400"/>
      <w:jc w:val="left"/>
    </w:pPr>
    <w:rPr>
      <w:rFonts w:ascii="Calibri" w:hAnsi="Calibri" w:cs="Calibri"/>
      <w:sz w:val="18"/>
      <w:szCs w:val="18"/>
    </w:rPr>
  </w:style>
  <w:style w:type="paragraph" w:styleId="20">
    <w:name w:val="toc 2"/>
    <w:basedOn w:val="1"/>
    <w:next w:val="1"/>
    <w:unhideWhenUsed/>
    <w:qFormat/>
    <w:uiPriority w:val="39"/>
    <w:pPr>
      <w:ind w:left="280"/>
      <w:jc w:val="left"/>
    </w:pPr>
    <w:rPr>
      <w:rFonts w:ascii="Calibri" w:hAnsi="Calibri" w:cs="Calibri"/>
      <w:smallCaps/>
      <w:sz w:val="20"/>
      <w:szCs w:val="20"/>
    </w:rPr>
  </w:style>
  <w:style w:type="paragraph" w:styleId="21">
    <w:name w:val="toc 9"/>
    <w:basedOn w:val="1"/>
    <w:next w:val="1"/>
    <w:unhideWhenUsed/>
    <w:qFormat/>
    <w:uiPriority w:val="39"/>
    <w:pPr>
      <w:ind w:left="2240"/>
      <w:jc w:val="left"/>
    </w:pPr>
    <w:rPr>
      <w:rFonts w:ascii="Calibri" w:hAnsi="Calibri" w:cs="Calibri"/>
      <w:sz w:val="18"/>
      <w:szCs w:val="18"/>
    </w:rPr>
  </w:style>
  <w:style w:type="paragraph" w:styleId="22">
    <w:name w:val="Title"/>
    <w:basedOn w:val="1"/>
    <w:next w:val="1"/>
    <w:link w:val="41"/>
    <w:qFormat/>
    <w:uiPriority w:val="10"/>
    <w:pPr>
      <w:spacing w:before="240" w:after="60"/>
      <w:jc w:val="center"/>
      <w:outlineLvl w:val="0"/>
    </w:pPr>
    <w:rPr>
      <w:rFonts w:ascii="Cambria" w:hAnsi="Cambria" w:eastAsia="宋体" w:cs="Times New Roman"/>
      <w:b/>
      <w:bCs/>
      <w:sz w:val="32"/>
      <w:szCs w:val="32"/>
    </w:rPr>
  </w:style>
  <w:style w:type="table" w:styleId="24">
    <w:name w:val="Table Grid"/>
    <w:basedOn w:val="2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6">
    <w:name w:val="Hyperlink"/>
    <w:unhideWhenUsed/>
    <w:qFormat/>
    <w:uiPriority w:val="99"/>
    <w:rPr>
      <w:color w:val="0000FF"/>
      <w:u w:val="single"/>
    </w:rPr>
  </w:style>
  <w:style w:type="paragraph" w:customStyle="1" w:styleId="27">
    <w:name w:val="Comment Text"/>
    <w:basedOn w:val="1"/>
    <w:link w:val="37"/>
    <w:unhideWhenUsed/>
    <w:qFormat/>
    <w:uiPriority w:val="99"/>
    <w:rPr>
      <w:rFonts w:cs="Times New Roman"/>
      <w:kern w:val="0"/>
      <w:sz w:val="20"/>
      <w:szCs w:val="20"/>
    </w:rPr>
  </w:style>
  <w:style w:type="paragraph" w:customStyle="1" w:styleId="28">
    <w:name w:val="Comment Subject"/>
    <w:basedOn w:val="27"/>
    <w:next w:val="27"/>
    <w:link w:val="42"/>
    <w:unhideWhenUsed/>
    <w:qFormat/>
    <w:uiPriority w:val="99"/>
    <w:rPr>
      <w:b/>
      <w:bCs/>
    </w:rPr>
  </w:style>
  <w:style w:type="character" w:customStyle="1" w:styleId="29">
    <w:name w:val="Comment Reference"/>
    <w:unhideWhenUsed/>
    <w:qFormat/>
    <w:uiPriority w:val="99"/>
    <w:rPr>
      <w:sz w:val="16"/>
      <w:szCs w:val="16"/>
    </w:rPr>
  </w:style>
  <w:style w:type="character" w:customStyle="1" w:styleId="30">
    <w:name w:val="标题 1 Char"/>
    <w:link w:val="2"/>
    <w:qFormat/>
    <w:uiPriority w:val="9"/>
    <w:rPr>
      <w:rFonts w:ascii="Times New Roman" w:hAnsi="Times New Roman" w:eastAsia="仿宋_GB2312" w:cs="Times New Roman"/>
      <w:b/>
      <w:bCs/>
      <w:kern w:val="44"/>
      <w:sz w:val="32"/>
      <w:szCs w:val="44"/>
    </w:rPr>
  </w:style>
  <w:style w:type="character" w:customStyle="1" w:styleId="31">
    <w:name w:val="正文文本缩进 Char"/>
    <w:link w:val="4"/>
    <w:semiHidden/>
    <w:qFormat/>
    <w:uiPriority w:val="99"/>
    <w:rPr>
      <w:rFonts w:ascii="Calibri" w:hAnsi="Calibri" w:eastAsia="仿宋_GB2312" w:cs="黑体"/>
      <w:sz w:val="28"/>
    </w:rPr>
  </w:style>
  <w:style w:type="character" w:customStyle="1" w:styleId="32">
    <w:name w:val="正文首行缩进 2 Char"/>
    <w:link w:val="3"/>
    <w:qFormat/>
    <w:uiPriority w:val="0"/>
    <w:rPr>
      <w:rFonts w:ascii="Calibri" w:hAnsi="Calibri" w:eastAsia="仿宋_GB2312" w:cs="黑体"/>
      <w:sz w:val="28"/>
    </w:rPr>
  </w:style>
  <w:style w:type="character" w:customStyle="1" w:styleId="33">
    <w:name w:val="标题 2 Char"/>
    <w:link w:val="5"/>
    <w:qFormat/>
    <w:uiPriority w:val="0"/>
    <w:rPr>
      <w:rFonts w:ascii="Cambria" w:hAnsi="Cambria" w:eastAsia="仿宋_GB2312" w:cs="Times New Roman"/>
      <w:b/>
      <w:bCs/>
      <w:kern w:val="0"/>
      <w:sz w:val="30"/>
      <w:szCs w:val="32"/>
    </w:rPr>
  </w:style>
  <w:style w:type="character" w:customStyle="1" w:styleId="34">
    <w:name w:val="标题 3 Char"/>
    <w:link w:val="6"/>
    <w:qFormat/>
    <w:uiPriority w:val="9"/>
    <w:rPr>
      <w:rFonts w:ascii="Calibri" w:hAnsi="Calibri" w:eastAsia="仿宋_GB2312" w:cs="黑体"/>
      <w:bCs/>
      <w:sz w:val="28"/>
      <w:szCs w:val="32"/>
    </w:rPr>
  </w:style>
  <w:style w:type="character" w:customStyle="1" w:styleId="35">
    <w:name w:val="标题 4 Char"/>
    <w:link w:val="7"/>
    <w:semiHidden/>
    <w:qFormat/>
    <w:uiPriority w:val="9"/>
    <w:rPr>
      <w:rFonts w:ascii="Cambria" w:hAnsi="Cambria" w:eastAsia="宋体" w:cs="Times New Roman"/>
      <w:b/>
      <w:bCs/>
      <w:sz w:val="28"/>
      <w:szCs w:val="28"/>
    </w:rPr>
  </w:style>
  <w:style w:type="character" w:customStyle="1" w:styleId="36">
    <w:name w:val="文档结构图 Char"/>
    <w:link w:val="9"/>
    <w:semiHidden/>
    <w:qFormat/>
    <w:uiPriority w:val="99"/>
    <w:rPr>
      <w:rFonts w:ascii="宋体" w:hAnsi="Calibri" w:eastAsia="宋体" w:cs="黑体"/>
      <w:sz w:val="18"/>
      <w:szCs w:val="18"/>
    </w:rPr>
  </w:style>
  <w:style w:type="character" w:customStyle="1" w:styleId="37">
    <w:name w:val="批注文字 Char"/>
    <w:link w:val="27"/>
    <w:semiHidden/>
    <w:qFormat/>
    <w:uiPriority w:val="99"/>
    <w:rPr>
      <w:rFonts w:ascii="Calibri" w:hAnsi="Calibri" w:eastAsia="仿宋_GB2312" w:cs="黑体"/>
      <w:sz w:val="20"/>
      <w:szCs w:val="20"/>
    </w:rPr>
  </w:style>
  <w:style w:type="character" w:customStyle="1" w:styleId="38">
    <w:name w:val="批注框文本 Char"/>
    <w:link w:val="14"/>
    <w:semiHidden/>
    <w:qFormat/>
    <w:uiPriority w:val="99"/>
    <w:rPr>
      <w:rFonts w:ascii="Calibri" w:hAnsi="Calibri" w:eastAsia="仿宋_GB2312" w:cs="黑体"/>
      <w:sz w:val="18"/>
      <w:szCs w:val="18"/>
    </w:rPr>
  </w:style>
  <w:style w:type="character" w:customStyle="1" w:styleId="39">
    <w:name w:val="页脚 Char"/>
    <w:link w:val="15"/>
    <w:qFormat/>
    <w:uiPriority w:val="99"/>
    <w:rPr>
      <w:rFonts w:ascii="Calibri" w:hAnsi="Calibri" w:eastAsia="仿宋_GB2312" w:cs="黑体"/>
      <w:sz w:val="18"/>
      <w:szCs w:val="18"/>
    </w:rPr>
  </w:style>
  <w:style w:type="character" w:customStyle="1" w:styleId="40">
    <w:name w:val="页眉 Char"/>
    <w:link w:val="16"/>
    <w:qFormat/>
    <w:uiPriority w:val="99"/>
    <w:rPr>
      <w:rFonts w:ascii="Calibri" w:hAnsi="Calibri" w:eastAsia="仿宋_GB2312" w:cs="黑体"/>
      <w:sz w:val="18"/>
      <w:szCs w:val="18"/>
    </w:rPr>
  </w:style>
  <w:style w:type="character" w:customStyle="1" w:styleId="41">
    <w:name w:val="标题 Char"/>
    <w:link w:val="22"/>
    <w:qFormat/>
    <w:uiPriority w:val="10"/>
    <w:rPr>
      <w:rFonts w:ascii="Cambria" w:hAnsi="Cambria"/>
      <w:b/>
      <w:bCs/>
      <w:kern w:val="2"/>
      <w:sz w:val="32"/>
      <w:szCs w:val="32"/>
    </w:rPr>
  </w:style>
  <w:style w:type="character" w:customStyle="1" w:styleId="42">
    <w:name w:val="批注主题 Char"/>
    <w:link w:val="28"/>
    <w:semiHidden/>
    <w:qFormat/>
    <w:uiPriority w:val="99"/>
    <w:rPr>
      <w:rFonts w:ascii="Calibri" w:hAnsi="Calibri" w:eastAsia="仿宋_GB2312" w:cs="黑体"/>
      <w:b/>
      <w:bCs/>
      <w:sz w:val="20"/>
      <w:szCs w:val="20"/>
    </w:rPr>
  </w:style>
  <w:style w:type="character" w:customStyle="1" w:styleId="43">
    <w:name w:val="43"/>
    <w:qFormat/>
    <w:uiPriority w:val="0"/>
    <w:rPr>
      <w:b/>
      <w:bCs/>
      <w:smallCaps/>
      <w:color w:val="C0504D"/>
      <w:spacing w:val="5"/>
      <w:u w:val="single"/>
    </w:rPr>
  </w:style>
  <w:style w:type="character" w:customStyle="1" w:styleId="44">
    <w:name w:val="闻政-正文段落文字 Char"/>
    <w:link w:val="45"/>
    <w:qFormat/>
    <w:uiPriority w:val="3"/>
    <w:rPr>
      <w:rFonts w:ascii="Times New Roman" w:hAnsi="Times New Roman" w:eastAsia="仿宋_GB2312"/>
      <w:sz w:val="28"/>
      <w:szCs w:val="28"/>
    </w:rPr>
  </w:style>
  <w:style w:type="paragraph" w:customStyle="1" w:styleId="45">
    <w:name w:val="闻政-正文段落文字"/>
    <w:basedOn w:val="1"/>
    <w:link w:val="44"/>
    <w:qFormat/>
    <w:uiPriority w:val="3"/>
    <w:pPr>
      <w:spacing w:line="500" w:lineRule="exact"/>
      <w:ind w:firstLine="200"/>
    </w:pPr>
    <w:rPr>
      <w:rFonts w:ascii="Times New Roman" w:hAnsi="Times New Roman" w:cs="Times New Roman"/>
      <w:kern w:val="0"/>
      <w:szCs w:val="28"/>
    </w:rPr>
  </w:style>
  <w:style w:type="character" w:customStyle="1" w:styleId="46">
    <w:name w:val="无间隔 Char"/>
    <w:link w:val="47"/>
    <w:qFormat/>
    <w:uiPriority w:val="1"/>
    <w:rPr>
      <w:rFonts w:eastAsia="仿宋_GB2312" w:cs="黑体"/>
      <w:kern w:val="2"/>
      <w:sz w:val="28"/>
      <w:szCs w:val="22"/>
      <w:lang w:val="en-US" w:eastAsia="zh-CN" w:bidi="ar-SA"/>
    </w:rPr>
  </w:style>
  <w:style w:type="paragraph" w:styleId="47">
    <w:name w:val="No Spacing"/>
    <w:link w:val="46"/>
    <w:qFormat/>
    <w:uiPriority w:val="1"/>
    <w:pPr>
      <w:widowControl w:val="0"/>
      <w:ind w:firstLine="600" w:firstLineChars="200"/>
      <w:jc w:val="both"/>
    </w:pPr>
    <w:rPr>
      <w:rFonts w:ascii="Times New Roman" w:hAnsi="Times New Roman" w:eastAsia="仿宋_GB2312" w:cs="黑体"/>
      <w:kern w:val="2"/>
      <w:sz w:val="28"/>
      <w:szCs w:val="22"/>
      <w:lang w:val="en-US" w:eastAsia="zh-CN" w:bidi="ar-SA"/>
    </w:rPr>
  </w:style>
  <w:style w:type="character" w:customStyle="1" w:styleId="48">
    <w:name w:val="闻政-正文二级标题 Char"/>
    <w:link w:val="49"/>
    <w:qFormat/>
    <w:uiPriority w:val="3"/>
    <w:rPr>
      <w:rFonts w:ascii="Times New Roman" w:hAnsi="Times New Roman" w:eastAsia="仿宋_GB2312"/>
      <w:b/>
      <w:bCs/>
      <w:sz w:val="28"/>
      <w:szCs w:val="32"/>
    </w:rPr>
  </w:style>
  <w:style w:type="paragraph" w:customStyle="1" w:styleId="49">
    <w:name w:val="闻政-正文二级标题"/>
    <w:basedOn w:val="5"/>
    <w:next w:val="45"/>
    <w:link w:val="48"/>
    <w:qFormat/>
    <w:uiPriority w:val="3"/>
    <w:pPr>
      <w:spacing w:before="120" w:after="60" w:line="500" w:lineRule="exact"/>
      <w:ind w:left="200" w:leftChars="200" w:firstLine="0" w:firstLineChars="0"/>
    </w:pPr>
    <w:rPr>
      <w:rFonts w:ascii="Times New Roman" w:hAnsi="Times New Roman"/>
      <w:sz w:val="28"/>
    </w:rPr>
  </w:style>
  <w:style w:type="character" w:customStyle="1" w:styleId="50">
    <w:name w:val="闻政-正文三级标题 Char"/>
    <w:link w:val="51"/>
    <w:qFormat/>
    <w:uiPriority w:val="3"/>
    <w:rPr>
      <w:rFonts w:ascii="Times New Roman" w:hAnsi="Times New Roman" w:eastAsia="仿宋_GB2312"/>
      <w:b/>
      <w:snapToGrid w:val="0"/>
      <w:sz w:val="28"/>
      <w:szCs w:val="28"/>
    </w:rPr>
  </w:style>
  <w:style w:type="paragraph" w:customStyle="1" w:styleId="51">
    <w:name w:val="闻政-正文三级标题"/>
    <w:basedOn w:val="1"/>
    <w:next w:val="45"/>
    <w:link w:val="50"/>
    <w:qFormat/>
    <w:uiPriority w:val="3"/>
    <w:pPr>
      <w:widowControl/>
      <w:spacing w:before="120" w:after="60" w:line="500" w:lineRule="exact"/>
      <w:ind w:left="200" w:leftChars="200" w:firstLine="0" w:firstLineChars="0"/>
    </w:pPr>
    <w:rPr>
      <w:rFonts w:ascii="Times New Roman" w:hAnsi="Times New Roman" w:cs="Times New Roman"/>
      <w:b/>
      <w:snapToGrid w:val="0"/>
      <w:kern w:val="0"/>
      <w:szCs w:val="28"/>
    </w:rPr>
  </w:style>
  <w:style w:type="character" w:customStyle="1" w:styleId="52">
    <w:name w:val="font71"/>
    <w:basedOn w:val="25"/>
    <w:qFormat/>
    <w:uiPriority w:val="0"/>
    <w:rPr>
      <w:rFonts w:hint="eastAsia" w:ascii="微软雅黑" w:hAnsi="微软雅黑" w:eastAsia="微软雅黑" w:cs="微软雅黑"/>
      <w:b/>
      <w:bCs/>
      <w:color w:val="000000"/>
      <w:sz w:val="32"/>
      <w:szCs w:val="32"/>
      <w:u w:val="none"/>
    </w:rPr>
  </w:style>
  <w:style w:type="character" w:customStyle="1" w:styleId="53">
    <w:name w:val="闻政-正文一级标题 Char"/>
    <w:link w:val="54"/>
    <w:qFormat/>
    <w:uiPriority w:val="3"/>
    <w:rPr>
      <w:rFonts w:ascii="黑体" w:hAnsi="黑体" w:eastAsia="黑体"/>
      <w:bCs/>
      <w:sz w:val="32"/>
      <w:szCs w:val="32"/>
    </w:rPr>
  </w:style>
  <w:style w:type="paragraph" w:customStyle="1" w:styleId="54">
    <w:name w:val="闻政-正文一级标题"/>
    <w:basedOn w:val="6"/>
    <w:next w:val="45"/>
    <w:link w:val="53"/>
    <w:qFormat/>
    <w:uiPriority w:val="3"/>
    <w:pPr>
      <w:spacing w:before="120" w:after="60" w:line="500" w:lineRule="exact"/>
      <w:ind w:firstLine="0" w:firstLineChars="0"/>
      <w:outlineLvl w:val="0"/>
    </w:pPr>
    <w:rPr>
      <w:rFonts w:ascii="黑体" w:hAnsi="黑体" w:eastAsia="黑体"/>
      <w:sz w:val="32"/>
    </w:rPr>
  </w:style>
  <w:style w:type="character" w:customStyle="1" w:styleId="55">
    <w:name w:val="font21"/>
    <w:qFormat/>
    <w:uiPriority w:val="0"/>
    <w:rPr>
      <w:rFonts w:hint="default" w:ascii="Times New Roman" w:hAnsi="Times New Roman" w:cs="Times New Roman"/>
      <w:color w:val="000000"/>
      <w:sz w:val="24"/>
      <w:szCs w:val="24"/>
      <w:u w:val="none"/>
    </w:rPr>
  </w:style>
  <w:style w:type="character" w:customStyle="1" w:styleId="56">
    <w:name w:val="font11"/>
    <w:qFormat/>
    <w:uiPriority w:val="0"/>
    <w:rPr>
      <w:rFonts w:hint="eastAsia" w:ascii="方正仿宋_GBK" w:hAnsi="方正仿宋_GBK" w:eastAsia="方正仿宋_GBK" w:cs="方正仿宋_GBK"/>
      <w:color w:val="000000"/>
      <w:sz w:val="24"/>
      <w:szCs w:val="24"/>
      <w:u w:val="none"/>
    </w:rPr>
  </w:style>
  <w:style w:type="paragraph" w:customStyle="1" w:styleId="57">
    <w:name w:val="和田正文1a"/>
    <w:basedOn w:val="1"/>
    <w:qFormat/>
    <w:uiPriority w:val="0"/>
    <w:pPr>
      <w:spacing w:line="560" w:lineRule="exact"/>
      <w:ind w:firstLine="1004" w:firstLineChars="200"/>
      <w:jc w:val="left"/>
    </w:pPr>
    <w:rPr>
      <w:rFonts w:ascii="Times New Roman" w:hAnsi="Times New Roman" w:cs="Times New Roman"/>
      <w:kern w:val="0"/>
      <w:sz w:val="32"/>
      <w:szCs w:val="32"/>
      <w:lang w:bidi="en-US"/>
    </w:rPr>
  </w:style>
  <w:style w:type="paragraph" w:styleId="58">
    <w:name w:val="List Paragraph"/>
    <w:basedOn w:val="1"/>
    <w:qFormat/>
    <w:uiPriority w:val="34"/>
    <w:pPr>
      <w:ind w:firstLine="420"/>
    </w:pPr>
  </w:style>
  <w:style w:type="paragraph" w:customStyle="1" w:styleId="59">
    <w:name w:val="Char"/>
    <w:basedOn w:val="1"/>
    <w:qFormat/>
    <w:uiPriority w:val="0"/>
    <w:rPr>
      <w:rFonts w:ascii="仿宋_GB2312" w:eastAsia="仿宋_GB2312" w:cs="黑体"/>
      <w:b/>
      <w:sz w:val="32"/>
      <w:szCs w:val="32"/>
    </w:rPr>
  </w:style>
  <w:style w:type="paragraph" w:customStyle="1" w:styleId="60">
    <w:name w:val="表格"/>
    <w:basedOn w:val="1"/>
    <w:next w:val="1"/>
    <w:qFormat/>
    <w:uiPriority w:val="0"/>
    <w:pPr>
      <w:spacing w:line="240" w:lineRule="auto"/>
      <w:ind w:firstLine="0" w:firstLineChars="0"/>
      <w:jc w:val="center"/>
    </w:pPr>
    <w:rPr>
      <w:rFonts w:hint="eastAsia" w:ascii="Times New Roman" w:hAnsi="Times New Roman"/>
      <w:sz w:val="24"/>
      <w:szCs w:val="2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4097"/>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F7C1B4EE0C104DF2882E04CCD10001AA_13</vt:lpwstr>
  </property>
  <property fmtid="{D5CDD505-2E9C-101B-9397-08002B2CF9AE}" pid="4" name="KSOTemplateDocerSaveRecord">
    <vt:lpwstr>eyJoZGlkIjoiZDE5MGZhMTJhZDM2OTQwYzkzYWVjM2FhZDUxN2Q0M2IiLCJ1c2VySWQiOiI2NTE5NDIwMjYifQ==</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0fb3f2e-be99-45aa-9e41-02455f2f4cfc}">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26</Pages>
  <Words>12952</Words>
  <Characters>13869</Characters>
  <Lines>44</Lines>
  <Paragraphs>12</Paragraphs>
  <TotalTime>0</TotalTime>
  <ScaleCrop>false</ScaleCrop>
  <LinksUpToDate>false</LinksUpToDate>
  <CharactersWithSpaces>13916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2021-04-03T09:53:00Z</dcterms:created>
  <dc:creator>User</dc:creator>
  <cp:lastModifiedBy>白羊</cp:lastModifiedBy>
  <dcterms:modified xsi:type="dcterms:W3CDTF">2025-11-17T10:45:54Z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F7C1B4EE0C104DF2882E04CCD10001AA_13</vt:lpwstr>
  </property>
  <property fmtid="{D5CDD505-2E9C-101B-9397-08002B2CF9AE}" pid="4" name="KSOTemplateDocerSaveRecord">
    <vt:lpwstr>eyJoZGlkIjoiYjM4NWYyMWE2NWU1OGNiMmIxMmZkYzA5MWEwNzJlZmIiLCJ1c2VySWQiOiI0MzE2NzY3NzkifQ==</vt:lpwstr>
  </property>
</Properties>
</file>