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F63837"/>
    <w:p w14:paraId="51FD7EFF">
      <w:pPr>
        <w:pageBreakBefore w:val="0"/>
        <w:widowControl w:val="0"/>
        <w:kinsoku/>
        <w:wordWrap/>
        <w:topLinePunct w:val="0"/>
        <w:autoSpaceDE/>
        <w:autoSpaceDN/>
        <w:bidi w:val="0"/>
        <w:spacing w:line="560" w:lineRule="exact"/>
        <w:ind w:left="0" w:leftChars="0" w:firstLine="0" w:firstLineChars="0"/>
        <w:textAlignment w:val="auto"/>
        <w:rPr>
          <w:rFonts w:hint="default" w:eastAsia="方正仿宋_GBK" w:cs="方正仿宋_GBK"/>
          <w:b/>
          <w:color w:val="auto"/>
          <w:kern w:val="0"/>
          <w:sz w:val="32"/>
          <w:szCs w:val="32"/>
          <w:lang w:val="en-US" w:eastAsia="zh-CN" w:bidi="en-US"/>
        </w:rPr>
      </w:pPr>
    </w:p>
    <w:p w14:paraId="7689396E">
      <w:pPr>
        <w:keepNext w:val="0"/>
        <w:keepLines w:val="0"/>
        <w:pageBreakBefore w:val="0"/>
        <w:widowControl w:val="0"/>
        <w:tabs>
          <w:tab w:val="left" w:pos="1680"/>
        </w:tabs>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黑体" w:hAnsi="黑体" w:eastAsia="黑体" w:cs="黑体"/>
          <w:b/>
          <w:color w:val="000000"/>
          <w:sz w:val="36"/>
          <w:szCs w:val="36"/>
          <w:highlight w:val="none"/>
          <w:lang w:val="en-US" w:eastAsia="zh-CN"/>
        </w:rPr>
      </w:pPr>
      <w:r>
        <w:rPr>
          <w:rFonts w:hint="eastAsia" w:ascii="黑体" w:hAnsi="黑体" w:eastAsia="黑体" w:cs="黑体"/>
          <w:b/>
          <w:color w:val="000000"/>
          <w:sz w:val="36"/>
          <w:szCs w:val="36"/>
          <w:highlight w:val="none"/>
          <w:lang w:val="en-US" w:eastAsia="zh-CN"/>
        </w:rPr>
        <w:t>和田地区洛浦县山普鲁中学建设</w:t>
      </w:r>
    </w:p>
    <w:p w14:paraId="30E91537">
      <w:pPr>
        <w:keepNext w:val="0"/>
        <w:keepLines w:val="0"/>
        <w:pageBreakBefore w:val="0"/>
        <w:widowControl w:val="0"/>
        <w:tabs>
          <w:tab w:val="left" w:pos="1680"/>
        </w:tabs>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黑体" w:hAnsi="黑体" w:eastAsia="黑体" w:cs="黑体"/>
          <w:b/>
          <w:color w:val="000000"/>
          <w:sz w:val="36"/>
          <w:szCs w:val="36"/>
          <w:highlight w:val="none"/>
          <w:lang w:val="en-US" w:eastAsia="zh-CN"/>
        </w:rPr>
      </w:pPr>
      <w:r>
        <w:rPr>
          <w:rFonts w:hint="eastAsia" w:ascii="黑体" w:hAnsi="黑体" w:eastAsia="黑体" w:cs="黑体"/>
          <w:b/>
          <w:color w:val="000000"/>
          <w:sz w:val="36"/>
          <w:szCs w:val="36"/>
          <w:highlight w:val="none"/>
          <w:lang w:val="en-US" w:eastAsia="zh-CN"/>
        </w:rPr>
        <w:t>项目支出绩效评价报告</w:t>
      </w:r>
    </w:p>
    <w:p w14:paraId="44D97688">
      <w:pPr>
        <w:pStyle w:val="6"/>
        <w:ind w:left="0" w:leftChars="0" w:firstLine="0" w:firstLineChars="0"/>
        <w:jc w:val="center"/>
        <w:rPr>
          <w:rFonts w:hint="eastAsia" w:ascii="黑体" w:hAnsi="黑体" w:eastAsia="黑体" w:cs="黑体"/>
          <w:b/>
          <w:bCs w:val="0"/>
          <w:color w:val="000000"/>
          <w:sz w:val="28"/>
          <w:szCs w:val="28"/>
          <w:highlight w:val="none"/>
          <w:lang w:eastAsia="zh-CN"/>
        </w:rPr>
      </w:pPr>
      <w:r>
        <w:rPr>
          <w:rFonts w:hint="eastAsia" w:ascii="黑体" w:hAnsi="黑体" w:eastAsia="黑体" w:cs="黑体"/>
          <w:b/>
          <w:bCs w:val="0"/>
          <w:color w:val="000000"/>
          <w:sz w:val="28"/>
          <w:szCs w:val="28"/>
          <w:highlight w:val="none"/>
          <w:lang w:eastAsia="zh-CN"/>
        </w:rPr>
        <w:t>（</w:t>
      </w:r>
      <w:r>
        <w:rPr>
          <w:rFonts w:hint="eastAsia" w:ascii="黑体" w:hAnsi="黑体" w:eastAsia="黑体" w:cs="黑体"/>
          <w:b/>
          <w:bCs w:val="0"/>
          <w:color w:val="000000"/>
          <w:sz w:val="28"/>
          <w:szCs w:val="28"/>
          <w:highlight w:val="none"/>
          <w:lang w:val="en-US" w:eastAsia="zh-CN"/>
        </w:rPr>
        <w:t>2024年度</w:t>
      </w:r>
      <w:r>
        <w:rPr>
          <w:rFonts w:hint="eastAsia" w:ascii="黑体" w:hAnsi="黑体" w:eastAsia="黑体" w:cs="黑体"/>
          <w:b/>
          <w:bCs w:val="0"/>
          <w:color w:val="000000"/>
          <w:sz w:val="28"/>
          <w:szCs w:val="28"/>
          <w:highlight w:val="none"/>
          <w:lang w:eastAsia="zh-CN"/>
        </w:rPr>
        <w:t>）</w:t>
      </w:r>
    </w:p>
    <w:p w14:paraId="24000B7A">
      <w:pPr>
        <w:pageBreakBefore w:val="0"/>
        <w:widowControl w:val="0"/>
        <w:kinsoku/>
        <w:wordWrap/>
        <w:topLinePunct w:val="0"/>
        <w:autoSpaceDE/>
        <w:autoSpaceDN/>
        <w:bidi w:val="0"/>
        <w:spacing w:line="560" w:lineRule="exact"/>
        <w:ind w:left="0" w:leftChars="0" w:firstLine="0" w:firstLineChars="0"/>
        <w:jc w:val="center"/>
        <w:textAlignment w:val="auto"/>
        <w:rPr>
          <w:rFonts w:hint="eastAsia" w:eastAsia="方正仿宋_GBK" w:cs="方正仿宋_GBK"/>
          <w:b/>
          <w:color w:val="auto"/>
          <w:kern w:val="0"/>
          <w:sz w:val="32"/>
          <w:szCs w:val="32"/>
          <w:lang w:bidi="en-US"/>
        </w:rPr>
      </w:pPr>
    </w:p>
    <w:p w14:paraId="48E0043C">
      <w:pPr>
        <w:pageBreakBefore w:val="0"/>
        <w:widowControl w:val="0"/>
        <w:kinsoku/>
        <w:wordWrap/>
        <w:topLinePunct w:val="0"/>
        <w:autoSpaceDE/>
        <w:autoSpaceDN/>
        <w:bidi w:val="0"/>
        <w:spacing w:line="560" w:lineRule="exact"/>
        <w:ind w:left="0" w:leftChars="0" w:firstLine="0" w:firstLineChars="0"/>
        <w:jc w:val="center"/>
        <w:textAlignment w:val="auto"/>
        <w:rPr>
          <w:rFonts w:hint="eastAsia" w:eastAsia="方正仿宋_GBK" w:cs="方正仿宋_GBK"/>
          <w:b/>
          <w:color w:val="auto"/>
          <w:kern w:val="0"/>
          <w:sz w:val="32"/>
          <w:szCs w:val="32"/>
          <w:lang w:bidi="en-US"/>
        </w:rPr>
      </w:pPr>
    </w:p>
    <w:p w14:paraId="095B59A7">
      <w:pPr>
        <w:pStyle w:val="6"/>
        <w:rPr>
          <w:rFonts w:hint="eastAsia" w:eastAsia="方正仿宋_GBK" w:cs="方正仿宋_GBK"/>
          <w:b/>
          <w:color w:val="auto"/>
          <w:kern w:val="0"/>
          <w:sz w:val="32"/>
          <w:szCs w:val="32"/>
          <w:lang w:bidi="en-US"/>
        </w:rPr>
      </w:pPr>
    </w:p>
    <w:p w14:paraId="39CD294C">
      <w:pPr>
        <w:rPr>
          <w:rFonts w:hint="eastAsia" w:eastAsia="方正仿宋_GBK" w:cs="方正仿宋_GBK"/>
          <w:b/>
          <w:color w:val="auto"/>
          <w:kern w:val="0"/>
          <w:sz w:val="32"/>
          <w:szCs w:val="32"/>
          <w:lang w:bidi="en-US"/>
        </w:rPr>
      </w:pPr>
    </w:p>
    <w:p w14:paraId="0BA61006">
      <w:pPr>
        <w:pStyle w:val="6"/>
        <w:rPr>
          <w:rFonts w:hint="eastAsia"/>
          <w:color w:val="auto"/>
        </w:rPr>
      </w:pPr>
    </w:p>
    <w:p w14:paraId="7560A060">
      <w:pPr>
        <w:pStyle w:val="6"/>
        <w:pageBreakBefore w:val="0"/>
        <w:widowControl w:val="0"/>
        <w:kinsoku/>
        <w:wordWrap/>
        <w:topLinePunct w:val="0"/>
        <w:autoSpaceDE/>
        <w:autoSpaceDN/>
        <w:bidi w:val="0"/>
        <w:spacing w:before="0" w:after="0" w:line="560" w:lineRule="exact"/>
        <w:ind w:left="0" w:leftChars="0" w:firstLine="643"/>
        <w:textAlignment w:val="auto"/>
        <w:rPr>
          <w:rFonts w:hint="eastAsia" w:eastAsia="方正仿宋_GBK" w:cs="方正仿宋_GBK"/>
          <w:b/>
          <w:color w:val="auto"/>
          <w:sz w:val="32"/>
          <w:lang w:bidi="en-US"/>
        </w:rPr>
      </w:pPr>
    </w:p>
    <w:p w14:paraId="2B557228">
      <w:pPr>
        <w:pageBreakBefore w:val="0"/>
        <w:widowControl w:val="0"/>
        <w:kinsoku/>
        <w:wordWrap/>
        <w:topLinePunct w:val="0"/>
        <w:autoSpaceDE/>
        <w:autoSpaceDN/>
        <w:bidi w:val="0"/>
        <w:spacing w:line="560" w:lineRule="exact"/>
        <w:ind w:left="0" w:leftChars="0" w:firstLine="560"/>
        <w:textAlignment w:val="auto"/>
        <w:rPr>
          <w:rFonts w:hint="eastAsia"/>
          <w:color w:val="auto"/>
        </w:rPr>
      </w:pPr>
    </w:p>
    <w:p w14:paraId="44A178C0">
      <w:pPr>
        <w:pageBreakBefore w:val="0"/>
        <w:widowControl w:val="0"/>
        <w:kinsoku/>
        <w:wordWrap/>
        <w:topLinePunct w:val="0"/>
        <w:autoSpaceDE/>
        <w:autoSpaceDN/>
        <w:bidi w:val="0"/>
        <w:spacing w:line="560" w:lineRule="exact"/>
        <w:ind w:left="0" w:leftChars="0" w:firstLine="0" w:firstLineChars="0"/>
        <w:textAlignment w:val="auto"/>
        <w:rPr>
          <w:rFonts w:hint="eastAsia" w:eastAsia="方正仿宋_GBK" w:cs="方正仿宋_GBK"/>
          <w:color w:val="auto"/>
          <w:kern w:val="0"/>
          <w:sz w:val="32"/>
          <w:szCs w:val="32"/>
          <w:lang w:bidi="en-US"/>
        </w:rPr>
      </w:pPr>
    </w:p>
    <w:p w14:paraId="55522FBA">
      <w:pPr>
        <w:pageBreakBefore w:val="0"/>
        <w:widowControl w:val="0"/>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b/>
          <w:bCs/>
          <w:color w:val="000000"/>
          <w:kern w:val="0"/>
          <w:sz w:val="28"/>
          <w:szCs w:val="28"/>
          <w:highlight w:val="none"/>
          <w:lang w:bidi="en-US"/>
        </w:rPr>
      </w:pPr>
      <w:r>
        <w:rPr>
          <w:rFonts w:hint="eastAsia" w:ascii="宋体" w:hAnsi="宋体" w:eastAsia="宋体" w:cs="宋体"/>
          <w:b/>
          <w:bCs/>
          <w:color w:val="000000"/>
          <w:kern w:val="0"/>
          <w:sz w:val="28"/>
          <w:szCs w:val="28"/>
          <w:highlight w:val="none"/>
          <w:lang w:bidi="en-US"/>
        </w:rPr>
        <w:t>项目名称：和田地区洛浦县山普鲁中学建设项目</w:t>
      </w:r>
    </w:p>
    <w:p w14:paraId="35A0EC0C">
      <w:pPr>
        <w:pageBreakBefore w:val="0"/>
        <w:widowControl w:val="0"/>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b/>
          <w:bCs/>
          <w:color w:val="000000"/>
          <w:kern w:val="0"/>
          <w:sz w:val="28"/>
          <w:szCs w:val="28"/>
          <w:highlight w:val="none"/>
          <w:lang w:bidi="en-US"/>
        </w:rPr>
      </w:pPr>
      <w:r>
        <w:rPr>
          <w:rFonts w:hint="eastAsia" w:ascii="宋体" w:hAnsi="宋体" w:eastAsia="宋体" w:cs="宋体"/>
          <w:b/>
          <w:bCs/>
          <w:color w:val="000000"/>
          <w:kern w:val="0"/>
          <w:sz w:val="28"/>
          <w:szCs w:val="28"/>
          <w:highlight w:val="none"/>
          <w:lang w:bidi="en-US"/>
        </w:rPr>
        <w:t>项目单位：</w:t>
      </w:r>
      <w:r>
        <w:rPr>
          <w:rFonts w:hint="eastAsia" w:ascii="宋体" w:hAnsi="宋体" w:eastAsia="宋体" w:cs="宋体"/>
          <w:b/>
          <w:bCs/>
          <w:color w:val="000000"/>
          <w:kern w:val="0"/>
          <w:sz w:val="28"/>
          <w:szCs w:val="28"/>
          <w:highlight w:val="none"/>
          <w:lang w:val="en-US" w:eastAsia="zh-CN" w:bidi="en-US"/>
        </w:rPr>
        <w:t>洛浦县教育</w:t>
      </w:r>
      <w:r>
        <w:rPr>
          <w:rFonts w:hint="eastAsia" w:ascii="宋体" w:hAnsi="宋体" w:eastAsia="宋体" w:cs="宋体"/>
          <w:b/>
          <w:bCs/>
          <w:color w:val="000000"/>
          <w:kern w:val="0"/>
          <w:sz w:val="28"/>
          <w:szCs w:val="28"/>
          <w:highlight w:val="none"/>
          <w:lang w:bidi="en-US"/>
        </w:rPr>
        <w:t>局</w:t>
      </w:r>
    </w:p>
    <w:p w14:paraId="7B3841A2">
      <w:pPr>
        <w:pageBreakBefore w:val="0"/>
        <w:widowControl w:val="0"/>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b/>
          <w:bCs/>
          <w:color w:val="000000"/>
          <w:kern w:val="0"/>
          <w:sz w:val="28"/>
          <w:szCs w:val="28"/>
          <w:highlight w:val="none"/>
          <w:lang w:bidi="en-US"/>
        </w:rPr>
      </w:pPr>
      <w:r>
        <w:rPr>
          <w:rFonts w:hint="eastAsia" w:ascii="宋体" w:hAnsi="宋体" w:eastAsia="宋体" w:cs="宋体"/>
          <w:b/>
          <w:bCs/>
          <w:color w:val="000000"/>
          <w:kern w:val="0"/>
          <w:sz w:val="28"/>
          <w:szCs w:val="28"/>
          <w:highlight w:val="none"/>
          <w:lang w:bidi="en-US"/>
        </w:rPr>
        <w:t>主管部门：</w:t>
      </w:r>
      <w:r>
        <w:rPr>
          <w:rFonts w:hint="eastAsia" w:ascii="宋体" w:hAnsi="宋体" w:eastAsia="宋体" w:cs="宋体"/>
          <w:b/>
          <w:bCs/>
          <w:color w:val="000000"/>
          <w:kern w:val="0"/>
          <w:sz w:val="28"/>
          <w:szCs w:val="28"/>
          <w:highlight w:val="none"/>
          <w:lang w:val="en-US" w:eastAsia="zh-CN" w:bidi="en-US"/>
        </w:rPr>
        <w:t>洛浦县教育</w:t>
      </w:r>
      <w:r>
        <w:rPr>
          <w:rFonts w:hint="eastAsia" w:ascii="宋体" w:hAnsi="宋体" w:eastAsia="宋体" w:cs="宋体"/>
          <w:b/>
          <w:bCs/>
          <w:color w:val="000000"/>
          <w:kern w:val="0"/>
          <w:sz w:val="28"/>
          <w:szCs w:val="28"/>
          <w:highlight w:val="none"/>
          <w:lang w:bidi="en-US"/>
        </w:rPr>
        <w:t>局</w:t>
      </w:r>
    </w:p>
    <w:p w14:paraId="1F4A4754">
      <w:pPr>
        <w:pageBreakBefore w:val="0"/>
        <w:widowControl w:val="0"/>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b/>
          <w:bCs/>
          <w:color w:val="000000"/>
          <w:kern w:val="0"/>
          <w:sz w:val="28"/>
          <w:szCs w:val="28"/>
          <w:highlight w:val="none"/>
          <w:lang w:val="en-US" w:eastAsia="zh-CN" w:bidi="en-US"/>
        </w:rPr>
      </w:pPr>
      <w:r>
        <w:rPr>
          <w:rFonts w:hint="eastAsia" w:ascii="宋体" w:hAnsi="宋体" w:eastAsia="宋体" w:cs="宋体"/>
          <w:b/>
          <w:bCs/>
          <w:color w:val="000000"/>
          <w:kern w:val="0"/>
          <w:sz w:val="28"/>
          <w:szCs w:val="28"/>
          <w:highlight w:val="none"/>
          <w:lang w:bidi="en-US"/>
        </w:rPr>
        <w:t>项目负责人：</w:t>
      </w:r>
      <w:r>
        <w:rPr>
          <w:rFonts w:hint="eastAsia" w:ascii="宋体" w:hAnsi="宋体" w:eastAsia="宋体" w:cs="宋体"/>
          <w:b/>
          <w:bCs/>
          <w:color w:val="000000"/>
          <w:kern w:val="0"/>
          <w:sz w:val="28"/>
          <w:szCs w:val="28"/>
          <w:highlight w:val="none"/>
          <w:lang w:val="en-US" w:eastAsia="zh-CN" w:bidi="en-US"/>
        </w:rPr>
        <w:t>王晓晶</w:t>
      </w:r>
    </w:p>
    <w:p w14:paraId="368E256C">
      <w:pPr>
        <w:pageBreakBefore w:val="0"/>
        <w:widowControl w:val="0"/>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b/>
          <w:bCs/>
          <w:color w:val="000000"/>
          <w:kern w:val="0"/>
          <w:sz w:val="28"/>
          <w:szCs w:val="28"/>
          <w:highlight w:val="none"/>
          <w:lang w:bidi="en-US"/>
        </w:rPr>
      </w:pPr>
      <w:r>
        <w:rPr>
          <w:rFonts w:hint="eastAsia" w:ascii="宋体" w:hAnsi="宋体" w:eastAsia="宋体" w:cs="宋体"/>
          <w:b/>
          <w:bCs/>
          <w:color w:val="000000"/>
          <w:kern w:val="0"/>
          <w:sz w:val="28"/>
          <w:szCs w:val="28"/>
          <w:highlight w:val="none"/>
          <w:lang w:bidi="en-US"/>
        </w:rPr>
        <w:t>填报时间：</w:t>
      </w:r>
      <w:r>
        <w:rPr>
          <w:rFonts w:hint="eastAsia" w:ascii="宋体" w:hAnsi="宋体" w:eastAsia="宋体" w:cs="宋体"/>
          <w:b/>
          <w:bCs/>
          <w:color w:val="000000"/>
          <w:kern w:val="0"/>
          <w:sz w:val="28"/>
          <w:szCs w:val="28"/>
          <w:highlight w:val="none"/>
          <w:lang w:val="en-US" w:eastAsia="zh-CN" w:bidi="en-US"/>
        </w:rPr>
        <w:t>2025</w:t>
      </w:r>
      <w:r>
        <w:rPr>
          <w:rFonts w:hint="eastAsia" w:ascii="宋体" w:hAnsi="宋体" w:eastAsia="宋体" w:cs="宋体"/>
          <w:b/>
          <w:bCs/>
          <w:color w:val="000000"/>
          <w:kern w:val="0"/>
          <w:sz w:val="28"/>
          <w:szCs w:val="28"/>
          <w:highlight w:val="none"/>
          <w:lang w:bidi="en-US"/>
        </w:rPr>
        <w:t>年</w:t>
      </w:r>
      <w:r>
        <w:rPr>
          <w:rFonts w:hint="eastAsia" w:ascii="宋体" w:hAnsi="宋体" w:eastAsia="宋体" w:cs="宋体"/>
          <w:b/>
          <w:bCs/>
          <w:color w:val="000000"/>
          <w:kern w:val="0"/>
          <w:sz w:val="28"/>
          <w:szCs w:val="28"/>
          <w:highlight w:val="none"/>
          <w:lang w:val="en-US" w:eastAsia="zh-CN" w:bidi="en-US"/>
        </w:rPr>
        <w:t>3</w:t>
      </w:r>
      <w:r>
        <w:rPr>
          <w:rFonts w:hint="eastAsia" w:ascii="宋体" w:hAnsi="宋体" w:eastAsia="宋体" w:cs="宋体"/>
          <w:b/>
          <w:bCs/>
          <w:color w:val="000000"/>
          <w:kern w:val="0"/>
          <w:sz w:val="28"/>
          <w:szCs w:val="28"/>
          <w:highlight w:val="none"/>
          <w:lang w:bidi="en-US"/>
        </w:rPr>
        <w:t>月</w:t>
      </w:r>
      <w:r>
        <w:rPr>
          <w:rFonts w:hint="eastAsia" w:ascii="宋体" w:hAnsi="宋体" w:eastAsia="宋体" w:cs="宋体"/>
          <w:b/>
          <w:bCs/>
          <w:color w:val="000000"/>
          <w:kern w:val="0"/>
          <w:sz w:val="28"/>
          <w:szCs w:val="28"/>
          <w:highlight w:val="none"/>
          <w:lang w:val="en-US" w:eastAsia="zh-CN" w:bidi="en-US"/>
        </w:rPr>
        <w:t>24</w:t>
      </w:r>
      <w:r>
        <w:rPr>
          <w:rFonts w:hint="eastAsia" w:ascii="宋体" w:hAnsi="宋体" w:eastAsia="宋体" w:cs="宋体"/>
          <w:b/>
          <w:bCs/>
          <w:color w:val="000000"/>
          <w:kern w:val="0"/>
          <w:sz w:val="28"/>
          <w:szCs w:val="28"/>
          <w:highlight w:val="none"/>
          <w:lang w:bidi="en-US"/>
        </w:rPr>
        <w:t>日</w:t>
      </w:r>
    </w:p>
    <w:p w14:paraId="12AB04CF">
      <w:pPr>
        <w:pageBreakBefore w:val="0"/>
        <w:widowControl w:val="0"/>
        <w:kinsoku/>
        <w:wordWrap/>
        <w:topLinePunct w:val="0"/>
        <w:autoSpaceDE/>
        <w:autoSpaceDN/>
        <w:bidi w:val="0"/>
        <w:spacing w:line="560" w:lineRule="exact"/>
        <w:ind w:left="0" w:leftChars="0" w:firstLine="0" w:firstLineChars="0"/>
        <w:textAlignment w:val="auto"/>
        <w:rPr>
          <w:rFonts w:hint="eastAsia" w:eastAsia="方正仿宋_GBK" w:cs="方正仿宋_GBK"/>
          <w:b/>
          <w:color w:val="auto"/>
          <w:kern w:val="0"/>
          <w:sz w:val="28"/>
          <w:szCs w:val="28"/>
          <w:lang w:bidi="en-US"/>
        </w:rPr>
      </w:pPr>
    </w:p>
    <w:p w14:paraId="3CF53F3C">
      <w:pPr>
        <w:pStyle w:val="4"/>
        <w:keepNext/>
        <w:keepLines/>
        <w:pageBreakBefore w:val="0"/>
        <w:widowControl w:val="0"/>
        <w:numPr>
          <w:ilvl w:val="0"/>
          <w:numId w:val="0"/>
        </w:numPr>
        <w:kinsoku/>
        <w:wordWrap/>
        <w:overflowPunct/>
        <w:topLinePunct w:val="0"/>
        <w:autoSpaceDE/>
        <w:autoSpaceDN/>
        <w:bidi w:val="0"/>
        <w:adjustRightInd/>
        <w:snapToGrid/>
        <w:spacing w:before="0" w:after="0" w:line="360" w:lineRule="auto"/>
        <w:ind w:firstLine="480" w:firstLineChars="200"/>
        <w:jc w:val="both"/>
        <w:textAlignment w:val="auto"/>
        <w:rPr>
          <w:rFonts w:hint="eastAsia" w:ascii="黑体" w:hAnsi="黑体" w:eastAsia="黑体" w:cs="黑体"/>
          <w:b/>
          <w:bCs/>
          <w:color w:val="000000"/>
          <w:sz w:val="24"/>
          <w:szCs w:val="24"/>
          <w:highlight w:val="none"/>
          <w:lang w:val="en-US" w:eastAsia="zh-CN"/>
        </w:rPr>
      </w:pPr>
      <w:bookmarkStart w:id="0" w:name="_Toc68364657"/>
      <w:r>
        <w:rPr>
          <w:rFonts w:hint="eastAsia" w:ascii="黑体" w:hAnsi="黑体" w:eastAsia="黑体" w:cs="黑体"/>
          <w:b/>
          <w:bCs/>
          <w:color w:val="000000"/>
          <w:sz w:val="24"/>
          <w:szCs w:val="24"/>
          <w:highlight w:val="none"/>
          <w:lang w:val="en-US" w:eastAsia="zh-CN"/>
        </w:rPr>
        <w:t>一、基本情况</w:t>
      </w:r>
      <w:bookmarkEnd w:id="0"/>
    </w:p>
    <w:p w14:paraId="2B74E989">
      <w:pPr>
        <w:pStyle w:val="49"/>
        <w:keepNext/>
        <w:keepLines/>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bCs/>
          <w:color w:val="000000"/>
          <w:sz w:val="24"/>
          <w:szCs w:val="24"/>
          <w:highlight w:val="none"/>
          <w:lang w:eastAsia="zh-CN"/>
        </w:rPr>
      </w:pPr>
      <w:bookmarkStart w:id="1" w:name="_Toc68364658"/>
      <w:r>
        <w:rPr>
          <w:rFonts w:hint="eastAsia" w:ascii="宋体" w:hAnsi="宋体" w:eastAsia="宋体" w:cs="宋体"/>
          <w:b/>
          <w:bCs/>
          <w:color w:val="000000"/>
          <w:sz w:val="24"/>
          <w:szCs w:val="24"/>
          <w:highlight w:val="none"/>
          <w:lang w:eastAsia="zh-CN"/>
        </w:rPr>
        <w:t>（一）项目概况</w:t>
      </w:r>
      <w:bookmarkEnd w:id="1"/>
    </w:p>
    <w:p w14:paraId="1DB9284A">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1.项目背景</w:t>
      </w:r>
    </w:p>
    <w:p w14:paraId="4F4DF172">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百年大计，教育为本。教育是民族振兴、社会进步的基石，是提高国民素质、促进人的全面发展的根本途径，寄托着亿万家庭对美好生活的期盼。强国必先强教。党的十九大指出国运兴衰，系于教育；教育振兴，全民有责。在党和国家工作全局中，必须始终坚持把教育摆在优先发展的位置。加快从教育大国向教育强国、从人力资源大国向人力资源强国迈进。中国未来发展、中华民族伟大复兴，关键靠人才，基础在教育。党中央、国务院历来高度重视教育事业的发展。根据中央的总体部署，结合当前教育事业发展的实际，制定一个让人民群众满意，符合中国国情和时代特点的规划，对国家教育事业的发展乃至整个现代化事业具有重大意义。</w:t>
      </w:r>
    </w:p>
    <w:p w14:paraId="04342630">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进入21世纪，国际竞争日趋激烈，竞争的焦点是全民素质的竞争、是人才的竞争、要实现中华民族的伟大复兴，教育肩负着重要的历史使命。</w:t>
      </w:r>
    </w:p>
    <w:p w14:paraId="105E6BB7">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近年来，在党中央、国务院的领导下，经过各级政府和全社会的共同努力，我国教育事业得到了迅速发展，为社会主义现代化建设提供了强有力的人才支持和知识贡献，教育正在成为促进我国经济、社会发展、推动科技进步，增强综合国力的重要力量。</w:t>
      </w:r>
    </w:p>
    <w:p w14:paraId="6820032F">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洛浦县，隶属于新疆维吾尔自治区和田地区。位于昆仑山北麓，塔里木盆地边缘，地处东经79°59′-81°83′，北纬36°30′-39°29′东邻策勒县，南靠昆仑山，西以玉龙喀什河为界与和田县、和田市隔河相望，北伸延入塔克拉玛干大沙漠与阿克苏市、阿瓦提县为邻。</w:t>
      </w:r>
    </w:p>
    <w:p w14:paraId="5D976864">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随着新计划生育政策的实施及城镇化建设进程的加快，洛浦县城区人口急剧增加，洛浦县初中数量较少，不能满足当前洛浦县学生小升初的要求，导致现有初中学生众多，现有教学及生活用房远远不能满足更多学生入学需求，为有效缓解洛浦县现有初中办学压力，同时解决城区中学大班额问题，实施和田地区洛浦县山普鲁中学建设项目迫在眉睫。在此背景下，提出和田地区洛浦县山普鲁中学建设项目。</w:t>
      </w:r>
    </w:p>
    <w:p w14:paraId="09D7EE7F">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2.主要内容及实施情况</w:t>
      </w:r>
    </w:p>
    <w:p w14:paraId="556C1E2F">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val="0"/>
          <w:color w:val="000000"/>
          <w:sz w:val="24"/>
          <w:szCs w:val="24"/>
          <w:highlight w:val="none"/>
          <w:lang w:val="en-US" w:eastAsia="zh-CN"/>
        </w:rPr>
      </w:pPr>
      <w:r>
        <w:rPr>
          <w:rFonts w:hint="eastAsia" w:ascii="宋体" w:hAnsi="宋体" w:eastAsia="宋体" w:cs="宋体"/>
          <w:b w:val="0"/>
          <w:bCs w:val="0"/>
          <w:color w:val="000000"/>
          <w:sz w:val="24"/>
          <w:szCs w:val="24"/>
          <w:highlight w:val="none"/>
          <w:lang w:eastAsia="zh-CN"/>
        </w:rPr>
        <w:t>（</w:t>
      </w:r>
      <w:r>
        <w:rPr>
          <w:rFonts w:hint="eastAsia" w:ascii="宋体" w:hAnsi="宋体" w:eastAsia="宋体" w:cs="宋体"/>
          <w:b w:val="0"/>
          <w:bCs w:val="0"/>
          <w:color w:val="000000"/>
          <w:sz w:val="24"/>
          <w:szCs w:val="24"/>
          <w:highlight w:val="none"/>
          <w:lang w:val="en-US" w:eastAsia="zh-CN"/>
        </w:rPr>
        <w:t>1）主要内容</w:t>
      </w:r>
    </w:p>
    <w:p w14:paraId="55E75B66">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和田地区洛浦县山普鲁中学建设项目共计新建教学楼3栋，宿舍楼2栋，风雨操场1栋，学生食堂及配套室外附属工程。项目的实施满足洛浦县教学工作的需要。项目建设是整体提升洛浦县教学、科研、专业技术水平，优化配置教师资源、让该校教师能够跟进需求，引领洛浦县教育事业健康发展的需要。</w:t>
      </w:r>
    </w:p>
    <w:p w14:paraId="58C9875D">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val="0"/>
          <w:color w:val="000000"/>
          <w:sz w:val="24"/>
          <w:szCs w:val="24"/>
          <w:highlight w:val="none"/>
          <w:lang w:val="en-US" w:eastAsia="zh-CN"/>
        </w:rPr>
      </w:pPr>
      <w:r>
        <w:rPr>
          <w:rFonts w:hint="eastAsia" w:ascii="宋体" w:hAnsi="宋体" w:eastAsia="宋体" w:cs="宋体"/>
          <w:b w:val="0"/>
          <w:bCs w:val="0"/>
          <w:color w:val="000000"/>
          <w:sz w:val="24"/>
          <w:szCs w:val="24"/>
          <w:highlight w:val="none"/>
          <w:lang w:val="en-US" w:eastAsia="zh-CN"/>
        </w:rPr>
        <w:t>（2）实施情况</w:t>
      </w:r>
    </w:p>
    <w:p w14:paraId="68E331AB">
      <w:pPr>
        <w:keepNext w:val="0"/>
        <w:keepLines w:val="0"/>
        <w:pageBreakBefore w:val="0"/>
        <w:widowControl w:val="0"/>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1）项目实施主体</w:t>
      </w:r>
    </w:p>
    <w:p w14:paraId="266A94DD">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本项目主管部门为洛浦县教育局，实施单位为洛浦县教育局。</w:t>
      </w:r>
    </w:p>
    <w:p w14:paraId="63617C37">
      <w:pPr>
        <w:keepNext w:val="0"/>
        <w:keepLines w:val="0"/>
        <w:pageBreakBefore w:val="0"/>
        <w:widowControl w:val="0"/>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2）项目实施时间</w:t>
      </w:r>
    </w:p>
    <w:p w14:paraId="0996C6A1">
      <w:pPr>
        <w:pStyle w:val="46"/>
        <w:pageBreakBefore w:val="0"/>
        <w:widowControl w:val="0"/>
        <w:numPr>
          <w:ilvl w:val="0"/>
          <w:numId w:val="0"/>
        </w:numPr>
        <w:kinsoku/>
        <w:wordWrap/>
        <w:overflowPunct/>
        <w:topLinePunct w:val="0"/>
        <w:autoSpaceDE/>
        <w:autoSpaceDN/>
        <w:bidi w:val="0"/>
        <w:adjustRightInd/>
        <w:snapToGrid/>
        <w:spacing w:line="360" w:lineRule="auto"/>
        <w:ind w:left="560" w:leftChars="200"/>
        <w:jc w:val="both"/>
        <w:textAlignment w:val="auto"/>
        <w:outlineLvl w:val="2"/>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2023年4月-2025年7月</w:t>
      </w:r>
    </w:p>
    <w:p w14:paraId="2DC419E4">
      <w:pPr>
        <w:keepNext w:val="0"/>
        <w:keepLines w:val="0"/>
        <w:pageBreakBefore w:val="0"/>
        <w:widowControl w:val="0"/>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3）项目实施情况</w:t>
      </w:r>
    </w:p>
    <w:p w14:paraId="6C0FAC21">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本项目于2025年7月31日前全部完工。</w:t>
      </w:r>
    </w:p>
    <w:p w14:paraId="0C429B34">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本项目采用公开招标方式确定施工单位为新疆泰然建设工程有限公司、新疆天悦兴隆建筑安装工程有限公司、和田君豪建设工程有限公司、新疆京洛建设投资有限责任公司、新疆众合成业建设工程有限公司、新疆广益天成建设工程有限公司、新疆双河工程建设有限责任公司，并签订了施工合同，确定监理单位为河南中尚工程咨询有限公司、新疆恒远工程项目管理咨询有限公司、首盛建设集团有限公司签订监理合同。</w:t>
      </w:r>
    </w:p>
    <w:p w14:paraId="5BC47790">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643"/>
        <w:jc w:val="both"/>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3.资金投入和使用情况</w:t>
      </w:r>
    </w:p>
    <w:p w14:paraId="3007860A">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sz w:val="24"/>
          <w:szCs w:val="24"/>
          <w:highlight w:val="none"/>
        </w:rPr>
        <w:t>（1）项目资金安排</w:t>
      </w:r>
      <w:r>
        <w:rPr>
          <w:rFonts w:hint="eastAsia" w:ascii="宋体" w:hAnsi="宋体" w:eastAsia="宋体" w:cs="宋体"/>
          <w:b w:val="0"/>
          <w:bCs w:val="0"/>
          <w:color w:val="000000"/>
          <w:sz w:val="24"/>
          <w:szCs w:val="24"/>
          <w:highlight w:val="none"/>
          <w:lang w:eastAsia="zh-CN"/>
        </w:rPr>
        <w:t>、</w:t>
      </w:r>
      <w:r>
        <w:rPr>
          <w:rFonts w:hint="eastAsia" w:ascii="宋体" w:hAnsi="宋体" w:eastAsia="宋体" w:cs="宋体"/>
          <w:b w:val="0"/>
          <w:bCs w:val="0"/>
          <w:color w:val="000000"/>
          <w:sz w:val="24"/>
          <w:szCs w:val="24"/>
          <w:highlight w:val="none"/>
        </w:rPr>
        <w:t>投入情况</w:t>
      </w:r>
    </w:p>
    <w:p w14:paraId="46A9D283">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本项目预算安排总额为</w:t>
      </w:r>
      <w:r>
        <w:rPr>
          <w:rFonts w:hint="eastAsia" w:ascii="宋体" w:hAnsi="宋体" w:eastAsia="宋体" w:cs="宋体"/>
          <w:color w:val="auto"/>
          <w:sz w:val="24"/>
          <w:szCs w:val="24"/>
          <w:lang w:val="en-US" w:eastAsia="zh-CN"/>
        </w:rPr>
        <w:t>10741</w:t>
      </w:r>
      <w:r>
        <w:rPr>
          <w:rFonts w:hint="eastAsia" w:ascii="宋体" w:hAnsi="宋体" w:eastAsia="宋体" w:cs="宋体"/>
          <w:color w:val="auto"/>
          <w:sz w:val="24"/>
          <w:szCs w:val="24"/>
        </w:rPr>
        <w:t>万元，资金来源为中央专项资金</w:t>
      </w:r>
      <w:r>
        <w:rPr>
          <w:rFonts w:hint="eastAsia" w:ascii="宋体" w:hAnsi="宋体" w:eastAsia="宋体" w:cs="宋体"/>
          <w:color w:val="auto"/>
          <w:sz w:val="24"/>
          <w:szCs w:val="24"/>
          <w:lang w:val="en-US" w:eastAsia="zh-CN"/>
        </w:rPr>
        <w:t>3780万元</w:t>
      </w:r>
      <w:r>
        <w:rPr>
          <w:rFonts w:hint="eastAsia" w:ascii="宋体" w:hAnsi="宋体" w:eastAsia="宋体" w:cs="宋体"/>
          <w:color w:val="auto"/>
          <w:sz w:val="24"/>
          <w:szCs w:val="24"/>
        </w:rPr>
        <w:t>、一般债券资金</w:t>
      </w:r>
      <w:r>
        <w:rPr>
          <w:rFonts w:hint="eastAsia" w:ascii="宋体" w:hAnsi="宋体" w:eastAsia="宋体" w:cs="宋体"/>
          <w:color w:val="auto"/>
          <w:sz w:val="24"/>
          <w:szCs w:val="24"/>
          <w:lang w:val="en-US" w:eastAsia="zh-CN"/>
        </w:rPr>
        <w:t>6961万元</w:t>
      </w:r>
      <w:r>
        <w:rPr>
          <w:rFonts w:hint="eastAsia" w:ascii="宋体" w:hAnsi="宋体" w:eastAsia="宋体" w:cs="宋体"/>
          <w:color w:val="auto"/>
          <w:sz w:val="24"/>
          <w:szCs w:val="24"/>
        </w:rPr>
        <w:t>，其中：财政资金</w:t>
      </w:r>
      <w:r>
        <w:rPr>
          <w:rFonts w:hint="eastAsia" w:ascii="宋体" w:hAnsi="宋体" w:eastAsia="宋体" w:cs="宋体"/>
          <w:color w:val="auto"/>
          <w:sz w:val="24"/>
          <w:szCs w:val="24"/>
          <w:lang w:val="en-US" w:eastAsia="zh-CN"/>
        </w:rPr>
        <w:t>10741</w:t>
      </w:r>
      <w:r>
        <w:rPr>
          <w:rFonts w:hint="eastAsia" w:ascii="宋体" w:hAnsi="宋体" w:eastAsia="宋体" w:cs="宋体"/>
          <w:color w:val="auto"/>
          <w:sz w:val="24"/>
          <w:szCs w:val="24"/>
        </w:rPr>
        <w:t>万元，</w:t>
      </w:r>
      <w:r>
        <w:rPr>
          <w:rFonts w:hint="eastAsia" w:ascii="宋体" w:hAnsi="宋体" w:eastAsia="宋体" w:cs="宋体"/>
          <w:color w:val="auto"/>
          <w:sz w:val="24"/>
          <w:szCs w:val="24"/>
          <w:lang w:val="en-US" w:eastAsia="zh-CN"/>
        </w:rPr>
        <w:t>2023年已支付2714.53万元，</w:t>
      </w:r>
      <w:r>
        <w:rPr>
          <w:rFonts w:hint="eastAsia" w:ascii="宋体" w:hAnsi="宋体" w:eastAsia="宋体" w:cs="宋体"/>
          <w:color w:val="auto"/>
          <w:sz w:val="24"/>
          <w:szCs w:val="24"/>
        </w:rPr>
        <w:t>202</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年实际收到预算资金</w:t>
      </w:r>
      <w:r>
        <w:rPr>
          <w:rFonts w:hint="eastAsia" w:ascii="宋体" w:hAnsi="宋体" w:eastAsia="宋体" w:cs="宋体"/>
          <w:color w:val="auto"/>
          <w:sz w:val="24"/>
          <w:szCs w:val="24"/>
          <w:lang w:val="en-US" w:eastAsia="zh-CN"/>
        </w:rPr>
        <w:t>4336.89</w:t>
      </w:r>
      <w:r>
        <w:rPr>
          <w:rFonts w:hint="eastAsia" w:ascii="宋体" w:hAnsi="宋体" w:eastAsia="宋体" w:cs="宋体"/>
          <w:color w:val="auto"/>
          <w:sz w:val="24"/>
          <w:szCs w:val="24"/>
        </w:rPr>
        <w:t>万元，预算资金到位率为</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w:t>
      </w:r>
    </w:p>
    <w:p w14:paraId="548A4574">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sz w:val="24"/>
          <w:szCs w:val="24"/>
          <w:highlight w:val="none"/>
        </w:rPr>
        <w:t>（2）项目资金实际使用情况分析</w:t>
      </w:r>
    </w:p>
    <w:p w14:paraId="7E338F52">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本项目</w:t>
      </w:r>
      <w:r>
        <w:rPr>
          <w:rFonts w:hint="eastAsia" w:ascii="宋体" w:hAnsi="宋体" w:eastAsia="宋体" w:cs="宋体"/>
          <w:color w:val="auto"/>
          <w:sz w:val="24"/>
          <w:szCs w:val="24"/>
          <w:lang w:val="en-US" w:eastAsia="zh-CN"/>
        </w:rPr>
        <w:t>2024年</w:t>
      </w:r>
      <w:r>
        <w:rPr>
          <w:rFonts w:hint="eastAsia" w:ascii="宋体" w:hAnsi="宋体" w:eastAsia="宋体" w:cs="宋体"/>
          <w:color w:val="auto"/>
          <w:sz w:val="24"/>
          <w:szCs w:val="24"/>
        </w:rPr>
        <w:t>实际支付资金</w:t>
      </w:r>
      <w:r>
        <w:rPr>
          <w:rFonts w:hint="eastAsia" w:ascii="宋体" w:hAnsi="宋体" w:eastAsia="宋体" w:cs="宋体"/>
          <w:color w:val="auto"/>
          <w:sz w:val="24"/>
          <w:szCs w:val="24"/>
          <w:lang w:val="en-US" w:eastAsia="zh-CN"/>
        </w:rPr>
        <w:t>4336.89</w:t>
      </w:r>
      <w:r>
        <w:rPr>
          <w:rFonts w:hint="eastAsia" w:ascii="宋体" w:hAnsi="宋体" w:eastAsia="宋体" w:cs="宋体"/>
          <w:color w:val="auto"/>
          <w:sz w:val="24"/>
          <w:szCs w:val="24"/>
        </w:rPr>
        <w:t>万元</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预算执行率</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%。本项目资金主要用于支付</w:t>
      </w:r>
      <w:r>
        <w:rPr>
          <w:rFonts w:hint="eastAsia" w:ascii="宋体" w:hAnsi="宋体" w:eastAsia="宋体" w:cs="宋体"/>
          <w:color w:val="auto"/>
          <w:sz w:val="24"/>
          <w:szCs w:val="24"/>
          <w:lang w:val="en-US" w:eastAsia="zh-CN"/>
        </w:rPr>
        <w:t>工程款</w:t>
      </w:r>
      <w:r>
        <w:rPr>
          <w:rFonts w:hint="eastAsia" w:ascii="宋体" w:hAnsi="宋体" w:eastAsia="宋体" w:cs="宋体"/>
          <w:color w:val="auto"/>
          <w:sz w:val="24"/>
          <w:szCs w:val="24"/>
        </w:rPr>
        <w:t>费用</w:t>
      </w:r>
      <w:r>
        <w:rPr>
          <w:rFonts w:hint="eastAsia" w:ascii="宋体" w:hAnsi="宋体" w:eastAsia="宋体" w:cs="宋体"/>
          <w:color w:val="auto"/>
          <w:sz w:val="24"/>
          <w:szCs w:val="24"/>
          <w:lang w:val="en-US" w:eastAsia="zh-CN"/>
        </w:rPr>
        <w:t>4327.95</w:t>
      </w:r>
      <w:r>
        <w:rPr>
          <w:rFonts w:hint="eastAsia" w:ascii="宋体" w:hAnsi="宋体" w:eastAsia="宋体" w:cs="宋体"/>
          <w:color w:val="auto"/>
          <w:sz w:val="24"/>
          <w:szCs w:val="24"/>
        </w:rPr>
        <w:t>万元、</w:t>
      </w:r>
      <w:r>
        <w:rPr>
          <w:rFonts w:hint="eastAsia" w:ascii="宋体" w:hAnsi="宋体" w:eastAsia="宋体" w:cs="宋体"/>
          <w:color w:val="auto"/>
          <w:sz w:val="24"/>
          <w:szCs w:val="24"/>
          <w:lang w:val="en-US" w:eastAsia="zh-CN"/>
        </w:rPr>
        <w:t>造价咨询</w:t>
      </w:r>
      <w:r>
        <w:rPr>
          <w:rFonts w:hint="eastAsia" w:ascii="宋体" w:hAnsi="宋体" w:eastAsia="宋体" w:cs="宋体"/>
          <w:color w:val="auto"/>
          <w:sz w:val="24"/>
          <w:szCs w:val="24"/>
        </w:rPr>
        <w:t>费用</w:t>
      </w:r>
      <w:r>
        <w:rPr>
          <w:rFonts w:hint="eastAsia" w:ascii="宋体" w:hAnsi="宋体" w:eastAsia="宋体" w:cs="宋体"/>
          <w:color w:val="auto"/>
          <w:sz w:val="24"/>
          <w:szCs w:val="24"/>
          <w:lang w:val="en-US" w:eastAsia="zh-CN"/>
        </w:rPr>
        <w:t>8.94</w:t>
      </w:r>
      <w:r>
        <w:rPr>
          <w:rFonts w:hint="eastAsia" w:ascii="宋体" w:hAnsi="宋体" w:eastAsia="宋体" w:cs="宋体"/>
          <w:color w:val="auto"/>
          <w:sz w:val="24"/>
          <w:szCs w:val="24"/>
        </w:rPr>
        <w:t>万元</w:t>
      </w:r>
      <w:r>
        <w:rPr>
          <w:rFonts w:hint="eastAsia" w:ascii="宋体" w:hAnsi="宋体" w:eastAsia="宋体" w:cs="宋体"/>
          <w:color w:val="auto"/>
          <w:sz w:val="24"/>
          <w:szCs w:val="24"/>
          <w:lang w:val="en-US" w:eastAsia="zh-CN"/>
        </w:rPr>
        <w:t>等</w:t>
      </w:r>
      <w:r>
        <w:rPr>
          <w:rFonts w:hint="eastAsia" w:ascii="宋体" w:hAnsi="宋体" w:eastAsia="宋体" w:cs="宋体"/>
          <w:color w:val="auto"/>
          <w:sz w:val="24"/>
          <w:szCs w:val="24"/>
        </w:rPr>
        <w:t>。</w:t>
      </w:r>
    </w:p>
    <w:p w14:paraId="576E2C87">
      <w:pPr>
        <w:pStyle w:val="49"/>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bookmarkStart w:id="2" w:name="_Toc68364659"/>
      <w:r>
        <w:rPr>
          <w:rFonts w:hint="eastAsia" w:ascii="宋体" w:hAnsi="宋体" w:eastAsia="宋体" w:cs="宋体"/>
          <w:color w:val="auto"/>
          <w:sz w:val="24"/>
          <w:szCs w:val="24"/>
        </w:rPr>
        <w:t>（二）项目绩效目标</w:t>
      </w:r>
      <w:bookmarkEnd w:id="2"/>
    </w:p>
    <w:p w14:paraId="713CE723">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项目绩效目标包括项目总</w:t>
      </w:r>
      <w:r>
        <w:rPr>
          <w:rFonts w:hint="eastAsia" w:ascii="宋体" w:hAnsi="宋体" w:eastAsia="宋体" w:cs="宋体"/>
          <w:color w:val="auto"/>
          <w:sz w:val="24"/>
          <w:szCs w:val="24"/>
          <w:lang w:val="en-US" w:eastAsia="zh-CN"/>
        </w:rPr>
        <w:t>体</w:t>
      </w:r>
      <w:r>
        <w:rPr>
          <w:rFonts w:hint="eastAsia" w:ascii="宋体" w:hAnsi="宋体" w:eastAsia="宋体" w:cs="宋体"/>
          <w:color w:val="auto"/>
          <w:sz w:val="24"/>
          <w:szCs w:val="24"/>
        </w:rPr>
        <w:t>目标和阶段性目标。</w:t>
      </w:r>
    </w:p>
    <w:p w14:paraId="215183D6">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1.总</w:t>
      </w:r>
      <w:r>
        <w:rPr>
          <w:rFonts w:hint="eastAsia" w:ascii="宋体" w:hAnsi="宋体" w:eastAsia="宋体" w:cs="宋体"/>
          <w:b/>
          <w:bCs/>
          <w:color w:val="auto"/>
          <w:sz w:val="24"/>
          <w:szCs w:val="24"/>
          <w:lang w:val="en-US" w:eastAsia="zh-CN"/>
        </w:rPr>
        <w:t>体</w:t>
      </w:r>
      <w:r>
        <w:rPr>
          <w:rFonts w:hint="eastAsia" w:ascii="宋体" w:hAnsi="宋体" w:eastAsia="宋体" w:cs="宋体"/>
          <w:b/>
          <w:bCs/>
          <w:color w:val="auto"/>
          <w:sz w:val="24"/>
          <w:szCs w:val="24"/>
        </w:rPr>
        <w:t>目标</w:t>
      </w:r>
    </w:p>
    <w:p w14:paraId="50ED9154">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本项目主要实施内容为：</w:t>
      </w:r>
      <w:r>
        <w:rPr>
          <w:rFonts w:hint="eastAsia" w:ascii="宋体" w:hAnsi="宋体" w:eastAsia="宋体" w:cs="宋体"/>
          <w:color w:val="auto"/>
          <w:sz w:val="24"/>
          <w:szCs w:val="24"/>
          <w:lang w:val="en-US" w:eastAsia="zh-CN"/>
        </w:rPr>
        <w:t>新建教学楼3栋，宿舍楼2栋，风雨操场1栋，学生食堂及配套室外附属工程。</w:t>
      </w:r>
      <w:r>
        <w:rPr>
          <w:rFonts w:hint="eastAsia" w:ascii="宋体" w:hAnsi="宋体" w:eastAsia="宋体" w:cs="宋体"/>
          <w:color w:val="auto"/>
          <w:sz w:val="24"/>
          <w:szCs w:val="24"/>
        </w:rPr>
        <w:t>满足</w:t>
      </w:r>
      <w:r>
        <w:rPr>
          <w:rFonts w:hint="eastAsia" w:ascii="宋体" w:hAnsi="宋体" w:eastAsia="宋体" w:cs="宋体"/>
          <w:color w:val="auto"/>
          <w:sz w:val="24"/>
          <w:szCs w:val="24"/>
          <w:lang w:val="en-US" w:eastAsia="zh-CN"/>
        </w:rPr>
        <w:t>洛浦县</w:t>
      </w:r>
      <w:r>
        <w:rPr>
          <w:rFonts w:hint="eastAsia" w:ascii="宋体" w:hAnsi="宋体" w:eastAsia="宋体" w:cs="宋体"/>
          <w:color w:val="auto"/>
          <w:sz w:val="24"/>
          <w:szCs w:val="24"/>
        </w:rPr>
        <w:t>县教学工作的需要。整体提升洛浦县教学、科研、专业技术水平，优化配置教师资源、让该校教师能够跟进需求，引领洛浦县教育事业健康发展。</w:t>
      </w:r>
    </w:p>
    <w:p w14:paraId="1C8D3B0D">
      <w:pPr>
        <w:pStyle w:val="46"/>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阶段性目标</w:t>
      </w:r>
    </w:p>
    <w:p w14:paraId="6B9E8242">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bookmarkStart w:id="3" w:name="_Toc68364660"/>
      <w:r>
        <w:rPr>
          <w:rFonts w:hint="eastAsia" w:ascii="宋体" w:hAnsi="宋体" w:eastAsia="宋体" w:cs="宋体"/>
          <w:color w:val="auto"/>
          <w:sz w:val="24"/>
          <w:szCs w:val="24"/>
          <w:lang w:val="en-US" w:eastAsia="zh-CN"/>
        </w:rPr>
        <w:t>我</w:t>
      </w:r>
      <w:r>
        <w:rPr>
          <w:rFonts w:hint="eastAsia" w:ascii="宋体" w:hAnsi="宋体" w:eastAsia="宋体" w:cs="宋体"/>
          <w:color w:val="auto"/>
          <w:sz w:val="24"/>
          <w:szCs w:val="24"/>
        </w:rPr>
        <w:t>单位根据《项目支出绩效评价管理办法》（财预〔2020〕10号）《关于印发〈自治区财政支出绩效评价管理暂行办法〉的通知》（新财预〔2018〕189号）以及自治区财政厅《关于印发〈自治区项目支出绩效目标设置指引〉的通知》（新财预〔2022〕42号）的规定，结合项目相关信息，设置了年度绩效目标如下：</w:t>
      </w:r>
    </w:p>
    <w:p w14:paraId="5EAAEBFB">
      <w:pPr>
        <w:pStyle w:val="46"/>
        <w:pageBreakBefore w:val="0"/>
        <w:widowControl w:val="0"/>
        <w:numPr>
          <w:ilvl w:val="0"/>
          <w:numId w:val="2"/>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产出指标</w:t>
      </w:r>
    </w:p>
    <w:p w14:paraId="20537D83">
      <w:pPr>
        <w:pStyle w:val="46"/>
        <w:pageBreakBefore w:val="0"/>
        <w:widowControl w:val="0"/>
        <w:numPr>
          <w:ilvl w:val="0"/>
          <w:numId w:val="3"/>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数量指标:</w:t>
      </w:r>
    </w:p>
    <w:p w14:paraId="1AF0391E">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指标1：</w:t>
      </w:r>
      <w:r>
        <w:rPr>
          <w:rFonts w:hint="eastAsia" w:ascii="宋体" w:hAnsi="宋体" w:eastAsia="宋体" w:cs="宋体"/>
          <w:color w:val="auto"/>
          <w:sz w:val="24"/>
          <w:szCs w:val="24"/>
          <w:lang w:val="en-US" w:eastAsia="zh-CN"/>
        </w:rPr>
        <w:t>涉及学校数量，</w:t>
      </w:r>
      <w:r>
        <w:rPr>
          <w:rFonts w:hint="eastAsia" w:ascii="宋体" w:hAnsi="宋体" w:eastAsia="宋体" w:cs="宋体"/>
          <w:color w:val="auto"/>
          <w:sz w:val="24"/>
          <w:szCs w:val="24"/>
        </w:rPr>
        <w:t>预期指标值为</w:t>
      </w:r>
      <w:r>
        <w:rPr>
          <w:rFonts w:hint="eastAsia" w:ascii="宋体" w:hAnsi="宋体" w:eastAsia="宋体" w:cs="宋体"/>
          <w:color w:val="auto"/>
          <w:sz w:val="24"/>
          <w:szCs w:val="24"/>
          <w:highlight w:val="none"/>
          <w:lang w:val="en-US" w:eastAsia="zh-CN"/>
        </w:rPr>
        <w:t>≥1所</w:t>
      </w:r>
      <w:r>
        <w:rPr>
          <w:rFonts w:hint="eastAsia" w:ascii="宋体" w:hAnsi="宋体" w:eastAsia="宋体" w:cs="宋体"/>
          <w:color w:val="auto"/>
          <w:sz w:val="24"/>
          <w:szCs w:val="24"/>
        </w:rPr>
        <w:t>；</w:t>
      </w:r>
    </w:p>
    <w:p w14:paraId="6747C11A">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2）质量指标：</w:t>
      </w:r>
    </w:p>
    <w:p w14:paraId="7C68569F">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指标1：</w:t>
      </w:r>
      <w:r>
        <w:rPr>
          <w:rFonts w:hint="eastAsia" w:ascii="宋体" w:hAnsi="宋体" w:eastAsia="宋体" w:cs="宋体"/>
          <w:color w:val="auto"/>
          <w:sz w:val="24"/>
          <w:szCs w:val="24"/>
          <w:lang w:val="en-US" w:eastAsia="zh-CN"/>
        </w:rPr>
        <w:t>项目验收合格率，</w:t>
      </w:r>
      <w:r>
        <w:rPr>
          <w:rFonts w:hint="eastAsia" w:ascii="宋体" w:hAnsi="宋体" w:eastAsia="宋体" w:cs="宋体"/>
          <w:color w:val="auto"/>
          <w:sz w:val="24"/>
          <w:szCs w:val="24"/>
        </w:rPr>
        <w:t>预期指标值为</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w:t>
      </w:r>
    </w:p>
    <w:p w14:paraId="43351CFF">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3）时效指标：</w:t>
      </w:r>
    </w:p>
    <w:p w14:paraId="78671009">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指标1：</w:t>
      </w:r>
      <w:r>
        <w:rPr>
          <w:rFonts w:hint="eastAsia" w:ascii="宋体" w:hAnsi="宋体" w:eastAsia="宋体" w:cs="宋体"/>
          <w:color w:val="auto"/>
          <w:sz w:val="24"/>
          <w:szCs w:val="24"/>
          <w:lang w:val="en-US" w:eastAsia="zh-CN"/>
        </w:rPr>
        <w:t>项目按计划开工率，</w:t>
      </w:r>
      <w:r>
        <w:rPr>
          <w:rFonts w:hint="eastAsia" w:ascii="宋体" w:hAnsi="宋体" w:eastAsia="宋体" w:cs="宋体"/>
          <w:color w:val="auto"/>
          <w:sz w:val="24"/>
          <w:szCs w:val="24"/>
        </w:rPr>
        <w:t>预期指标值为</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w:t>
      </w:r>
    </w:p>
    <w:p w14:paraId="021CE29C">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lang w:eastAsia="zh-CN"/>
        </w:rPr>
      </w:pPr>
      <w:r>
        <w:rPr>
          <w:rFonts w:hint="eastAsia" w:ascii="宋体" w:hAnsi="宋体" w:eastAsia="宋体" w:cs="宋体"/>
          <w:color w:val="auto"/>
          <w:sz w:val="24"/>
          <w:szCs w:val="24"/>
        </w:rPr>
        <w:t>（2）成本指标：</w:t>
      </w:r>
    </w:p>
    <w:p w14:paraId="223456B5">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1）经济成本指标</w:t>
      </w:r>
    </w:p>
    <w:p w14:paraId="1363BEEF">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指标1：</w:t>
      </w:r>
      <w:r>
        <w:rPr>
          <w:rFonts w:hint="eastAsia" w:ascii="宋体" w:hAnsi="宋体" w:eastAsia="宋体" w:cs="宋体"/>
          <w:color w:val="auto"/>
          <w:sz w:val="24"/>
          <w:szCs w:val="24"/>
          <w:lang w:val="en-US" w:eastAsia="zh-CN"/>
        </w:rPr>
        <w:t>2024年计划投入工程款，</w:t>
      </w:r>
      <w:r>
        <w:rPr>
          <w:rFonts w:hint="eastAsia" w:ascii="宋体" w:hAnsi="宋体" w:eastAsia="宋体" w:cs="宋体"/>
          <w:color w:val="auto"/>
          <w:sz w:val="24"/>
          <w:szCs w:val="24"/>
        </w:rPr>
        <w:t>预期指标值为</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lang w:val="en-US" w:eastAsia="zh-CN"/>
        </w:rPr>
        <w:t>4327.95万元</w:t>
      </w:r>
      <w:r>
        <w:rPr>
          <w:rFonts w:hint="eastAsia" w:ascii="宋体" w:hAnsi="宋体" w:eastAsia="宋体" w:cs="宋体"/>
          <w:color w:val="auto"/>
          <w:sz w:val="24"/>
          <w:szCs w:val="24"/>
        </w:rPr>
        <w:t>；</w:t>
      </w:r>
    </w:p>
    <w:p w14:paraId="58D08AD6">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指标</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2024年计划投入二类费，</w:t>
      </w:r>
      <w:r>
        <w:rPr>
          <w:rFonts w:hint="eastAsia" w:ascii="宋体" w:hAnsi="宋体" w:eastAsia="宋体" w:cs="宋体"/>
          <w:color w:val="auto"/>
          <w:sz w:val="24"/>
          <w:szCs w:val="24"/>
        </w:rPr>
        <w:t>预期指标值为</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lang w:val="en-US" w:eastAsia="zh-CN"/>
        </w:rPr>
        <w:t>8.94万元</w:t>
      </w:r>
      <w:r>
        <w:rPr>
          <w:rFonts w:hint="eastAsia" w:ascii="宋体" w:hAnsi="宋体" w:eastAsia="宋体" w:cs="宋体"/>
          <w:color w:val="auto"/>
          <w:sz w:val="24"/>
          <w:szCs w:val="24"/>
        </w:rPr>
        <w:t>；</w:t>
      </w:r>
    </w:p>
    <w:p w14:paraId="1AF59345">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2）社会成本指标</w:t>
      </w:r>
    </w:p>
    <w:p w14:paraId="015A2D08">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该项目无社会成本指标；</w:t>
      </w:r>
    </w:p>
    <w:p w14:paraId="031A92BC">
      <w:pPr>
        <w:pStyle w:val="46"/>
        <w:pageBreakBefore w:val="0"/>
        <w:widowControl w:val="0"/>
        <w:numPr>
          <w:ilvl w:val="0"/>
          <w:numId w:val="3"/>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生态成本指标;</w:t>
      </w:r>
    </w:p>
    <w:p w14:paraId="27763519">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该项目无生态成本指标；</w:t>
      </w:r>
    </w:p>
    <w:p w14:paraId="7F182008">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（3）效益指标：</w:t>
      </w:r>
    </w:p>
    <w:p w14:paraId="6B1D60D8">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1）经济效益指标：</w:t>
      </w:r>
    </w:p>
    <w:p w14:paraId="2E61D5AC">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该项目无经济效益指标；</w:t>
      </w:r>
    </w:p>
    <w:p w14:paraId="536395FB">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2）社会效益指标：</w:t>
      </w:r>
    </w:p>
    <w:p w14:paraId="5370E858">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指标1：</w:t>
      </w:r>
      <w:r>
        <w:rPr>
          <w:rFonts w:hint="eastAsia" w:ascii="宋体" w:hAnsi="宋体" w:eastAsia="宋体" w:cs="宋体"/>
          <w:color w:val="auto"/>
          <w:sz w:val="24"/>
          <w:szCs w:val="24"/>
          <w:lang w:val="en-US" w:eastAsia="zh-CN"/>
        </w:rPr>
        <w:t>改善教育教学环境，</w:t>
      </w:r>
      <w:r>
        <w:rPr>
          <w:rFonts w:hint="eastAsia" w:ascii="宋体" w:hAnsi="宋体" w:eastAsia="宋体" w:cs="宋体"/>
          <w:color w:val="auto"/>
          <w:sz w:val="24"/>
          <w:szCs w:val="24"/>
        </w:rPr>
        <w:t>预期指标值为</w:t>
      </w:r>
      <w:r>
        <w:rPr>
          <w:rFonts w:hint="eastAsia" w:ascii="宋体" w:hAnsi="宋体" w:eastAsia="宋体" w:cs="宋体"/>
          <w:color w:val="auto"/>
          <w:sz w:val="24"/>
          <w:szCs w:val="24"/>
          <w:lang w:val="en-US" w:eastAsia="zh-CN"/>
        </w:rPr>
        <w:t>有效改善</w:t>
      </w:r>
      <w:r>
        <w:rPr>
          <w:rFonts w:hint="eastAsia" w:ascii="宋体" w:hAnsi="宋体" w:eastAsia="宋体" w:cs="宋体"/>
          <w:color w:val="auto"/>
          <w:sz w:val="24"/>
          <w:szCs w:val="24"/>
        </w:rPr>
        <w:t>；</w:t>
      </w:r>
    </w:p>
    <w:p w14:paraId="0EA82071">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3）生态效益指标：</w:t>
      </w:r>
    </w:p>
    <w:p w14:paraId="09F8E6D9">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该项目无生态效益指标；</w:t>
      </w:r>
    </w:p>
    <w:p w14:paraId="0834C4FA">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（4）服务对象满意度指标：</w:t>
      </w:r>
    </w:p>
    <w:p w14:paraId="08F8E893">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黑体" w:hAnsi="黑体" w:eastAsia="黑体" w:cs="黑体"/>
          <w:color w:val="auto"/>
          <w:sz w:val="24"/>
          <w:szCs w:val="24"/>
        </w:rPr>
      </w:pPr>
      <w:r>
        <w:rPr>
          <w:rFonts w:hint="eastAsia" w:ascii="宋体" w:hAnsi="宋体" w:eastAsia="宋体" w:cs="宋体"/>
          <w:color w:val="auto"/>
          <w:sz w:val="24"/>
          <w:szCs w:val="24"/>
        </w:rPr>
        <w:t>指标1：</w:t>
      </w:r>
      <w:r>
        <w:rPr>
          <w:rFonts w:hint="eastAsia" w:ascii="宋体" w:hAnsi="宋体" w:eastAsia="宋体" w:cs="宋体"/>
          <w:color w:val="auto"/>
          <w:sz w:val="24"/>
          <w:szCs w:val="24"/>
          <w:lang w:val="en-US" w:eastAsia="zh-CN"/>
        </w:rPr>
        <w:t>学生满意度，</w:t>
      </w:r>
      <w:r>
        <w:rPr>
          <w:rFonts w:hint="eastAsia" w:ascii="宋体" w:hAnsi="宋体" w:eastAsia="宋体" w:cs="宋体"/>
          <w:color w:val="auto"/>
          <w:sz w:val="24"/>
          <w:szCs w:val="24"/>
        </w:rPr>
        <w:t>预期指标值为</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lang w:val="en-US" w:eastAsia="zh-CN"/>
        </w:rPr>
        <w:t>100%。</w:t>
      </w:r>
    </w:p>
    <w:p w14:paraId="4B65564B">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color w:val="auto"/>
          <w:sz w:val="24"/>
          <w:szCs w:val="24"/>
        </w:rPr>
      </w:pPr>
      <w:r>
        <w:rPr>
          <w:rFonts w:hint="eastAsia" w:ascii="黑体" w:hAnsi="黑体" w:eastAsia="黑体" w:cs="黑体"/>
          <w:color w:val="auto"/>
          <w:sz w:val="24"/>
          <w:szCs w:val="24"/>
        </w:rPr>
        <w:t>二、绩效评价工作开展情况</w:t>
      </w:r>
      <w:bookmarkEnd w:id="3"/>
    </w:p>
    <w:p w14:paraId="055EC6C2">
      <w:pPr>
        <w:pStyle w:val="49"/>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bookmarkStart w:id="4" w:name="_Toc68364661"/>
      <w:r>
        <w:rPr>
          <w:rFonts w:hint="eastAsia" w:ascii="宋体" w:hAnsi="宋体" w:eastAsia="宋体" w:cs="宋体"/>
          <w:color w:val="auto"/>
          <w:sz w:val="24"/>
          <w:szCs w:val="24"/>
        </w:rPr>
        <w:t>（一）绩效评价目的、对象和范围</w:t>
      </w:r>
      <w:bookmarkEnd w:id="4"/>
    </w:p>
    <w:p w14:paraId="3B0E259D">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1.绩效评价目的</w:t>
      </w:r>
    </w:p>
    <w:p w14:paraId="7579ACBD">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本次绩效评价遵循财政部《项目支出绩效评价管理办法》（财预〔2020〕10号）《自治区财政支出绩效评价管理暂行办法》（新财预〔2018〕189号）</w:t>
      </w:r>
      <w:r>
        <w:rPr>
          <w:rFonts w:hint="eastAsia" w:ascii="宋体" w:hAnsi="宋体" w:eastAsia="宋体" w:cs="宋体"/>
          <w:color w:val="auto"/>
          <w:sz w:val="24"/>
          <w:szCs w:val="24"/>
          <w:lang w:val="en-US" w:eastAsia="zh-CN"/>
        </w:rPr>
        <w:t>及</w:t>
      </w:r>
      <w:r>
        <w:rPr>
          <w:rFonts w:hint="eastAsia" w:ascii="宋体" w:hAnsi="宋体" w:eastAsia="宋体" w:cs="宋体"/>
          <w:color w:val="auto"/>
          <w:sz w:val="24"/>
          <w:szCs w:val="24"/>
        </w:rPr>
        <w:t>自治区财政厅《关于印发〈自治区项目支出绩效目标设置指引〉的通知》（新财预〔2022〕42号）</w:t>
      </w:r>
      <w:r>
        <w:rPr>
          <w:rFonts w:hint="eastAsia" w:ascii="宋体" w:hAnsi="宋体" w:eastAsia="宋体" w:cs="宋体"/>
          <w:color w:val="auto"/>
          <w:sz w:val="24"/>
          <w:szCs w:val="24"/>
          <w:highlight w:val="none"/>
        </w:rPr>
        <w:t>等相关政策文件与规</w:t>
      </w:r>
      <w:r>
        <w:rPr>
          <w:rFonts w:hint="eastAsia" w:ascii="宋体" w:hAnsi="宋体" w:eastAsia="宋体" w:cs="宋体"/>
          <w:color w:val="auto"/>
          <w:sz w:val="24"/>
          <w:szCs w:val="24"/>
        </w:rPr>
        <w:t>定，对和田地区洛浦县山普鲁中学建设项目开展本次部门项目支出绩效评价工作。全面了解</w:t>
      </w:r>
      <w:r>
        <w:rPr>
          <w:rFonts w:hint="eastAsia" w:ascii="宋体" w:hAnsi="宋体" w:eastAsia="宋体" w:cs="宋体"/>
          <w:color w:val="auto"/>
          <w:sz w:val="24"/>
          <w:szCs w:val="24"/>
          <w:lang w:val="en-US" w:eastAsia="zh-CN"/>
        </w:rPr>
        <w:t>和田地区洛浦县山普鲁中学建设</w:t>
      </w:r>
      <w:r>
        <w:rPr>
          <w:rFonts w:hint="eastAsia" w:ascii="宋体" w:hAnsi="宋体" w:eastAsia="宋体" w:cs="宋体"/>
          <w:color w:val="auto"/>
          <w:sz w:val="24"/>
          <w:szCs w:val="24"/>
        </w:rPr>
        <w:t>项目预算编制合理性、资金使用合规性、项目管理的规范性、项目目标的实现情况、服务对象的满意度等项目实施前期、过程及</w:t>
      </w:r>
      <w:r>
        <w:rPr>
          <w:rFonts w:hint="eastAsia" w:ascii="宋体" w:hAnsi="宋体" w:eastAsia="宋体" w:cs="宋体"/>
          <w:color w:val="auto"/>
          <w:sz w:val="24"/>
          <w:szCs w:val="24"/>
          <w:lang w:val="en-US" w:eastAsia="zh-CN"/>
        </w:rPr>
        <w:t>实施</w:t>
      </w:r>
      <w:r>
        <w:rPr>
          <w:rFonts w:hint="eastAsia" w:ascii="宋体" w:hAnsi="宋体" w:eastAsia="宋体" w:cs="宋体"/>
          <w:color w:val="auto"/>
          <w:sz w:val="24"/>
          <w:szCs w:val="24"/>
        </w:rPr>
        <w:t>效果</w:t>
      </w:r>
      <w:r>
        <w:rPr>
          <w:rFonts w:hint="eastAsia" w:ascii="宋体" w:hAnsi="宋体" w:eastAsia="宋体" w:cs="宋体"/>
          <w:color w:val="auto"/>
          <w:sz w:val="24"/>
          <w:szCs w:val="24"/>
          <w:lang w:val="en-US" w:eastAsia="zh-CN"/>
        </w:rPr>
        <w:t>情况。</w:t>
      </w:r>
    </w:p>
    <w:p w14:paraId="0E62197A">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通过部门项目支出绩效评价，进一步严格落实《中华人民共和国预算法》以及《中共中央国务院关于全面实施预算绩效管理的意见》（中发〔2018〕34号）《自治区党委自治区人民政府关于全面实施预算绩效管理的实施意见》（新党发〔2018〕30号）政策文件的指示精神，有助于建立健全“花钱必问效、无效必问责”的绩效预算管理机制</w:t>
      </w:r>
    </w:p>
    <w:p w14:paraId="5E78E4D1">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通过部门项目支出绩效评价，进一步做实绩效目标，将绩效指标细化为数量指标、质量指标、时效指标、成本指标、经济效益指标、社会效益指标、服务对象满意度指标等内容，保证项目绩效指标设置科学、规范、合理、可衡量。</w:t>
      </w:r>
    </w:p>
    <w:p w14:paraId="027B5E89">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lang w:val="en-US" w:eastAsia="zh-CN"/>
        </w:rPr>
        <w:t>同时，通过部门项目支出绩效评价，可促进本单位发现预算项目管理中的问题、总结经验、改进工作，以提高</w:t>
      </w:r>
      <w:r>
        <w:rPr>
          <w:rFonts w:hint="eastAsia" w:ascii="宋体" w:hAnsi="宋体" w:eastAsia="宋体" w:cs="宋体"/>
          <w:color w:val="auto"/>
          <w:sz w:val="24"/>
          <w:szCs w:val="24"/>
        </w:rPr>
        <w:t>财政预算资金使用的效率及效益。</w:t>
      </w:r>
    </w:p>
    <w:p w14:paraId="2B089D23">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2.绩效评价对象</w:t>
      </w:r>
    </w:p>
    <w:p w14:paraId="08F9BF9A">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此</w:t>
      </w:r>
      <w:r>
        <w:rPr>
          <w:rFonts w:hint="eastAsia" w:ascii="宋体" w:hAnsi="宋体" w:eastAsia="宋体" w:cs="宋体"/>
          <w:color w:val="auto"/>
          <w:sz w:val="24"/>
          <w:szCs w:val="24"/>
          <w:highlight w:val="none"/>
        </w:rPr>
        <w:t>次绩效评价遵循财政部《项目支出绩效评价管理办法》（财预〔2020〕10号）和《自治区财政支出绩效评价管理暂行办法》（新财预〔2018〕189号）等政策文件规定，以</w:t>
      </w:r>
      <w:r>
        <w:rPr>
          <w:rFonts w:hint="eastAsia" w:ascii="宋体" w:hAnsi="宋体" w:eastAsia="宋体" w:cs="宋体"/>
          <w:color w:val="auto"/>
          <w:sz w:val="24"/>
          <w:szCs w:val="24"/>
          <w:highlight w:val="none"/>
          <w:lang w:val="en-US" w:eastAsia="zh-CN"/>
        </w:rPr>
        <w:t>和田地区洛浦县山普鲁中学建设</w:t>
      </w:r>
      <w:r>
        <w:rPr>
          <w:rFonts w:hint="eastAsia" w:ascii="宋体" w:hAnsi="宋体" w:eastAsia="宋体" w:cs="宋体"/>
          <w:color w:val="auto"/>
          <w:sz w:val="24"/>
          <w:szCs w:val="24"/>
          <w:highlight w:val="none"/>
        </w:rPr>
        <w:t>项目为</w:t>
      </w:r>
      <w:r>
        <w:rPr>
          <w:rFonts w:hint="eastAsia" w:ascii="宋体" w:hAnsi="宋体" w:eastAsia="宋体" w:cs="宋体"/>
          <w:color w:val="auto"/>
          <w:sz w:val="24"/>
          <w:szCs w:val="24"/>
          <w:highlight w:val="none"/>
          <w:lang w:val="en-US" w:eastAsia="zh-CN"/>
        </w:rPr>
        <w:t>评价</w:t>
      </w:r>
      <w:r>
        <w:rPr>
          <w:rFonts w:hint="eastAsia" w:ascii="宋体" w:hAnsi="宋体" w:eastAsia="宋体" w:cs="宋体"/>
          <w:color w:val="auto"/>
          <w:sz w:val="24"/>
          <w:szCs w:val="24"/>
          <w:highlight w:val="none"/>
        </w:rPr>
        <w:t>对象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对该项目决策、</w:t>
      </w:r>
      <w:r>
        <w:rPr>
          <w:rFonts w:hint="eastAsia" w:ascii="宋体" w:hAnsi="宋体" w:eastAsia="宋体" w:cs="宋体"/>
          <w:color w:val="auto"/>
          <w:sz w:val="24"/>
          <w:szCs w:val="24"/>
          <w:highlight w:val="none"/>
          <w:lang w:val="en-US" w:eastAsia="zh-CN"/>
        </w:rPr>
        <w:t>项目资金管理、项目实施</w:t>
      </w:r>
      <w:r>
        <w:rPr>
          <w:rFonts w:hint="eastAsia" w:ascii="宋体" w:hAnsi="宋体" w:eastAsia="宋体" w:cs="宋体"/>
          <w:color w:val="auto"/>
          <w:sz w:val="24"/>
          <w:szCs w:val="24"/>
          <w:highlight w:val="none"/>
        </w:rPr>
        <w:t>过程</w:t>
      </w:r>
      <w:r>
        <w:rPr>
          <w:rFonts w:hint="eastAsia" w:ascii="宋体" w:hAnsi="宋体" w:eastAsia="宋体" w:cs="宋体"/>
          <w:color w:val="auto"/>
          <w:sz w:val="24"/>
          <w:szCs w:val="24"/>
          <w:highlight w:val="none"/>
          <w:lang w:val="en-US" w:eastAsia="zh-CN"/>
        </w:rPr>
        <w:t>管理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以及</w:t>
      </w:r>
      <w:r>
        <w:rPr>
          <w:rFonts w:hint="eastAsia" w:ascii="宋体" w:hAnsi="宋体" w:eastAsia="宋体" w:cs="宋体"/>
          <w:color w:val="auto"/>
          <w:sz w:val="24"/>
          <w:szCs w:val="24"/>
          <w:highlight w:val="none"/>
        </w:rPr>
        <w:t>项目实施所带来的产出和效果</w:t>
      </w:r>
      <w:r>
        <w:rPr>
          <w:rFonts w:hint="eastAsia" w:ascii="宋体" w:hAnsi="宋体" w:eastAsia="宋体" w:cs="宋体"/>
          <w:color w:val="auto"/>
          <w:sz w:val="24"/>
          <w:szCs w:val="24"/>
          <w:highlight w:val="none"/>
          <w:lang w:val="en-US" w:eastAsia="zh-CN"/>
        </w:rPr>
        <w:t>等</w:t>
      </w:r>
      <w:r>
        <w:rPr>
          <w:rFonts w:hint="eastAsia" w:ascii="宋体" w:hAnsi="宋体" w:eastAsia="宋体" w:cs="宋体"/>
          <w:color w:val="auto"/>
          <w:sz w:val="24"/>
          <w:szCs w:val="24"/>
          <w:highlight w:val="none"/>
        </w:rPr>
        <w:t>内容，</w:t>
      </w:r>
      <w:r>
        <w:rPr>
          <w:rFonts w:hint="eastAsia" w:ascii="宋体" w:hAnsi="宋体" w:eastAsia="宋体" w:cs="宋体"/>
          <w:color w:val="auto"/>
          <w:sz w:val="24"/>
          <w:szCs w:val="24"/>
          <w:highlight w:val="none"/>
          <w:lang w:val="en-US" w:eastAsia="zh-CN"/>
        </w:rPr>
        <w:t>进行综合评价。</w:t>
      </w:r>
    </w:p>
    <w:p w14:paraId="6471B127">
      <w:pPr>
        <w:pStyle w:val="46"/>
        <w:pageBreakBefore w:val="0"/>
        <w:widowControl w:val="0"/>
        <w:kinsoku/>
        <w:wordWrap/>
        <w:topLinePunct w:val="0"/>
        <w:autoSpaceDE/>
        <w:autoSpaceDN/>
        <w:bidi w:val="0"/>
        <w:spacing w:line="360" w:lineRule="auto"/>
        <w:ind w:left="0" w:leftChars="0" w:firstLine="480"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3.绩效评价范围</w:t>
      </w:r>
    </w:p>
    <w:p w14:paraId="4A19F431">
      <w:pPr>
        <w:pStyle w:val="46"/>
        <w:pageBreakBefore w:val="0"/>
        <w:widowControl w:val="0"/>
        <w:kinsoku/>
        <w:wordWrap/>
        <w:topLinePunct w:val="0"/>
        <w:autoSpaceDE/>
        <w:autoSpaceDN/>
        <w:bidi w:val="0"/>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次绩效评价主要围绕和田地区洛浦县山普鲁中学建设项目决策、项目资金管理、项目实施过程管理，以及项目实施所带来的产出和效果等内容，进行综合评价。范围涵盖项目总体绩效目标、各项绩效指标完成情况以及预算执行情况</w:t>
      </w:r>
      <w:bookmarkStart w:id="5" w:name="_Toc68364662"/>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覆盖预算资金支出项目的所有内容进行评价。</w:t>
      </w:r>
    </w:p>
    <w:p w14:paraId="6B9A70DD">
      <w:pPr>
        <w:pStyle w:val="49"/>
        <w:pageBreakBefore w:val="0"/>
        <w:widowControl w:val="0"/>
        <w:kinsoku/>
        <w:wordWrap/>
        <w:overflowPunct/>
        <w:topLinePunct w:val="0"/>
        <w:autoSpaceDE/>
        <w:autoSpaceDN/>
        <w:bidi w:val="0"/>
        <w:adjustRightInd/>
        <w:snapToGrid/>
        <w:spacing w:before="0" w:after="0"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（二）绩效评价原则、评价指标体系、评价方法评价标准</w:t>
      </w:r>
      <w:bookmarkEnd w:id="5"/>
    </w:p>
    <w:p w14:paraId="62CA752A">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1.绩效评价原则</w:t>
      </w:r>
    </w:p>
    <w:p w14:paraId="0432989F">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p>
    <w:p w14:paraId="6F1F86A4">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（1）科学公正。绩效评价应当运用科学合理的方法，按照规范的程序，对项目绩效进行客观、公正的反映。</w:t>
      </w:r>
    </w:p>
    <w:p w14:paraId="0AF91516">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1A373AF1">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（3）激励约束。绩效评价结果应与预算安排、政策调整、改进管理实质性挂钩，体现奖优罚劣和激励相容导向，有效要安排、低效要压减、无效要问责。</w:t>
      </w:r>
    </w:p>
    <w:p w14:paraId="73FFD14E">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（4）公开透明。绩效评价结果应依法依规公开，并自觉接受社会监督。</w:t>
      </w:r>
    </w:p>
    <w:p w14:paraId="0C172953">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根据以上原则，绩效评价应遵循如下要求:</w:t>
      </w:r>
    </w:p>
    <w:p w14:paraId="35176EE7">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1）在数据采集时，采取客观数据，主管部门审查、社会中介组织复查，与问卷调查相结合的形式，以保证各项指标的真实性。</w:t>
      </w:r>
    </w:p>
    <w:p w14:paraId="32907535">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rPr>
        <w:t>2）保证评价结果的真实性、公</w:t>
      </w:r>
      <w:r>
        <w:rPr>
          <w:rFonts w:hint="eastAsia" w:ascii="宋体" w:hAnsi="宋体" w:eastAsia="宋体" w:cs="宋体"/>
          <w:color w:val="auto"/>
          <w:sz w:val="24"/>
          <w:szCs w:val="24"/>
          <w:highlight w:val="none"/>
        </w:rPr>
        <w:t>正性，提高评价报告的公信力。</w:t>
      </w:r>
    </w:p>
    <w:p w14:paraId="6EF61CF6">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3）绩</w:t>
      </w:r>
      <w:r>
        <w:rPr>
          <w:rFonts w:hint="eastAsia" w:ascii="宋体" w:hAnsi="宋体" w:eastAsia="宋体" w:cs="宋体"/>
          <w:color w:val="auto"/>
          <w:sz w:val="24"/>
          <w:szCs w:val="24"/>
          <w:highlight w:val="none"/>
          <w:lang w:val="en-US" w:eastAsia="zh-CN"/>
        </w:rPr>
        <w:t>效</w:t>
      </w:r>
      <w:r>
        <w:rPr>
          <w:rFonts w:hint="eastAsia" w:ascii="宋体" w:hAnsi="宋体" w:eastAsia="宋体" w:cs="宋体"/>
          <w:color w:val="auto"/>
          <w:sz w:val="24"/>
          <w:szCs w:val="24"/>
          <w:highlight w:val="none"/>
        </w:rPr>
        <w:t>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0C499FAE">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2.绩效评价指标体系</w:t>
      </w:r>
    </w:p>
    <w:p w14:paraId="62B9A24C">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个二级指标。项目绩效评价体系</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详细指标体系见“附件1：项目支出绩效评价体系”。</w:t>
      </w:r>
    </w:p>
    <w:p w14:paraId="27E0896A">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3.绩效评价方法</w:t>
      </w:r>
    </w:p>
    <w:p w14:paraId="54057D29">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4ECE1B43">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具体</w:t>
      </w:r>
      <w:r>
        <w:rPr>
          <w:rFonts w:hint="eastAsia" w:ascii="宋体" w:hAnsi="宋体" w:eastAsia="宋体" w:cs="宋体"/>
          <w:b w:val="0"/>
          <w:bCs/>
          <w:color w:val="auto"/>
          <w:sz w:val="24"/>
          <w:szCs w:val="24"/>
          <w:highlight w:val="none"/>
        </w:rPr>
        <w:t>评价方法的应用如下:</w:t>
      </w:r>
    </w:p>
    <w:p w14:paraId="252DC8CD">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立项依据充分性：比较法、文献法，查找法律法规政策以及规划，对比实际执行内容和政策支持内容是否匹配。</w:t>
      </w:r>
    </w:p>
    <w:p w14:paraId="498D6E2C">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highlight w:val="none"/>
        </w:rPr>
        <w:t>立项程序规范性：比较法、文献法，查找相关项目设立的政策和文件要求，对比分析实际执行程序是否按照政策及文</w:t>
      </w:r>
      <w:r>
        <w:rPr>
          <w:rFonts w:hint="eastAsia" w:ascii="宋体" w:hAnsi="宋体" w:eastAsia="宋体" w:cs="宋体"/>
          <w:b w:val="0"/>
          <w:bCs/>
          <w:color w:val="auto"/>
          <w:sz w:val="24"/>
          <w:szCs w:val="24"/>
        </w:rPr>
        <w:t>件要求执行，分析立项程序的规范性。</w:t>
      </w:r>
    </w:p>
    <w:p w14:paraId="2CEF2A53">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绩效目标合理性：比较法，对比分析年初编制项目支出绩效目标表与项目内容的相关性、资金的匹配性等。</w:t>
      </w:r>
    </w:p>
    <w:p w14:paraId="459C479F">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绩效指标明确性：比较法，比较分析年初编制项目支出绩效目标表是否符合双七原则，是否可衡量。</w:t>
      </w:r>
    </w:p>
    <w:p w14:paraId="0B104235">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预算编制科学性</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rPr>
        <w:t>成本效益分析法</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rPr>
        <w:t>分析在产出一定的情况下，成本取值是否有依据，是否经过询价，是否按照市场最低成本编制。</w:t>
      </w:r>
    </w:p>
    <w:p w14:paraId="4D7945E7">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color w:val="auto"/>
          <w:sz w:val="24"/>
          <w:szCs w:val="24"/>
          <w:lang w:eastAsia="zh-CN"/>
        </w:rPr>
      </w:pPr>
      <w:r>
        <w:rPr>
          <w:rFonts w:hint="eastAsia" w:ascii="宋体" w:hAnsi="宋体" w:eastAsia="宋体" w:cs="宋体"/>
          <w:b w:val="0"/>
          <w:bCs/>
          <w:color w:val="auto"/>
          <w:sz w:val="24"/>
          <w:szCs w:val="24"/>
        </w:rPr>
        <w:t>资金分配合理性：因素分析法，综合分析资金的分配依据是否充分，分配金额是否与项目实施单位需求金额一致</w:t>
      </w:r>
      <w:r>
        <w:rPr>
          <w:rFonts w:hint="eastAsia" w:ascii="宋体" w:hAnsi="宋体" w:eastAsia="宋体" w:cs="宋体"/>
          <w:b w:val="0"/>
          <w:bCs/>
          <w:color w:val="auto"/>
          <w:sz w:val="24"/>
          <w:szCs w:val="24"/>
          <w:lang w:eastAsia="zh-CN"/>
        </w:rPr>
        <w:t>。</w:t>
      </w:r>
    </w:p>
    <w:p w14:paraId="7A9F3F27">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资金到位率：比较法，资金到位率预期指标值应为100%，通过实际计算，分析实际完成值和预期指标值之间的差距和原因。</w:t>
      </w:r>
    </w:p>
    <w:p w14:paraId="47C17CEE">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预算执行率：比较法，预算执行率预期指标值应为100%，通过实际计算，分析实际完成值和预期指标值之间的差距和原因。</w:t>
      </w:r>
    </w:p>
    <w:p w14:paraId="2C87EDC1">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资金使用合规性：文献法、实地勘察法，一是查找资金管理办法，包括专项资金管理办法和单位自有资金管理办法；二是通过查账了解具体开支情况，是否专用专用，是否按照标准支出。</w:t>
      </w:r>
    </w:p>
    <w:p w14:paraId="21CD758F">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管理制度健全性：文献法、比较法，查阅项目实施人员提供的财务和业务管理制度，将已建立的制度与现行的法律法规和政策要求进行对比，分析项目制度的合法性、合规性、完整性。</w:t>
      </w:r>
    </w:p>
    <w:p w14:paraId="0C9FB070">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制度执行有效性：比较法，结合项目实际实施过程性文件，根据已建设的财务管理制度和项目管理制度综合分析制度执行的有效性。</w:t>
      </w:r>
    </w:p>
    <w:p w14:paraId="3F4E4A2A">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62FE3776">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定性指标：公众评判法，通过问卷及抽样调查等方式评价本项目实施后社会公众对于其实施效果的满意程度。</w:t>
      </w:r>
    </w:p>
    <w:p w14:paraId="6B93B54D">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4.绩效评价标准</w:t>
      </w:r>
    </w:p>
    <w:p w14:paraId="1633C932">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rPr>
      </w:pPr>
      <w:bookmarkStart w:id="6" w:name="_Toc68364663"/>
      <w:r>
        <w:rPr>
          <w:rFonts w:hint="eastAsia" w:ascii="宋体" w:hAnsi="宋体" w:eastAsia="宋体" w:cs="宋体"/>
          <w:color w:val="auto"/>
          <w:sz w:val="24"/>
          <w:szCs w:val="24"/>
        </w:rPr>
        <w:t>绩效评价标准通常包括计划标准、行业标准、历史标准等，用于对绩效指标完成情况进行比较、分析、评价。本次评价主要采用了</w:t>
      </w:r>
      <w:r>
        <w:rPr>
          <w:rFonts w:hint="eastAsia" w:ascii="宋体" w:hAnsi="宋体" w:eastAsia="宋体" w:cs="宋体"/>
          <w:color w:val="auto"/>
          <w:sz w:val="24"/>
          <w:szCs w:val="24"/>
          <w:lang w:val="en-US" w:eastAsia="zh-CN"/>
        </w:rPr>
        <w:t>计划</w:t>
      </w:r>
      <w:r>
        <w:rPr>
          <w:rFonts w:hint="eastAsia" w:ascii="宋体" w:hAnsi="宋体" w:eastAsia="宋体" w:cs="宋体"/>
          <w:color w:val="auto"/>
          <w:sz w:val="24"/>
          <w:szCs w:val="24"/>
        </w:rPr>
        <w:t>标准。</w:t>
      </w:r>
    </w:p>
    <w:p w14:paraId="01A1843F">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rPr>
      </w:pPr>
      <w:bookmarkStart w:id="7" w:name="_Toc31464"/>
      <w:bookmarkStart w:id="8" w:name="_Toc17882"/>
      <w:r>
        <w:rPr>
          <w:rFonts w:hint="eastAsia" w:ascii="宋体" w:hAnsi="宋体" w:eastAsia="宋体" w:cs="宋体"/>
          <w:color w:val="auto"/>
          <w:sz w:val="24"/>
          <w:szCs w:val="24"/>
        </w:rPr>
        <w:t>计划标准：指以预先制定的目标、计划、预算、定额等作为评价标准。</w:t>
      </w:r>
      <w:bookmarkEnd w:id="7"/>
      <w:bookmarkEnd w:id="8"/>
    </w:p>
    <w:p w14:paraId="5390C676">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rPr>
      </w:pPr>
      <w:bookmarkStart w:id="9" w:name="_Toc5633"/>
      <w:bookmarkStart w:id="10" w:name="_Toc2318"/>
      <w:r>
        <w:rPr>
          <w:rFonts w:hint="eastAsia" w:ascii="宋体" w:hAnsi="宋体" w:eastAsia="宋体" w:cs="宋体"/>
          <w:color w:val="auto"/>
          <w:sz w:val="24"/>
          <w:szCs w:val="24"/>
        </w:rPr>
        <w:t>行业标准：指参照国家公布的行业指标数据制定的评价标准。</w:t>
      </w:r>
      <w:bookmarkEnd w:id="9"/>
      <w:bookmarkEnd w:id="10"/>
    </w:p>
    <w:p w14:paraId="408DC057">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rPr>
      </w:pPr>
      <w:bookmarkStart w:id="11" w:name="_Toc430"/>
      <w:bookmarkStart w:id="12" w:name="_Toc16028"/>
      <w:r>
        <w:rPr>
          <w:rFonts w:hint="eastAsia" w:ascii="宋体" w:hAnsi="宋体" w:eastAsia="宋体" w:cs="宋体"/>
          <w:color w:val="auto"/>
          <w:sz w:val="24"/>
          <w:szCs w:val="24"/>
        </w:rPr>
        <w:t>历史标准：指参照历史数据制定的评价标准，为体现绩效改进的原则，在可实现的条件下应当确定相对较高的评价标准。</w:t>
      </w:r>
      <w:bookmarkEnd w:id="11"/>
      <w:bookmarkEnd w:id="12"/>
    </w:p>
    <w:p w14:paraId="25B8D94F">
      <w:pPr>
        <w:pStyle w:val="49"/>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（三）绩效评价工作过程</w:t>
      </w:r>
      <w:bookmarkEnd w:id="6"/>
    </w:p>
    <w:p w14:paraId="382B1300">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rPr>
      </w:pPr>
      <w:bookmarkStart w:id="13" w:name="_Toc68364664"/>
      <w:r>
        <w:rPr>
          <w:rFonts w:hint="eastAsia" w:ascii="宋体" w:hAnsi="宋体" w:eastAsia="宋体" w:cs="宋体"/>
          <w:b/>
          <w:bCs/>
          <w:color w:val="000000"/>
          <w:sz w:val="24"/>
          <w:szCs w:val="24"/>
          <w:highlight w:val="none"/>
        </w:rPr>
        <w:t>1.前期准备</w:t>
      </w:r>
    </w:p>
    <w:p w14:paraId="5124E924">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我单位于</w:t>
      </w:r>
      <w:r>
        <w:rPr>
          <w:rFonts w:hint="eastAsia" w:ascii="宋体" w:hAnsi="宋体" w:eastAsia="宋体" w:cs="宋体"/>
          <w:color w:val="auto"/>
          <w:sz w:val="24"/>
          <w:szCs w:val="24"/>
          <w:lang w:eastAsia="zh-CN"/>
        </w:rPr>
        <w:t>202</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年</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10</w:t>
      </w:r>
      <w:r>
        <w:rPr>
          <w:rFonts w:hint="eastAsia" w:ascii="宋体" w:hAnsi="宋体" w:eastAsia="宋体" w:cs="宋体"/>
          <w:color w:val="auto"/>
          <w:sz w:val="24"/>
          <w:szCs w:val="24"/>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247B8786">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王晓晶（评价小组组长）：主要负责</w:t>
      </w:r>
      <w:r>
        <w:rPr>
          <w:rFonts w:hint="eastAsia" w:ascii="宋体" w:hAnsi="宋体" w:eastAsia="宋体" w:cs="宋体"/>
          <w:color w:val="auto"/>
          <w:sz w:val="24"/>
          <w:szCs w:val="24"/>
          <w:lang w:val="en-US" w:eastAsia="zh-CN"/>
        </w:rPr>
        <w:t>项目的实施和操作，负责项目指标研制和报告质量审核</w:t>
      </w:r>
      <w:r>
        <w:rPr>
          <w:rFonts w:hint="eastAsia" w:ascii="宋体" w:hAnsi="宋体" w:eastAsia="宋体" w:cs="宋体"/>
          <w:color w:val="auto"/>
          <w:sz w:val="24"/>
          <w:szCs w:val="24"/>
        </w:rPr>
        <w:t>;</w:t>
      </w:r>
    </w:p>
    <w:p w14:paraId="32DD692A">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刘佳书（评价小组组员）：主要负责</w:t>
      </w:r>
      <w:r>
        <w:rPr>
          <w:rFonts w:hint="eastAsia" w:ascii="宋体" w:hAnsi="宋体" w:eastAsia="宋体" w:cs="宋体"/>
          <w:color w:val="auto"/>
          <w:sz w:val="24"/>
          <w:szCs w:val="24"/>
          <w:lang w:val="en-US" w:eastAsia="zh-CN"/>
        </w:rPr>
        <w:t>项目方案、报告的制定、和报告撰写;</w:t>
      </w:r>
    </w:p>
    <w:p w14:paraId="718D321A">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季正明</w:t>
      </w:r>
      <w:r>
        <w:rPr>
          <w:rFonts w:hint="eastAsia" w:ascii="宋体" w:hAnsi="宋体" w:eastAsia="宋体" w:cs="宋体"/>
          <w:color w:val="auto"/>
          <w:sz w:val="24"/>
          <w:szCs w:val="24"/>
        </w:rPr>
        <w:t>（评价小组组员）：主要负责</w:t>
      </w:r>
      <w:r>
        <w:rPr>
          <w:rFonts w:hint="eastAsia" w:ascii="宋体" w:hAnsi="宋体" w:eastAsia="宋体" w:cs="宋体"/>
          <w:color w:val="auto"/>
          <w:sz w:val="24"/>
          <w:szCs w:val="24"/>
          <w:lang w:val="en-US" w:eastAsia="zh-CN"/>
        </w:rPr>
        <w:t>主要负责项目的资料整理、收集和数据分析</w:t>
      </w:r>
      <w:r>
        <w:rPr>
          <w:rFonts w:hint="eastAsia" w:ascii="宋体" w:hAnsi="宋体" w:eastAsia="宋体" w:cs="宋体"/>
          <w:color w:val="auto"/>
          <w:sz w:val="24"/>
          <w:szCs w:val="24"/>
        </w:rPr>
        <w:t>。</w:t>
      </w:r>
    </w:p>
    <w:p w14:paraId="0CD329F5">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2.组织实施</w:t>
      </w:r>
    </w:p>
    <w:p w14:paraId="10E239D8">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202</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年</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25</w:t>
      </w:r>
      <w:r>
        <w:rPr>
          <w:rFonts w:hint="eastAsia" w:ascii="宋体" w:hAnsi="宋体" w:eastAsia="宋体" w:cs="宋体"/>
          <w:color w:val="auto"/>
          <w:sz w:val="24"/>
          <w:szCs w:val="24"/>
        </w:rPr>
        <w:t>日-</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15</w:t>
      </w:r>
      <w:r>
        <w:rPr>
          <w:rFonts w:hint="eastAsia" w:ascii="宋体" w:hAnsi="宋体" w:eastAsia="宋体" w:cs="宋体"/>
          <w:color w:val="auto"/>
          <w:sz w:val="24"/>
          <w:szCs w:val="24"/>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5FF0E455">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3.分析评价</w:t>
      </w:r>
    </w:p>
    <w:p w14:paraId="6FEEB61A">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202</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年</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16</w:t>
      </w:r>
      <w:r>
        <w:rPr>
          <w:rFonts w:hint="eastAsia" w:ascii="宋体" w:hAnsi="宋体" w:eastAsia="宋体" w:cs="宋体"/>
          <w:color w:val="auto"/>
          <w:sz w:val="24"/>
          <w:szCs w:val="24"/>
        </w:rPr>
        <w:t>日-</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日，评价小组按照绩效评价的原则和规范，对取得的资料进行审查核实，对采集的数据进行分析，按照绩效评价指标评分表逐项进行打分、分析、汇总各方评价结果。</w:t>
      </w:r>
    </w:p>
    <w:p w14:paraId="5E099556">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4.撰写与提交评价报告</w:t>
      </w:r>
    </w:p>
    <w:p w14:paraId="684E1F55">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202</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15</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评价小组</w:t>
      </w:r>
      <w:r>
        <w:rPr>
          <w:rFonts w:hint="eastAsia" w:ascii="宋体" w:hAnsi="宋体" w:eastAsia="宋体" w:cs="宋体"/>
          <w:color w:val="auto"/>
          <w:sz w:val="24"/>
          <w:szCs w:val="24"/>
          <w:highlight w:val="none"/>
        </w:rPr>
        <w:t>撰写绩效评价报告，按照新疆</w:t>
      </w:r>
      <w:r>
        <w:rPr>
          <w:rFonts w:hint="eastAsia" w:ascii="宋体" w:hAnsi="宋体" w:eastAsia="宋体" w:cs="宋体"/>
          <w:color w:val="auto"/>
          <w:sz w:val="24"/>
          <w:szCs w:val="24"/>
          <w:highlight w:val="none"/>
          <w:lang w:eastAsia="zh-CN"/>
        </w:rPr>
        <w:t>维吾尔自治区财政绩效管理信息系统</w:t>
      </w:r>
      <w:r>
        <w:rPr>
          <w:rFonts w:hint="eastAsia" w:ascii="宋体" w:hAnsi="宋体" w:eastAsia="宋体" w:cs="宋体"/>
          <w:color w:val="auto"/>
          <w:sz w:val="24"/>
          <w:szCs w:val="24"/>
          <w:highlight w:val="none"/>
        </w:rPr>
        <w:t>绩效评价模块中统一格式和文本框架撰写绩效评价报告并提交审核。</w:t>
      </w:r>
    </w:p>
    <w:p w14:paraId="4F0486F9">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5.问题整改</w:t>
      </w:r>
    </w:p>
    <w:p w14:paraId="6AD57577">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4ECCD891">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6.档案整理</w:t>
      </w:r>
    </w:p>
    <w:p w14:paraId="75B24823">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黑体" w:hAnsi="黑体" w:eastAsia="黑体" w:cs="黑体"/>
          <w:color w:val="auto"/>
          <w:sz w:val="24"/>
          <w:szCs w:val="24"/>
        </w:rPr>
      </w:pPr>
      <w:r>
        <w:rPr>
          <w:rFonts w:hint="eastAsia" w:ascii="宋体" w:hAnsi="宋体" w:eastAsia="宋体" w:cs="宋体"/>
          <w:color w:val="auto"/>
          <w:sz w:val="24"/>
          <w:szCs w:val="24"/>
        </w:rPr>
        <w:t>建立和落实档案管理制度，将项目相关资料存档，包括但不限于：评价项目基本情况和相关文件、评价实施方案、项目支付资料等相关档案。</w:t>
      </w:r>
    </w:p>
    <w:p w14:paraId="6E55BD5A">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color w:val="auto"/>
          <w:sz w:val="24"/>
          <w:szCs w:val="24"/>
        </w:rPr>
      </w:pPr>
      <w:r>
        <w:rPr>
          <w:rFonts w:hint="eastAsia" w:ascii="黑体" w:hAnsi="黑体" w:eastAsia="黑体" w:cs="黑体"/>
          <w:color w:val="auto"/>
          <w:sz w:val="24"/>
          <w:szCs w:val="24"/>
        </w:rPr>
        <w:t>三、综合评价情况及评价结论</w:t>
      </w:r>
      <w:bookmarkEnd w:id="13"/>
    </w:p>
    <w:p w14:paraId="728C5658">
      <w:pPr>
        <w:pStyle w:val="49"/>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bookmarkStart w:id="14" w:name="_Toc68364665"/>
      <w:r>
        <w:rPr>
          <w:rFonts w:hint="eastAsia" w:ascii="宋体" w:hAnsi="宋体" w:eastAsia="宋体" w:cs="宋体"/>
          <w:color w:val="auto"/>
          <w:sz w:val="24"/>
          <w:szCs w:val="24"/>
        </w:rPr>
        <w:t>（一）综合评价情况</w:t>
      </w:r>
      <w:bookmarkEnd w:id="14"/>
    </w:p>
    <w:p w14:paraId="2CC8C026">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bookmarkStart w:id="15" w:name="_Toc68364666"/>
      <w:r>
        <w:rPr>
          <w:rFonts w:hint="eastAsia" w:ascii="宋体" w:hAnsi="宋体" w:eastAsia="宋体" w:cs="宋体"/>
          <w:color w:val="auto"/>
          <w:sz w:val="24"/>
          <w:szCs w:val="24"/>
        </w:rPr>
        <w:t>通过实施和田地区洛浦县山普鲁中学建设项目有利于推动洛浦县教育事业发展</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满足我县教学工作的需要。项目建设可整体提升洛浦县教学、科研、专业技术水平，优化配置教师资源、让该校教师能够跟进需求，满足其引领洛浦县教育事业健康发展的需要。</w:t>
      </w:r>
    </w:p>
    <w:p w14:paraId="2F1EAC40">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项目决策：该项目主要通过和田地区洛浦县山普鲁中学建设项目</w:t>
      </w:r>
      <w:r>
        <w:rPr>
          <w:rFonts w:hint="eastAsia" w:ascii="宋体" w:hAnsi="宋体" w:eastAsia="宋体" w:cs="宋体"/>
          <w:color w:val="auto"/>
          <w:sz w:val="24"/>
          <w:szCs w:val="24"/>
          <w:highlight w:val="none"/>
        </w:rPr>
        <w:t>初步设计报告的批复立项</w:t>
      </w:r>
      <w:r>
        <w:rPr>
          <w:rFonts w:hint="eastAsia" w:ascii="宋体" w:hAnsi="宋体" w:eastAsia="宋体" w:cs="宋体"/>
          <w:color w:val="auto"/>
          <w:sz w:val="24"/>
          <w:szCs w:val="24"/>
        </w:rPr>
        <w:t>，项目实施符合</w:t>
      </w:r>
      <w:r>
        <w:rPr>
          <w:rFonts w:hint="eastAsia" w:ascii="宋体" w:hAnsi="宋体" w:eastAsia="宋体" w:cs="宋体"/>
          <w:color w:val="auto"/>
          <w:sz w:val="24"/>
          <w:szCs w:val="24"/>
          <w:highlight w:val="none"/>
          <w:lang w:val="en-US" w:eastAsia="zh-CN"/>
        </w:rPr>
        <w:t>初步设计的</w:t>
      </w:r>
      <w:r>
        <w:rPr>
          <w:rFonts w:hint="eastAsia" w:ascii="宋体" w:hAnsi="宋体" w:eastAsia="宋体" w:cs="宋体"/>
          <w:color w:val="auto"/>
          <w:sz w:val="24"/>
          <w:szCs w:val="24"/>
        </w:rPr>
        <w:t>要求，项目立项依据充分，立项程序规范。</w:t>
      </w:r>
    </w:p>
    <w:p w14:paraId="6B34FD6B">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项目过程：和田地区洛浦县山普鲁中学建设</w:t>
      </w:r>
      <w:r>
        <w:rPr>
          <w:rFonts w:hint="eastAsia" w:ascii="宋体" w:hAnsi="宋体" w:eastAsia="宋体" w:cs="宋体"/>
          <w:color w:val="auto"/>
          <w:sz w:val="24"/>
          <w:szCs w:val="24"/>
          <w:highlight w:val="none"/>
          <w:lang w:val="en-US" w:eastAsia="zh-CN"/>
        </w:rPr>
        <w:t>项目总投资10741</w:t>
      </w:r>
      <w:r>
        <w:rPr>
          <w:rFonts w:hint="eastAsia" w:ascii="宋体" w:hAnsi="宋体" w:eastAsia="宋体" w:cs="宋体"/>
          <w:color w:val="auto"/>
          <w:sz w:val="24"/>
          <w:szCs w:val="24"/>
          <w:highlight w:val="none"/>
        </w:rPr>
        <w:t>万元，2024年</w:t>
      </w:r>
      <w:r>
        <w:rPr>
          <w:rFonts w:hint="eastAsia" w:ascii="宋体" w:hAnsi="宋体" w:eastAsia="宋体" w:cs="宋体"/>
          <w:color w:val="auto"/>
          <w:sz w:val="24"/>
          <w:szCs w:val="24"/>
          <w:highlight w:val="none"/>
          <w:lang w:val="en-US" w:eastAsia="zh-CN"/>
        </w:rPr>
        <w:t>计划实施</w:t>
      </w:r>
      <w:r>
        <w:rPr>
          <w:rFonts w:hint="eastAsia" w:ascii="宋体" w:hAnsi="宋体" w:eastAsia="宋体" w:cs="宋体"/>
          <w:color w:val="auto"/>
          <w:sz w:val="24"/>
          <w:szCs w:val="24"/>
          <w:highlight w:val="none"/>
        </w:rPr>
        <w:t>资金4336.89万元，2023年</w:t>
      </w:r>
      <w:r>
        <w:rPr>
          <w:rFonts w:hint="eastAsia" w:ascii="宋体" w:hAnsi="宋体" w:eastAsia="宋体" w:cs="宋体"/>
          <w:color w:val="auto"/>
          <w:sz w:val="24"/>
          <w:szCs w:val="24"/>
          <w:highlight w:val="none"/>
          <w:lang w:val="en-US" w:eastAsia="zh-CN"/>
        </w:rPr>
        <w:t>计划实施</w:t>
      </w:r>
      <w:r>
        <w:rPr>
          <w:rFonts w:hint="eastAsia" w:ascii="宋体" w:hAnsi="宋体" w:eastAsia="宋体" w:cs="宋体"/>
          <w:color w:val="auto"/>
          <w:sz w:val="24"/>
          <w:szCs w:val="24"/>
          <w:highlight w:val="none"/>
        </w:rPr>
        <w:t>资金2714.53万元，</w:t>
      </w:r>
      <w:r>
        <w:rPr>
          <w:rFonts w:hint="eastAsia" w:ascii="宋体" w:hAnsi="宋体" w:eastAsia="宋体" w:cs="宋体"/>
          <w:color w:val="auto"/>
          <w:sz w:val="24"/>
          <w:szCs w:val="24"/>
          <w:highlight w:val="none"/>
          <w:lang w:val="en-US" w:eastAsia="zh-CN"/>
        </w:rPr>
        <w:t>截止2024年12月31日，2024年预算资金4336.89万元，实际执行4336.89万元，预算执行率100%。</w:t>
      </w:r>
      <w:r>
        <w:rPr>
          <w:rFonts w:hint="eastAsia" w:ascii="宋体" w:hAnsi="宋体" w:eastAsia="宋体" w:cs="宋体"/>
          <w:color w:val="auto"/>
          <w:sz w:val="24"/>
          <w:szCs w:val="24"/>
          <w:highlight w:val="none"/>
        </w:rPr>
        <w:t>项目资金使用合规，项目财务管理制度健全，财务监控到位，所有资金支付均按照国库集中支付制度严格执行，现有项目管理制度执行情况良好。</w:t>
      </w:r>
    </w:p>
    <w:p w14:paraId="48FBD7BF">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项目产出：</w:t>
      </w:r>
      <w:r>
        <w:rPr>
          <w:rFonts w:hint="eastAsia" w:ascii="宋体" w:hAnsi="宋体" w:eastAsia="宋体" w:cs="宋体"/>
          <w:color w:val="auto"/>
          <w:sz w:val="24"/>
          <w:szCs w:val="24"/>
          <w:highlight w:val="none"/>
          <w:lang w:val="en-US" w:eastAsia="zh-CN"/>
        </w:rPr>
        <w:t>该项目</w:t>
      </w:r>
      <w:r>
        <w:rPr>
          <w:rFonts w:hint="eastAsia" w:ascii="宋体" w:hAnsi="宋体" w:eastAsia="宋体" w:cs="宋体"/>
          <w:color w:val="auto"/>
          <w:sz w:val="24"/>
          <w:szCs w:val="24"/>
          <w:highlight w:val="none"/>
        </w:rPr>
        <w:t>共计新建教学楼3栋，宿舍楼2栋，风雨操场1栋，学生食堂及配套室外附属工程。</w:t>
      </w:r>
    </w:p>
    <w:p w14:paraId="3F7AFEAE">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项目效益：项目的实施，满足</w:t>
      </w:r>
      <w:r>
        <w:rPr>
          <w:rFonts w:hint="eastAsia" w:ascii="宋体" w:hAnsi="宋体" w:eastAsia="宋体" w:cs="宋体"/>
          <w:color w:val="auto"/>
          <w:sz w:val="24"/>
          <w:szCs w:val="24"/>
          <w:lang w:val="en-US" w:eastAsia="zh-CN"/>
        </w:rPr>
        <w:t>了</w:t>
      </w:r>
      <w:r>
        <w:rPr>
          <w:rFonts w:hint="eastAsia" w:ascii="宋体" w:hAnsi="宋体" w:eastAsia="宋体" w:cs="宋体"/>
          <w:color w:val="auto"/>
          <w:sz w:val="24"/>
          <w:szCs w:val="24"/>
        </w:rPr>
        <w:t>洛浦县教学工作的需要。项目建设整体提升</w:t>
      </w:r>
      <w:r>
        <w:rPr>
          <w:rFonts w:hint="eastAsia" w:ascii="宋体" w:hAnsi="宋体" w:eastAsia="宋体" w:cs="宋体"/>
          <w:color w:val="auto"/>
          <w:sz w:val="24"/>
          <w:szCs w:val="24"/>
          <w:lang w:val="en-US" w:eastAsia="zh-CN"/>
        </w:rPr>
        <w:t>了</w:t>
      </w:r>
      <w:r>
        <w:rPr>
          <w:rFonts w:hint="eastAsia" w:ascii="宋体" w:hAnsi="宋体" w:eastAsia="宋体" w:cs="宋体"/>
          <w:color w:val="auto"/>
          <w:sz w:val="24"/>
          <w:szCs w:val="24"/>
        </w:rPr>
        <w:t>洛浦县教学、科研、专业技术水平，优化配置教师资源、让该校教师能够跟进需求，引领洛浦县教育事业健康发展。</w:t>
      </w:r>
    </w:p>
    <w:p w14:paraId="14B9CAFB">
      <w:pPr>
        <w:pStyle w:val="49"/>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bCs/>
          <w:sz w:val="24"/>
          <w:szCs w:val="24"/>
        </w:rPr>
      </w:pPr>
      <w:r>
        <w:rPr>
          <w:rFonts w:hint="eastAsia" w:ascii="宋体" w:hAnsi="宋体" w:eastAsia="宋体" w:cs="宋体"/>
          <w:b/>
          <w:bCs/>
          <w:sz w:val="24"/>
          <w:szCs w:val="24"/>
        </w:rPr>
        <w:t>（二）综合评价结论</w:t>
      </w:r>
    </w:p>
    <w:p w14:paraId="197337FF">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依据《中共中央国务院关于全面实施预算绩效管理的意见》《项目支出绩效评价管理办法》（财预〔2020〕10号）文件，绩效评价总分设置为100分，划分为四档：90（含）-100分为“优”、80（含）-90分为“良”、70（含）-80分为“中”、70分以下为“差”。经</w:t>
      </w:r>
      <w:r>
        <w:rPr>
          <w:rFonts w:hint="eastAsia" w:ascii="宋体" w:hAnsi="宋体" w:eastAsia="宋体" w:cs="宋体"/>
          <w:color w:val="auto"/>
          <w:sz w:val="24"/>
          <w:szCs w:val="24"/>
          <w:highlight w:val="none"/>
        </w:rPr>
        <w:t>对和田地区洛浦县山普鲁中学建设项目进行客观评价，最终评分结果：评价总分</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分，绩效等级为“</w:t>
      </w:r>
      <w:r>
        <w:rPr>
          <w:rFonts w:hint="eastAsia" w:ascii="宋体" w:hAnsi="宋体" w:eastAsia="宋体" w:cs="宋体"/>
          <w:color w:val="auto"/>
          <w:sz w:val="24"/>
          <w:szCs w:val="24"/>
          <w:highlight w:val="none"/>
          <w:lang w:val="en-US" w:eastAsia="zh-CN"/>
        </w:rPr>
        <w:t>优</w:t>
      </w:r>
      <w:r>
        <w:rPr>
          <w:rFonts w:hint="eastAsia" w:ascii="宋体" w:hAnsi="宋体" w:eastAsia="宋体" w:cs="宋体"/>
          <w:color w:val="auto"/>
          <w:sz w:val="24"/>
          <w:szCs w:val="24"/>
          <w:highlight w:val="none"/>
        </w:rPr>
        <w:t>”。</w:t>
      </w:r>
      <w:bookmarkEnd w:id="15"/>
      <w:bookmarkStart w:id="16" w:name="_Toc68364667"/>
    </w:p>
    <w:p w14:paraId="7F552BCD">
      <w:pPr>
        <w:pStyle w:val="4"/>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四、绩效评价指标分析</w:t>
      </w:r>
      <w:bookmarkEnd w:id="16"/>
    </w:p>
    <w:p w14:paraId="49EC7451">
      <w:pPr>
        <w:pStyle w:val="49"/>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bookmarkStart w:id="17" w:name="_Toc68364668"/>
      <w:r>
        <w:rPr>
          <w:rFonts w:hint="eastAsia" w:ascii="宋体" w:hAnsi="宋体" w:eastAsia="宋体" w:cs="宋体"/>
          <w:color w:val="auto"/>
          <w:sz w:val="24"/>
          <w:szCs w:val="24"/>
        </w:rPr>
        <w:t>（一）项目决策情况</w:t>
      </w:r>
    </w:p>
    <w:p w14:paraId="1547AFB5">
      <w:pPr>
        <w:keepNext w:val="0"/>
        <w:keepLines w:val="0"/>
        <w:pageBreakBefore w:val="0"/>
        <w:widowControl w:val="0"/>
        <w:kinsoku/>
        <w:wordWrap/>
        <w:overflowPunct w:val="0"/>
        <w:topLinePunct w:val="0"/>
        <w:autoSpaceDE/>
        <w:autoSpaceDN/>
        <w:bidi w:val="0"/>
        <w:adjustRightInd/>
        <w:snapToGrid/>
        <w:spacing w:line="360" w:lineRule="auto"/>
        <w:ind w:left="0" w:leftChars="0" w:firstLine="480" w:firstLineChars="200"/>
        <w:contextualSpacing/>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项目决策类指标包括项目立项、绩效目标和资金投入三方面的内容，由6个三级指标构成，权重分为</w:t>
      </w:r>
      <w:r>
        <w:rPr>
          <w:rFonts w:hint="eastAsia" w:ascii="宋体" w:hAnsi="宋体" w:eastAsia="宋体" w:cs="宋体"/>
          <w:color w:val="auto"/>
          <w:sz w:val="24"/>
          <w:szCs w:val="24"/>
          <w:highlight w:val="none"/>
          <w:lang w:val="en-US" w:eastAsia="zh-CN"/>
        </w:rPr>
        <w:t>23</w:t>
      </w:r>
      <w:r>
        <w:rPr>
          <w:rFonts w:hint="eastAsia" w:ascii="宋体" w:hAnsi="宋体" w:eastAsia="宋体" w:cs="宋体"/>
          <w:color w:val="auto"/>
          <w:sz w:val="24"/>
          <w:szCs w:val="24"/>
          <w:highlight w:val="none"/>
        </w:rPr>
        <w:t>分，实际得分</w:t>
      </w:r>
      <w:r>
        <w:rPr>
          <w:rFonts w:hint="eastAsia" w:ascii="宋体" w:hAnsi="宋体" w:eastAsia="宋体" w:cs="宋体"/>
          <w:color w:val="auto"/>
          <w:sz w:val="24"/>
          <w:szCs w:val="24"/>
          <w:highlight w:val="none"/>
          <w:lang w:val="en-US" w:eastAsia="zh-CN"/>
        </w:rPr>
        <w:t>23</w:t>
      </w:r>
      <w:r>
        <w:rPr>
          <w:rFonts w:hint="eastAsia" w:ascii="宋体" w:hAnsi="宋体" w:eastAsia="宋体" w:cs="宋体"/>
          <w:color w:val="auto"/>
          <w:sz w:val="24"/>
          <w:szCs w:val="24"/>
          <w:highlight w:val="none"/>
        </w:rPr>
        <w:t>分，得分率为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w:t>
      </w:r>
    </w:p>
    <w:p w14:paraId="2AD4CD34">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1.立项依据充分性</w:t>
      </w:r>
    </w:p>
    <w:p w14:paraId="6E18FF28">
      <w:pPr>
        <w:keepNext w:val="0"/>
        <w:keepLines w:val="0"/>
        <w:pageBreakBefore w:val="0"/>
        <w:widowControl w:val="0"/>
        <w:numPr>
          <w:ilvl w:val="0"/>
          <w:numId w:val="0"/>
        </w:numPr>
        <w:kinsoku/>
        <w:wordWrap/>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本项目立项符合根据</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关于提前下达2023年城乡义务教育补助经费（中央直达资金）</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和地财教【2022】70号</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关于提前下达2023年新疆西藏等地区教育特殊补助资金的通知</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和地财教【2022】83号</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关于提前下达2023年义务教育薄弱环节改善与能力提升补助资金</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和地财教【2022】85号</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关于做好2024年自治区第十一批地方政府债券转贷工的通知</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和地财债【2024】41号</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文件内容，符合行业发展规划和政策要求</w:t>
      </w:r>
      <w:r>
        <w:rPr>
          <w:rFonts w:hint="eastAsia" w:ascii="宋体" w:hAnsi="宋体" w:eastAsia="宋体" w:cs="宋体"/>
          <w:color w:val="000000"/>
          <w:sz w:val="24"/>
          <w:szCs w:val="24"/>
          <w:highlight w:val="none"/>
          <w:lang w:eastAsia="zh-CN"/>
        </w:rPr>
        <w:t>。</w:t>
      </w:r>
    </w:p>
    <w:p w14:paraId="39990607">
      <w:pPr>
        <w:keepNext w:val="0"/>
        <w:keepLines w:val="0"/>
        <w:pageBreakBefore w:val="0"/>
        <w:widowControl w:val="0"/>
        <w:kinsoku/>
        <w:wordWrap/>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综上所述，本指标满分为2分，根据评分标准得2分，本项目立项依据较充分。</w:t>
      </w:r>
    </w:p>
    <w:p w14:paraId="440D53BE">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2.立项程序规范性</w:t>
      </w:r>
    </w:p>
    <w:p w14:paraId="67AD2A1E">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yellow"/>
        </w:rPr>
      </w:pPr>
      <w:r>
        <w:rPr>
          <w:rFonts w:hint="eastAsia" w:ascii="宋体" w:hAnsi="宋体" w:eastAsia="宋体" w:cs="宋体"/>
          <w:color w:val="000000"/>
          <w:sz w:val="24"/>
          <w:szCs w:val="24"/>
          <w:highlight w:val="none"/>
        </w:rPr>
        <w:t>本项目按照规定的程序申请设立，项目立项过程中产生的文件均符合相关要求</w:t>
      </w:r>
      <w:r>
        <w:rPr>
          <w:rFonts w:hint="eastAsia" w:ascii="宋体" w:hAnsi="宋体" w:eastAsia="宋体" w:cs="宋体"/>
          <w:color w:val="auto"/>
          <w:sz w:val="24"/>
          <w:szCs w:val="24"/>
          <w:highlight w:val="none"/>
        </w:rPr>
        <w:t>。</w:t>
      </w:r>
      <w:r>
        <w:rPr>
          <w:rFonts w:hint="eastAsia" w:ascii="宋体" w:hAnsi="宋体" w:eastAsia="宋体" w:cs="宋体"/>
          <w:color w:val="000000"/>
          <w:sz w:val="24"/>
          <w:szCs w:val="24"/>
          <w:highlight w:val="none"/>
        </w:rPr>
        <w:t>本项目为</w:t>
      </w:r>
      <w:r>
        <w:rPr>
          <w:rFonts w:hint="eastAsia" w:ascii="宋体" w:hAnsi="宋体" w:eastAsia="宋体" w:cs="宋体"/>
          <w:color w:val="000000"/>
          <w:sz w:val="24"/>
          <w:szCs w:val="24"/>
          <w:highlight w:val="none"/>
          <w:lang w:val="en-US" w:eastAsia="zh-CN"/>
        </w:rPr>
        <w:t>基础建设</w:t>
      </w:r>
      <w:r>
        <w:rPr>
          <w:rFonts w:hint="eastAsia" w:ascii="宋体" w:hAnsi="宋体" w:eastAsia="宋体" w:cs="宋体"/>
          <w:color w:val="000000"/>
          <w:sz w:val="24"/>
          <w:szCs w:val="24"/>
          <w:highlight w:val="none"/>
        </w:rPr>
        <w:t>类项目，属于经常性项目，项目预算金额为</w:t>
      </w:r>
      <w:r>
        <w:rPr>
          <w:rStyle w:val="26"/>
          <w:rFonts w:hint="eastAsia" w:ascii="宋体" w:hAnsi="宋体" w:eastAsia="宋体" w:cs="宋体"/>
          <w:b w:val="0"/>
          <w:bCs w:val="0"/>
          <w:color w:val="000000"/>
          <w:spacing w:val="-4"/>
          <w:kern w:val="2"/>
          <w:sz w:val="24"/>
          <w:szCs w:val="24"/>
          <w:highlight w:val="none"/>
          <w:lang w:val="en-US" w:eastAsia="zh-CN" w:bidi="ar-SA"/>
        </w:rPr>
        <w:t>10741</w:t>
      </w:r>
      <w:r>
        <w:rPr>
          <w:rFonts w:hint="eastAsia" w:ascii="宋体" w:hAnsi="宋体" w:eastAsia="宋体" w:cs="宋体"/>
          <w:color w:val="000000"/>
          <w:sz w:val="24"/>
          <w:szCs w:val="24"/>
          <w:highlight w:val="none"/>
        </w:rPr>
        <w:t>万元，不涉及事前绩效评估和风险评估，并经过专家论证。</w:t>
      </w:r>
    </w:p>
    <w:p w14:paraId="34E24B54">
      <w:pPr>
        <w:keepNext w:val="0"/>
        <w:keepLines w:val="0"/>
        <w:pageBreakBefore w:val="0"/>
        <w:widowControl w:val="0"/>
        <w:kinsoku/>
        <w:wordWrap/>
        <w:topLinePunct w:val="0"/>
        <w:autoSpaceDE/>
        <w:autoSpaceDN/>
        <w:bidi w:val="0"/>
        <w:adjustRightInd/>
        <w:snapToGrid/>
        <w:spacing w:line="360" w:lineRule="auto"/>
        <w:ind w:left="238" w:leftChars="85" w:firstLine="240" w:firstLineChars="1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综上所述，本指标满分为3分，根据评分标准得3分，本项目立项程序合规。</w:t>
      </w:r>
    </w:p>
    <w:p w14:paraId="3D795AA7">
      <w:pPr>
        <w:keepNext w:val="0"/>
        <w:keepLines w:val="0"/>
        <w:pageBreakBefore w:val="0"/>
        <w:widowControl w:val="0"/>
        <w:kinsoku/>
        <w:wordWrap/>
        <w:topLinePunct w:val="0"/>
        <w:autoSpaceDE/>
        <w:autoSpaceDN/>
        <w:bidi w:val="0"/>
        <w:adjustRightInd/>
        <w:snapToGrid/>
        <w:spacing w:line="360" w:lineRule="auto"/>
        <w:ind w:left="238" w:leftChars="85" w:firstLine="240" w:firstLineChars="100"/>
        <w:jc w:val="both"/>
        <w:textAlignment w:val="auto"/>
        <w:rPr>
          <w:rFonts w:hint="eastAsia" w:ascii="宋体" w:hAnsi="宋体" w:eastAsia="宋体" w:cs="宋体"/>
          <w:b/>
          <w:bCs/>
          <w:color w:val="000000"/>
          <w:kern w:val="0"/>
          <w:sz w:val="24"/>
          <w:szCs w:val="24"/>
          <w:highlight w:val="none"/>
          <w:lang w:val="en-US" w:eastAsia="zh-CN" w:bidi="ar-SA"/>
        </w:rPr>
      </w:pPr>
      <w:r>
        <w:rPr>
          <w:rFonts w:hint="eastAsia" w:ascii="宋体" w:hAnsi="宋体" w:eastAsia="宋体" w:cs="宋体"/>
          <w:b/>
          <w:bCs/>
          <w:color w:val="000000"/>
          <w:kern w:val="0"/>
          <w:sz w:val="24"/>
          <w:szCs w:val="24"/>
          <w:highlight w:val="none"/>
          <w:lang w:val="en-US" w:eastAsia="zh-CN" w:bidi="ar-SA"/>
        </w:rPr>
        <w:t>3.绩效目标合理性</w:t>
      </w:r>
    </w:p>
    <w:p w14:paraId="24A1C1C3">
      <w:pPr>
        <w:pageBreakBefore w:val="0"/>
        <w:widowControl w:val="0"/>
        <w:numPr>
          <w:ilvl w:val="0"/>
          <w:numId w:val="0"/>
        </w:numPr>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该项目年初设定绩效目标主要内容为：</w:t>
      </w:r>
      <w:r>
        <w:rPr>
          <w:rFonts w:hint="eastAsia" w:ascii="宋体" w:hAnsi="宋体" w:eastAsia="宋体" w:cs="宋体"/>
          <w:kern w:val="2"/>
          <w:sz w:val="24"/>
          <w:szCs w:val="24"/>
          <w:highlight w:val="none"/>
          <w:lang w:val="en-US" w:eastAsia="zh-CN" w:bidi="ar-SA"/>
        </w:rPr>
        <w:t>新建教学楼3栋，宿舍楼2栋，风雨操场1栋，学生食堂及配套室外附属工程。项目的实施满足洛浦县教学工作的需要。项目建设是整体提升洛浦县教学、科研、专业技术水平，优化配置教师资源、让该校教师能够跟进需求，引领洛浦县教育事业健康发展的需要</w:t>
      </w:r>
      <w:r>
        <w:rPr>
          <w:rFonts w:hint="eastAsia" w:ascii="宋体" w:hAnsi="宋体" w:eastAsia="宋体" w:cs="宋体"/>
          <w:color w:val="auto"/>
          <w:sz w:val="24"/>
          <w:szCs w:val="24"/>
          <w:highlight w:val="none"/>
        </w:rPr>
        <w:t>。</w:t>
      </w:r>
    </w:p>
    <w:p w14:paraId="341A07E1">
      <w:pPr>
        <w:pageBreakBefore w:val="0"/>
        <w:widowControl w:val="0"/>
        <w:numPr>
          <w:ilvl w:val="0"/>
          <w:numId w:val="0"/>
        </w:numPr>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综上所述，本指标满分为</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分，根据评分标准得</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分，本项目绩效目标设置合理。</w:t>
      </w:r>
    </w:p>
    <w:p w14:paraId="1DD7024B">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val="en-US" w:eastAsia="zh-CN"/>
        </w:rPr>
        <w:t>4.</w:t>
      </w:r>
      <w:r>
        <w:rPr>
          <w:rFonts w:hint="eastAsia" w:ascii="宋体" w:hAnsi="宋体" w:eastAsia="宋体" w:cs="宋体"/>
          <w:b/>
          <w:bCs/>
          <w:color w:val="auto"/>
          <w:sz w:val="24"/>
          <w:szCs w:val="24"/>
          <w:highlight w:val="none"/>
        </w:rPr>
        <w:t>绩效指标明确性</w:t>
      </w:r>
    </w:p>
    <w:p w14:paraId="196F8F7A">
      <w:pPr>
        <w:pageBreakBefore w:val="0"/>
        <w:widowControl w:val="0"/>
        <w:numPr>
          <w:ilvl w:val="0"/>
          <w:numId w:val="0"/>
        </w:numPr>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经检查我单位年初设置的《和田地区洛浦县山普鲁中学建设项目支出绩效目标表》，得出如下结论：本项目已将年度绩效目标进行细化为绩效指标体系，共设置一级指标4个，二级指标6个，三级指标7个，定量指标6个，定性指标1个，指标量化率为82.6%，量化率达70%以上。</w:t>
      </w:r>
    </w:p>
    <w:p w14:paraId="7CCD03B4">
      <w:pPr>
        <w:pageBreakBefore w:val="0"/>
        <w:widowControl w:val="0"/>
        <w:numPr>
          <w:ilvl w:val="0"/>
          <w:numId w:val="0"/>
        </w:numPr>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该《和田地区洛浦县山普鲁中学建设项目支出绩效目标表》中，已设置数量指标“涉及学校数量”，三级指标的年度指标值与年度绩效目标中任务数一致，已设置时效指标“项目按计划开工率”。已设置的绩效目标具备明确性、可衡量性、可实现性、相关性、时限性。</w:t>
      </w:r>
    </w:p>
    <w:p w14:paraId="13660B33">
      <w:pPr>
        <w:pageBreakBefore w:val="0"/>
        <w:widowControl w:val="0"/>
        <w:numPr>
          <w:ilvl w:val="0"/>
          <w:numId w:val="0"/>
        </w:numPr>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综上所述，本指标满分为5分，根据评分标准得5分，本项目所设置绩效指标明确。</w:t>
      </w:r>
    </w:p>
    <w:p w14:paraId="7EC34B4F">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5.预算编制科学性</w:t>
      </w:r>
    </w:p>
    <w:p w14:paraId="0BAC2F69">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000000"/>
          <w:sz w:val="24"/>
          <w:szCs w:val="24"/>
          <w:highlight w:val="none"/>
          <w:lang w:eastAsia="zh-CN"/>
        </w:rPr>
        <w:t>该</w:t>
      </w:r>
      <w:r>
        <w:rPr>
          <w:rFonts w:hint="eastAsia" w:ascii="宋体" w:hAnsi="宋体" w:eastAsia="宋体" w:cs="宋体"/>
          <w:color w:val="000000"/>
          <w:sz w:val="24"/>
          <w:szCs w:val="24"/>
          <w:highlight w:val="none"/>
        </w:rPr>
        <w:t>项目预算编制较科学且经过论证；预算申请内容为</w:t>
      </w:r>
      <w:r>
        <w:rPr>
          <w:rFonts w:hint="eastAsia" w:ascii="宋体" w:hAnsi="宋体" w:eastAsia="宋体" w:cs="宋体"/>
          <w:color w:val="000000"/>
          <w:sz w:val="24"/>
          <w:szCs w:val="24"/>
          <w:highlight w:val="none"/>
          <w:lang w:eastAsia="zh-CN"/>
        </w:rPr>
        <w:t>：</w:t>
      </w:r>
      <w:r>
        <w:rPr>
          <w:rFonts w:hint="eastAsia" w:ascii="宋体" w:hAnsi="宋体" w:eastAsia="宋体" w:cs="宋体"/>
          <w:kern w:val="2"/>
          <w:sz w:val="24"/>
          <w:szCs w:val="24"/>
          <w:highlight w:val="none"/>
          <w:lang w:val="en-US" w:eastAsia="zh-CN" w:bidi="ar-SA"/>
        </w:rPr>
        <w:t>新建教学楼3栋，宿舍楼2栋，风雨操场1栋，学生食堂及配套室外附属工程</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000000"/>
          <w:sz w:val="24"/>
          <w:szCs w:val="24"/>
          <w:highlight w:val="none"/>
        </w:rPr>
        <w:t>预算申请与《和田地区洛浦县山普鲁中学建设项目实施方案》中涉及的项目内容匹配</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本项目预算申请资金</w:t>
      </w:r>
      <w:r>
        <w:rPr>
          <w:rFonts w:hint="eastAsia" w:ascii="宋体" w:hAnsi="宋体" w:eastAsia="宋体" w:cs="宋体"/>
          <w:color w:val="000000"/>
          <w:sz w:val="24"/>
          <w:szCs w:val="24"/>
          <w:highlight w:val="none"/>
          <w:lang w:val="en-US" w:eastAsia="zh-CN"/>
        </w:rPr>
        <w:t>10741</w:t>
      </w:r>
      <w:r>
        <w:rPr>
          <w:rFonts w:hint="eastAsia" w:ascii="宋体" w:hAnsi="宋体" w:eastAsia="宋体" w:cs="宋体"/>
          <w:color w:val="000000"/>
          <w:sz w:val="24"/>
          <w:szCs w:val="24"/>
          <w:highlight w:val="none"/>
        </w:rPr>
        <w:t>万元，我单位在预算申请中严格按照项目实施内容及测算标准进行核算，</w:t>
      </w:r>
      <w:r>
        <w:rPr>
          <w:rFonts w:hint="eastAsia" w:ascii="宋体" w:hAnsi="宋体" w:eastAsia="宋体" w:cs="宋体"/>
          <w:color w:val="000000"/>
          <w:sz w:val="24"/>
          <w:szCs w:val="24"/>
          <w:highlight w:val="none"/>
          <w:lang w:val="en-US" w:eastAsia="zh-CN"/>
        </w:rPr>
        <w:t>,</w:t>
      </w:r>
      <w:r>
        <w:rPr>
          <w:rFonts w:hint="eastAsia" w:ascii="宋体" w:hAnsi="宋体" w:eastAsia="宋体" w:cs="宋体"/>
          <w:color w:val="000000"/>
          <w:sz w:val="24"/>
          <w:szCs w:val="24"/>
          <w:highlight w:val="none"/>
        </w:rPr>
        <w:t>预算确定资金量与实际工作任务相匹配。本项目预算额度测算依据充分，严格按照标准编制，预算确定资金量与实际工作任务相匹配</w:t>
      </w:r>
      <w:r>
        <w:rPr>
          <w:rFonts w:hint="eastAsia" w:ascii="宋体" w:hAnsi="宋体" w:eastAsia="宋体" w:cs="宋体"/>
          <w:color w:val="auto"/>
          <w:sz w:val="24"/>
          <w:szCs w:val="24"/>
          <w:highlight w:val="none"/>
        </w:rPr>
        <w:t>。</w:t>
      </w:r>
    </w:p>
    <w:p w14:paraId="0C5DBFD6">
      <w:pPr>
        <w:pageBreakBefore w:val="0"/>
        <w:widowControl w:val="0"/>
        <w:numPr>
          <w:ilvl w:val="0"/>
          <w:numId w:val="0"/>
        </w:numPr>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综上所述，本指标满分为4分，根据评分标准得4分，本项目预算编制科学。</w:t>
      </w:r>
    </w:p>
    <w:p w14:paraId="7DA072C6">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6.资金分配合理性</w:t>
      </w:r>
    </w:p>
    <w:p w14:paraId="3BC9D771">
      <w:pPr>
        <w:pageBreakBefore w:val="0"/>
        <w:widowControl w:val="0"/>
        <w:numPr>
          <w:ilvl w:val="0"/>
          <w:numId w:val="0"/>
        </w:numPr>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000000"/>
          <w:sz w:val="24"/>
          <w:szCs w:val="24"/>
          <w:highlight w:val="none"/>
          <w:lang w:eastAsia="zh-CN"/>
        </w:rPr>
        <w:t>本项目实际到位资金</w:t>
      </w:r>
      <w:r>
        <w:rPr>
          <w:rFonts w:hint="eastAsia" w:ascii="宋体" w:hAnsi="宋体" w:eastAsia="宋体" w:cs="宋体"/>
          <w:color w:val="000000"/>
          <w:sz w:val="24"/>
          <w:szCs w:val="24"/>
          <w:highlight w:val="none"/>
          <w:lang w:val="en-US" w:eastAsia="zh-CN"/>
        </w:rPr>
        <w:t>10741</w:t>
      </w:r>
      <w:r>
        <w:rPr>
          <w:rFonts w:hint="eastAsia" w:ascii="宋体" w:hAnsi="宋体" w:eastAsia="宋体" w:cs="宋体"/>
          <w:color w:val="000000"/>
          <w:sz w:val="24"/>
          <w:szCs w:val="24"/>
          <w:highlight w:val="none"/>
          <w:lang w:eastAsia="zh-CN"/>
        </w:rPr>
        <w:t>万元，</w:t>
      </w:r>
      <w:r>
        <w:rPr>
          <w:rFonts w:hint="eastAsia" w:ascii="宋体" w:hAnsi="宋体" w:eastAsia="宋体" w:cs="宋体"/>
          <w:color w:val="auto"/>
          <w:sz w:val="24"/>
          <w:szCs w:val="24"/>
          <w:highlight w:val="none"/>
          <w:lang w:val="en-US" w:eastAsia="zh-CN"/>
        </w:rPr>
        <w:t>本项目预算资金分配依据充分，项目预算资金分配有测算依据，项目申请专项债券额度与实际需要匹配情况，预算资金分配合理。</w:t>
      </w:r>
    </w:p>
    <w:p w14:paraId="52C7B0D9">
      <w:pPr>
        <w:pageBreakBefore w:val="0"/>
        <w:widowControl w:val="0"/>
        <w:numPr>
          <w:ilvl w:val="0"/>
          <w:numId w:val="0"/>
        </w:numPr>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综上所述，本指标满分为4分，根据评分标准得4分，本项目资金分配合理。</w:t>
      </w:r>
    </w:p>
    <w:p w14:paraId="289A5603">
      <w:pPr>
        <w:pStyle w:val="49"/>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（二）项目过程情况</w:t>
      </w:r>
    </w:p>
    <w:p w14:paraId="7A54CF1E">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项目过程类指标包括资金管理和组织实施两方面的内容，由5个三级指标构成，权重分为12分，实际得分</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rPr>
        <w:t>分，得分率为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w:t>
      </w:r>
    </w:p>
    <w:p w14:paraId="781D838B">
      <w:pPr>
        <w:pageBreakBefore w:val="0"/>
        <w:widowControl w:val="0"/>
        <w:numPr>
          <w:ilvl w:val="0"/>
          <w:numId w:val="4"/>
        </w:numPr>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资金到位率</w:t>
      </w:r>
    </w:p>
    <w:p w14:paraId="3FC5A3A6">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本项目预算资金为</w:t>
      </w:r>
      <w:r>
        <w:rPr>
          <w:rFonts w:hint="eastAsia" w:ascii="宋体" w:hAnsi="宋体" w:eastAsia="宋体" w:cs="宋体"/>
          <w:color w:val="000000"/>
          <w:sz w:val="24"/>
          <w:szCs w:val="24"/>
          <w:highlight w:val="none"/>
          <w:lang w:val="en-US" w:eastAsia="zh-CN"/>
        </w:rPr>
        <w:t>10741</w:t>
      </w:r>
      <w:r>
        <w:rPr>
          <w:rFonts w:hint="eastAsia" w:ascii="宋体" w:hAnsi="宋体" w:eastAsia="宋体" w:cs="宋体"/>
          <w:color w:val="000000"/>
          <w:sz w:val="24"/>
          <w:szCs w:val="24"/>
          <w:highlight w:val="none"/>
        </w:rPr>
        <w:t>万元，其中：财政安排资金</w:t>
      </w:r>
      <w:r>
        <w:rPr>
          <w:rFonts w:hint="eastAsia" w:ascii="宋体" w:hAnsi="宋体" w:eastAsia="宋体" w:cs="宋体"/>
          <w:color w:val="000000"/>
          <w:sz w:val="24"/>
          <w:szCs w:val="24"/>
          <w:highlight w:val="none"/>
          <w:lang w:val="en-US" w:eastAsia="zh-CN"/>
        </w:rPr>
        <w:t>3780</w:t>
      </w:r>
      <w:r>
        <w:rPr>
          <w:rFonts w:hint="eastAsia" w:ascii="宋体" w:hAnsi="宋体" w:eastAsia="宋体" w:cs="宋体"/>
          <w:color w:val="000000"/>
          <w:sz w:val="24"/>
          <w:szCs w:val="24"/>
          <w:highlight w:val="none"/>
        </w:rPr>
        <w:t>万元，其他资金</w:t>
      </w:r>
      <w:r>
        <w:rPr>
          <w:rFonts w:hint="eastAsia" w:ascii="宋体" w:hAnsi="宋体" w:eastAsia="宋体" w:cs="宋体"/>
          <w:color w:val="000000"/>
          <w:sz w:val="24"/>
          <w:szCs w:val="24"/>
          <w:highlight w:val="none"/>
          <w:lang w:val="en-US" w:eastAsia="zh-CN"/>
        </w:rPr>
        <w:t>6961</w:t>
      </w:r>
      <w:r>
        <w:rPr>
          <w:rFonts w:hint="eastAsia" w:ascii="宋体" w:hAnsi="宋体" w:eastAsia="宋体" w:cs="宋体"/>
          <w:color w:val="000000"/>
          <w:sz w:val="24"/>
          <w:szCs w:val="24"/>
          <w:highlight w:val="none"/>
        </w:rPr>
        <w:t>万元，实际到位资金</w:t>
      </w:r>
      <w:r>
        <w:rPr>
          <w:rFonts w:hint="eastAsia" w:ascii="宋体" w:hAnsi="宋体" w:eastAsia="宋体" w:cs="宋体"/>
          <w:color w:val="000000"/>
          <w:sz w:val="24"/>
          <w:szCs w:val="24"/>
          <w:highlight w:val="none"/>
          <w:lang w:val="en-US" w:eastAsia="zh-CN"/>
        </w:rPr>
        <w:t>10741</w:t>
      </w:r>
      <w:r>
        <w:rPr>
          <w:rFonts w:hint="eastAsia" w:ascii="宋体" w:hAnsi="宋体" w:eastAsia="宋体" w:cs="宋体"/>
          <w:color w:val="000000"/>
          <w:sz w:val="24"/>
          <w:szCs w:val="24"/>
          <w:highlight w:val="none"/>
        </w:rPr>
        <w:t>万元，资金到位率</w:t>
      </w:r>
      <w:r>
        <w:rPr>
          <w:rFonts w:hint="eastAsia" w:ascii="宋体" w:hAnsi="宋体" w:eastAsia="宋体" w:cs="宋体"/>
          <w:color w:val="000000"/>
          <w:sz w:val="24"/>
          <w:szCs w:val="24"/>
          <w:highlight w:val="none"/>
          <w:lang w:val="en-US" w:eastAsia="zh-CN"/>
        </w:rPr>
        <w:t>100%；通过分析可知，该项目</w:t>
      </w:r>
      <w:r>
        <w:rPr>
          <w:rFonts w:hint="eastAsia" w:ascii="宋体" w:hAnsi="宋体" w:eastAsia="宋体" w:cs="宋体"/>
          <w:color w:val="000000"/>
          <w:sz w:val="24"/>
          <w:szCs w:val="24"/>
          <w:highlight w:val="none"/>
        </w:rPr>
        <w:t>财政资金足额拨付到位，能够及时足额</w:t>
      </w:r>
      <w:r>
        <w:rPr>
          <w:rFonts w:hint="eastAsia" w:ascii="宋体" w:hAnsi="宋体" w:eastAsia="宋体" w:cs="宋体"/>
          <w:color w:val="000000"/>
          <w:sz w:val="24"/>
          <w:szCs w:val="24"/>
          <w:highlight w:val="none"/>
          <w:lang w:val="en-US" w:eastAsia="zh-CN"/>
        </w:rPr>
        <w:t>支付</w:t>
      </w:r>
      <w:r>
        <w:rPr>
          <w:rFonts w:hint="eastAsia" w:ascii="宋体" w:hAnsi="宋体" w:eastAsia="宋体" w:cs="宋体"/>
          <w:color w:val="000000"/>
          <w:sz w:val="24"/>
          <w:szCs w:val="24"/>
          <w:highlight w:val="none"/>
        </w:rPr>
        <w:t>给</w:t>
      </w:r>
      <w:r>
        <w:rPr>
          <w:rFonts w:hint="eastAsia" w:ascii="宋体" w:hAnsi="宋体" w:eastAsia="宋体" w:cs="宋体"/>
          <w:color w:val="000000"/>
          <w:sz w:val="24"/>
          <w:szCs w:val="24"/>
          <w:highlight w:val="none"/>
          <w:lang w:val="en-US" w:eastAsia="zh-CN"/>
        </w:rPr>
        <w:t>实施</w:t>
      </w:r>
      <w:r>
        <w:rPr>
          <w:rFonts w:hint="eastAsia" w:ascii="宋体" w:hAnsi="宋体" w:eastAsia="宋体" w:cs="宋体"/>
          <w:color w:val="000000"/>
          <w:sz w:val="24"/>
          <w:szCs w:val="24"/>
          <w:highlight w:val="none"/>
        </w:rPr>
        <w:t>单位</w:t>
      </w:r>
      <w:r>
        <w:rPr>
          <w:rFonts w:hint="eastAsia" w:ascii="宋体" w:hAnsi="宋体" w:eastAsia="宋体" w:cs="宋体"/>
          <w:color w:val="000000"/>
          <w:sz w:val="24"/>
          <w:szCs w:val="24"/>
          <w:highlight w:val="none"/>
          <w:lang w:eastAsia="zh-CN"/>
        </w:rPr>
        <w:t>。</w:t>
      </w:r>
    </w:p>
    <w:p w14:paraId="3501ED41">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根据评分标准，该指标不扣分，得</w:t>
      </w:r>
      <w:r>
        <w:rPr>
          <w:rFonts w:hint="eastAsia" w:ascii="宋体" w:hAnsi="宋体" w:eastAsia="宋体" w:cs="宋体"/>
          <w:color w:val="000000"/>
          <w:sz w:val="24"/>
          <w:szCs w:val="24"/>
          <w:highlight w:val="none"/>
          <w:lang w:val="en-US" w:eastAsia="zh-CN"/>
        </w:rPr>
        <w:t>1</w:t>
      </w:r>
      <w:r>
        <w:rPr>
          <w:rFonts w:hint="eastAsia" w:ascii="宋体" w:hAnsi="宋体" w:eastAsia="宋体" w:cs="宋体"/>
          <w:color w:val="000000"/>
          <w:sz w:val="24"/>
          <w:szCs w:val="24"/>
          <w:highlight w:val="none"/>
        </w:rPr>
        <w:t>分。</w:t>
      </w:r>
    </w:p>
    <w:p w14:paraId="2A706D16">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预算执行率</w:t>
      </w:r>
    </w:p>
    <w:p w14:paraId="47D56F2D">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本项目实际支出资金</w:t>
      </w:r>
      <w:r>
        <w:rPr>
          <w:rFonts w:hint="eastAsia" w:ascii="宋体" w:hAnsi="宋体" w:eastAsia="宋体" w:cs="宋体"/>
          <w:color w:val="000000"/>
          <w:sz w:val="24"/>
          <w:szCs w:val="24"/>
          <w:highlight w:val="none"/>
          <w:lang w:val="en-US" w:eastAsia="zh-CN"/>
        </w:rPr>
        <w:t>4336.89</w:t>
      </w:r>
      <w:r>
        <w:rPr>
          <w:rFonts w:hint="eastAsia" w:ascii="宋体" w:hAnsi="宋体" w:eastAsia="宋体" w:cs="宋体"/>
          <w:color w:val="000000"/>
          <w:sz w:val="24"/>
          <w:szCs w:val="24"/>
          <w:highlight w:val="none"/>
        </w:rPr>
        <w:t>万元，预算执行率=（实际支出资金/实际到位资金）×100.0%=</w:t>
      </w:r>
      <w:r>
        <w:rPr>
          <w:rFonts w:hint="eastAsia" w:ascii="宋体" w:hAnsi="宋体" w:eastAsia="宋体" w:cs="宋体"/>
          <w:color w:val="000000"/>
          <w:sz w:val="24"/>
          <w:szCs w:val="24"/>
          <w:highlight w:val="none"/>
          <w:lang w:val="en-US" w:eastAsia="zh-CN"/>
        </w:rPr>
        <w:t>100</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通过分析可知，该项目</w:t>
      </w:r>
      <w:r>
        <w:rPr>
          <w:rFonts w:hint="eastAsia" w:ascii="宋体" w:hAnsi="宋体" w:eastAsia="宋体" w:cs="宋体"/>
          <w:color w:val="000000"/>
          <w:sz w:val="24"/>
          <w:szCs w:val="24"/>
          <w:highlight w:val="none"/>
        </w:rPr>
        <w:t>预算编制较为详细，项目资金支出总体能够按照预算执行</w:t>
      </w:r>
      <w:r>
        <w:rPr>
          <w:rFonts w:hint="eastAsia" w:ascii="宋体" w:hAnsi="宋体" w:eastAsia="宋体" w:cs="宋体"/>
          <w:color w:val="000000"/>
          <w:sz w:val="24"/>
          <w:szCs w:val="24"/>
          <w:highlight w:val="none"/>
          <w:lang w:eastAsia="zh-CN"/>
        </w:rPr>
        <w:t>。</w:t>
      </w:r>
    </w:p>
    <w:p w14:paraId="68EACC38">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根据评分标准，该指标扣分，得</w:t>
      </w:r>
      <w:r>
        <w:rPr>
          <w:rFonts w:hint="eastAsia" w:ascii="宋体" w:hAnsi="宋体" w:eastAsia="宋体" w:cs="宋体"/>
          <w:color w:val="000000"/>
          <w:sz w:val="24"/>
          <w:szCs w:val="24"/>
          <w:highlight w:val="none"/>
          <w:lang w:val="en-US" w:eastAsia="zh-CN"/>
        </w:rPr>
        <w:t>2</w:t>
      </w:r>
      <w:r>
        <w:rPr>
          <w:rFonts w:hint="eastAsia" w:ascii="宋体" w:hAnsi="宋体" w:eastAsia="宋体" w:cs="宋体"/>
          <w:color w:val="000000"/>
          <w:sz w:val="24"/>
          <w:szCs w:val="24"/>
          <w:highlight w:val="none"/>
        </w:rPr>
        <w:t>分。</w:t>
      </w:r>
    </w:p>
    <w:p w14:paraId="1A168E27">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资金使用合规性</w:t>
      </w:r>
    </w:p>
    <w:p w14:paraId="2C04B0DC">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通过检查项目资金申请文件、</w:t>
      </w:r>
      <w:r>
        <w:rPr>
          <w:rFonts w:hint="eastAsia" w:ascii="宋体" w:hAnsi="宋体" w:eastAsia="宋体" w:cs="宋体"/>
          <w:color w:val="auto"/>
          <w:sz w:val="24"/>
          <w:szCs w:val="24"/>
          <w:highlight w:val="none"/>
          <w:lang w:val="en-US" w:eastAsia="zh-CN"/>
        </w:rPr>
        <w:t>国库支付凭证</w:t>
      </w:r>
      <w:r>
        <w:rPr>
          <w:rFonts w:hint="eastAsia" w:ascii="宋体" w:hAnsi="宋体" w:eastAsia="宋体" w:cs="宋体"/>
          <w:color w:val="auto"/>
          <w:sz w:val="24"/>
          <w:szCs w:val="24"/>
          <w:highlight w:val="none"/>
        </w:rPr>
        <w:t>等财务</w:t>
      </w:r>
      <w:r>
        <w:rPr>
          <w:rFonts w:hint="eastAsia" w:ascii="宋体" w:hAnsi="宋体" w:eastAsia="宋体" w:cs="宋体"/>
          <w:color w:val="auto"/>
          <w:sz w:val="24"/>
          <w:szCs w:val="24"/>
          <w:highlight w:val="none"/>
          <w:lang w:val="en-US" w:eastAsia="zh-CN"/>
        </w:rPr>
        <w:t>资料</w:t>
      </w:r>
      <w:r>
        <w:rPr>
          <w:rFonts w:hint="eastAsia" w:ascii="宋体" w:hAnsi="宋体" w:eastAsia="宋体" w:cs="宋体"/>
          <w:color w:val="auto"/>
          <w:sz w:val="24"/>
          <w:szCs w:val="24"/>
          <w:highlight w:val="none"/>
        </w:rPr>
        <w:t>，得出本项目资金支出符合国家财经法规、《政府会计制度》《</w:t>
      </w:r>
      <w:r>
        <w:rPr>
          <w:rFonts w:hint="eastAsia" w:ascii="宋体" w:hAnsi="宋体" w:eastAsia="宋体" w:cs="宋体"/>
          <w:color w:val="auto"/>
          <w:sz w:val="24"/>
          <w:szCs w:val="24"/>
          <w:highlight w:val="none"/>
          <w:lang w:val="en-US" w:eastAsia="zh-CN"/>
        </w:rPr>
        <w:t>和田地区洛浦县教育局</w:t>
      </w:r>
      <w:r>
        <w:rPr>
          <w:rFonts w:hint="eastAsia" w:ascii="宋体" w:hAnsi="宋体" w:eastAsia="宋体" w:cs="宋体"/>
          <w:color w:val="auto"/>
          <w:sz w:val="24"/>
          <w:szCs w:val="24"/>
          <w:highlight w:val="none"/>
        </w:rPr>
        <w:t>单位资金管理办法》《专项资金管理办法》，资金的拨付有完整的审批程序和手续，资金实际使用方向与预算批复用途一致，不存在截留、挤占、挪用、虚列支出的情况。</w:t>
      </w:r>
      <w:r>
        <w:rPr>
          <w:rFonts w:hint="eastAsia" w:ascii="宋体" w:hAnsi="宋体" w:eastAsia="宋体" w:cs="宋体"/>
          <w:color w:val="auto"/>
          <w:sz w:val="24"/>
          <w:szCs w:val="24"/>
          <w:highlight w:val="none"/>
          <w:lang w:val="en-US" w:eastAsia="zh-CN"/>
        </w:rPr>
        <w:t>我单位</w:t>
      </w:r>
      <w:r>
        <w:rPr>
          <w:rFonts w:hint="eastAsia" w:ascii="宋体" w:hAnsi="宋体" w:eastAsia="宋体" w:cs="宋体"/>
          <w:color w:val="auto"/>
          <w:sz w:val="24"/>
          <w:szCs w:val="24"/>
          <w:highlight w:val="none"/>
        </w:rPr>
        <w:t>制定了相关的制度和管理规定对经费使用进行规范管理，财务制度健全、执行严格</w:t>
      </w:r>
      <w:r>
        <w:rPr>
          <w:rFonts w:hint="eastAsia" w:ascii="宋体" w:hAnsi="宋体" w:eastAsia="宋体" w:cs="宋体"/>
          <w:color w:val="auto"/>
          <w:sz w:val="24"/>
          <w:szCs w:val="24"/>
          <w:highlight w:val="none"/>
          <w:lang w:eastAsia="zh-CN"/>
        </w:rPr>
        <w:t>。</w:t>
      </w:r>
    </w:p>
    <w:p w14:paraId="74FF4223">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根据评分标准，该指标不扣分，得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分。</w:t>
      </w:r>
    </w:p>
    <w:p w14:paraId="04591A5C">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4.</w:t>
      </w:r>
      <w:r>
        <w:rPr>
          <w:rFonts w:hint="eastAsia" w:ascii="宋体" w:hAnsi="宋体" w:eastAsia="宋体" w:cs="宋体"/>
          <w:b/>
          <w:bCs/>
          <w:color w:val="auto"/>
          <w:sz w:val="24"/>
          <w:szCs w:val="24"/>
          <w:highlight w:val="none"/>
        </w:rPr>
        <w:t>管理制度健全性</w:t>
      </w:r>
    </w:p>
    <w:p w14:paraId="13AD67B7">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我单位已制定《</w:t>
      </w:r>
      <w:r>
        <w:rPr>
          <w:rFonts w:hint="eastAsia" w:ascii="宋体" w:hAnsi="宋体" w:eastAsia="宋体" w:cs="宋体"/>
          <w:color w:val="auto"/>
          <w:sz w:val="24"/>
          <w:szCs w:val="24"/>
          <w:highlight w:val="none"/>
        </w:rPr>
        <w:t>专项</w:t>
      </w:r>
      <w:r>
        <w:rPr>
          <w:rFonts w:hint="eastAsia" w:ascii="宋体" w:hAnsi="宋体" w:eastAsia="宋体" w:cs="宋体"/>
          <w:b w:val="0"/>
          <w:bCs w:val="0"/>
          <w:color w:val="auto"/>
          <w:sz w:val="24"/>
          <w:szCs w:val="24"/>
          <w:highlight w:val="none"/>
        </w:rPr>
        <w:t>资金管理办法》《</w:t>
      </w:r>
      <w:r>
        <w:rPr>
          <w:rFonts w:hint="eastAsia" w:ascii="宋体" w:hAnsi="宋体" w:eastAsia="宋体" w:cs="宋体"/>
          <w:b w:val="0"/>
          <w:bCs w:val="0"/>
          <w:color w:val="auto"/>
          <w:sz w:val="24"/>
          <w:szCs w:val="24"/>
          <w:highlight w:val="none"/>
          <w:lang w:val="en-US" w:eastAsia="zh-CN"/>
        </w:rPr>
        <w:t>项目</w:t>
      </w:r>
      <w:r>
        <w:rPr>
          <w:rFonts w:hint="eastAsia" w:ascii="宋体" w:hAnsi="宋体" w:eastAsia="宋体" w:cs="宋体"/>
          <w:b w:val="0"/>
          <w:bCs w:val="0"/>
          <w:color w:val="auto"/>
          <w:sz w:val="24"/>
          <w:szCs w:val="24"/>
          <w:highlight w:val="none"/>
        </w:rPr>
        <w:t>收支业务管理制度》《</w:t>
      </w:r>
      <w:r>
        <w:rPr>
          <w:rFonts w:hint="eastAsia" w:ascii="宋体" w:hAnsi="宋体" w:eastAsia="宋体" w:cs="宋体"/>
          <w:b w:val="0"/>
          <w:bCs w:val="0"/>
          <w:color w:val="auto"/>
          <w:sz w:val="24"/>
          <w:szCs w:val="24"/>
          <w:highlight w:val="none"/>
          <w:lang w:val="en-US" w:eastAsia="zh-CN"/>
        </w:rPr>
        <w:t>洛浦县教育系统</w:t>
      </w:r>
      <w:r>
        <w:rPr>
          <w:rFonts w:hint="eastAsia" w:ascii="宋体" w:hAnsi="宋体" w:eastAsia="宋体" w:cs="宋体"/>
          <w:b w:val="0"/>
          <w:bCs w:val="0"/>
          <w:color w:val="auto"/>
          <w:sz w:val="24"/>
          <w:szCs w:val="24"/>
          <w:highlight w:val="none"/>
        </w:rPr>
        <w:t>政府采购业务管理制度》《</w:t>
      </w:r>
      <w:r>
        <w:rPr>
          <w:rFonts w:hint="eastAsia" w:ascii="宋体" w:hAnsi="宋体" w:eastAsia="宋体" w:cs="宋体"/>
          <w:b w:val="0"/>
          <w:bCs w:val="0"/>
          <w:color w:val="auto"/>
          <w:sz w:val="24"/>
          <w:szCs w:val="24"/>
          <w:highlight w:val="none"/>
          <w:lang w:val="en-US" w:eastAsia="zh-CN"/>
        </w:rPr>
        <w:t>洛浦县教育系统</w:t>
      </w:r>
      <w:r>
        <w:rPr>
          <w:rFonts w:hint="eastAsia" w:ascii="宋体" w:hAnsi="宋体" w:eastAsia="宋体" w:cs="宋体"/>
          <w:b w:val="0"/>
          <w:bCs w:val="0"/>
          <w:color w:val="auto"/>
          <w:sz w:val="24"/>
          <w:szCs w:val="24"/>
          <w:highlight w:val="none"/>
        </w:rPr>
        <w:t>合同管理制度》，</w:t>
      </w:r>
      <w:r>
        <w:rPr>
          <w:rFonts w:hint="eastAsia" w:ascii="宋体" w:hAnsi="宋体" w:eastAsia="宋体" w:cs="宋体"/>
          <w:b w:val="0"/>
          <w:bCs w:val="0"/>
          <w:color w:val="auto"/>
          <w:sz w:val="24"/>
          <w:szCs w:val="24"/>
          <w:highlight w:val="none"/>
          <w:lang w:val="en-US" w:eastAsia="zh-CN"/>
        </w:rPr>
        <w:t>相关</w:t>
      </w:r>
      <w:r>
        <w:rPr>
          <w:rFonts w:hint="eastAsia" w:ascii="宋体" w:hAnsi="宋体" w:eastAsia="宋体" w:cs="宋体"/>
          <w:b w:val="0"/>
          <w:bCs w:val="0"/>
          <w:color w:val="auto"/>
          <w:sz w:val="24"/>
          <w:szCs w:val="24"/>
          <w:highlight w:val="none"/>
        </w:rPr>
        <w:t>制度均符合行政事业单位内控管理要求，财务和业务管理制度合法、合规、完整，本项目执行符合上述制度规定。</w:t>
      </w:r>
    </w:p>
    <w:p w14:paraId="46044FA7">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rPr>
        <w:t>根据评分标准，该指标不扣分，得</w:t>
      </w:r>
      <w:r>
        <w:rPr>
          <w:rFonts w:hint="eastAsia" w:ascii="宋体" w:hAnsi="宋体" w:eastAsia="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rPr>
        <w:t>分。</w:t>
      </w:r>
    </w:p>
    <w:p w14:paraId="7AD13819">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5.</w:t>
      </w:r>
      <w:r>
        <w:rPr>
          <w:rFonts w:hint="eastAsia" w:ascii="宋体" w:hAnsi="宋体" w:eastAsia="宋体" w:cs="宋体"/>
          <w:b/>
          <w:bCs/>
          <w:color w:val="auto"/>
          <w:sz w:val="24"/>
          <w:szCs w:val="24"/>
          <w:highlight w:val="none"/>
        </w:rPr>
        <w:t>制度执行有效性</w:t>
      </w:r>
    </w:p>
    <w:p w14:paraId="37FCB7BD">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①该项目的实施符合</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专项</w:t>
      </w:r>
      <w:r>
        <w:rPr>
          <w:rFonts w:hint="eastAsia" w:ascii="宋体" w:hAnsi="宋体" w:eastAsia="宋体" w:cs="宋体"/>
          <w:b w:val="0"/>
          <w:bCs w:val="0"/>
          <w:color w:val="auto"/>
          <w:sz w:val="24"/>
          <w:szCs w:val="24"/>
          <w:highlight w:val="none"/>
        </w:rPr>
        <w:t>资金管理办法》《</w:t>
      </w:r>
      <w:r>
        <w:rPr>
          <w:rFonts w:hint="eastAsia" w:ascii="宋体" w:hAnsi="宋体" w:eastAsia="宋体" w:cs="宋体"/>
          <w:b w:val="0"/>
          <w:bCs w:val="0"/>
          <w:color w:val="auto"/>
          <w:sz w:val="24"/>
          <w:szCs w:val="24"/>
          <w:highlight w:val="none"/>
          <w:lang w:val="en-US" w:eastAsia="zh-CN"/>
        </w:rPr>
        <w:t>项目</w:t>
      </w:r>
      <w:r>
        <w:rPr>
          <w:rFonts w:hint="eastAsia" w:ascii="宋体" w:hAnsi="宋体" w:eastAsia="宋体" w:cs="宋体"/>
          <w:b w:val="0"/>
          <w:bCs w:val="0"/>
          <w:color w:val="auto"/>
          <w:sz w:val="24"/>
          <w:szCs w:val="24"/>
          <w:highlight w:val="none"/>
        </w:rPr>
        <w:t>收支业务管理制度》《</w:t>
      </w:r>
      <w:r>
        <w:rPr>
          <w:rFonts w:hint="eastAsia" w:ascii="宋体" w:hAnsi="宋体" w:eastAsia="宋体" w:cs="宋体"/>
          <w:b w:val="0"/>
          <w:bCs w:val="0"/>
          <w:color w:val="auto"/>
          <w:sz w:val="24"/>
          <w:szCs w:val="24"/>
          <w:highlight w:val="none"/>
          <w:lang w:val="en-US" w:eastAsia="zh-CN"/>
        </w:rPr>
        <w:t>洛浦县教育系统</w:t>
      </w:r>
      <w:r>
        <w:rPr>
          <w:rFonts w:hint="eastAsia" w:ascii="宋体" w:hAnsi="宋体" w:eastAsia="宋体" w:cs="宋体"/>
          <w:b w:val="0"/>
          <w:bCs w:val="0"/>
          <w:color w:val="auto"/>
          <w:sz w:val="24"/>
          <w:szCs w:val="24"/>
          <w:highlight w:val="none"/>
        </w:rPr>
        <w:t>政府采购业务管理制度》《</w:t>
      </w:r>
      <w:r>
        <w:rPr>
          <w:rFonts w:hint="eastAsia" w:ascii="宋体" w:hAnsi="宋体" w:eastAsia="宋体" w:cs="宋体"/>
          <w:b w:val="0"/>
          <w:bCs w:val="0"/>
          <w:color w:val="auto"/>
          <w:sz w:val="24"/>
          <w:szCs w:val="24"/>
          <w:highlight w:val="none"/>
          <w:lang w:val="en-US" w:eastAsia="zh-CN"/>
        </w:rPr>
        <w:t>洛浦县教育系统</w:t>
      </w:r>
      <w:r>
        <w:rPr>
          <w:rFonts w:hint="eastAsia" w:ascii="宋体" w:hAnsi="宋体" w:eastAsia="宋体" w:cs="宋体"/>
          <w:b w:val="0"/>
          <w:bCs w:val="0"/>
          <w:color w:val="auto"/>
          <w:sz w:val="24"/>
          <w:szCs w:val="24"/>
          <w:highlight w:val="none"/>
        </w:rPr>
        <w:t>合同管理制度》</w:t>
      </w:r>
      <w:r>
        <w:rPr>
          <w:rFonts w:hint="eastAsia" w:ascii="宋体" w:hAnsi="宋体" w:eastAsia="宋体" w:cs="宋体"/>
          <w:color w:val="auto"/>
          <w:sz w:val="24"/>
          <w:szCs w:val="24"/>
          <w:highlight w:val="none"/>
        </w:rPr>
        <w:t>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p>
    <w:p w14:paraId="6960AB15">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②经现场查证项目合同书、验收评审表、财务支付凭证等资料齐全并及时归档。</w:t>
      </w:r>
    </w:p>
    <w:p w14:paraId="494A327D">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③该项目实施过程中不存在调整事项。</w:t>
      </w:r>
    </w:p>
    <w:p w14:paraId="0C1E1296">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④该项目实施所需要的项目人员和场地设备均已落实到位，具体涉及内容包括：项目资金支出严格按照自治区、地区以及本单位资金管理办法执行，项目启动实施后，为了加快本项目的实施，成立了</w:t>
      </w:r>
      <w:r>
        <w:rPr>
          <w:rFonts w:hint="eastAsia" w:ascii="宋体" w:hAnsi="宋体" w:eastAsia="宋体" w:cs="宋体"/>
          <w:color w:val="auto"/>
          <w:sz w:val="24"/>
          <w:szCs w:val="24"/>
          <w:highlight w:val="none"/>
          <w:lang w:val="en-US" w:eastAsia="zh-CN"/>
        </w:rPr>
        <w:t>山普鲁中学建设</w:t>
      </w:r>
      <w:r>
        <w:rPr>
          <w:rFonts w:hint="eastAsia" w:ascii="宋体" w:hAnsi="宋体" w:eastAsia="宋体" w:cs="宋体"/>
          <w:color w:val="auto"/>
          <w:sz w:val="24"/>
          <w:szCs w:val="24"/>
          <w:highlight w:val="none"/>
        </w:rPr>
        <w:t>项目工作领导小组，由</w:t>
      </w:r>
      <w:r>
        <w:rPr>
          <w:rFonts w:hint="eastAsia" w:ascii="宋体" w:hAnsi="宋体" w:eastAsia="宋体" w:cs="宋体"/>
          <w:color w:val="auto"/>
          <w:sz w:val="24"/>
          <w:szCs w:val="24"/>
          <w:highlight w:val="none"/>
          <w:lang w:val="en-US" w:eastAsia="zh-CN"/>
        </w:rPr>
        <w:t>许万江</w:t>
      </w:r>
      <w:r>
        <w:rPr>
          <w:rFonts w:hint="eastAsia" w:ascii="宋体" w:hAnsi="宋体" w:eastAsia="宋体" w:cs="宋体"/>
          <w:color w:val="auto"/>
          <w:sz w:val="24"/>
          <w:szCs w:val="24"/>
          <w:highlight w:val="none"/>
        </w:rPr>
        <w:t>任组长，负责项目的组织工作；</w:t>
      </w:r>
      <w:r>
        <w:rPr>
          <w:rFonts w:hint="eastAsia" w:ascii="宋体" w:hAnsi="宋体" w:eastAsia="宋体" w:cs="宋体"/>
          <w:color w:val="auto"/>
          <w:sz w:val="24"/>
          <w:szCs w:val="24"/>
          <w:highlight w:val="none"/>
          <w:lang w:val="en-US" w:eastAsia="zh-CN"/>
        </w:rPr>
        <w:t>王晓晶</w:t>
      </w:r>
      <w:r>
        <w:rPr>
          <w:rFonts w:hint="eastAsia" w:ascii="宋体" w:hAnsi="宋体" w:eastAsia="宋体" w:cs="宋体"/>
          <w:color w:val="auto"/>
          <w:sz w:val="24"/>
          <w:szCs w:val="24"/>
          <w:highlight w:val="none"/>
        </w:rPr>
        <w:t>任副组长，负责项目的实施工作；组员包括：</w:t>
      </w:r>
      <w:r>
        <w:rPr>
          <w:rFonts w:hint="eastAsia" w:ascii="宋体" w:hAnsi="宋体" w:eastAsia="宋体" w:cs="宋体"/>
          <w:color w:val="auto"/>
          <w:sz w:val="24"/>
          <w:szCs w:val="24"/>
          <w:highlight w:val="none"/>
          <w:lang w:val="en-US" w:eastAsia="zh-CN"/>
        </w:rPr>
        <w:t>刘佳书</w:t>
      </w:r>
      <w:r>
        <w:rPr>
          <w:rFonts w:hint="eastAsia" w:ascii="宋体" w:hAnsi="宋体" w:eastAsia="宋体" w:cs="宋体"/>
          <w:color w:val="auto"/>
          <w:sz w:val="24"/>
          <w:szCs w:val="24"/>
          <w:highlight w:val="none"/>
        </w:rPr>
        <w:t>和</w:t>
      </w:r>
      <w:r>
        <w:rPr>
          <w:rFonts w:hint="eastAsia" w:ascii="宋体" w:hAnsi="宋体" w:eastAsia="宋体" w:cs="宋体"/>
          <w:color w:val="auto"/>
          <w:sz w:val="24"/>
          <w:szCs w:val="24"/>
          <w:highlight w:val="none"/>
          <w:lang w:val="en-US" w:eastAsia="zh-CN"/>
        </w:rPr>
        <w:t>季正明</w:t>
      </w:r>
      <w:r>
        <w:rPr>
          <w:rFonts w:hint="eastAsia" w:ascii="宋体" w:hAnsi="宋体" w:eastAsia="宋体" w:cs="宋体"/>
          <w:color w:val="auto"/>
          <w:sz w:val="24"/>
          <w:szCs w:val="24"/>
          <w:highlight w:val="none"/>
        </w:rPr>
        <w:t>，主要负责项目监督管理、验收以及资金核拨等工作。</w:t>
      </w:r>
    </w:p>
    <w:p w14:paraId="0E060EF6">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根据评分标准，该指标不扣分，得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分。</w:t>
      </w:r>
    </w:p>
    <w:p w14:paraId="7EF3889A">
      <w:pPr>
        <w:pStyle w:val="49"/>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（三）项目产出情况</w:t>
      </w:r>
    </w:p>
    <w:p w14:paraId="13EEBABE">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项目产出类指标包括产出数量、产出质量、产出时效、产出成本四方面的内容，由</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个三级指标构成，权重分为</w:t>
      </w:r>
      <w:r>
        <w:rPr>
          <w:rFonts w:hint="eastAsia" w:ascii="宋体" w:hAnsi="宋体" w:eastAsia="宋体" w:cs="宋体"/>
          <w:color w:val="auto"/>
          <w:sz w:val="24"/>
          <w:szCs w:val="24"/>
          <w:highlight w:val="none"/>
          <w:lang w:val="en-US" w:eastAsia="zh-CN"/>
        </w:rPr>
        <w:t>40</w:t>
      </w:r>
      <w:r>
        <w:rPr>
          <w:rFonts w:hint="eastAsia" w:ascii="宋体" w:hAnsi="宋体" w:eastAsia="宋体" w:cs="宋体"/>
          <w:color w:val="auto"/>
          <w:sz w:val="24"/>
          <w:szCs w:val="24"/>
          <w:highlight w:val="none"/>
        </w:rPr>
        <w:t>分，实际得分</w:t>
      </w:r>
      <w:r>
        <w:rPr>
          <w:rFonts w:hint="eastAsia" w:ascii="宋体" w:hAnsi="宋体" w:eastAsia="宋体" w:cs="宋体"/>
          <w:color w:val="auto"/>
          <w:sz w:val="24"/>
          <w:szCs w:val="24"/>
          <w:highlight w:val="none"/>
          <w:lang w:val="en-US" w:eastAsia="zh-CN"/>
        </w:rPr>
        <w:t>40</w:t>
      </w:r>
      <w:r>
        <w:rPr>
          <w:rFonts w:hint="eastAsia" w:ascii="宋体" w:hAnsi="宋体" w:eastAsia="宋体" w:cs="宋体"/>
          <w:color w:val="auto"/>
          <w:sz w:val="24"/>
          <w:szCs w:val="24"/>
          <w:highlight w:val="none"/>
        </w:rPr>
        <w:t>分，得分率为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w:t>
      </w:r>
    </w:p>
    <w:p w14:paraId="3BB550FA">
      <w:pPr>
        <w:pageBreakBefore w:val="0"/>
        <w:widowControl w:val="0"/>
        <w:numPr>
          <w:ilvl w:val="0"/>
          <w:numId w:val="0"/>
        </w:numPr>
        <w:kinsoku/>
        <w:wordWrap/>
        <w:topLinePunct w:val="0"/>
        <w:autoSpaceDE/>
        <w:autoSpaceDN/>
        <w:bidi w:val="0"/>
        <w:adjustRightInd/>
        <w:snapToGrid/>
        <w:spacing w:line="360" w:lineRule="auto"/>
        <w:ind w:left="560" w:left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对于“产出数量”</w:t>
      </w:r>
    </w:p>
    <w:p w14:paraId="6390EDAE">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涉及学校数量，预期指标值</w:t>
      </w:r>
      <w:r>
        <w:rPr>
          <w:rFonts w:hint="eastAsia" w:ascii="宋体" w:hAnsi="宋体" w:eastAsia="宋体" w:cs="宋体"/>
          <w:color w:val="auto"/>
          <w:sz w:val="24"/>
          <w:szCs w:val="24"/>
          <w:highlight w:val="none"/>
          <w:lang w:val="en-US" w:eastAsia="zh-CN"/>
        </w:rPr>
        <w:t>大于等于1所</w:t>
      </w:r>
      <w:r>
        <w:rPr>
          <w:rFonts w:hint="eastAsia" w:ascii="宋体" w:hAnsi="宋体" w:eastAsia="宋体" w:cs="宋体"/>
          <w:color w:val="auto"/>
          <w:sz w:val="24"/>
          <w:szCs w:val="24"/>
          <w:highlight w:val="none"/>
        </w:rPr>
        <w:t>，实际完成值</w:t>
      </w:r>
      <w:r>
        <w:rPr>
          <w:rFonts w:hint="eastAsia" w:ascii="宋体" w:hAnsi="宋体" w:eastAsia="宋体" w:cs="宋体"/>
          <w:color w:val="auto"/>
          <w:sz w:val="24"/>
          <w:szCs w:val="24"/>
          <w:highlight w:val="none"/>
          <w:lang w:val="en-US" w:eastAsia="zh-CN"/>
        </w:rPr>
        <w:t>1所</w:t>
      </w:r>
      <w:r>
        <w:rPr>
          <w:rFonts w:hint="eastAsia" w:ascii="宋体" w:hAnsi="宋体" w:eastAsia="宋体" w:cs="宋体"/>
          <w:color w:val="auto"/>
          <w:sz w:val="24"/>
          <w:szCs w:val="24"/>
          <w:highlight w:val="none"/>
        </w:rPr>
        <w:t>，指标完成率</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，与预期目标一致，根据评分标准，该指标不扣分，得</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分。</w:t>
      </w:r>
    </w:p>
    <w:p w14:paraId="65CA5C6B">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rPr>
      </w:pPr>
      <w:r>
        <w:rPr>
          <w:rFonts w:hint="eastAsia" w:ascii="宋体" w:hAnsi="宋体" w:eastAsia="宋体" w:cs="宋体"/>
          <w:b w:val="0"/>
          <w:bCs/>
          <w:color w:val="000000"/>
          <w:sz w:val="24"/>
          <w:szCs w:val="24"/>
          <w:highlight w:val="none"/>
        </w:rPr>
        <w:t>合计得10分。</w:t>
      </w:r>
    </w:p>
    <w:p w14:paraId="7E2B22E6">
      <w:pPr>
        <w:pageBreakBefore w:val="0"/>
        <w:widowControl w:val="0"/>
        <w:numPr>
          <w:ilvl w:val="0"/>
          <w:numId w:val="0"/>
        </w:numPr>
        <w:kinsoku/>
        <w:wordWrap/>
        <w:topLinePunct w:val="0"/>
        <w:autoSpaceDE/>
        <w:autoSpaceDN/>
        <w:bidi w:val="0"/>
        <w:adjustRightInd/>
        <w:snapToGrid/>
        <w:spacing w:line="360" w:lineRule="auto"/>
        <w:ind w:left="560" w:left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对于“产出质量”</w:t>
      </w:r>
    </w:p>
    <w:p w14:paraId="3A092D33">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项目验收合格率，预期指标值</w:t>
      </w:r>
      <w:r>
        <w:rPr>
          <w:rFonts w:hint="eastAsia" w:ascii="宋体" w:hAnsi="宋体" w:eastAsia="宋体" w:cs="宋体"/>
          <w:color w:val="auto"/>
          <w:sz w:val="24"/>
          <w:szCs w:val="24"/>
          <w:highlight w:val="none"/>
          <w:lang w:val="en-US" w:eastAsia="zh-CN"/>
        </w:rPr>
        <w:t>大于等于100%</w:t>
      </w:r>
      <w:r>
        <w:rPr>
          <w:rFonts w:hint="eastAsia" w:ascii="宋体" w:hAnsi="宋体" w:eastAsia="宋体" w:cs="宋体"/>
          <w:color w:val="auto"/>
          <w:sz w:val="24"/>
          <w:szCs w:val="24"/>
          <w:highlight w:val="none"/>
        </w:rPr>
        <w:t>，实际完成值</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，指标完成率</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，与预期目标一致，根据评分标准，该指标不扣分，得</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分。</w:t>
      </w:r>
    </w:p>
    <w:p w14:paraId="5E3420F8">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rPr>
      </w:pPr>
      <w:r>
        <w:rPr>
          <w:rFonts w:hint="eastAsia" w:ascii="宋体" w:hAnsi="宋体" w:eastAsia="宋体" w:cs="宋体"/>
          <w:b w:val="0"/>
          <w:bCs/>
          <w:color w:val="000000"/>
          <w:sz w:val="24"/>
          <w:szCs w:val="24"/>
          <w:highlight w:val="none"/>
        </w:rPr>
        <w:t>合计得10分。</w:t>
      </w:r>
    </w:p>
    <w:p w14:paraId="18B07A7A">
      <w:pPr>
        <w:pStyle w:val="10"/>
        <w:pageBreakBefore w:val="0"/>
        <w:widowControl w:val="0"/>
        <w:numPr>
          <w:ilvl w:val="0"/>
          <w:numId w:val="0"/>
        </w:numPr>
        <w:kinsoku/>
        <w:wordWrap/>
        <w:topLinePunct w:val="0"/>
        <w:autoSpaceDE/>
        <w:autoSpaceDN/>
        <w:bidi w:val="0"/>
        <w:adjustRightInd/>
        <w:snapToGrid/>
        <w:spacing w:before="0" w:after="0" w:line="360" w:lineRule="auto"/>
        <w:ind w:left="560" w:left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对于“产出时效”</w:t>
      </w:r>
    </w:p>
    <w:p w14:paraId="1DF31FA4">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项目按计划开工率，预期指标值大于等于100%，实际完成值100%，指标完成率100%，与预期目标一致，根据评分标准，该指标不扣分，得10分。</w:t>
      </w:r>
    </w:p>
    <w:p w14:paraId="7AB1BCDC">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color w:val="auto"/>
          <w:sz w:val="24"/>
          <w:szCs w:val="24"/>
          <w:highlight w:val="none"/>
        </w:rPr>
      </w:pPr>
      <w:r>
        <w:rPr>
          <w:rFonts w:hint="eastAsia" w:ascii="宋体" w:hAnsi="宋体" w:eastAsia="宋体" w:cs="宋体"/>
          <w:b w:val="0"/>
          <w:bCs/>
          <w:color w:val="000000"/>
          <w:sz w:val="24"/>
          <w:szCs w:val="24"/>
          <w:highlight w:val="none"/>
        </w:rPr>
        <w:t>合计得10分。</w:t>
      </w:r>
    </w:p>
    <w:p w14:paraId="305F56C5">
      <w:pPr>
        <w:pStyle w:val="46"/>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4.</w:t>
      </w:r>
      <w:r>
        <w:rPr>
          <w:rFonts w:hint="eastAsia" w:ascii="宋体" w:hAnsi="宋体" w:eastAsia="宋体" w:cs="宋体"/>
          <w:b/>
          <w:bCs/>
          <w:color w:val="auto"/>
          <w:sz w:val="24"/>
          <w:szCs w:val="24"/>
          <w:highlight w:val="none"/>
        </w:rPr>
        <w:t>对于“产出成本”</w:t>
      </w:r>
    </w:p>
    <w:p w14:paraId="3C41965F">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2024年计划投入工程款，预期指标值</w:t>
      </w:r>
      <w:r>
        <w:rPr>
          <w:rFonts w:hint="eastAsia" w:ascii="宋体" w:hAnsi="宋体" w:eastAsia="宋体" w:cs="宋体"/>
          <w:b w:val="0"/>
          <w:color w:val="auto"/>
          <w:sz w:val="24"/>
          <w:szCs w:val="24"/>
          <w:highlight w:val="none"/>
        </w:rPr>
        <w:t>大于等于4327.95万元</w:t>
      </w:r>
      <w:r>
        <w:rPr>
          <w:rFonts w:hint="eastAsia" w:ascii="宋体" w:hAnsi="宋体" w:eastAsia="宋体" w:cs="宋体"/>
          <w:color w:val="auto"/>
          <w:sz w:val="24"/>
          <w:szCs w:val="24"/>
          <w:highlight w:val="none"/>
        </w:rPr>
        <w:t>，实际完成值4327.95万元，指标完成率</w:t>
      </w:r>
      <w:r>
        <w:rPr>
          <w:rFonts w:hint="eastAsia" w:ascii="宋体" w:hAnsi="宋体" w:eastAsia="宋体" w:cs="宋体"/>
          <w:color w:val="auto"/>
          <w:sz w:val="24"/>
          <w:szCs w:val="24"/>
          <w:highlight w:val="none"/>
          <w:lang w:val="en-US" w:eastAsia="zh-CN"/>
        </w:rPr>
        <w:t>100%，</w:t>
      </w:r>
      <w:r>
        <w:rPr>
          <w:rFonts w:hint="eastAsia" w:ascii="宋体" w:hAnsi="宋体" w:eastAsia="宋体" w:cs="宋体"/>
          <w:b w:val="0"/>
          <w:color w:val="000000"/>
          <w:sz w:val="24"/>
          <w:szCs w:val="24"/>
          <w:highlight w:val="none"/>
        </w:rPr>
        <w:t>与预期目标一致，根据评分标准，该指标不扣分</w:t>
      </w:r>
      <w:r>
        <w:rPr>
          <w:rFonts w:hint="eastAsia" w:ascii="宋体" w:hAnsi="宋体" w:eastAsia="宋体" w:cs="宋体"/>
          <w:color w:val="000000"/>
          <w:sz w:val="24"/>
          <w:szCs w:val="24"/>
          <w:highlight w:val="none"/>
        </w:rPr>
        <w:t>，得</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rPr>
        <w:t>分</w:t>
      </w:r>
      <w:r>
        <w:rPr>
          <w:rFonts w:hint="eastAsia" w:ascii="宋体" w:hAnsi="宋体" w:eastAsia="宋体" w:cs="宋体"/>
          <w:color w:val="000000"/>
          <w:sz w:val="24"/>
          <w:szCs w:val="24"/>
          <w:highlight w:val="none"/>
          <w:lang w:eastAsia="zh-CN"/>
        </w:rPr>
        <w:t>。</w:t>
      </w:r>
    </w:p>
    <w:p w14:paraId="7ED48059">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2024年计划投入二类费，预期指标值</w:t>
      </w:r>
      <w:r>
        <w:rPr>
          <w:rFonts w:hint="eastAsia" w:ascii="宋体" w:hAnsi="宋体" w:eastAsia="宋体" w:cs="宋体"/>
          <w:b w:val="0"/>
          <w:color w:val="auto"/>
          <w:sz w:val="24"/>
          <w:szCs w:val="24"/>
          <w:highlight w:val="none"/>
        </w:rPr>
        <w:t>大于等于8.94万元</w:t>
      </w:r>
      <w:r>
        <w:rPr>
          <w:rFonts w:hint="eastAsia" w:ascii="宋体" w:hAnsi="宋体" w:eastAsia="宋体" w:cs="宋体"/>
          <w:color w:val="auto"/>
          <w:sz w:val="24"/>
          <w:szCs w:val="24"/>
          <w:highlight w:val="none"/>
        </w:rPr>
        <w:t>，实际完成值8.94万元，指标完成率为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b w:val="0"/>
          <w:color w:val="000000"/>
          <w:sz w:val="24"/>
          <w:szCs w:val="24"/>
          <w:highlight w:val="none"/>
        </w:rPr>
        <w:t>与预期目标一致，根据评分标准，该指标不扣分</w:t>
      </w:r>
      <w:r>
        <w:rPr>
          <w:rFonts w:hint="eastAsia" w:ascii="宋体" w:hAnsi="宋体" w:eastAsia="宋体" w:cs="宋体"/>
          <w:color w:val="000000"/>
          <w:sz w:val="24"/>
          <w:szCs w:val="24"/>
          <w:highlight w:val="none"/>
        </w:rPr>
        <w:t>，得</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rPr>
        <w:t>分</w:t>
      </w:r>
      <w:r>
        <w:rPr>
          <w:rFonts w:hint="eastAsia" w:ascii="宋体" w:hAnsi="宋体" w:eastAsia="宋体" w:cs="宋体"/>
          <w:color w:val="auto"/>
          <w:sz w:val="24"/>
          <w:szCs w:val="24"/>
          <w:highlight w:val="none"/>
        </w:rPr>
        <w:t>。</w:t>
      </w:r>
    </w:p>
    <w:p w14:paraId="0F47ACF4">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rPr>
      </w:pPr>
      <w:r>
        <w:rPr>
          <w:rFonts w:hint="eastAsia" w:ascii="宋体" w:hAnsi="宋体" w:eastAsia="宋体" w:cs="宋体"/>
          <w:b w:val="0"/>
          <w:bCs/>
          <w:color w:val="000000"/>
          <w:sz w:val="24"/>
          <w:szCs w:val="24"/>
          <w:highlight w:val="none"/>
        </w:rPr>
        <w:t>合计得10分。</w:t>
      </w:r>
    </w:p>
    <w:p w14:paraId="01D8C209">
      <w:pPr>
        <w:pStyle w:val="49"/>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（四）项目效益情况</w:t>
      </w:r>
    </w:p>
    <w:p w14:paraId="54871E28">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项目效益类指标包括项目效益1个方面的内容，由2个三级指标构成，权重分为20分，实际得分20分，得分率为100%。</w:t>
      </w:r>
    </w:p>
    <w:p w14:paraId="4B1290A3">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对于“社会效益指标”</w:t>
      </w:r>
    </w:p>
    <w:p w14:paraId="2A38D43E">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改善教育教学环境</w:t>
      </w:r>
      <w:r>
        <w:rPr>
          <w:rFonts w:hint="eastAsia" w:ascii="宋体" w:hAnsi="宋体" w:eastAsia="宋体" w:cs="宋体"/>
          <w:b w:val="0"/>
          <w:bCs w:val="0"/>
          <w:color w:val="auto"/>
          <w:sz w:val="24"/>
          <w:szCs w:val="24"/>
          <w:highlight w:val="none"/>
        </w:rPr>
        <w:t>，预期指标值为</w:t>
      </w:r>
      <w:r>
        <w:rPr>
          <w:rFonts w:hint="eastAsia" w:ascii="宋体" w:hAnsi="宋体" w:eastAsia="宋体" w:cs="宋体"/>
          <w:b w:val="0"/>
          <w:bCs w:val="0"/>
          <w:color w:val="auto"/>
          <w:sz w:val="24"/>
          <w:szCs w:val="24"/>
          <w:highlight w:val="none"/>
          <w:lang w:val="en-US" w:eastAsia="zh-CN"/>
        </w:rPr>
        <w:t>有效改善</w:t>
      </w:r>
      <w:r>
        <w:rPr>
          <w:rFonts w:hint="eastAsia" w:ascii="宋体" w:hAnsi="宋体" w:eastAsia="宋体" w:cs="宋体"/>
          <w:b w:val="0"/>
          <w:bCs w:val="0"/>
          <w:color w:val="auto"/>
          <w:sz w:val="24"/>
          <w:szCs w:val="24"/>
          <w:highlight w:val="none"/>
        </w:rPr>
        <w:t>，实际完成值为</w:t>
      </w:r>
      <w:r>
        <w:rPr>
          <w:rFonts w:hint="eastAsia" w:ascii="宋体" w:hAnsi="宋体" w:eastAsia="宋体" w:cs="宋体"/>
          <w:b w:val="0"/>
          <w:bCs w:val="0"/>
          <w:color w:val="auto"/>
          <w:sz w:val="24"/>
          <w:szCs w:val="24"/>
          <w:highlight w:val="none"/>
          <w:lang w:val="en-US" w:eastAsia="zh-CN"/>
        </w:rPr>
        <w:t>有效改善</w:t>
      </w:r>
      <w:r>
        <w:rPr>
          <w:rFonts w:hint="eastAsia" w:ascii="宋体" w:hAnsi="宋体" w:eastAsia="宋体" w:cs="宋体"/>
          <w:b w:val="0"/>
          <w:bCs w:val="0"/>
          <w:color w:val="auto"/>
          <w:sz w:val="24"/>
          <w:szCs w:val="24"/>
          <w:highlight w:val="none"/>
        </w:rPr>
        <w:t>，指标完成率为</w:t>
      </w:r>
      <w:r>
        <w:rPr>
          <w:rFonts w:hint="eastAsia" w:ascii="宋体" w:hAnsi="宋体" w:eastAsia="宋体" w:cs="宋体"/>
          <w:b w:val="0"/>
          <w:bCs w:val="0"/>
          <w:color w:val="auto"/>
          <w:sz w:val="24"/>
          <w:szCs w:val="24"/>
          <w:highlight w:val="none"/>
          <w:lang w:val="en-US" w:eastAsia="zh-CN"/>
        </w:rPr>
        <w:t>100%</w:t>
      </w:r>
      <w:r>
        <w:rPr>
          <w:rFonts w:hint="eastAsia" w:ascii="宋体" w:hAnsi="宋体" w:eastAsia="宋体" w:cs="宋体"/>
          <w:b w:val="0"/>
          <w:bCs w:val="0"/>
          <w:color w:val="auto"/>
          <w:sz w:val="24"/>
          <w:szCs w:val="24"/>
          <w:highlight w:val="none"/>
        </w:rPr>
        <w:t>，与预期指标一致，根据评分标准，该指标不扣分，得</w:t>
      </w:r>
      <w:r>
        <w:rPr>
          <w:rFonts w:hint="eastAsia" w:ascii="宋体" w:hAnsi="宋体" w:eastAsia="宋体" w:cs="宋体"/>
          <w:b w:val="0"/>
          <w:bCs w:val="0"/>
          <w:color w:val="auto"/>
          <w:sz w:val="24"/>
          <w:szCs w:val="24"/>
          <w:highlight w:val="none"/>
          <w:lang w:val="en-US" w:eastAsia="zh-CN"/>
        </w:rPr>
        <w:t>15</w:t>
      </w:r>
      <w:r>
        <w:rPr>
          <w:rFonts w:hint="eastAsia" w:ascii="宋体" w:hAnsi="宋体" w:eastAsia="宋体" w:cs="宋体"/>
          <w:b w:val="0"/>
          <w:bCs w:val="0"/>
          <w:color w:val="auto"/>
          <w:sz w:val="24"/>
          <w:szCs w:val="24"/>
          <w:highlight w:val="none"/>
        </w:rPr>
        <w:t>分。</w:t>
      </w:r>
    </w:p>
    <w:p w14:paraId="38AFC26D">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2.</w:t>
      </w:r>
      <w:r>
        <w:rPr>
          <w:rFonts w:hint="eastAsia" w:ascii="宋体" w:hAnsi="宋体" w:eastAsia="宋体" w:cs="宋体"/>
          <w:b/>
          <w:bCs/>
          <w:color w:val="auto"/>
          <w:sz w:val="24"/>
          <w:szCs w:val="24"/>
        </w:rPr>
        <w:t>对于“经济效益指标”</w:t>
      </w:r>
    </w:p>
    <w:p w14:paraId="24B2EB0C">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b w:val="0"/>
          <w:bCs w:val="0"/>
          <w:color w:val="auto"/>
          <w:sz w:val="24"/>
          <w:szCs w:val="24"/>
          <w:highlight w:val="none"/>
          <w:lang w:val="en-US" w:eastAsia="zh-CN"/>
        </w:rPr>
        <w:t>该项目不涉及</w:t>
      </w:r>
      <w:r>
        <w:rPr>
          <w:rFonts w:hint="eastAsia" w:ascii="宋体" w:hAnsi="宋体" w:eastAsia="宋体" w:cs="宋体"/>
          <w:b w:val="0"/>
          <w:bCs w:val="0"/>
          <w:color w:val="auto"/>
          <w:sz w:val="24"/>
          <w:szCs w:val="24"/>
          <w:highlight w:val="none"/>
        </w:rPr>
        <w:t>经济效益指标</w:t>
      </w:r>
      <w:r>
        <w:rPr>
          <w:rFonts w:hint="eastAsia" w:ascii="宋体" w:hAnsi="宋体" w:eastAsia="宋体" w:cs="宋体"/>
          <w:b w:val="0"/>
          <w:bCs w:val="0"/>
          <w:color w:val="auto"/>
          <w:sz w:val="24"/>
          <w:szCs w:val="24"/>
          <w:highlight w:val="none"/>
          <w:lang w:val="en-US" w:eastAsia="zh-CN"/>
        </w:rPr>
        <w:t>。</w:t>
      </w:r>
    </w:p>
    <w:p w14:paraId="66AC8C32">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bCs/>
          <w:color w:val="auto"/>
          <w:sz w:val="24"/>
          <w:szCs w:val="24"/>
          <w:lang w:val="en-US" w:eastAsia="zh-CN"/>
        </w:rPr>
        <w:t>3.</w:t>
      </w:r>
      <w:r>
        <w:rPr>
          <w:rFonts w:hint="eastAsia" w:ascii="宋体" w:hAnsi="宋体" w:eastAsia="宋体" w:cs="宋体"/>
          <w:bCs/>
          <w:color w:val="auto"/>
          <w:sz w:val="24"/>
          <w:szCs w:val="24"/>
        </w:rPr>
        <w:t>对于“生态效益指标”</w:t>
      </w:r>
    </w:p>
    <w:p w14:paraId="71DB62F5">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b w:val="0"/>
          <w:bCs w:val="0"/>
          <w:color w:val="auto"/>
          <w:sz w:val="24"/>
          <w:szCs w:val="24"/>
          <w:highlight w:val="none"/>
          <w:lang w:val="en-US" w:eastAsia="zh-CN"/>
        </w:rPr>
        <w:t>该项目不涉及生态效益指标。</w:t>
      </w:r>
    </w:p>
    <w:p w14:paraId="18C3FB51">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4.</w:t>
      </w:r>
      <w:r>
        <w:rPr>
          <w:rFonts w:hint="eastAsia" w:ascii="宋体" w:hAnsi="宋体" w:eastAsia="宋体" w:cs="宋体"/>
          <w:bCs/>
          <w:color w:val="auto"/>
          <w:sz w:val="24"/>
          <w:szCs w:val="24"/>
        </w:rPr>
        <w:t>满意度指标分析</w:t>
      </w:r>
      <w:bookmarkEnd w:id="17"/>
    </w:p>
    <w:p w14:paraId="1E7A2722">
      <w:pPr>
        <w:pStyle w:val="46"/>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黑体" w:hAnsi="黑体" w:eastAsia="黑体" w:cs="黑体"/>
          <w:color w:val="auto"/>
          <w:sz w:val="24"/>
          <w:szCs w:val="24"/>
        </w:rPr>
      </w:pPr>
      <w:r>
        <w:rPr>
          <w:rFonts w:hint="eastAsia" w:ascii="宋体" w:hAnsi="宋体" w:eastAsia="宋体" w:cs="宋体"/>
          <w:color w:val="auto"/>
          <w:sz w:val="24"/>
          <w:szCs w:val="24"/>
          <w:highlight w:val="none"/>
          <w:lang w:val="en-US" w:eastAsia="zh-CN"/>
        </w:rPr>
        <w:t>受益学生满意度</w:t>
      </w:r>
      <w:r>
        <w:rPr>
          <w:rFonts w:hint="eastAsia" w:ascii="宋体" w:hAnsi="宋体" w:eastAsia="宋体" w:cs="宋体"/>
          <w:color w:val="auto"/>
          <w:sz w:val="24"/>
          <w:szCs w:val="24"/>
          <w:highlight w:val="none"/>
        </w:rPr>
        <w:t>，预期指标值</w:t>
      </w:r>
      <w:r>
        <w:rPr>
          <w:rFonts w:hint="eastAsia" w:ascii="宋体" w:hAnsi="宋体" w:eastAsia="宋体" w:cs="宋体"/>
          <w:color w:val="auto"/>
          <w:sz w:val="24"/>
          <w:szCs w:val="24"/>
          <w:highlight w:val="none"/>
          <w:lang w:val="en-US" w:eastAsia="zh-CN"/>
        </w:rPr>
        <w:t>大于等于95%</w:t>
      </w:r>
      <w:r>
        <w:rPr>
          <w:rFonts w:hint="eastAsia" w:ascii="宋体" w:hAnsi="宋体" w:eastAsia="宋体" w:cs="宋体"/>
          <w:color w:val="auto"/>
          <w:sz w:val="24"/>
          <w:szCs w:val="24"/>
          <w:highlight w:val="none"/>
        </w:rPr>
        <w:t>，实际完成值</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，指标完成率</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，与预期目标一致，根据评分标准，该指标不扣分,得10分。</w:t>
      </w:r>
    </w:p>
    <w:p w14:paraId="3A223798">
      <w:pPr>
        <w:pStyle w:val="4"/>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color w:val="auto"/>
          <w:sz w:val="24"/>
          <w:szCs w:val="24"/>
        </w:rPr>
      </w:pPr>
      <w:r>
        <w:rPr>
          <w:rFonts w:hint="eastAsia" w:ascii="黑体" w:hAnsi="黑体" w:eastAsia="黑体" w:cs="黑体"/>
          <w:color w:val="auto"/>
          <w:sz w:val="24"/>
          <w:szCs w:val="24"/>
        </w:rPr>
        <w:t>五、预算执行进度与绩效指标偏差情况</w:t>
      </w:r>
    </w:p>
    <w:p w14:paraId="462D482E">
      <w:pPr>
        <w:pStyle w:val="46"/>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本项目年初预算资金总额为</w:t>
      </w:r>
      <w:r>
        <w:rPr>
          <w:rFonts w:hint="eastAsia" w:ascii="宋体" w:hAnsi="宋体" w:eastAsia="宋体" w:cs="宋体"/>
          <w:color w:val="auto"/>
          <w:sz w:val="24"/>
          <w:szCs w:val="24"/>
          <w:lang w:val="en-US" w:eastAsia="zh-CN"/>
        </w:rPr>
        <w:t>4336.89</w:t>
      </w:r>
      <w:r>
        <w:rPr>
          <w:rFonts w:hint="eastAsia" w:ascii="宋体" w:hAnsi="宋体" w:eastAsia="宋体" w:cs="宋体"/>
          <w:color w:val="auto"/>
          <w:sz w:val="24"/>
          <w:szCs w:val="24"/>
        </w:rPr>
        <w:t>万元，全年预算数为</w:t>
      </w:r>
      <w:r>
        <w:rPr>
          <w:rFonts w:hint="eastAsia" w:ascii="宋体" w:hAnsi="宋体" w:eastAsia="宋体" w:cs="宋体"/>
          <w:color w:val="auto"/>
          <w:sz w:val="24"/>
          <w:szCs w:val="24"/>
          <w:lang w:val="en-US" w:eastAsia="zh-CN"/>
        </w:rPr>
        <w:t>4336.89</w:t>
      </w:r>
      <w:r>
        <w:rPr>
          <w:rFonts w:hint="eastAsia" w:ascii="宋体" w:hAnsi="宋体" w:eastAsia="宋体" w:cs="宋体"/>
          <w:color w:val="auto"/>
          <w:sz w:val="24"/>
          <w:szCs w:val="24"/>
        </w:rPr>
        <w:t>万元，全年执行数为</w:t>
      </w:r>
      <w:r>
        <w:rPr>
          <w:rFonts w:hint="eastAsia" w:ascii="宋体" w:hAnsi="宋体" w:eastAsia="宋体" w:cs="宋体"/>
          <w:color w:val="auto"/>
          <w:sz w:val="24"/>
          <w:szCs w:val="24"/>
          <w:lang w:val="en-US" w:eastAsia="zh-CN"/>
        </w:rPr>
        <w:t>4336.89</w:t>
      </w:r>
      <w:r>
        <w:rPr>
          <w:rFonts w:hint="eastAsia" w:ascii="宋体" w:hAnsi="宋体" w:eastAsia="宋体" w:cs="宋体"/>
          <w:color w:val="auto"/>
          <w:sz w:val="24"/>
          <w:szCs w:val="24"/>
        </w:rPr>
        <w:t>万元，预算执行率为</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w:t>
      </w:r>
    </w:p>
    <w:p w14:paraId="0B2C950C">
      <w:pPr>
        <w:pStyle w:val="46"/>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本项目共设置三级指标数量</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个，满分指标数量</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个，扣分指标数量</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个，经分析计算所有三级指标完成率得出，本项目总体完成率为</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w:t>
      </w:r>
    </w:p>
    <w:p w14:paraId="03A14B0B">
      <w:pPr>
        <w:pStyle w:val="46"/>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黑体" w:hAnsi="黑体" w:eastAsia="黑体" w:cs="黑体"/>
          <w:color w:val="auto"/>
          <w:sz w:val="24"/>
          <w:szCs w:val="24"/>
        </w:rPr>
      </w:pPr>
      <w:r>
        <w:rPr>
          <w:rFonts w:hint="eastAsia" w:ascii="宋体" w:hAnsi="宋体" w:eastAsia="宋体" w:cs="宋体"/>
          <w:color w:val="auto"/>
          <w:sz w:val="24"/>
          <w:szCs w:val="24"/>
        </w:rPr>
        <w:t>综上所述本项目预算执行率与总体完成率之间</w:t>
      </w:r>
      <w:r>
        <w:rPr>
          <w:rFonts w:hint="eastAsia" w:ascii="宋体" w:hAnsi="宋体" w:eastAsia="宋体" w:cs="宋体"/>
          <w:color w:val="auto"/>
          <w:sz w:val="24"/>
          <w:szCs w:val="24"/>
          <w:lang w:val="en-US" w:eastAsia="zh-CN"/>
        </w:rPr>
        <w:t>无偏差</w:t>
      </w:r>
      <w:r>
        <w:rPr>
          <w:rFonts w:hint="eastAsia" w:ascii="宋体" w:hAnsi="宋体" w:eastAsia="宋体" w:cs="宋体"/>
          <w:color w:val="auto"/>
          <w:sz w:val="24"/>
          <w:szCs w:val="24"/>
        </w:rPr>
        <w:t>。</w:t>
      </w:r>
      <w:bookmarkStart w:id="18" w:name="_Toc68364673"/>
    </w:p>
    <w:p w14:paraId="1348544A">
      <w:pPr>
        <w:pStyle w:val="4"/>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b/>
          <w:bCs/>
          <w:color w:val="auto"/>
          <w:sz w:val="24"/>
          <w:szCs w:val="24"/>
        </w:rPr>
      </w:pPr>
      <w:r>
        <w:rPr>
          <w:rFonts w:hint="eastAsia" w:ascii="黑体" w:hAnsi="黑体" w:eastAsia="黑体" w:cs="黑体"/>
          <w:b/>
          <w:bCs/>
          <w:color w:val="auto"/>
          <w:sz w:val="24"/>
          <w:szCs w:val="24"/>
        </w:rPr>
        <w:t>六、主要经验及做法、存在的问题及原因分析</w:t>
      </w:r>
    </w:p>
    <w:p w14:paraId="308CAD9D">
      <w:pPr>
        <w:pStyle w:val="49"/>
        <w:keepNext/>
        <w:keepLines/>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（一）主要经验及做法</w:t>
      </w:r>
      <w:bookmarkEnd w:id="18"/>
    </w:p>
    <w:p w14:paraId="0197F02C">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1.组织保障。为了加强对项目建设工作的领导，保证项目的顺利进行，成立了项目建设领导小组，负责项目建设的组织实施、重大事项决策和监督。下设项目资金保障组、项目执行组和项目监控组。</w:t>
      </w:r>
    </w:p>
    <w:p w14:paraId="31B49E31">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2.经费保障。建立项目资金使用监控机制，规范项目资金财务管理，严格执行各项资金使用并加强审计监督，保证项目资金按规定、按计划使用，提高资金使用效率。</w:t>
      </w:r>
    </w:p>
    <w:p w14:paraId="2E02703B">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3.制度保障。在现有制度的基础上，加强对项目实施、建设资金和实训设备的管理。制定项目建设进度计划和各职能小组工作职责，保证项目的顺利进展和资金的有效使用。</w:t>
      </w:r>
    </w:p>
    <w:p w14:paraId="47EB3F57">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4.监管保障。建立自治区、地区、县教育主管部门三级监管联动机制，对项目实施重点监测、监控和监管。学校按时向上级监管部门汇报项目态势、进展和质量状况，主动接受监管，确保高效率、高质量、高水平完成项目建设工作。</w:t>
      </w:r>
      <w:bookmarkStart w:id="19" w:name="_Toc68364674"/>
    </w:p>
    <w:p w14:paraId="12440B12">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（二）存在问题及原因分析</w:t>
      </w:r>
      <w:bookmarkEnd w:id="19"/>
      <w:bookmarkStart w:id="20" w:name="_Toc68364675"/>
    </w:p>
    <w:p w14:paraId="111B14D8">
      <w:pPr>
        <w:pStyle w:val="6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color w:val="000000"/>
          <w:kern w:val="0"/>
          <w:sz w:val="24"/>
          <w:szCs w:val="24"/>
          <w:highlight w:val="none"/>
          <w:lang w:val="en-US" w:eastAsia="zh-CN" w:bidi="ar-SA"/>
        </w:rPr>
      </w:pPr>
      <w:r>
        <w:rPr>
          <w:rFonts w:hint="eastAsia" w:ascii="宋体" w:hAnsi="宋体" w:eastAsia="宋体" w:cs="宋体"/>
          <w:b w:val="0"/>
          <w:bCs w:val="0"/>
          <w:color w:val="000000"/>
          <w:kern w:val="0"/>
          <w:sz w:val="24"/>
          <w:szCs w:val="24"/>
          <w:highlight w:val="none"/>
          <w:lang w:val="en-US" w:eastAsia="zh-CN" w:bidi="ar-SA"/>
        </w:rPr>
        <w:t>1.规划设计：主要风险因素包括与地方国民经济社会发展规划、专项规划、区域规划不一致的风险；和地方法律法规冲突的风险</w:t>
      </w:r>
    </w:p>
    <w:p w14:paraId="48E54375">
      <w:pPr>
        <w:pStyle w:val="6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color w:val="000000"/>
          <w:kern w:val="0"/>
          <w:sz w:val="24"/>
          <w:szCs w:val="24"/>
          <w:highlight w:val="none"/>
          <w:lang w:val="en-US" w:eastAsia="zh-CN" w:bidi="ar-SA"/>
        </w:rPr>
      </w:pPr>
      <w:r>
        <w:rPr>
          <w:rFonts w:hint="eastAsia" w:ascii="宋体" w:hAnsi="宋体" w:eastAsia="宋体" w:cs="宋体"/>
          <w:b w:val="0"/>
          <w:bCs w:val="0"/>
          <w:color w:val="000000"/>
          <w:kern w:val="0"/>
          <w:sz w:val="24"/>
          <w:szCs w:val="24"/>
          <w:highlight w:val="none"/>
          <w:lang w:val="en-US" w:eastAsia="zh-CN" w:bidi="ar-SA"/>
        </w:rPr>
        <w:t>2.项目选址：主要风险因素包括，选址所面临自然环境的风险；选址的社会风险。如果项目的建设地地质不稳定、不可靠，可能影响项目建设顺利推进，或者引进建筑物损坏。将会对项目造成无法挽回的巨大损失。因此，项目选址方面的风险是本项目客观存在的，发生后造成的损失严重，属严重风险。</w:t>
      </w:r>
    </w:p>
    <w:p w14:paraId="5DEF1588">
      <w:pPr>
        <w:pStyle w:val="6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color w:val="000000"/>
          <w:kern w:val="0"/>
          <w:sz w:val="24"/>
          <w:szCs w:val="24"/>
          <w:highlight w:val="none"/>
          <w:lang w:val="en-US" w:eastAsia="zh-CN" w:bidi="ar-SA"/>
        </w:rPr>
      </w:pPr>
      <w:r>
        <w:rPr>
          <w:rFonts w:hint="eastAsia" w:ascii="宋体" w:hAnsi="宋体" w:eastAsia="宋体" w:cs="宋体"/>
          <w:b w:val="0"/>
          <w:bCs w:val="0"/>
          <w:color w:val="000000"/>
          <w:kern w:val="0"/>
          <w:sz w:val="24"/>
          <w:szCs w:val="24"/>
          <w:highlight w:val="none"/>
          <w:lang w:val="en-US" w:eastAsia="zh-CN" w:bidi="ar-SA"/>
        </w:rPr>
        <w:t>3.项目筹资、融资：资金筹措融资风险。从规划到施工过程及项目前期工作都将投入大量资金，特别是施工阶段，项目投资有集中的特点，一旦资金来源中断，或供应不足将直接影响到项目的顺利实施，因此，投资风险属较大的风险。</w:t>
      </w:r>
    </w:p>
    <w:p w14:paraId="321A334C">
      <w:pPr>
        <w:pStyle w:val="4"/>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b/>
          <w:bCs/>
          <w:color w:val="auto"/>
          <w:sz w:val="24"/>
          <w:szCs w:val="24"/>
        </w:rPr>
      </w:pPr>
      <w:r>
        <w:rPr>
          <w:rFonts w:hint="eastAsia" w:ascii="黑体" w:hAnsi="黑体" w:eastAsia="黑体" w:cs="黑体"/>
          <w:b/>
          <w:bCs/>
          <w:color w:val="auto"/>
          <w:sz w:val="24"/>
          <w:szCs w:val="24"/>
        </w:rPr>
        <w:t>七、有关建议</w:t>
      </w:r>
      <w:bookmarkEnd w:id="20"/>
      <w:bookmarkStart w:id="21" w:name="_Toc68364676"/>
    </w:p>
    <w:p w14:paraId="67F12337">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val="0"/>
          <w:color w:val="000000"/>
          <w:kern w:val="0"/>
          <w:sz w:val="24"/>
          <w:szCs w:val="24"/>
          <w:highlight w:val="none"/>
          <w:lang w:val="en-US" w:eastAsia="zh-CN" w:bidi="ar-SA"/>
        </w:rPr>
      </w:pPr>
      <w:r>
        <w:rPr>
          <w:rFonts w:hint="eastAsia" w:ascii="宋体" w:hAnsi="宋体" w:eastAsia="宋体" w:cs="宋体"/>
          <w:b w:val="0"/>
          <w:bCs w:val="0"/>
          <w:color w:val="000000"/>
          <w:kern w:val="0"/>
          <w:sz w:val="24"/>
          <w:szCs w:val="24"/>
          <w:highlight w:val="none"/>
          <w:lang w:val="en-US" w:eastAsia="zh-CN" w:bidi="ar-SA"/>
        </w:rPr>
        <w:t>1.工程建设安全施工的风险，项目建设严格按照国家和相关技术规程要求进行施工；加强施工现场管理，避免出现工程事故；加强安全教育和宣传工作，确保施工正常有序进行。</w:t>
      </w:r>
    </w:p>
    <w:p w14:paraId="0E06B1C7">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val="0"/>
          <w:color w:val="000000"/>
          <w:kern w:val="0"/>
          <w:sz w:val="24"/>
          <w:szCs w:val="24"/>
          <w:highlight w:val="none"/>
          <w:lang w:val="en-US" w:eastAsia="zh-CN" w:bidi="ar-SA"/>
        </w:rPr>
      </w:pPr>
      <w:r>
        <w:rPr>
          <w:rFonts w:hint="eastAsia" w:ascii="宋体" w:hAnsi="宋体" w:eastAsia="宋体" w:cs="宋体"/>
          <w:b w:val="0"/>
          <w:bCs w:val="0"/>
          <w:color w:val="000000"/>
          <w:kern w:val="0"/>
          <w:sz w:val="24"/>
          <w:szCs w:val="24"/>
          <w:highlight w:val="none"/>
          <w:lang w:val="en-US" w:eastAsia="zh-CN" w:bidi="ar-SA"/>
        </w:rPr>
        <w:t>2.项目相关各个职能部门之间协调沟通是否顺畅有效的风险防范和化解措施，组建由政府牵头，成立项目协调领导小组，加强各个单位之间的沟通，及时解决工程建设中出现的问题。经常性召开各个部门之间的研讨会，及时了解各个单位的意见和建议。维持好各个部门之间的工作和业务对接，保障项目建设的顺利进行。</w:t>
      </w:r>
    </w:p>
    <w:p w14:paraId="213747EB">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val="0"/>
          <w:color w:val="000000"/>
          <w:kern w:val="0"/>
          <w:sz w:val="24"/>
          <w:szCs w:val="24"/>
          <w:highlight w:val="none"/>
          <w:lang w:val="en-US" w:eastAsia="zh-CN" w:bidi="ar-SA"/>
        </w:rPr>
      </w:pPr>
      <w:r>
        <w:rPr>
          <w:rFonts w:hint="eastAsia" w:ascii="宋体" w:hAnsi="宋体" w:eastAsia="宋体" w:cs="宋体"/>
          <w:b w:val="0"/>
          <w:bCs w:val="0"/>
          <w:color w:val="000000"/>
          <w:kern w:val="0"/>
          <w:sz w:val="24"/>
          <w:szCs w:val="24"/>
          <w:highlight w:val="none"/>
          <w:lang w:val="en-US" w:eastAsia="zh-CN" w:bidi="ar-SA"/>
        </w:rPr>
        <w:t>3.资金使用是否合理监管的风险防范和化解措施，本项目在资金使用上，严格按照项目建设计划，坚决执行资金跟随项目走的原则，不搞计划外工程项目。在资金管理上严格按照国家有关规定，实行专人管理、专户储存、专账核算，严格财经纪律，加强对项目资金的监管力度，按项目计划和施工进度投放资金，确保资金的专款专用。</w:t>
      </w:r>
    </w:p>
    <w:p w14:paraId="752E2FE5">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val="0"/>
          <w:color w:val="000000"/>
          <w:kern w:val="0"/>
          <w:sz w:val="24"/>
          <w:szCs w:val="24"/>
          <w:highlight w:val="none"/>
          <w:lang w:val="en-US" w:eastAsia="zh-CN" w:bidi="ar-SA"/>
        </w:rPr>
      </w:pPr>
      <w:r>
        <w:rPr>
          <w:rFonts w:hint="eastAsia" w:ascii="宋体" w:hAnsi="宋体" w:eastAsia="宋体" w:cs="宋体"/>
          <w:b w:val="0"/>
          <w:bCs w:val="0"/>
          <w:color w:val="000000"/>
          <w:kern w:val="0"/>
          <w:sz w:val="24"/>
          <w:szCs w:val="24"/>
          <w:highlight w:val="none"/>
          <w:lang w:val="en-US" w:eastAsia="zh-CN" w:bidi="ar-SA"/>
        </w:rPr>
        <w:t>4.做好相关项目资金的监管包括：专项账户监管、赔偿款发放监管，有效避免此类群体事件。</w:t>
      </w:r>
    </w:p>
    <w:p w14:paraId="6FBFE5EB">
      <w:pPr>
        <w:pStyle w:val="4"/>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b/>
          <w:bCs/>
          <w:color w:val="auto"/>
          <w:sz w:val="24"/>
          <w:szCs w:val="24"/>
        </w:rPr>
      </w:pPr>
      <w:r>
        <w:rPr>
          <w:rFonts w:hint="eastAsia" w:ascii="黑体" w:hAnsi="黑体" w:eastAsia="黑体" w:cs="黑体"/>
          <w:b/>
          <w:bCs/>
          <w:color w:val="auto"/>
          <w:sz w:val="24"/>
          <w:szCs w:val="24"/>
        </w:rPr>
        <w:t>八、其他需要说明的问题</w:t>
      </w:r>
      <w:bookmarkEnd w:id="21"/>
    </w:p>
    <w:p w14:paraId="60EC5268">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1.</w:t>
      </w:r>
      <w:r>
        <w:rPr>
          <w:rFonts w:hint="eastAsia" w:ascii="宋体" w:hAnsi="宋体" w:eastAsia="宋体" w:cs="宋体"/>
          <w:color w:val="000000"/>
          <w:sz w:val="24"/>
          <w:szCs w:val="24"/>
          <w:highlight w:val="none"/>
        </w:rPr>
        <w:t>本项目部分间接产生的效果无法准确在短期内衡量，因此很难认定项目产生的全部效果。通过指标来反映绩效，指标的科学性和全面性需要不断地完善和研究。</w:t>
      </w:r>
    </w:p>
    <w:p w14:paraId="3D3491EC">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2.</w:t>
      </w:r>
      <w:r>
        <w:rPr>
          <w:rFonts w:hint="eastAsia" w:ascii="宋体" w:hAnsi="宋体" w:eastAsia="宋体" w:cs="宋体"/>
          <w:color w:val="000000"/>
          <w:sz w:val="24"/>
          <w:szCs w:val="24"/>
          <w:highlight w:val="none"/>
        </w:rPr>
        <w:t>评价结果作为安排政府预算、完善政策和改进管理的重要依据。原则上，对评价等级为优、良的，根据情况予以支持；对评价等级为中、差的，要完善政策、改进管理，根据情况核减预算。</w:t>
      </w:r>
    </w:p>
    <w:p w14:paraId="7AF9D8A7">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3.</w:t>
      </w:r>
      <w:r>
        <w:rPr>
          <w:rFonts w:hint="eastAsia" w:ascii="宋体" w:hAnsi="宋体" w:eastAsia="宋体" w:cs="宋体"/>
          <w:color w:val="000000"/>
          <w:sz w:val="24"/>
          <w:szCs w:val="24"/>
          <w:highlight w:val="none"/>
        </w:rPr>
        <w:t>评价结果分别编入政府决算和部门预算，报送本级人民代表大会常务委员会，并依法予以公开。</w:t>
      </w:r>
    </w:p>
    <w:p w14:paraId="5DB7ACE5">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4.</w:t>
      </w:r>
      <w:r>
        <w:rPr>
          <w:rFonts w:hint="eastAsia" w:ascii="宋体" w:hAnsi="宋体" w:eastAsia="宋体" w:cs="宋体"/>
          <w:color w:val="000000"/>
          <w:sz w:val="24"/>
          <w:szCs w:val="24"/>
          <w:highlight w:val="none"/>
        </w:rPr>
        <w:t>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081993DB">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rPr>
        <w:t>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533B7806">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p>
    <w:p w14:paraId="217FEF0E">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附件1：洛浦县山普鲁中学建设项目绩效评价指标体系</w:t>
      </w:r>
    </w:p>
    <w:p w14:paraId="5F993C91">
      <w:pPr>
        <w:pageBreakBefore w:val="0"/>
        <w:kinsoku/>
        <w:wordWrap/>
        <w:topLinePunct w:val="0"/>
        <w:autoSpaceDE/>
        <w:autoSpaceDN/>
        <w:bidi w:val="0"/>
        <w:spacing w:line="360" w:lineRule="auto"/>
        <w:ind w:left="0" w:leftChars="0"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附件2：洛浦县山普鲁中学建设项目综合得分表</w:t>
      </w:r>
    </w:p>
    <w:p w14:paraId="2D53895D">
      <w:pPr>
        <w:pageBreakBefore w:val="0"/>
        <w:kinsoku/>
        <w:wordWrap/>
        <w:topLinePunct w:val="0"/>
        <w:autoSpaceDE/>
        <w:autoSpaceDN/>
        <w:bidi w:val="0"/>
        <w:spacing w:line="360" w:lineRule="auto"/>
        <w:ind w:left="0" w:leftChars="0"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附件3：满意度调查问分析情况</w:t>
      </w:r>
    </w:p>
    <w:p w14:paraId="06DD63B2">
      <w:pPr>
        <w:pStyle w:val="2"/>
        <w:ind w:left="0" w:leftChars="0" w:firstLine="0" w:firstLineChars="0"/>
        <w:rPr>
          <w:rFonts w:hint="eastAsia" w:ascii="宋体" w:hAnsi="宋体" w:eastAsia="宋体" w:cs="宋体"/>
          <w:color w:val="auto"/>
          <w:sz w:val="24"/>
          <w:szCs w:val="24"/>
        </w:rPr>
        <w:sectPr>
          <w:headerReference r:id="rId5" w:type="default"/>
          <w:footerReference r:id="rId6" w:type="default"/>
          <w:pgSz w:w="11906" w:h="16838"/>
          <w:pgMar w:top="1985" w:right="1531" w:bottom="1701" w:left="1531" w:header="851" w:footer="992" w:gutter="0"/>
          <w:pgNumType w:start="1"/>
          <w:cols w:space="720" w:num="1"/>
          <w:docGrid w:type="linesAndChars" w:linePitch="386" w:charSpace="0"/>
        </w:sectPr>
      </w:pPr>
    </w:p>
    <w:p w14:paraId="72EEF94B">
      <w:pPr>
        <w:pStyle w:val="2"/>
        <w:ind w:left="0" w:leftChars="0" w:firstLine="0" w:firstLineChars="0"/>
        <w:rPr>
          <w:rFonts w:hint="eastAsia" w:ascii="宋体" w:hAnsi="宋体" w:eastAsia="宋体" w:cs="宋体"/>
          <w:color w:val="auto"/>
          <w:sz w:val="24"/>
          <w:szCs w:val="24"/>
        </w:rPr>
      </w:pPr>
    </w:p>
    <w:tbl>
      <w:tblPr>
        <w:tblStyle w:val="23"/>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28"/>
        <w:gridCol w:w="559"/>
        <w:gridCol w:w="599"/>
        <w:gridCol w:w="532"/>
        <w:gridCol w:w="665"/>
        <w:gridCol w:w="505"/>
        <w:gridCol w:w="1918"/>
        <w:gridCol w:w="1320"/>
        <w:gridCol w:w="4641"/>
        <w:gridCol w:w="1248"/>
        <w:gridCol w:w="745"/>
      </w:tblGrid>
      <w:tr w14:paraId="4839A6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5" w:hRule="atLeast"/>
        </w:trPr>
        <w:tc>
          <w:tcPr>
            <w:tcW w:w="235" w:type="pct"/>
            <w:tcBorders>
              <w:top w:val="nil"/>
              <w:left w:val="nil"/>
              <w:bottom w:val="nil"/>
              <w:right w:val="nil"/>
            </w:tcBorders>
            <w:noWrap w:val="0"/>
            <w:vAlign w:val="center"/>
          </w:tcPr>
          <w:p w14:paraId="409B660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ascii="微软雅黑" w:hAnsi="微软雅黑" w:eastAsia="微软雅黑" w:cs="微软雅黑"/>
                <w:b/>
                <w:bCs/>
                <w:i w:val="0"/>
                <w:iCs w:val="0"/>
                <w:color w:val="000000"/>
                <w:sz w:val="36"/>
                <w:szCs w:val="36"/>
                <w:u w:val="none"/>
              </w:rPr>
            </w:pPr>
            <w:r>
              <w:rPr>
                <w:rFonts w:hint="eastAsia" w:ascii="宋体" w:hAnsi="宋体" w:eastAsia="宋体" w:cs="宋体"/>
                <w:i w:val="0"/>
                <w:iCs w:val="0"/>
                <w:color w:val="000000"/>
                <w:kern w:val="0"/>
                <w:sz w:val="21"/>
                <w:szCs w:val="21"/>
                <w:highlight w:val="none"/>
                <w:u w:val="none"/>
                <w:lang w:val="en-US" w:eastAsia="zh-CN"/>
              </w:rPr>
              <w:t>附件1：</w:t>
            </w:r>
          </w:p>
        </w:tc>
        <w:tc>
          <w:tcPr>
            <w:tcW w:w="209" w:type="pct"/>
            <w:tcBorders>
              <w:top w:val="nil"/>
              <w:left w:val="nil"/>
              <w:bottom w:val="nil"/>
              <w:right w:val="nil"/>
            </w:tcBorders>
            <w:noWrap w:val="0"/>
            <w:vAlign w:val="center"/>
          </w:tcPr>
          <w:p w14:paraId="1F2CF05C">
            <w:pPr>
              <w:jc w:val="center"/>
              <w:rPr>
                <w:rFonts w:hint="eastAsia" w:ascii="微软雅黑" w:hAnsi="微软雅黑" w:eastAsia="微软雅黑" w:cs="微软雅黑"/>
                <w:b/>
                <w:bCs/>
                <w:i w:val="0"/>
                <w:iCs w:val="0"/>
                <w:color w:val="000000"/>
                <w:sz w:val="36"/>
                <w:szCs w:val="36"/>
                <w:u w:val="none"/>
              </w:rPr>
            </w:pPr>
          </w:p>
        </w:tc>
        <w:tc>
          <w:tcPr>
            <w:tcW w:w="224" w:type="pct"/>
            <w:tcBorders>
              <w:top w:val="nil"/>
              <w:left w:val="nil"/>
              <w:bottom w:val="nil"/>
              <w:right w:val="nil"/>
            </w:tcBorders>
            <w:noWrap w:val="0"/>
            <w:vAlign w:val="center"/>
          </w:tcPr>
          <w:p w14:paraId="36A0989D">
            <w:pPr>
              <w:jc w:val="center"/>
              <w:rPr>
                <w:rFonts w:hint="eastAsia" w:ascii="微软雅黑" w:hAnsi="微软雅黑" w:eastAsia="微软雅黑" w:cs="微软雅黑"/>
                <w:b/>
                <w:bCs/>
                <w:i w:val="0"/>
                <w:iCs w:val="0"/>
                <w:color w:val="000000"/>
                <w:sz w:val="36"/>
                <w:szCs w:val="36"/>
                <w:u w:val="none"/>
              </w:rPr>
            </w:pPr>
          </w:p>
        </w:tc>
        <w:tc>
          <w:tcPr>
            <w:tcW w:w="199" w:type="pct"/>
            <w:tcBorders>
              <w:top w:val="nil"/>
              <w:left w:val="nil"/>
              <w:bottom w:val="nil"/>
              <w:right w:val="nil"/>
            </w:tcBorders>
            <w:noWrap w:val="0"/>
            <w:vAlign w:val="center"/>
          </w:tcPr>
          <w:p w14:paraId="08A33573">
            <w:pPr>
              <w:jc w:val="center"/>
              <w:rPr>
                <w:rFonts w:hint="eastAsia" w:ascii="微软雅黑" w:hAnsi="微软雅黑" w:eastAsia="微软雅黑" w:cs="微软雅黑"/>
                <w:b/>
                <w:bCs/>
                <w:i w:val="0"/>
                <w:iCs w:val="0"/>
                <w:color w:val="000000"/>
                <w:sz w:val="36"/>
                <w:szCs w:val="36"/>
                <w:u w:val="none"/>
              </w:rPr>
            </w:pPr>
          </w:p>
        </w:tc>
        <w:tc>
          <w:tcPr>
            <w:tcW w:w="249" w:type="pct"/>
            <w:tcBorders>
              <w:top w:val="nil"/>
              <w:left w:val="nil"/>
              <w:bottom w:val="nil"/>
              <w:right w:val="nil"/>
            </w:tcBorders>
            <w:noWrap w:val="0"/>
            <w:vAlign w:val="center"/>
          </w:tcPr>
          <w:p w14:paraId="1CF7A243">
            <w:pPr>
              <w:jc w:val="center"/>
              <w:rPr>
                <w:rFonts w:hint="eastAsia" w:ascii="微软雅黑" w:hAnsi="微软雅黑" w:eastAsia="微软雅黑" w:cs="微软雅黑"/>
                <w:b/>
                <w:bCs/>
                <w:i w:val="0"/>
                <w:iCs w:val="0"/>
                <w:color w:val="000000"/>
                <w:sz w:val="36"/>
                <w:szCs w:val="36"/>
                <w:u w:val="none"/>
              </w:rPr>
            </w:pPr>
          </w:p>
        </w:tc>
        <w:tc>
          <w:tcPr>
            <w:tcW w:w="189" w:type="pct"/>
            <w:tcBorders>
              <w:top w:val="nil"/>
              <w:left w:val="nil"/>
              <w:bottom w:val="nil"/>
              <w:right w:val="nil"/>
            </w:tcBorders>
            <w:noWrap w:val="0"/>
            <w:vAlign w:val="center"/>
          </w:tcPr>
          <w:p w14:paraId="777D2A27">
            <w:pPr>
              <w:jc w:val="center"/>
              <w:rPr>
                <w:rFonts w:hint="eastAsia" w:ascii="微软雅黑" w:hAnsi="微软雅黑" w:eastAsia="微软雅黑" w:cs="微软雅黑"/>
                <w:b/>
                <w:bCs/>
                <w:i w:val="0"/>
                <w:iCs w:val="0"/>
                <w:color w:val="000000"/>
                <w:sz w:val="36"/>
                <w:szCs w:val="36"/>
                <w:u w:val="none"/>
              </w:rPr>
            </w:pPr>
          </w:p>
        </w:tc>
        <w:tc>
          <w:tcPr>
            <w:tcW w:w="718" w:type="pct"/>
            <w:tcBorders>
              <w:top w:val="nil"/>
              <w:left w:val="nil"/>
              <w:bottom w:val="nil"/>
              <w:right w:val="nil"/>
            </w:tcBorders>
            <w:noWrap w:val="0"/>
            <w:vAlign w:val="center"/>
          </w:tcPr>
          <w:p w14:paraId="695D761F">
            <w:pPr>
              <w:jc w:val="center"/>
              <w:rPr>
                <w:rFonts w:hint="eastAsia" w:ascii="微软雅黑" w:hAnsi="微软雅黑" w:eastAsia="微软雅黑" w:cs="微软雅黑"/>
                <w:b/>
                <w:bCs/>
                <w:i w:val="0"/>
                <w:iCs w:val="0"/>
                <w:color w:val="000000"/>
                <w:sz w:val="36"/>
                <w:szCs w:val="36"/>
                <w:u w:val="none"/>
              </w:rPr>
            </w:pPr>
          </w:p>
        </w:tc>
        <w:tc>
          <w:tcPr>
            <w:tcW w:w="494" w:type="pct"/>
            <w:tcBorders>
              <w:top w:val="nil"/>
              <w:left w:val="nil"/>
              <w:bottom w:val="nil"/>
              <w:right w:val="nil"/>
            </w:tcBorders>
            <w:noWrap w:val="0"/>
            <w:vAlign w:val="center"/>
          </w:tcPr>
          <w:p w14:paraId="4F4CBC7B">
            <w:pPr>
              <w:jc w:val="center"/>
              <w:rPr>
                <w:rFonts w:hint="eastAsia" w:ascii="微软雅黑" w:hAnsi="微软雅黑" w:eastAsia="微软雅黑" w:cs="微软雅黑"/>
                <w:b/>
                <w:bCs/>
                <w:i w:val="0"/>
                <w:iCs w:val="0"/>
                <w:color w:val="000000"/>
                <w:sz w:val="36"/>
                <w:szCs w:val="36"/>
                <w:u w:val="none"/>
              </w:rPr>
            </w:pPr>
          </w:p>
        </w:tc>
        <w:tc>
          <w:tcPr>
            <w:tcW w:w="1737" w:type="pct"/>
            <w:tcBorders>
              <w:top w:val="nil"/>
              <w:left w:val="nil"/>
              <w:bottom w:val="nil"/>
              <w:right w:val="nil"/>
            </w:tcBorders>
            <w:noWrap w:val="0"/>
            <w:vAlign w:val="center"/>
          </w:tcPr>
          <w:p w14:paraId="03C4D903">
            <w:pPr>
              <w:jc w:val="center"/>
              <w:rPr>
                <w:rFonts w:hint="eastAsia" w:ascii="微软雅黑" w:hAnsi="微软雅黑" w:eastAsia="微软雅黑" w:cs="微软雅黑"/>
                <w:b/>
                <w:bCs/>
                <w:i w:val="0"/>
                <w:iCs w:val="0"/>
                <w:color w:val="000000"/>
                <w:sz w:val="36"/>
                <w:szCs w:val="36"/>
                <w:u w:val="none"/>
              </w:rPr>
            </w:pPr>
          </w:p>
        </w:tc>
        <w:tc>
          <w:tcPr>
            <w:tcW w:w="467" w:type="pct"/>
            <w:tcBorders>
              <w:top w:val="nil"/>
              <w:left w:val="nil"/>
              <w:bottom w:val="nil"/>
              <w:right w:val="nil"/>
            </w:tcBorders>
            <w:noWrap w:val="0"/>
            <w:vAlign w:val="center"/>
          </w:tcPr>
          <w:p w14:paraId="56B8FD2F">
            <w:pPr>
              <w:jc w:val="center"/>
              <w:rPr>
                <w:rFonts w:hint="eastAsia" w:ascii="微软雅黑" w:hAnsi="微软雅黑" w:eastAsia="微软雅黑" w:cs="微软雅黑"/>
                <w:b/>
                <w:bCs/>
                <w:i w:val="0"/>
                <w:iCs w:val="0"/>
                <w:color w:val="000000"/>
                <w:sz w:val="36"/>
                <w:szCs w:val="36"/>
                <w:u w:val="none"/>
              </w:rPr>
            </w:pPr>
          </w:p>
        </w:tc>
        <w:tc>
          <w:tcPr>
            <w:tcW w:w="273" w:type="pct"/>
            <w:tcBorders>
              <w:top w:val="nil"/>
              <w:left w:val="nil"/>
              <w:bottom w:val="nil"/>
              <w:right w:val="nil"/>
            </w:tcBorders>
            <w:noWrap w:val="0"/>
            <w:vAlign w:val="center"/>
          </w:tcPr>
          <w:p w14:paraId="1E3BB7A8">
            <w:pPr>
              <w:jc w:val="center"/>
              <w:rPr>
                <w:rFonts w:hint="eastAsia" w:ascii="微软雅黑" w:hAnsi="微软雅黑" w:eastAsia="微软雅黑" w:cs="微软雅黑"/>
                <w:b/>
                <w:bCs/>
                <w:i w:val="0"/>
                <w:iCs w:val="0"/>
                <w:color w:val="000000"/>
                <w:sz w:val="36"/>
                <w:szCs w:val="36"/>
                <w:u w:val="none"/>
              </w:rPr>
            </w:pPr>
          </w:p>
        </w:tc>
      </w:tr>
      <w:tr w14:paraId="5B7FBF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5" w:hRule="atLeast"/>
        </w:trPr>
        <w:tc>
          <w:tcPr>
            <w:tcW w:w="5000" w:type="pct"/>
            <w:gridSpan w:val="11"/>
            <w:tcBorders>
              <w:top w:val="nil"/>
              <w:left w:val="nil"/>
              <w:bottom w:val="nil"/>
              <w:right w:val="nil"/>
            </w:tcBorders>
            <w:noWrap w:val="0"/>
            <w:vAlign w:val="center"/>
          </w:tcPr>
          <w:p w14:paraId="038BDE8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微软雅黑" w:hAnsi="微软雅黑" w:eastAsia="微软雅黑" w:cs="微软雅黑"/>
                <w:b/>
                <w:bCs/>
                <w:i w:val="0"/>
                <w:iCs w:val="0"/>
                <w:color w:val="000000"/>
                <w:sz w:val="36"/>
                <w:szCs w:val="36"/>
                <w:u w:val="none"/>
              </w:rPr>
            </w:pPr>
            <w:r>
              <w:rPr>
                <w:rFonts w:hint="eastAsia" w:ascii="宋体" w:hAnsi="宋体" w:eastAsia="宋体" w:cs="宋体"/>
                <w:b/>
                <w:bCs/>
                <w:i w:val="0"/>
                <w:iCs w:val="0"/>
                <w:color w:val="000000"/>
                <w:kern w:val="0"/>
                <w:sz w:val="24"/>
                <w:szCs w:val="24"/>
                <w:highlight w:val="none"/>
                <w:u w:val="none"/>
                <w:lang w:val="en-US" w:eastAsia="zh-CN"/>
              </w:rPr>
              <w:t>和田地区洛浦县山普鲁中学建设项目绩效评价指标体系综合评分表</w:t>
            </w:r>
          </w:p>
        </w:tc>
      </w:tr>
      <w:tr w14:paraId="30048B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4" w:hRule="atLeast"/>
        </w:trPr>
        <w:tc>
          <w:tcPr>
            <w:tcW w:w="235" w:type="pct"/>
            <w:tcBorders>
              <w:top w:val="single" w:color="auto" w:sz="4" w:space="0"/>
              <w:left w:val="single" w:color="auto" w:sz="4" w:space="0"/>
              <w:bottom w:val="single" w:color="auto" w:sz="4" w:space="0"/>
              <w:right w:val="single" w:color="auto" w:sz="4" w:space="0"/>
            </w:tcBorders>
            <w:noWrap w:val="0"/>
            <w:vAlign w:val="center"/>
          </w:tcPr>
          <w:p w14:paraId="0F92BED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kern w:val="0"/>
                <w:sz w:val="18"/>
                <w:szCs w:val="18"/>
                <w:highlight w:val="none"/>
                <w:u w:val="none"/>
                <w:lang w:val="en-US" w:eastAsia="zh-CN"/>
              </w:rPr>
            </w:pPr>
            <w:r>
              <w:rPr>
                <w:rFonts w:hint="eastAsia" w:ascii="宋体" w:hAnsi="宋体" w:eastAsia="宋体" w:cs="宋体"/>
                <w:b/>
                <w:bCs/>
                <w:i w:val="0"/>
                <w:iCs w:val="0"/>
                <w:color w:val="000000"/>
                <w:kern w:val="0"/>
                <w:sz w:val="18"/>
                <w:szCs w:val="18"/>
                <w:highlight w:val="none"/>
                <w:u w:val="none"/>
                <w:lang w:val="en-US" w:eastAsia="zh-CN"/>
              </w:rPr>
              <w:t>一级指标</w:t>
            </w:r>
          </w:p>
        </w:tc>
        <w:tc>
          <w:tcPr>
            <w:tcW w:w="209" w:type="pct"/>
            <w:tcBorders>
              <w:top w:val="single" w:color="auto" w:sz="4" w:space="0"/>
              <w:left w:val="single" w:color="auto" w:sz="4" w:space="0"/>
              <w:bottom w:val="single" w:color="auto" w:sz="4" w:space="0"/>
              <w:right w:val="single" w:color="auto" w:sz="4" w:space="0"/>
            </w:tcBorders>
            <w:noWrap w:val="0"/>
            <w:vAlign w:val="center"/>
          </w:tcPr>
          <w:p w14:paraId="40577A0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kern w:val="0"/>
                <w:sz w:val="18"/>
                <w:szCs w:val="18"/>
                <w:highlight w:val="none"/>
                <w:u w:val="none"/>
                <w:lang w:val="en-US" w:eastAsia="zh-CN"/>
              </w:rPr>
            </w:pPr>
            <w:r>
              <w:rPr>
                <w:rFonts w:hint="eastAsia" w:ascii="宋体" w:hAnsi="宋体" w:eastAsia="宋体" w:cs="宋体"/>
                <w:b/>
                <w:bCs/>
                <w:i w:val="0"/>
                <w:iCs w:val="0"/>
                <w:color w:val="000000"/>
                <w:kern w:val="0"/>
                <w:sz w:val="18"/>
                <w:szCs w:val="18"/>
                <w:highlight w:val="none"/>
                <w:u w:val="none"/>
                <w:lang w:val="en-US" w:eastAsia="zh-CN"/>
              </w:rPr>
              <w:t>分值</w:t>
            </w:r>
          </w:p>
        </w:tc>
        <w:tc>
          <w:tcPr>
            <w:tcW w:w="224" w:type="pct"/>
            <w:tcBorders>
              <w:top w:val="single" w:color="auto" w:sz="4" w:space="0"/>
              <w:left w:val="single" w:color="auto" w:sz="4" w:space="0"/>
              <w:bottom w:val="single" w:color="auto" w:sz="4" w:space="0"/>
              <w:right w:val="single" w:color="auto" w:sz="4" w:space="0"/>
            </w:tcBorders>
            <w:noWrap w:val="0"/>
            <w:vAlign w:val="center"/>
          </w:tcPr>
          <w:p w14:paraId="7827BB4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kern w:val="0"/>
                <w:sz w:val="18"/>
                <w:szCs w:val="18"/>
                <w:highlight w:val="none"/>
                <w:u w:val="none"/>
                <w:lang w:val="en-US" w:eastAsia="zh-CN"/>
              </w:rPr>
            </w:pPr>
            <w:r>
              <w:rPr>
                <w:rFonts w:hint="eastAsia" w:ascii="宋体" w:hAnsi="宋体" w:eastAsia="宋体" w:cs="宋体"/>
                <w:b/>
                <w:bCs/>
                <w:i w:val="0"/>
                <w:iCs w:val="0"/>
                <w:color w:val="000000"/>
                <w:kern w:val="0"/>
                <w:sz w:val="18"/>
                <w:szCs w:val="18"/>
                <w:highlight w:val="none"/>
                <w:u w:val="none"/>
                <w:lang w:val="en-US" w:eastAsia="zh-CN"/>
              </w:rPr>
              <w:t>二级指标</w:t>
            </w:r>
          </w:p>
        </w:tc>
        <w:tc>
          <w:tcPr>
            <w:tcW w:w="199" w:type="pct"/>
            <w:tcBorders>
              <w:top w:val="single" w:color="auto" w:sz="4" w:space="0"/>
              <w:left w:val="single" w:color="auto" w:sz="4" w:space="0"/>
              <w:bottom w:val="single" w:color="auto" w:sz="4" w:space="0"/>
              <w:right w:val="single" w:color="auto" w:sz="4" w:space="0"/>
            </w:tcBorders>
            <w:noWrap w:val="0"/>
            <w:vAlign w:val="center"/>
          </w:tcPr>
          <w:p w14:paraId="2809E6B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kern w:val="0"/>
                <w:sz w:val="18"/>
                <w:szCs w:val="18"/>
                <w:highlight w:val="none"/>
                <w:u w:val="none"/>
                <w:lang w:val="en-US" w:eastAsia="zh-CN"/>
              </w:rPr>
            </w:pPr>
            <w:r>
              <w:rPr>
                <w:rFonts w:hint="eastAsia" w:ascii="宋体" w:hAnsi="宋体" w:eastAsia="宋体" w:cs="宋体"/>
                <w:b/>
                <w:bCs/>
                <w:i w:val="0"/>
                <w:iCs w:val="0"/>
                <w:color w:val="000000"/>
                <w:kern w:val="0"/>
                <w:sz w:val="18"/>
                <w:szCs w:val="18"/>
                <w:highlight w:val="none"/>
                <w:u w:val="none"/>
                <w:lang w:val="en-US" w:eastAsia="zh-CN"/>
              </w:rPr>
              <w:t>分值</w:t>
            </w:r>
          </w:p>
        </w:tc>
        <w:tc>
          <w:tcPr>
            <w:tcW w:w="249" w:type="pct"/>
            <w:tcBorders>
              <w:top w:val="single" w:color="auto" w:sz="4" w:space="0"/>
              <w:left w:val="single" w:color="auto" w:sz="4" w:space="0"/>
              <w:bottom w:val="single" w:color="auto" w:sz="4" w:space="0"/>
              <w:right w:val="single" w:color="auto" w:sz="4" w:space="0"/>
            </w:tcBorders>
            <w:noWrap w:val="0"/>
            <w:vAlign w:val="center"/>
          </w:tcPr>
          <w:p w14:paraId="35482A5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kern w:val="0"/>
                <w:sz w:val="18"/>
                <w:szCs w:val="18"/>
                <w:highlight w:val="none"/>
                <w:u w:val="none"/>
                <w:lang w:val="en-US" w:eastAsia="zh-CN"/>
              </w:rPr>
            </w:pPr>
            <w:r>
              <w:rPr>
                <w:rFonts w:hint="eastAsia" w:ascii="宋体" w:hAnsi="宋体" w:eastAsia="宋体" w:cs="宋体"/>
                <w:b/>
                <w:bCs/>
                <w:i w:val="0"/>
                <w:iCs w:val="0"/>
                <w:color w:val="000000"/>
                <w:kern w:val="0"/>
                <w:sz w:val="18"/>
                <w:szCs w:val="18"/>
                <w:highlight w:val="none"/>
                <w:u w:val="none"/>
                <w:lang w:val="en-US" w:eastAsia="zh-CN"/>
              </w:rPr>
              <w:t>三级指标</w:t>
            </w:r>
          </w:p>
        </w:tc>
        <w:tc>
          <w:tcPr>
            <w:tcW w:w="189" w:type="pct"/>
            <w:tcBorders>
              <w:top w:val="single" w:color="auto" w:sz="4" w:space="0"/>
              <w:left w:val="single" w:color="auto" w:sz="4" w:space="0"/>
              <w:bottom w:val="single" w:color="auto" w:sz="4" w:space="0"/>
              <w:right w:val="single" w:color="auto" w:sz="4" w:space="0"/>
            </w:tcBorders>
            <w:noWrap w:val="0"/>
            <w:vAlign w:val="center"/>
          </w:tcPr>
          <w:p w14:paraId="532A6FC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kern w:val="0"/>
                <w:sz w:val="18"/>
                <w:szCs w:val="18"/>
                <w:highlight w:val="none"/>
                <w:u w:val="none"/>
                <w:lang w:val="en-US" w:eastAsia="zh-CN"/>
              </w:rPr>
            </w:pPr>
            <w:r>
              <w:rPr>
                <w:rFonts w:hint="eastAsia" w:ascii="宋体" w:hAnsi="宋体" w:eastAsia="宋体" w:cs="宋体"/>
                <w:b/>
                <w:bCs/>
                <w:i w:val="0"/>
                <w:iCs w:val="0"/>
                <w:color w:val="000000"/>
                <w:kern w:val="0"/>
                <w:sz w:val="18"/>
                <w:szCs w:val="18"/>
                <w:highlight w:val="none"/>
                <w:u w:val="none"/>
                <w:lang w:val="en-US" w:eastAsia="zh-CN"/>
              </w:rPr>
              <w:t>分值</w:t>
            </w:r>
          </w:p>
        </w:tc>
        <w:tc>
          <w:tcPr>
            <w:tcW w:w="718" w:type="pct"/>
            <w:tcBorders>
              <w:top w:val="single" w:color="auto" w:sz="4" w:space="0"/>
              <w:left w:val="single" w:color="auto" w:sz="4" w:space="0"/>
              <w:bottom w:val="single" w:color="auto" w:sz="4" w:space="0"/>
              <w:right w:val="single" w:color="auto" w:sz="4" w:space="0"/>
            </w:tcBorders>
            <w:noWrap w:val="0"/>
            <w:vAlign w:val="center"/>
          </w:tcPr>
          <w:p w14:paraId="5ABDBCE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kern w:val="0"/>
                <w:sz w:val="18"/>
                <w:szCs w:val="18"/>
                <w:highlight w:val="none"/>
                <w:u w:val="none"/>
                <w:lang w:val="en-US" w:eastAsia="zh-CN"/>
              </w:rPr>
            </w:pPr>
            <w:r>
              <w:rPr>
                <w:rFonts w:hint="eastAsia" w:ascii="宋体" w:hAnsi="宋体" w:eastAsia="宋体" w:cs="宋体"/>
                <w:b/>
                <w:bCs/>
                <w:i w:val="0"/>
                <w:iCs w:val="0"/>
                <w:color w:val="000000"/>
                <w:kern w:val="0"/>
                <w:sz w:val="18"/>
                <w:szCs w:val="18"/>
                <w:highlight w:val="none"/>
                <w:u w:val="none"/>
                <w:lang w:val="en-US" w:eastAsia="zh-CN"/>
              </w:rPr>
              <w:t>指标解释</w:t>
            </w:r>
          </w:p>
        </w:tc>
        <w:tc>
          <w:tcPr>
            <w:tcW w:w="494" w:type="pct"/>
            <w:tcBorders>
              <w:top w:val="single" w:color="auto" w:sz="4" w:space="0"/>
              <w:left w:val="single" w:color="auto" w:sz="4" w:space="0"/>
              <w:bottom w:val="single" w:color="auto" w:sz="4" w:space="0"/>
              <w:right w:val="single" w:color="auto" w:sz="4" w:space="0"/>
            </w:tcBorders>
            <w:noWrap w:val="0"/>
            <w:vAlign w:val="center"/>
          </w:tcPr>
          <w:p w14:paraId="0BDD6FC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kern w:val="0"/>
                <w:sz w:val="18"/>
                <w:szCs w:val="18"/>
                <w:highlight w:val="none"/>
                <w:u w:val="none"/>
                <w:lang w:val="en-US" w:eastAsia="zh-CN"/>
              </w:rPr>
            </w:pPr>
            <w:r>
              <w:rPr>
                <w:rFonts w:hint="eastAsia" w:ascii="宋体" w:hAnsi="宋体" w:eastAsia="宋体" w:cs="宋体"/>
                <w:b/>
                <w:bCs/>
                <w:i w:val="0"/>
                <w:iCs w:val="0"/>
                <w:color w:val="000000"/>
                <w:kern w:val="0"/>
                <w:sz w:val="18"/>
                <w:szCs w:val="18"/>
                <w:highlight w:val="none"/>
                <w:u w:val="none"/>
                <w:lang w:val="en-US" w:eastAsia="zh-CN"/>
              </w:rPr>
              <w:t>标杆值</w:t>
            </w:r>
          </w:p>
        </w:tc>
        <w:tc>
          <w:tcPr>
            <w:tcW w:w="1737" w:type="pct"/>
            <w:tcBorders>
              <w:top w:val="single" w:color="auto" w:sz="4" w:space="0"/>
              <w:left w:val="single" w:color="auto" w:sz="4" w:space="0"/>
              <w:bottom w:val="single" w:color="auto" w:sz="4" w:space="0"/>
              <w:right w:val="single" w:color="auto" w:sz="4" w:space="0"/>
            </w:tcBorders>
            <w:noWrap w:val="0"/>
            <w:vAlign w:val="center"/>
          </w:tcPr>
          <w:p w14:paraId="2AB4410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kern w:val="0"/>
                <w:sz w:val="18"/>
                <w:szCs w:val="18"/>
                <w:highlight w:val="none"/>
                <w:u w:val="none"/>
                <w:lang w:val="en-US" w:eastAsia="zh-CN"/>
              </w:rPr>
            </w:pPr>
            <w:r>
              <w:rPr>
                <w:rFonts w:hint="eastAsia" w:ascii="宋体" w:hAnsi="宋体" w:eastAsia="宋体" w:cs="宋体"/>
                <w:b/>
                <w:bCs/>
                <w:i w:val="0"/>
                <w:iCs w:val="0"/>
                <w:color w:val="000000"/>
                <w:kern w:val="0"/>
                <w:sz w:val="18"/>
                <w:szCs w:val="18"/>
                <w:highlight w:val="none"/>
                <w:u w:val="none"/>
                <w:lang w:val="en-US" w:eastAsia="zh-CN"/>
              </w:rPr>
              <w:t>评分标准</w:t>
            </w:r>
          </w:p>
        </w:tc>
        <w:tc>
          <w:tcPr>
            <w:tcW w:w="467" w:type="pct"/>
            <w:tcBorders>
              <w:top w:val="single" w:color="auto" w:sz="4" w:space="0"/>
              <w:left w:val="single" w:color="auto" w:sz="4" w:space="0"/>
              <w:bottom w:val="single" w:color="auto" w:sz="4" w:space="0"/>
              <w:right w:val="single" w:color="auto" w:sz="4" w:space="0"/>
            </w:tcBorders>
            <w:noWrap w:val="0"/>
            <w:vAlign w:val="center"/>
          </w:tcPr>
          <w:p w14:paraId="0D6BB0E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kern w:val="0"/>
                <w:sz w:val="18"/>
                <w:szCs w:val="18"/>
                <w:highlight w:val="none"/>
                <w:u w:val="none"/>
                <w:lang w:val="en-US" w:eastAsia="zh-CN"/>
              </w:rPr>
            </w:pPr>
            <w:r>
              <w:rPr>
                <w:rFonts w:hint="eastAsia" w:ascii="宋体" w:hAnsi="宋体" w:eastAsia="宋体" w:cs="宋体"/>
                <w:b/>
                <w:bCs/>
                <w:i w:val="0"/>
                <w:iCs w:val="0"/>
                <w:color w:val="000000"/>
                <w:kern w:val="0"/>
                <w:sz w:val="18"/>
                <w:szCs w:val="18"/>
                <w:highlight w:val="none"/>
                <w:u w:val="none"/>
                <w:lang w:val="en-US" w:eastAsia="zh-CN"/>
              </w:rPr>
              <w:t>完成值</w:t>
            </w:r>
          </w:p>
        </w:tc>
        <w:tc>
          <w:tcPr>
            <w:tcW w:w="273" w:type="pct"/>
            <w:tcBorders>
              <w:top w:val="single" w:color="auto" w:sz="4" w:space="0"/>
              <w:left w:val="single" w:color="auto" w:sz="4" w:space="0"/>
              <w:bottom w:val="single" w:color="auto" w:sz="4" w:space="0"/>
              <w:right w:val="single" w:color="auto" w:sz="4" w:space="0"/>
            </w:tcBorders>
            <w:noWrap w:val="0"/>
            <w:vAlign w:val="center"/>
          </w:tcPr>
          <w:p w14:paraId="1B6BDD4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kern w:val="0"/>
                <w:sz w:val="18"/>
                <w:szCs w:val="18"/>
                <w:highlight w:val="none"/>
                <w:u w:val="none"/>
                <w:lang w:val="en-US" w:eastAsia="zh-CN"/>
              </w:rPr>
            </w:pPr>
            <w:r>
              <w:rPr>
                <w:rFonts w:hint="eastAsia" w:ascii="宋体" w:hAnsi="宋体" w:eastAsia="宋体" w:cs="宋体"/>
                <w:b/>
                <w:bCs/>
                <w:i w:val="0"/>
                <w:iCs w:val="0"/>
                <w:color w:val="000000"/>
                <w:kern w:val="0"/>
                <w:sz w:val="18"/>
                <w:szCs w:val="18"/>
                <w:highlight w:val="none"/>
                <w:u w:val="none"/>
                <w:lang w:val="en-US" w:eastAsia="zh-CN"/>
              </w:rPr>
              <w:t>得分</w:t>
            </w:r>
          </w:p>
        </w:tc>
      </w:tr>
      <w:tr w14:paraId="25BC6D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35" w:type="pct"/>
            <w:vMerge w:val="restart"/>
            <w:tcBorders>
              <w:top w:val="single" w:color="auto" w:sz="4" w:space="0"/>
              <w:left w:val="single" w:color="auto" w:sz="4" w:space="0"/>
              <w:bottom w:val="single" w:color="auto" w:sz="4" w:space="0"/>
              <w:right w:val="single" w:color="auto" w:sz="4" w:space="0"/>
            </w:tcBorders>
            <w:noWrap w:val="0"/>
            <w:vAlign w:val="center"/>
          </w:tcPr>
          <w:p w14:paraId="61D952E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项目决策</w:t>
            </w:r>
          </w:p>
        </w:tc>
        <w:tc>
          <w:tcPr>
            <w:tcW w:w="209" w:type="pct"/>
            <w:vMerge w:val="restart"/>
            <w:tcBorders>
              <w:top w:val="single" w:color="auto" w:sz="4" w:space="0"/>
              <w:left w:val="single" w:color="auto" w:sz="4" w:space="0"/>
              <w:bottom w:val="single" w:color="auto" w:sz="4" w:space="0"/>
              <w:right w:val="single" w:color="auto" w:sz="4" w:space="0"/>
            </w:tcBorders>
            <w:noWrap w:val="0"/>
            <w:vAlign w:val="center"/>
          </w:tcPr>
          <w:p w14:paraId="13B14F7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23</w:t>
            </w:r>
          </w:p>
        </w:tc>
        <w:tc>
          <w:tcPr>
            <w:tcW w:w="224" w:type="pct"/>
            <w:vMerge w:val="restart"/>
            <w:tcBorders>
              <w:top w:val="single" w:color="auto" w:sz="4" w:space="0"/>
              <w:left w:val="single" w:color="auto" w:sz="4" w:space="0"/>
              <w:bottom w:val="single" w:color="auto" w:sz="4" w:space="0"/>
              <w:right w:val="single" w:color="auto" w:sz="4" w:space="0"/>
            </w:tcBorders>
            <w:noWrap w:val="0"/>
            <w:vAlign w:val="center"/>
          </w:tcPr>
          <w:p w14:paraId="2555A99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项目立项</w:t>
            </w:r>
          </w:p>
        </w:tc>
        <w:tc>
          <w:tcPr>
            <w:tcW w:w="199" w:type="pct"/>
            <w:vMerge w:val="restart"/>
            <w:tcBorders>
              <w:top w:val="single" w:color="auto" w:sz="4" w:space="0"/>
              <w:left w:val="single" w:color="auto" w:sz="4" w:space="0"/>
              <w:bottom w:val="single" w:color="auto" w:sz="4" w:space="0"/>
              <w:right w:val="single" w:color="auto" w:sz="4" w:space="0"/>
            </w:tcBorders>
            <w:noWrap w:val="0"/>
            <w:vAlign w:val="center"/>
          </w:tcPr>
          <w:p w14:paraId="79A79B8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5</w:t>
            </w:r>
          </w:p>
        </w:tc>
        <w:tc>
          <w:tcPr>
            <w:tcW w:w="249" w:type="pct"/>
            <w:tcBorders>
              <w:top w:val="single" w:color="auto" w:sz="4" w:space="0"/>
              <w:left w:val="single" w:color="auto" w:sz="4" w:space="0"/>
              <w:bottom w:val="single" w:color="auto" w:sz="4" w:space="0"/>
              <w:right w:val="single" w:color="auto" w:sz="4" w:space="0"/>
            </w:tcBorders>
            <w:noWrap w:val="0"/>
            <w:vAlign w:val="center"/>
          </w:tcPr>
          <w:p w14:paraId="166D5DD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立项依据充分性</w:t>
            </w:r>
          </w:p>
        </w:tc>
        <w:tc>
          <w:tcPr>
            <w:tcW w:w="189" w:type="pct"/>
            <w:tcBorders>
              <w:top w:val="single" w:color="auto" w:sz="4" w:space="0"/>
              <w:left w:val="single" w:color="auto" w:sz="4" w:space="0"/>
              <w:bottom w:val="single" w:color="auto" w:sz="4" w:space="0"/>
              <w:right w:val="single" w:color="auto" w:sz="4" w:space="0"/>
            </w:tcBorders>
            <w:noWrap w:val="0"/>
            <w:vAlign w:val="center"/>
          </w:tcPr>
          <w:p w14:paraId="3794FF7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2</w:t>
            </w:r>
          </w:p>
        </w:tc>
        <w:tc>
          <w:tcPr>
            <w:tcW w:w="718" w:type="pct"/>
            <w:tcBorders>
              <w:top w:val="single" w:color="auto" w:sz="4" w:space="0"/>
              <w:left w:val="single" w:color="auto" w:sz="4" w:space="0"/>
              <w:bottom w:val="single" w:color="auto" w:sz="4" w:space="0"/>
              <w:right w:val="single" w:color="auto" w:sz="4" w:space="0"/>
            </w:tcBorders>
            <w:noWrap w:val="0"/>
            <w:vAlign w:val="center"/>
          </w:tcPr>
          <w:p w14:paraId="3A10358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项目立项是否符合法律法规、相关政策、发展规划以及部门职责，用以反映和考核项目立项依据情况。</w:t>
            </w:r>
          </w:p>
        </w:tc>
        <w:tc>
          <w:tcPr>
            <w:tcW w:w="494" w:type="pct"/>
            <w:tcBorders>
              <w:top w:val="single" w:color="auto" w:sz="4" w:space="0"/>
              <w:left w:val="single" w:color="auto" w:sz="4" w:space="0"/>
              <w:bottom w:val="single" w:color="auto" w:sz="4" w:space="0"/>
              <w:right w:val="single" w:color="auto" w:sz="4" w:space="0"/>
            </w:tcBorders>
            <w:noWrap w:val="0"/>
            <w:vAlign w:val="center"/>
          </w:tcPr>
          <w:p w14:paraId="6EBC177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充分</w:t>
            </w:r>
          </w:p>
        </w:tc>
        <w:tc>
          <w:tcPr>
            <w:tcW w:w="1737" w:type="pct"/>
            <w:tcBorders>
              <w:top w:val="single" w:color="auto" w:sz="4" w:space="0"/>
              <w:left w:val="single" w:color="auto" w:sz="4" w:space="0"/>
              <w:bottom w:val="single" w:color="auto" w:sz="4" w:space="0"/>
              <w:right w:val="single" w:color="auto" w:sz="4" w:space="0"/>
            </w:tcBorders>
            <w:noWrap w:val="0"/>
            <w:vAlign w:val="center"/>
          </w:tcPr>
          <w:p w14:paraId="5B6F201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①项目立项是否符合国家法律法规、国民经济发展规划和相关政策；</w:t>
            </w:r>
          </w:p>
          <w:p w14:paraId="24C06A6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②项目立项是否符合行业发展规划和政策要求；</w:t>
            </w:r>
          </w:p>
          <w:p w14:paraId="66D9D69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③项目立项是否与部门职责范围相符，属于部门履职所需；</w:t>
            </w:r>
          </w:p>
          <w:p w14:paraId="33B0E05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④项目是否属于公共财政支持范围，是否符合中央、地方事权支出责任划分原则；</w:t>
            </w:r>
          </w:p>
          <w:p w14:paraId="4EE3180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⑤项目是否与相关部门同类项目或部门内部相关项目重复。</w:t>
            </w:r>
          </w:p>
          <w:p w14:paraId="74A0204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以上每条要素占权重分的20%，每有一条不符合，扣除对应权重分，扣完为止。</w:t>
            </w:r>
          </w:p>
        </w:tc>
        <w:tc>
          <w:tcPr>
            <w:tcW w:w="467" w:type="pct"/>
            <w:tcBorders>
              <w:top w:val="single" w:color="auto" w:sz="4" w:space="0"/>
              <w:left w:val="single" w:color="auto" w:sz="4" w:space="0"/>
              <w:bottom w:val="single" w:color="auto" w:sz="4" w:space="0"/>
              <w:right w:val="single" w:color="auto" w:sz="4" w:space="0"/>
            </w:tcBorders>
            <w:noWrap w:val="0"/>
            <w:vAlign w:val="center"/>
          </w:tcPr>
          <w:p w14:paraId="259AAE4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充分</w:t>
            </w:r>
          </w:p>
        </w:tc>
        <w:tc>
          <w:tcPr>
            <w:tcW w:w="273" w:type="pct"/>
            <w:tcBorders>
              <w:top w:val="single" w:color="auto" w:sz="4" w:space="0"/>
              <w:left w:val="single" w:color="auto" w:sz="4" w:space="0"/>
              <w:bottom w:val="single" w:color="auto" w:sz="4" w:space="0"/>
              <w:right w:val="single" w:color="auto" w:sz="4" w:space="0"/>
            </w:tcBorders>
            <w:noWrap w:val="0"/>
            <w:vAlign w:val="center"/>
          </w:tcPr>
          <w:p w14:paraId="677B747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2</w:t>
            </w:r>
          </w:p>
        </w:tc>
      </w:tr>
      <w:tr w14:paraId="0E77F2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30" w:hRule="atLeast"/>
        </w:trPr>
        <w:tc>
          <w:tcPr>
            <w:tcW w:w="235" w:type="pct"/>
            <w:vMerge w:val="continue"/>
            <w:tcBorders>
              <w:top w:val="single" w:color="auto" w:sz="4" w:space="0"/>
              <w:left w:val="single" w:color="auto" w:sz="4" w:space="0"/>
              <w:bottom w:val="single" w:color="auto" w:sz="4" w:space="0"/>
              <w:right w:val="single" w:color="auto" w:sz="4" w:space="0"/>
            </w:tcBorders>
            <w:noWrap w:val="0"/>
            <w:vAlign w:val="center"/>
          </w:tcPr>
          <w:p w14:paraId="079E09F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209" w:type="pct"/>
            <w:vMerge w:val="continue"/>
            <w:tcBorders>
              <w:top w:val="single" w:color="auto" w:sz="4" w:space="0"/>
              <w:left w:val="single" w:color="auto" w:sz="4" w:space="0"/>
              <w:bottom w:val="single" w:color="auto" w:sz="4" w:space="0"/>
              <w:right w:val="single" w:color="auto" w:sz="4" w:space="0"/>
            </w:tcBorders>
            <w:noWrap w:val="0"/>
            <w:vAlign w:val="center"/>
          </w:tcPr>
          <w:p w14:paraId="0A8242C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224" w:type="pct"/>
            <w:vMerge w:val="continue"/>
            <w:tcBorders>
              <w:top w:val="single" w:color="auto" w:sz="4" w:space="0"/>
              <w:left w:val="single" w:color="auto" w:sz="4" w:space="0"/>
              <w:bottom w:val="single" w:color="auto" w:sz="4" w:space="0"/>
              <w:right w:val="single" w:color="auto" w:sz="4" w:space="0"/>
            </w:tcBorders>
            <w:noWrap w:val="0"/>
            <w:vAlign w:val="center"/>
          </w:tcPr>
          <w:p w14:paraId="40B4C11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199" w:type="pct"/>
            <w:vMerge w:val="continue"/>
            <w:tcBorders>
              <w:top w:val="single" w:color="auto" w:sz="4" w:space="0"/>
              <w:left w:val="single" w:color="auto" w:sz="4" w:space="0"/>
              <w:bottom w:val="single" w:color="auto" w:sz="4" w:space="0"/>
              <w:right w:val="single" w:color="auto" w:sz="4" w:space="0"/>
            </w:tcBorders>
            <w:noWrap w:val="0"/>
            <w:vAlign w:val="center"/>
          </w:tcPr>
          <w:p w14:paraId="002BEFC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249" w:type="pct"/>
            <w:tcBorders>
              <w:top w:val="single" w:color="auto" w:sz="4" w:space="0"/>
              <w:left w:val="single" w:color="auto" w:sz="4" w:space="0"/>
              <w:bottom w:val="single" w:color="auto" w:sz="4" w:space="0"/>
              <w:right w:val="single" w:color="auto" w:sz="4" w:space="0"/>
            </w:tcBorders>
            <w:noWrap w:val="0"/>
            <w:vAlign w:val="center"/>
          </w:tcPr>
          <w:p w14:paraId="0424441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立项程序规范性</w:t>
            </w:r>
          </w:p>
        </w:tc>
        <w:tc>
          <w:tcPr>
            <w:tcW w:w="189" w:type="pct"/>
            <w:tcBorders>
              <w:top w:val="single" w:color="auto" w:sz="4" w:space="0"/>
              <w:left w:val="single" w:color="auto" w:sz="4" w:space="0"/>
              <w:bottom w:val="single" w:color="auto" w:sz="4" w:space="0"/>
              <w:right w:val="single" w:color="auto" w:sz="4" w:space="0"/>
            </w:tcBorders>
            <w:noWrap w:val="0"/>
            <w:vAlign w:val="center"/>
          </w:tcPr>
          <w:p w14:paraId="5E8BA5A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3</w:t>
            </w:r>
          </w:p>
        </w:tc>
        <w:tc>
          <w:tcPr>
            <w:tcW w:w="718" w:type="pct"/>
            <w:tcBorders>
              <w:top w:val="single" w:color="auto" w:sz="4" w:space="0"/>
              <w:left w:val="single" w:color="auto" w:sz="4" w:space="0"/>
              <w:bottom w:val="single" w:color="auto" w:sz="4" w:space="0"/>
              <w:right w:val="single" w:color="auto" w:sz="4" w:space="0"/>
            </w:tcBorders>
            <w:noWrap w:val="0"/>
            <w:vAlign w:val="center"/>
          </w:tcPr>
          <w:p w14:paraId="027CB06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项目申请、设立过程是否符合相关要求，用以反映和考核项目立项的规范情况。</w:t>
            </w:r>
          </w:p>
        </w:tc>
        <w:tc>
          <w:tcPr>
            <w:tcW w:w="494" w:type="pct"/>
            <w:tcBorders>
              <w:top w:val="single" w:color="auto" w:sz="4" w:space="0"/>
              <w:left w:val="single" w:color="auto" w:sz="4" w:space="0"/>
              <w:bottom w:val="single" w:color="auto" w:sz="4" w:space="0"/>
              <w:right w:val="single" w:color="auto" w:sz="4" w:space="0"/>
            </w:tcBorders>
            <w:noWrap w:val="0"/>
            <w:vAlign w:val="center"/>
          </w:tcPr>
          <w:p w14:paraId="54E5A07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规范</w:t>
            </w:r>
          </w:p>
        </w:tc>
        <w:tc>
          <w:tcPr>
            <w:tcW w:w="1737" w:type="pct"/>
            <w:tcBorders>
              <w:top w:val="single" w:color="auto" w:sz="4" w:space="0"/>
              <w:left w:val="single" w:color="auto" w:sz="4" w:space="0"/>
              <w:bottom w:val="single" w:color="auto" w:sz="4" w:space="0"/>
              <w:right w:val="single" w:color="auto" w:sz="4" w:space="0"/>
            </w:tcBorders>
            <w:noWrap w:val="0"/>
            <w:vAlign w:val="center"/>
          </w:tcPr>
          <w:p w14:paraId="3277F7F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①项目是否按照规定的程序申请设立；</w:t>
            </w:r>
          </w:p>
          <w:p w14:paraId="3D7D30B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②审批文件、材料是否符合相关要求；</w:t>
            </w:r>
          </w:p>
          <w:p w14:paraId="23E3902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③事前是否已经过必要的可行性研究、专家论证、风险评估、绩效评估、集体决策。</w:t>
            </w:r>
          </w:p>
          <w:p w14:paraId="6A825EA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①②③齐全得权重分的100%，缺①扣权重分的40%，缺②扣权重分的30%，缺③扣权重分的30%。</w:t>
            </w:r>
          </w:p>
        </w:tc>
        <w:tc>
          <w:tcPr>
            <w:tcW w:w="467" w:type="pct"/>
            <w:tcBorders>
              <w:top w:val="single" w:color="auto" w:sz="4" w:space="0"/>
              <w:left w:val="single" w:color="auto" w:sz="4" w:space="0"/>
              <w:bottom w:val="single" w:color="auto" w:sz="4" w:space="0"/>
              <w:right w:val="single" w:color="auto" w:sz="4" w:space="0"/>
            </w:tcBorders>
            <w:noWrap w:val="0"/>
            <w:vAlign w:val="center"/>
          </w:tcPr>
          <w:p w14:paraId="6AB631C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规范</w:t>
            </w:r>
          </w:p>
        </w:tc>
        <w:tc>
          <w:tcPr>
            <w:tcW w:w="273" w:type="pct"/>
            <w:tcBorders>
              <w:top w:val="single" w:color="auto" w:sz="4" w:space="0"/>
              <w:left w:val="single" w:color="auto" w:sz="4" w:space="0"/>
              <w:bottom w:val="single" w:color="auto" w:sz="4" w:space="0"/>
              <w:right w:val="single" w:color="auto" w:sz="4" w:space="0"/>
            </w:tcBorders>
            <w:noWrap w:val="0"/>
            <w:vAlign w:val="center"/>
          </w:tcPr>
          <w:p w14:paraId="1BB49F8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3</w:t>
            </w:r>
          </w:p>
        </w:tc>
      </w:tr>
      <w:tr w14:paraId="556A44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91" w:hRule="atLeast"/>
        </w:trPr>
        <w:tc>
          <w:tcPr>
            <w:tcW w:w="235" w:type="pct"/>
            <w:vMerge w:val="continue"/>
            <w:tcBorders>
              <w:top w:val="single" w:color="auto" w:sz="4" w:space="0"/>
              <w:left w:val="single" w:color="auto" w:sz="4" w:space="0"/>
              <w:bottom w:val="single" w:color="auto" w:sz="4" w:space="0"/>
              <w:right w:val="single" w:color="auto" w:sz="4" w:space="0"/>
            </w:tcBorders>
            <w:noWrap w:val="0"/>
            <w:vAlign w:val="center"/>
          </w:tcPr>
          <w:p w14:paraId="61C083E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209" w:type="pct"/>
            <w:vMerge w:val="continue"/>
            <w:tcBorders>
              <w:top w:val="single" w:color="auto" w:sz="4" w:space="0"/>
              <w:left w:val="single" w:color="auto" w:sz="4" w:space="0"/>
              <w:bottom w:val="single" w:color="auto" w:sz="4" w:space="0"/>
              <w:right w:val="single" w:color="auto" w:sz="4" w:space="0"/>
            </w:tcBorders>
            <w:noWrap w:val="0"/>
            <w:vAlign w:val="center"/>
          </w:tcPr>
          <w:p w14:paraId="0DB1968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224" w:type="pct"/>
            <w:vMerge w:val="restart"/>
            <w:tcBorders>
              <w:top w:val="single" w:color="auto" w:sz="4" w:space="0"/>
              <w:left w:val="single" w:color="auto" w:sz="4" w:space="0"/>
              <w:bottom w:val="single" w:color="auto" w:sz="4" w:space="0"/>
              <w:right w:val="single" w:color="auto" w:sz="4" w:space="0"/>
            </w:tcBorders>
            <w:noWrap w:val="0"/>
            <w:vAlign w:val="center"/>
          </w:tcPr>
          <w:p w14:paraId="7D7BDBA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绩效目标</w:t>
            </w:r>
          </w:p>
        </w:tc>
        <w:tc>
          <w:tcPr>
            <w:tcW w:w="199" w:type="pct"/>
            <w:vMerge w:val="restart"/>
            <w:tcBorders>
              <w:top w:val="single" w:color="auto" w:sz="4" w:space="0"/>
              <w:left w:val="single" w:color="auto" w:sz="4" w:space="0"/>
              <w:bottom w:val="single" w:color="auto" w:sz="4" w:space="0"/>
              <w:right w:val="single" w:color="auto" w:sz="4" w:space="0"/>
            </w:tcBorders>
            <w:noWrap w:val="0"/>
            <w:vAlign w:val="center"/>
          </w:tcPr>
          <w:p w14:paraId="48AD1EE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w:t>
            </w:r>
          </w:p>
        </w:tc>
        <w:tc>
          <w:tcPr>
            <w:tcW w:w="249" w:type="pct"/>
            <w:tcBorders>
              <w:top w:val="single" w:color="auto" w:sz="4" w:space="0"/>
              <w:left w:val="single" w:color="auto" w:sz="4" w:space="0"/>
              <w:bottom w:val="single" w:color="auto" w:sz="4" w:space="0"/>
              <w:right w:val="single" w:color="auto" w:sz="4" w:space="0"/>
            </w:tcBorders>
            <w:noWrap w:val="0"/>
            <w:vAlign w:val="center"/>
          </w:tcPr>
          <w:p w14:paraId="714AEB7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绩效目标合理性</w:t>
            </w:r>
          </w:p>
        </w:tc>
        <w:tc>
          <w:tcPr>
            <w:tcW w:w="189" w:type="pct"/>
            <w:tcBorders>
              <w:top w:val="single" w:color="auto" w:sz="4" w:space="0"/>
              <w:left w:val="single" w:color="auto" w:sz="4" w:space="0"/>
              <w:bottom w:val="single" w:color="auto" w:sz="4" w:space="0"/>
              <w:right w:val="single" w:color="auto" w:sz="4" w:space="0"/>
            </w:tcBorders>
            <w:noWrap w:val="0"/>
            <w:vAlign w:val="center"/>
          </w:tcPr>
          <w:p w14:paraId="461A965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5</w:t>
            </w:r>
          </w:p>
        </w:tc>
        <w:tc>
          <w:tcPr>
            <w:tcW w:w="718" w:type="pct"/>
            <w:tcBorders>
              <w:top w:val="single" w:color="auto" w:sz="4" w:space="0"/>
              <w:left w:val="single" w:color="auto" w:sz="4" w:space="0"/>
              <w:bottom w:val="single" w:color="auto" w:sz="4" w:space="0"/>
              <w:right w:val="single" w:color="auto" w:sz="4" w:space="0"/>
            </w:tcBorders>
            <w:noWrap w:val="0"/>
            <w:vAlign w:val="center"/>
          </w:tcPr>
          <w:p w14:paraId="234674D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项目所设定的绩效目标是否依据充分，是否符合客观实际，用以反映和考核项目绩效目标与项目实施的相符情况。</w:t>
            </w:r>
          </w:p>
        </w:tc>
        <w:tc>
          <w:tcPr>
            <w:tcW w:w="494" w:type="pct"/>
            <w:tcBorders>
              <w:top w:val="single" w:color="auto" w:sz="4" w:space="0"/>
              <w:left w:val="single" w:color="auto" w:sz="4" w:space="0"/>
              <w:bottom w:val="single" w:color="auto" w:sz="4" w:space="0"/>
              <w:right w:val="single" w:color="auto" w:sz="4" w:space="0"/>
            </w:tcBorders>
            <w:noWrap w:val="0"/>
            <w:vAlign w:val="center"/>
          </w:tcPr>
          <w:p w14:paraId="0FB19FE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合理</w:t>
            </w:r>
          </w:p>
        </w:tc>
        <w:tc>
          <w:tcPr>
            <w:tcW w:w="1737" w:type="pct"/>
            <w:tcBorders>
              <w:top w:val="single" w:color="auto" w:sz="4" w:space="0"/>
              <w:left w:val="single" w:color="auto" w:sz="4" w:space="0"/>
              <w:bottom w:val="single" w:color="auto" w:sz="4" w:space="0"/>
              <w:right w:val="single" w:color="auto" w:sz="4" w:space="0"/>
            </w:tcBorders>
            <w:noWrap w:val="0"/>
            <w:vAlign w:val="center"/>
          </w:tcPr>
          <w:p w14:paraId="037555B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①项目是否有绩效目标；</w:t>
            </w:r>
          </w:p>
          <w:p w14:paraId="3FDDDB4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②项目绩效目标与实际工作内容是否具有相关性；</w:t>
            </w:r>
          </w:p>
          <w:p w14:paraId="6154E3B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③项目预期产出效益和效果是否符合正常的业绩水平；</w:t>
            </w:r>
          </w:p>
          <w:p w14:paraId="53D902C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④是否与预算确定的项目投资额或资金量相匹配。</w:t>
            </w:r>
          </w:p>
          <w:p w14:paraId="6ED1C13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以上每条要素各占权重的25%，每有一条不符合，扣除对应的权重分，扣完为止。</w:t>
            </w:r>
          </w:p>
        </w:tc>
        <w:tc>
          <w:tcPr>
            <w:tcW w:w="467" w:type="pct"/>
            <w:tcBorders>
              <w:top w:val="single" w:color="auto" w:sz="4" w:space="0"/>
              <w:left w:val="single" w:color="auto" w:sz="4" w:space="0"/>
              <w:bottom w:val="single" w:color="auto" w:sz="4" w:space="0"/>
              <w:right w:val="single" w:color="auto" w:sz="4" w:space="0"/>
            </w:tcBorders>
            <w:noWrap w:val="0"/>
            <w:vAlign w:val="center"/>
          </w:tcPr>
          <w:p w14:paraId="4E3C6BA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合理</w:t>
            </w:r>
          </w:p>
        </w:tc>
        <w:tc>
          <w:tcPr>
            <w:tcW w:w="273" w:type="pct"/>
            <w:tcBorders>
              <w:top w:val="single" w:color="auto" w:sz="4" w:space="0"/>
              <w:left w:val="single" w:color="auto" w:sz="4" w:space="0"/>
              <w:bottom w:val="single" w:color="auto" w:sz="4" w:space="0"/>
              <w:right w:val="single" w:color="auto" w:sz="4" w:space="0"/>
            </w:tcBorders>
            <w:noWrap w:val="0"/>
            <w:vAlign w:val="center"/>
          </w:tcPr>
          <w:p w14:paraId="12A3D89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5</w:t>
            </w:r>
          </w:p>
        </w:tc>
      </w:tr>
      <w:tr w14:paraId="1EBF0E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 w:hRule="atLeast"/>
        </w:trPr>
        <w:tc>
          <w:tcPr>
            <w:tcW w:w="235" w:type="pct"/>
            <w:vMerge w:val="continue"/>
            <w:tcBorders>
              <w:top w:val="single" w:color="auto" w:sz="4" w:space="0"/>
              <w:left w:val="single" w:color="auto" w:sz="4" w:space="0"/>
              <w:bottom w:val="single" w:color="auto" w:sz="4" w:space="0"/>
              <w:right w:val="single" w:color="auto" w:sz="4" w:space="0"/>
            </w:tcBorders>
            <w:noWrap w:val="0"/>
            <w:vAlign w:val="center"/>
          </w:tcPr>
          <w:p w14:paraId="0913DF7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209" w:type="pct"/>
            <w:vMerge w:val="continue"/>
            <w:tcBorders>
              <w:top w:val="single" w:color="auto" w:sz="4" w:space="0"/>
              <w:left w:val="single" w:color="auto" w:sz="4" w:space="0"/>
              <w:bottom w:val="single" w:color="auto" w:sz="4" w:space="0"/>
              <w:right w:val="single" w:color="auto" w:sz="4" w:space="0"/>
            </w:tcBorders>
            <w:noWrap w:val="0"/>
            <w:vAlign w:val="center"/>
          </w:tcPr>
          <w:p w14:paraId="32F3CCE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224" w:type="pct"/>
            <w:vMerge w:val="continue"/>
            <w:tcBorders>
              <w:top w:val="single" w:color="auto" w:sz="4" w:space="0"/>
              <w:left w:val="single" w:color="auto" w:sz="4" w:space="0"/>
              <w:bottom w:val="single" w:color="auto" w:sz="4" w:space="0"/>
              <w:right w:val="single" w:color="auto" w:sz="4" w:space="0"/>
            </w:tcBorders>
            <w:noWrap w:val="0"/>
            <w:vAlign w:val="center"/>
          </w:tcPr>
          <w:p w14:paraId="5044F92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199" w:type="pct"/>
            <w:vMerge w:val="continue"/>
            <w:tcBorders>
              <w:top w:val="single" w:color="auto" w:sz="4" w:space="0"/>
              <w:left w:val="single" w:color="auto" w:sz="4" w:space="0"/>
              <w:bottom w:val="single" w:color="auto" w:sz="4" w:space="0"/>
              <w:right w:val="single" w:color="auto" w:sz="4" w:space="0"/>
            </w:tcBorders>
            <w:noWrap w:val="0"/>
            <w:vAlign w:val="center"/>
          </w:tcPr>
          <w:p w14:paraId="20DC0B7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249" w:type="pct"/>
            <w:tcBorders>
              <w:top w:val="single" w:color="auto" w:sz="4" w:space="0"/>
              <w:left w:val="single" w:color="auto" w:sz="4" w:space="0"/>
              <w:bottom w:val="single" w:color="auto" w:sz="4" w:space="0"/>
              <w:right w:val="single" w:color="auto" w:sz="4" w:space="0"/>
            </w:tcBorders>
            <w:noWrap w:val="0"/>
            <w:vAlign w:val="center"/>
          </w:tcPr>
          <w:p w14:paraId="4C7B8B3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绩效指标明确性</w:t>
            </w:r>
          </w:p>
        </w:tc>
        <w:tc>
          <w:tcPr>
            <w:tcW w:w="189" w:type="pct"/>
            <w:tcBorders>
              <w:top w:val="single" w:color="auto" w:sz="4" w:space="0"/>
              <w:left w:val="single" w:color="auto" w:sz="4" w:space="0"/>
              <w:bottom w:val="single" w:color="auto" w:sz="4" w:space="0"/>
              <w:right w:val="single" w:color="auto" w:sz="4" w:space="0"/>
            </w:tcBorders>
            <w:noWrap w:val="0"/>
            <w:vAlign w:val="center"/>
          </w:tcPr>
          <w:p w14:paraId="072FE7D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5</w:t>
            </w:r>
          </w:p>
        </w:tc>
        <w:tc>
          <w:tcPr>
            <w:tcW w:w="718" w:type="pct"/>
            <w:tcBorders>
              <w:top w:val="single" w:color="auto" w:sz="4" w:space="0"/>
              <w:left w:val="single" w:color="auto" w:sz="4" w:space="0"/>
              <w:bottom w:val="single" w:color="auto" w:sz="4" w:space="0"/>
              <w:right w:val="single" w:color="auto" w:sz="4" w:space="0"/>
            </w:tcBorders>
            <w:noWrap w:val="0"/>
            <w:vAlign w:val="center"/>
          </w:tcPr>
          <w:p w14:paraId="5DA9876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依据绩效目标设定的绩效指标是否清晰、细化、可衡量等，用以反映和考核项目绩效目标的明细化情况。</w:t>
            </w:r>
          </w:p>
        </w:tc>
        <w:tc>
          <w:tcPr>
            <w:tcW w:w="494" w:type="pct"/>
            <w:tcBorders>
              <w:top w:val="single" w:color="auto" w:sz="4" w:space="0"/>
              <w:left w:val="single" w:color="auto" w:sz="4" w:space="0"/>
              <w:bottom w:val="single" w:color="auto" w:sz="4" w:space="0"/>
              <w:right w:val="single" w:color="auto" w:sz="4" w:space="0"/>
            </w:tcBorders>
            <w:noWrap w:val="0"/>
            <w:vAlign w:val="center"/>
          </w:tcPr>
          <w:p w14:paraId="7FCD3AA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明确</w:t>
            </w:r>
          </w:p>
        </w:tc>
        <w:tc>
          <w:tcPr>
            <w:tcW w:w="1737" w:type="pct"/>
            <w:tcBorders>
              <w:top w:val="single" w:color="auto" w:sz="4" w:space="0"/>
              <w:left w:val="single" w:color="auto" w:sz="4" w:space="0"/>
              <w:bottom w:val="single" w:color="auto" w:sz="4" w:space="0"/>
              <w:right w:val="single" w:color="auto" w:sz="4" w:space="0"/>
            </w:tcBorders>
            <w:noWrap w:val="0"/>
            <w:vAlign w:val="center"/>
          </w:tcPr>
          <w:p w14:paraId="49664AE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①是否将项目绩效目标细化分解为具体的绩效指标；</w:t>
            </w:r>
          </w:p>
          <w:p w14:paraId="5D03C15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②是否通过清晰、可衡量的指标值予以体现；</w:t>
            </w:r>
          </w:p>
          <w:p w14:paraId="10E6A4A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③是否与项目目标任务数或计划数相对应。</w:t>
            </w:r>
          </w:p>
          <w:p w14:paraId="4F35260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①②③齐全得权重分的100%，缺①扣权重分的20%，缺②扣权重分的50%，缺③扣权重分的30%。</w:t>
            </w:r>
          </w:p>
        </w:tc>
        <w:tc>
          <w:tcPr>
            <w:tcW w:w="467" w:type="pct"/>
            <w:tcBorders>
              <w:top w:val="single" w:color="auto" w:sz="4" w:space="0"/>
              <w:left w:val="single" w:color="auto" w:sz="4" w:space="0"/>
              <w:bottom w:val="single" w:color="auto" w:sz="4" w:space="0"/>
              <w:right w:val="single" w:color="auto" w:sz="4" w:space="0"/>
            </w:tcBorders>
            <w:noWrap w:val="0"/>
            <w:vAlign w:val="center"/>
          </w:tcPr>
          <w:p w14:paraId="7635C71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明确</w:t>
            </w:r>
          </w:p>
        </w:tc>
        <w:tc>
          <w:tcPr>
            <w:tcW w:w="273" w:type="pct"/>
            <w:tcBorders>
              <w:top w:val="single" w:color="auto" w:sz="4" w:space="0"/>
              <w:left w:val="single" w:color="auto" w:sz="4" w:space="0"/>
              <w:bottom w:val="single" w:color="auto" w:sz="4" w:space="0"/>
              <w:right w:val="single" w:color="auto" w:sz="4" w:space="0"/>
            </w:tcBorders>
            <w:noWrap w:val="0"/>
            <w:vAlign w:val="center"/>
          </w:tcPr>
          <w:p w14:paraId="682FD24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5</w:t>
            </w:r>
          </w:p>
        </w:tc>
      </w:tr>
      <w:tr w14:paraId="73D25F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6" w:hRule="atLeast"/>
        </w:trPr>
        <w:tc>
          <w:tcPr>
            <w:tcW w:w="235" w:type="pct"/>
            <w:vMerge w:val="continue"/>
            <w:tcBorders>
              <w:top w:val="single" w:color="auto" w:sz="4" w:space="0"/>
              <w:left w:val="single" w:color="auto" w:sz="4" w:space="0"/>
              <w:bottom w:val="single" w:color="auto" w:sz="4" w:space="0"/>
              <w:right w:val="single" w:color="auto" w:sz="4" w:space="0"/>
            </w:tcBorders>
            <w:noWrap w:val="0"/>
            <w:vAlign w:val="center"/>
          </w:tcPr>
          <w:p w14:paraId="7658F63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209" w:type="pct"/>
            <w:vMerge w:val="continue"/>
            <w:tcBorders>
              <w:top w:val="single" w:color="auto" w:sz="4" w:space="0"/>
              <w:left w:val="single" w:color="auto" w:sz="4" w:space="0"/>
              <w:bottom w:val="single" w:color="auto" w:sz="4" w:space="0"/>
              <w:right w:val="single" w:color="auto" w:sz="4" w:space="0"/>
            </w:tcBorders>
            <w:noWrap w:val="0"/>
            <w:vAlign w:val="center"/>
          </w:tcPr>
          <w:p w14:paraId="277D7C4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224" w:type="pct"/>
            <w:vMerge w:val="restart"/>
            <w:tcBorders>
              <w:top w:val="single" w:color="auto" w:sz="4" w:space="0"/>
              <w:left w:val="single" w:color="auto" w:sz="4" w:space="0"/>
              <w:bottom w:val="single" w:color="auto" w:sz="4" w:space="0"/>
              <w:right w:val="single" w:color="auto" w:sz="4" w:space="0"/>
            </w:tcBorders>
            <w:noWrap w:val="0"/>
            <w:vAlign w:val="center"/>
          </w:tcPr>
          <w:p w14:paraId="5659A86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资金投入</w:t>
            </w:r>
          </w:p>
        </w:tc>
        <w:tc>
          <w:tcPr>
            <w:tcW w:w="199" w:type="pct"/>
            <w:vMerge w:val="restart"/>
            <w:tcBorders>
              <w:top w:val="single" w:color="auto" w:sz="4" w:space="0"/>
              <w:left w:val="single" w:color="auto" w:sz="4" w:space="0"/>
              <w:bottom w:val="single" w:color="auto" w:sz="4" w:space="0"/>
              <w:right w:val="single" w:color="auto" w:sz="4" w:space="0"/>
            </w:tcBorders>
            <w:noWrap w:val="0"/>
            <w:vAlign w:val="center"/>
          </w:tcPr>
          <w:p w14:paraId="09F68A5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8</w:t>
            </w:r>
          </w:p>
        </w:tc>
        <w:tc>
          <w:tcPr>
            <w:tcW w:w="249" w:type="pct"/>
            <w:tcBorders>
              <w:top w:val="single" w:color="auto" w:sz="4" w:space="0"/>
              <w:left w:val="single" w:color="auto" w:sz="4" w:space="0"/>
              <w:bottom w:val="single" w:color="auto" w:sz="4" w:space="0"/>
              <w:right w:val="single" w:color="auto" w:sz="4" w:space="0"/>
            </w:tcBorders>
            <w:noWrap w:val="0"/>
            <w:vAlign w:val="center"/>
          </w:tcPr>
          <w:p w14:paraId="249A291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预算编制科学性</w:t>
            </w:r>
          </w:p>
        </w:tc>
        <w:tc>
          <w:tcPr>
            <w:tcW w:w="189" w:type="pct"/>
            <w:tcBorders>
              <w:top w:val="single" w:color="auto" w:sz="4" w:space="0"/>
              <w:left w:val="single" w:color="auto" w:sz="4" w:space="0"/>
              <w:bottom w:val="single" w:color="auto" w:sz="4" w:space="0"/>
              <w:right w:val="single" w:color="auto" w:sz="4" w:space="0"/>
            </w:tcBorders>
            <w:noWrap w:val="0"/>
            <w:vAlign w:val="center"/>
          </w:tcPr>
          <w:p w14:paraId="1A8CB4D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4</w:t>
            </w:r>
          </w:p>
        </w:tc>
        <w:tc>
          <w:tcPr>
            <w:tcW w:w="718" w:type="pct"/>
            <w:tcBorders>
              <w:top w:val="single" w:color="auto" w:sz="4" w:space="0"/>
              <w:left w:val="single" w:color="auto" w:sz="4" w:space="0"/>
              <w:bottom w:val="single" w:color="auto" w:sz="4" w:space="0"/>
              <w:right w:val="single" w:color="auto" w:sz="4" w:space="0"/>
            </w:tcBorders>
            <w:noWrap w:val="0"/>
            <w:vAlign w:val="center"/>
          </w:tcPr>
          <w:p w14:paraId="02A5B88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项目预算编制是否经过科学论证、有明确标准，资金额度与年度目标是否相适应，用以反映和考核项目预算编制的科学性、合理性情况。</w:t>
            </w:r>
          </w:p>
        </w:tc>
        <w:tc>
          <w:tcPr>
            <w:tcW w:w="494" w:type="pct"/>
            <w:tcBorders>
              <w:top w:val="single" w:color="auto" w:sz="4" w:space="0"/>
              <w:left w:val="single" w:color="auto" w:sz="4" w:space="0"/>
              <w:bottom w:val="single" w:color="auto" w:sz="4" w:space="0"/>
              <w:right w:val="single" w:color="auto" w:sz="4" w:space="0"/>
            </w:tcBorders>
            <w:noWrap w:val="0"/>
            <w:vAlign w:val="center"/>
          </w:tcPr>
          <w:p w14:paraId="6308CE6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科学</w:t>
            </w:r>
          </w:p>
        </w:tc>
        <w:tc>
          <w:tcPr>
            <w:tcW w:w="1737" w:type="pct"/>
            <w:tcBorders>
              <w:top w:val="single" w:color="auto" w:sz="4" w:space="0"/>
              <w:left w:val="single" w:color="auto" w:sz="4" w:space="0"/>
              <w:bottom w:val="single" w:color="auto" w:sz="4" w:space="0"/>
              <w:right w:val="single" w:color="auto" w:sz="4" w:space="0"/>
            </w:tcBorders>
            <w:noWrap w:val="0"/>
            <w:vAlign w:val="center"/>
          </w:tcPr>
          <w:p w14:paraId="7C16711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①预算编制是否经过科学论证；</w:t>
            </w:r>
          </w:p>
          <w:p w14:paraId="0E9A8AA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②预算内容与项目内容是否匹配；</w:t>
            </w:r>
          </w:p>
          <w:p w14:paraId="6857A38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③预算额度测算依据是否充分，是否按照标准编制；</w:t>
            </w:r>
          </w:p>
          <w:p w14:paraId="3D84EB5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④预算确定的项目投资额或资金量是否与工作任务相匹配。</w:t>
            </w:r>
          </w:p>
          <w:p w14:paraId="377E3A0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以上每条要素各占权重的25%，每有一条不符合，扣除对应的权重分，扣完为止。</w:t>
            </w:r>
          </w:p>
        </w:tc>
        <w:tc>
          <w:tcPr>
            <w:tcW w:w="467" w:type="pct"/>
            <w:tcBorders>
              <w:top w:val="single" w:color="auto" w:sz="4" w:space="0"/>
              <w:left w:val="single" w:color="auto" w:sz="4" w:space="0"/>
              <w:bottom w:val="single" w:color="auto" w:sz="4" w:space="0"/>
              <w:right w:val="single" w:color="auto" w:sz="4" w:space="0"/>
            </w:tcBorders>
            <w:noWrap w:val="0"/>
            <w:vAlign w:val="center"/>
          </w:tcPr>
          <w:p w14:paraId="5DBB997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科学</w:t>
            </w:r>
          </w:p>
        </w:tc>
        <w:tc>
          <w:tcPr>
            <w:tcW w:w="273" w:type="pct"/>
            <w:tcBorders>
              <w:top w:val="single" w:color="auto" w:sz="4" w:space="0"/>
              <w:left w:val="single" w:color="auto" w:sz="4" w:space="0"/>
              <w:bottom w:val="single" w:color="auto" w:sz="4" w:space="0"/>
              <w:right w:val="single" w:color="auto" w:sz="4" w:space="0"/>
            </w:tcBorders>
            <w:noWrap w:val="0"/>
            <w:vAlign w:val="center"/>
          </w:tcPr>
          <w:p w14:paraId="5F182F2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4</w:t>
            </w:r>
          </w:p>
        </w:tc>
      </w:tr>
      <w:tr w14:paraId="602F97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7" w:hRule="atLeast"/>
        </w:trPr>
        <w:tc>
          <w:tcPr>
            <w:tcW w:w="235" w:type="pct"/>
            <w:vMerge w:val="continue"/>
            <w:tcBorders>
              <w:top w:val="single" w:color="auto" w:sz="4" w:space="0"/>
              <w:left w:val="single" w:color="auto" w:sz="4" w:space="0"/>
              <w:bottom w:val="single" w:color="auto" w:sz="4" w:space="0"/>
              <w:right w:val="single" w:color="auto" w:sz="4" w:space="0"/>
            </w:tcBorders>
            <w:noWrap w:val="0"/>
            <w:vAlign w:val="center"/>
          </w:tcPr>
          <w:p w14:paraId="61FF1F9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209" w:type="pct"/>
            <w:vMerge w:val="continue"/>
            <w:tcBorders>
              <w:top w:val="single" w:color="auto" w:sz="4" w:space="0"/>
              <w:left w:val="single" w:color="auto" w:sz="4" w:space="0"/>
              <w:bottom w:val="single" w:color="auto" w:sz="4" w:space="0"/>
              <w:right w:val="single" w:color="auto" w:sz="4" w:space="0"/>
            </w:tcBorders>
            <w:noWrap w:val="0"/>
            <w:vAlign w:val="center"/>
          </w:tcPr>
          <w:p w14:paraId="15D002D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224" w:type="pct"/>
            <w:vMerge w:val="continue"/>
            <w:tcBorders>
              <w:top w:val="single" w:color="auto" w:sz="4" w:space="0"/>
              <w:left w:val="single" w:color="auto" w:sz="4" w:space="0"/>
              <w:bottom w:val="single" w:color="auto" w:sz="4" w:space="0"/>
              <w:right w:val="single" w:color="auto" w:sz="4" w:space="0"/>
            </w:tcBorders>
            <w:noWrap w:val="0"/>
            <w:vAlign w:val="center"/>
          </w:tcPr>
          <w:p w14:paraId="3145B1D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199" w:type="pct"/>
            <w:vMerge w:val="continue"/>
            <w:tcBorders>
              <w:top w:val="single" w:color="auto" w:sz="4" w:space="0"/>
              <w:left w:val="single" w:color="auto" w:sz="4" w:space="0"/>
              <w:bottom w:val="single" w:color="auto" w:sz="4" w:space="0"/>
              <w:right w:val="single" w:color="auto" w:sz="4" w:space="0"/>
            </w:tcBorders>
            <w:noWrap w:val="0"/>
            <w:vAlign w:val="center"/>
          </w:tcPr>
          <w:p w14:paraId="51855D2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249" w:type="pct"/>
            <w:tcBorders>
              <w:top w:val="single" w:color="auto" w:sz="4" w:space="0"/>
              <w:left w:val="single" w:color="auto" w:sz="4" w:space="0"/>
              <w:bottom w:val="single" w:color="auto" w:sz="4" w:space="0"/>
              <w:right w:val="single" w:color="auto" w:sz="4" w:space="0"/>
            </w:tcBorders>
            <w:noWrap w:val="0"/>
            <w:vAlign w:val="center"/>
          </w:tcPr>
          <w:p w14:paraId="094AF9F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资金分配合理性</w:t>
            </w:r>
          </w:p>
        </w:tc>
        <w:tc>
          <w:tcPr>
            <w:tcW w:w="189" w:type="pct"/>
            <w:tcBorders>
              <w:top w:val="single" w:color="auto" w:sz="4" w:space="0"/>
              <w:left w:val="single" w:color="auto" w:sz="4" w:space="0"/>
              <w:bottom w:val="single" w:color="auto" w:sz="4" w:space="0"/>
              <w:right w:val="single" w:color="auto" w:sz="4" w:space="0"/>
            </w:tcBorders>
            <w:noWrap w:val="0"/>
            <w:vAlign w:val="center"/>
          </w:tcPr>
          <w:p w14:paraId="0F1C92F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4</w:t>
            </w:r>
          </w:p>
        </w:tc>
        <w:tc>
          <w:tcPr>
            <w:tcW w:w="718" w:type="pct"/>
            <w:tcBorders>
              <w:top w:val="single" w:color="auto" w:sz="4" w:space="0"/>
              <w:left w:val="single" w:color="auto" w:sz="4" w:space="0"/>
              <w:bottom w:val="single" w:color="auto" w:sz="4" w:space="0"/>
              <w:right w:val="single" w:color="auto" w:sz="4" w:space="0"/>
            </w:tcBorders>
            <w:noWrap w:val="0"/>
            <w:vAlign w:val="center"/>
          </w:tcPr>
          <w:p w14:paraId="30BDC55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项目预算资金分配是否有测算依据，与补助单位或地方实际是否相适应，用以反映和考核项目预算资金分配的科学性、合理性情况。</w:t>
            </w:r>
          </w:p>
        </w:tc>
        <w:tc>
          <w:tcPr>
            <w:tcW w:w="494" w:type="pct"/>
            <w:tcBorders>
              <w:top w:val="single" w:color="auto" w:sz="4" w:space="0"/>
              <w:left w:val="single" w:color="auto" w:sz="4" w:space="0"/>
              <w:bottom w:val="single" w:color="auto" w:sz="4" w:space="0"/>
              <w:right w:val="single" w:color="auto" w:sz="4" w:space="0"/>
            </w:tcBorders>
            <w:noWrap w:val="0"/>
            <w:vAlign w:val="center"/>
          </w:tcPr>
          <w:p w14:paraId="082E91B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合理</w:t>
            </w:r>
          </w:p>
        </w:tc>
        <w:tc>
          <w:tcPr>
            <w:tcW w:w="1737" w:type="pct"/>
            <w:tcBorders>
              <w:top w:val="single" w:color="auto" w:sz="4" w:space="0"/>
              <w:left w:val="single" w:color="auto" w:sz="4" w:space="0"/>
              <w:bottom w:val="single" w:color="auto" w:sz="4" w:space="0"/>
              <w:right w:val="single" w:color="auto" w:sz="4" w:space="0"/>
            </w:tcBorders>
            <w:noWrap w:val="0"/>
            <w:vAlign w:val="center"/>
          </w:tcPr>
          <w:p w14:paraId="5EDA906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①预算资金分配依据是否充分；</w:t>
            </w:r>
          </w:p>
          <w:p w14:paraId="60E2EAD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②资金分配额度是否合理，与项目单位或地方实际是否相适应。</w:t>
            </w:r>
          </w:p>
          <w:p w14:paraId="5FB224D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以上每条要素各占权重的50%，每有一条不符合，扣除对应的权重分，扣完为止。</w:t>
            </w:r>
          </w:p>
        </w:tc>
        <w:tc>
          <w:tcPr>
            <w:tcW w:w="467" w:type="pct"/>
            <w:tcBorders>
              <w:top w:val="single" w:color="auto" w:sz="4" w:space="0"/>
              <w:left w:val="single" w:color="auto" w:sz="4" w:space="0"/>
              <w:bottom w:val="single" w:color="auto" w:sz="4" w:space="0"/>
              <w:right w:val="single" w:color="auto" w:sz="4" w:space="0"/>
            </w:tcBorders>
            <w:noWrap w:val="0"/>
            <w:vAlign w:val="center"/>
          </w:tcPr>
          <w:p w14:paraId="6004C48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合理</w:t>
            </w:r>
          </w:p>
        </w:tc>
        <w:tc>
          <w:tcPr>
            <w:tcW w:w="273" w:type="pct"/>
            <w:tcBorders>
              <w:top w:val="single" w:color="auto" w:sz="4" w:space="0"/>
              <w:left w:val="single" w:color="auto" w:sz="4" w:space="0"/>
              <w:bottom w:val="single" w:color="auto" w:sz="4" w:space="0"/>
              <w:right w:val="single" w:color="auto" w:sz="4" w:space="0"/>
            </w:tcBorders>
            <w:noWrap w:val="0"/>
            <w:vAlign w:val="center"/>
          </w:tcPr>
          <w:p w14:paraId="2968B49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4</w:t>
            </w:r>
          </w:p>
        </w:tc>
      </w:tr>
      <w:tr w14:paraId="4797CA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4" w:hRule="atLeast"/>
        </w:trPr>
        <w:tc>
          <w:tcPr>
            <w:tcW w:w="235" w:type="pct"/>
            <w:vMerge w:val="restart"/>
            <w:tcBorders>
              <w:top w:val="single" w:color="auto" w:sz="4" w:space="0"/>
              <w:left w:val="single" w:color="auto" w:sz="4" w:space="0"/>
              <w:bottom w:val="single" w:color="auto" w:sz="4" w:space="0"/>
              <w:right w:val="single" w:color="auto" w:sz="4" w:space="0"/>
            </w:tcBorders>
            <w:noWrap w:val="0"/>
            <w:vAlign w:val="center"/>
          </w:tcPr>
          <w:p w14:paraId="093B287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项目过程</w:t>
            </w:r>
          </w:p>
        </w:tc>
        <w:tc>
          <w:tcPr>
            <w:tcW w:w="209" w:type="pct"/>
            <w:vMerge w:val="restart"/>
            <w:tcBorders>
              <w:top w:val="single" w:color="auto" w:sz="4" w:space="0"/>
              <w:left w:val="single" w:color="auto" w:sz="4" w:space="0"/>
              <w:bottom w:val="single" w:color="auto" w:sz="4" w:space="0"/>
              <w:right w:val="single" w:color="auto" w:sz="4" w:space="0"/>
            </w:tcBorders>
            <w:noWrap w:val="0"/>
            <w:vAlign w:val="center"/>
          </w:tcPr>
          <w:p w14:paraId="03EDE1A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12</w:t>
            </w:r>
          </w:p>
        </w:tc>
        <w:tc>
          <w:tcPr>
            <w:tcW w:w="224" w:type="pct"/>
            <w:vMerge w:val="restart"/>
            <w:tcBorders>
              <w:top w:val="single" w:color="auto" w:sz="4" w:space="0"/>
              <w:left w:val="single" w:color="auto" w:sz="4" w:space="0"/>
              <w:bottom w:val="single" w:color="auto" w:sz="4" w:space="0"/>
              <w:right w:val="single" w:color="auto" w:sz="4" w:space="0"/>
            </w:tcBorders>
            <w:noWrap w:val="0"/>
            <w:vAlign w:val="center"/>
          </w:tcPr>
          <w:p w14:paraId="6456407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资金管理</w:t>
            </w:r>
          </w:p>
        </w:tc>
        <w:tc>
          <w:tcPr>
            <w:tcW w:w="199" w:type="pct"/>
            <w:vMerge w:val="restart"/>
            <w:tcBorders>
              <w:top w:val="single" w:color="auto" w:sz="4" w:space="0"/>
              <w:left w:val="single" w:color="auto" w:sz="4" w:space="0"/>
              <w:bottom w:val="single" w:color="auto" w:sz="4" w:space="0"/>
              <w:right w:val="single" w:color="auto" w:sz="4" w:space="0"/>
            </w:tcBorders>
            <w:noWrap w:val="0"/>
            <w:vAlign w:val="center"/>
          </w:tcPr>
          <w:p w14:paraId="31F70DC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6</w:t>
            </w:r>
          </w:p>
        </w:tc>
        <w:tc>
          <w:tcPr>
            <w:tcW w:w="249" w:type="pct"/>
            <w:tcBorders>
              <w:top w:val="single" w:color="auto" w:sz="4" w:space="0"/>
              <w:left w:val="single" w:color="auto" w:sz="4" w:space="0"/>
              <w:bottom w:val="single" w:color="auto" w:sz="4" w:space="0"/>
              <w:right w:val="single" w:color="auto" w:sz="4" w:space="0"/>
            </w:tcBorders>
            <w:noWrap w:val="0"/>
            <w:vAlign w:val="center"/>
          </w:tcPr>
          <w:p w14:paraId="31820DA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资金到位率</w:t>
            </w:r>
          </w:p>
        </w:tc>
        <w:tc>
          <w:tcPr>
            <w:tcW w:w="189" w:type="pct"/>
            <w:tcBorders>
              <w:top w:val="single" w:color="auto" w:sz="4" w:space="0"/>
              <w:left w:val="single" w:color="auto" w:sz="4" w:space="0"/>
              <w:bottom w:val="single" w:color="auto" w:sz="4" w:space="0"/>
              <w:right w:val="single" w:color="auto" w:sz="4" w:space="0"/>
            </w:tcBorders>
            <w:noWrap w:val="0"/>
            <w:vAlign w:val="center"/>
          </w:tcPr>
          <w:p w14:paraId="6FA9792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w:t>
            </w:r>
          </w:p>
        </w:tc>
        <w:tc>
          <w:tcPr>
            <w:tcW w:w="718" w:type="pct"/>
            <w:tcBorders>
              <w:top w:val="single" w:color="auto" w:sz="4" w:space="0"/>
              <w:left w:val="single" w:color="auto" w:sz="4" w:space="0"/>
              <w:bottom w:val="single" w:color="auto" w:sz="4" w:space="0"/>
              <w:right w:val="single" w:color="auto" w:sz="4" w:space="0"/>
            </w:tcBorders>
            <w:noWrap w:val="0"/>
            <w:vAlign w:val="center"/>
          </w:tcPr>
          <w:p w14:paraId="3CCB03D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实际到位资金与预算资金的比率，用以反映和考核资金落实情况对项目实施的总体保障程度。</w:t>
            </w:r>
          </w:p>
        </w:tc>
        <w:tc>
          <w:tcPr>
            <w:tcW w:w="494" w:type="pct"/>
            <w:tcBorders>
              <w:top w:val="single" w:color="auto" w:sz="4" w:space="0"/>
              <w:left w:val="single" w:color="auto" w:sz="4" w:space="0"/>
              <w:bottom w:val="single" w:color="auto" w:sz="4" w:space="0"/>
              <w:right w:val="single" w:color="auto" w:sz="4" w:space="0"/>
            </w:tcBorders>
            <w:noWrap w:val="0"/>
            <w:vAlign w:val="center"/>
          </w:tcPr>
          <w:p w14:paraId="6C455D0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100%</w:t>
            </w:r>
          </w:p>
        </w:tc>
        <w:tc>
          <w:tcPr>
            <w:tcW w:w="1737" w:type="pct"/>
            <w:tcBorders>
              <w:top w:val="single" w:color="auto" w:sz="4" w:space="0"/>
              <w:left w:val="single" w:color="auto" w:sz="4" w:space="0"/>
              <w:bottom w:val="single" w:color="auto" w:sz="4" w:space="0"/>
              <w:right w:val="single" w:color="auto" w:sz="4" w:space="0"/>
            </w:tcBorders>
            <w:noWrap w:val="0"/>
            <w:vAlign w:val="center"/>
          </w:tcPr>
          <w:p w14:paraId="62C1EC1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资金到位率=（实际到位资金/预算资金）×100%。</w:t>
            </w:r>
          </w:p>
          <w:p w14:paraId="099FE39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资金到位率=100%，得权重分满分，每降低1%，扣除5%权重分，扣完为止。</w:t>
            </w:r>
          </w:p>
        </w:tc>
        <w:tc>
          <w:tcPr>
            <w:tcW w:w="467" w:type="pct"/>
            <w:tcBorders>
              <w:top w:val="single" w:color="auto" w:sz="4" w:space="0"/>
              <w:left w:val="single" w:color="auto" w:sz="4" w:space="0"/>
              <w:bottom w:val="single" w:color="auto" w:sz="4" w:space="0"/>
              <w:right w:val="single" w:color="auto" w:sz="4" w:space="0"/>
            </w:tcBorders>
            <w:noWrap w:val="0"/>
            <w:vAlign w:val="center"/>
          </w:tcPr>
          <w:p w14:paraId="2AE3730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100%</w:t>
            </w:r>
          </w:p>
        </w:tc>
        <w:tc>
          <w:tcPr>
            <w:tcW w:w="273" w:type="pct"/>
            <w:tcBorders>
              <w:top w:val="single" w:color="auto" w:sz="4" w:space="0"/>
              <w:left w:val="single" w:color="auto" w:sz="4" w:space="0"/>
              <w:bottom w:val="single" w:color="auto" w:sz="4" w:space="0"/>
              <w:right w:val="single" w:color="auto" w:sz="4" w:space="0"/>
            </w:tcBorders>
            <w:noWrap w:val="0"/>
            <w:vAlign w:val="center"/>
          </w:tcPr>
          <w:p w14:paraId="0F3E193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w:t>
            </w:r>
          </w:p>
        </w:tc>
      </w:tr>
      <w:tr w14:paraId="5766B6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235" w:type="pct"/>
            <w:vMerge w:val="continue"/>
            <w:tcBorders>
              <w:top w:val="single" w:color="auto" w:sz="4" w:space="0"/>
              <w:left w:val="single" w:color="auto" w:sz="4" w:space="0"/>
              <w:bottom w:val="single" w:color="auto" w:sz="4" w:space="0"/>
              <w:right w:val="single" w:color="auto" w:sz="4" w:space="0"/>
            </w:tcBorders>
            <w:noWrap w:val="0"/>
            <w:vAlign w:val="center"/>
          </w:tcPr>
          <w:p w14:paraId="059038F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209" w:type="pct"/>
            <w:vMerge w:val="continue"/>
            <w:tcBorders>
              <w:top w:val="single" w:color="auto" w:sz="4" w:space="0"/>
              <w:left w:val="single" w:color="auto" w:sz="4" w:space="0"/>
              <w:bottom w:val="single" w:color="auto" w:sz="4" w:space="0"/>
              <w:right w:val="single" w:color="auto" w:sz="4" w:space="0"/>
            </w:tcBorders>
            <w:noWrap w:val="0"/>
            <w:vAlign w:val="center"/>
          </w:tcPr>
          <w:p w14:paraId="7E6DCF2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224" w:type="pct"/>
            <w:vMerge w:val="continue"/>
            <w:tcBorders>
              <w:top w:val="single" w:color="auto" w:sz="4" w:space="0"/>
              <w:left w:val="single" w:color="auto" w:sz="4" w:space="0"/>
              <w:bottom w:val="single" w:color="auto" w:sz="4" w:space="0"/>
              <w:right w:val="single" w:color="auto" w:sz="4" w:space="0"/>
            </w:tcBorders>
            <w:noWrap w:val="0"/>
            <w:vAlign w:val="center"/>
          </w:tcPr>
          <w:p w14:paraId="440C2C6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199" w:type="pct"/>
            <w:vMerge w:val="continue"/>
            <w:tcBorders>
              <w:top w:val="single" w:color="auto" w:sz="4" w:space="0"/>
              <w:left w:val="single" w:color="auto" w:sz="4" w:space="0"/>
              <w:bottom w:val="single" w:color="auto" w:sz="4" w:space="0"/>
              <w:right w:val="single" w:color="auto" w:sz="4" w:space="0"/>
            </w:tcBorders>
            <w:noWrap w:val="0"/>
            <w:vAlign w:val="center"/>
          </w:tcPr>
          <w:p w14:paraId="7AEB62F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249" w:type="pct"/>
            <w:tcBorders>
              <w:top w:val="single" w:color="auto" w:sz="4" w:space="0"/>
              <w:left w:val="single" w:color="auto" w:sz="4" w:space="0"/>
              <w:bottom w:val="single" w:color="auto" w:sz="4" w:space="0"/>
              <w:right w:val="single" w:color="auto" w:sz="4" w:space="0"/>
            </w:tcBorders>
            <w:noWrap w:val="0"/>
            <w:vAlign w:val="center"/>
          </w:tcPr>
          <w:p w14:paraId="5C0337B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预算执行率</w:t>
            </w:r>
          </w:p>
        </w:tc>
        <w:tc>
          <w:tcPr>
            <w:tcW w:w="189" w:type="pct"/>
            <w:tcBorders>
              <w:top w:val="single" w:color="auto" w:sz="4" w:space="0"/>
              <w:left w:val="single" w:color="auto" w:sz="4" w:space="0"/>
              <w:bottom w:val="single" w:color="auto" w:sz="4" w:space="0"/>
              <w:right w:val="single" w:color="auto" w:sz="4" w:space="0"/>
            </w:tcBorders>
            <w:noWrap w:val="0"/>
            <w:vAlign w:val="center"/>
          </w:tcPr>
          <w:p w14:paraId="1ED4A27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2</w:t>
            </w:r>
          </w:p>
        </w:tc>
        <w:tc>
          <w:tcPr>
            <w:tcW w:w="718" w:type="pct"/>
            <w:tcBorders>
              <w:top w:val="single" w:color="auto" w:sz="4" w:space="0"/>
              <w:left w:val="single" w:color="auto" w:sz="4" w:space="0"/>
              <w:bottom w:val="single" w:color="auto" w:sz="4" w:space="0"/>
              <w:right w:val="single" w:color="auto" w:sz="4" w:space="0"/>
            </w:tcBorders>
            <w:noWrap w:val="0"/>
            <w:vAlign w:val="center"/>
          </w:tcPr>
          <w:p w14:paraId="568CDD5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项目预算资金是否按照计划执行，用以反映或考核项目预算执行情况。</w:t>
            </w:r>
          </w:p>
        </w:tc>
        <w:tc>
          <w:tcPr>
            <w:tcW w:w="494" w:type="pct"/>
            <w:tcBorders>
              <w:top w:val="single" w:color="auto" w:sz="4" w:space="0"/>
              <w:left w:val="single" w:color="auto" w:sz="4" w:space="0"/>
              <w:bottom w:val="single" w:color="auto" w:sz="4" w:space="0"/>
              <w:right w:val="single" w:color="auto" w:sz="4" w:space="0"/>
            </w:tcBorders>
            <w:noWrap w:val="0"/>
            <w:vAlign w:val="center"/>
          </w:tcPr>
          <w:p w14:paraId="020EFE9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100%</w:t>
            </w:r>
          </w:p>
        </w:tc>
        <w:tc>
          <w:tcPr>
            <w:tcW w:w="1737" w:type="pct"/>
            <w:tcBorders>
              <w:top w:val="single" w:color="auto" w:sz="4" w:space="0"/>
              <w:left w:val="single" w:color="auto" w:sz="4" w:space="0"/>
              <w:bottom w:val="single" w:color="auto" w:sz="4" w:space="0"/>
              <w:right w:val="single" w:color="auto" w:sz="4" w:space="0"/>
            </w:tcBorders>
            <w:noWrap w:val="0"/>
            <w:vAlign w:val="center"/>
          </w:tcPr>
          <w:p w14:paraId="304B54D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预算执行率=（实际支出资金/实际到位资金）×100%。</w:t>
            </w:r>
          </w:p>
          <w:p w14:paraId="1F3E603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预算执行率=100%，得权重分满分；若预算执行率＜100%，得分=预算执行率*分值；若执行率≤60%，则不得分。</w:t>
            </w:r>
          </w:p>
        </w:tc>
        <w:tc>
          <w:tcPr>
            <w:tcW w:w="467" w:type="pct"/>
            <w:tcBorders>
              <w:top w:val="single" w:color="auto" w:sz="4" w:space="0"/>
              <w:left w:val="single" w:color="auto" w:sz="4" w:space="0"/>
              <w:bottom w:val="single" w:color="auto" w:sz="4" w:space="0"/>
              <w:right w:val="single" w:color="auto" w:sz="4" w:space="0"/>
            </w:tcBorders>
            <w:noWrap w:val="0"/>
            <w:vAlign w:val="center"/>
          </w:tcPr>
          <w:p w14:paraId="33D3208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100%</w:t>
            </w:r>
          </w:p>
        </w:tc>
        <w:tc>
          <w:tcPr>
            <w:tcW w:w="273" w:type="pct"/>
            <w:tcBorders>
              <w:top w:val="single" w:color="auto" w:sz="4" w:space="0"/>
              <w:left w:val="single" w:color="auto" w:sz="4" w:space="0"/>
              <w:bottom w:val="single" w:color="auto" w:sz="4" w:space="0"/>
              <w:right w:val="single" w:color="auto" w:sz="4" w:space="0"/>
            </w:tcBorders>
            <w:noWrap w:val="0"/>
            <w:vAlign w:val="center"/>
          </w:tcPr>
          <w:p w14:paraId="435636B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2</w:t>
            </w:r>
          </w:p>
        </w:tc>
      </w:tr>
      <w:tr w14:paraId="11B84E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3" w:hRule="atLeast"/>
        </w:trPr>
        <w:tc>
          <w:tcPr>
            <w:tcW w:w="235" w:type="pct"/>
            <w:vMerge w:val="continue"/>
            <w:tcBorders>
              <w:top w:val="single" w:color="auto" w:sz="4" w:space="0"/>
              <w:left w:val="single" w:color="auto" w:sz="4" w:space="0"/>
              <w:bottom w:val="single" w:color="auto" w:sz="4" w:space="0"/>
              <w:right w:val="single" w:color="auto" w:sz="4" w:space="0"/>
            </w:tcBorders>
            <w:noWrap w:val="0"/>
            <w:vAlign w:val="center"/>
          </w:tcPr>
          <w:p w14:paraId="6F82332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209" w:type="pct"/>
            <w:vMerge w:val="continue"/>
            <w:tcBorders>
              <w:top w:val="single" w:color="auto" w:sz="4" w:space="0"/>
              <w:left w:val="single" w:color="auto" w:sz="4" w:space="0"/>
              <w:bottom w:val="single" w:color="auto" w:sz="4" w:space="0"/>
              <w:right w:val="single" w:color="auto" w:sz="4" w:space="0"/>
            </w:tcBorders>
            <w:noWrap w:val="0"/>
            <w:vAlign w:val="center"/>
          </w:tcPr>
          <w:p w14:paraId="731C0AF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224" w:type="pct"/>
            <w:vMerge w:val="continue"/>
            <w:tcBorders>
              <w:top w:val="single" w:color="auto" w:sz="4" w:space="0"/>
              <w:left w:val="single" w:color="auto" w:sz="4" w:space="0"/>
              <w:bottom w:val="single" w:color="auto" w:sz="4" w:space="0"/>
              <w:right w:val="single" w:color="auto" w:sz="4" w:space="0"/>
            </w:tcBorders>
            <w:noWrap w:val="0"/>
            <w:vAlign w:val="center"/>
          </w:tcPr>
          <w:p w14:paraId="41BF75C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199" w:type="pct"/>
            <w:vMerge w:val="continue"/>
            <w:tcBorders>
              <w:top w:val="single" w:color="auto" w:sz="4" w:space="0"/>
              <w:left w:val="single" w:color="auto" w:sz="4" w:space="0"/>
              <w:bottom w:val="single" w:color="auto" w:sz="4" w:space="0"/>
              <w:right w:val="single" w:color="auto" w:sz="4" w:space="0"/>
            </w:tcBorders>
            <w:noWrap w:val="0"/>
            <w:vAlign w:val="center"/>
          </w:tcPr>
          <w:p w14:paraId="406E9D2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249" w:type="pct"/>
            <w:tcBorders>
              <w:top w:val="single" w:color="auto" w:sz="4" w:space="0"/>
              <w:left w:val="single" w:color="auto" w:sz="4" w:space="0"/>
              <w:bottom w:val="single" w:color="auto" w:sz="4" w:space="0"/>
              <w:right w:val="single" w:color="auto" w:sz="4" w:space="0"/>
            </w:tcBorders>
            <w:noWrap w:val="0"/>
            <w:vAlign w:val="center"/>
          </w:tcPr>
          <w:p w14:paraId="15B5B5F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资金使用合规性</w:t>
            </w:r>
          </w:p>
        </w:tc>
        <w:tc>
          <w:tcPr>
            <w:tcW w:w="189" w:type="pct"/>
            <w:tcBorders>
              <w:top w:val="single" w:color="auto" w:sz="4" w:space="0"/>
              <w:left w:val="single" w:color="auto" w:sz="4" w:space="0"/>
              <w:bottom w:val="single" w:color="auto" w:sz="4" w:space="0"/>
              <w:right w:val="single" w:color="auto" w:sz="4" w:space="0"/>
            </w:tcBorders>
            <w:noWrap w:val="0"/>
            <w:vAlign w:val="center"/>
          </w:tcPr>
          <w:p w14:paraId="2E8A662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3</w:t>
            </w:r>
          </w:p>
        </w:tc>
        <w:tc>
          <w:tcPr>
            <w:tcW w:w="718" w:type="pct"/>
            <w:tcBorders>
              <w:top w:val="single" w:color="auto" w:sz="4" w:space="0"/>
              <w:left w:val="single" w:color="auto" w:sz="4" w:space="0"/>
              <w:bottom w:val="single" w:color="auto" w:sz="4" w:space="0"/>
              <w:right w:val="single" w:color="auto" w:sz="4" w:space="0"/>
            </w:tcBorders>
            <w:noWrap w:val="0"/>
            <w:vAlign w:val="center"/>
          </w:tcPr>
          <w:p w14:paraId="18C6813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项目资金使用是否符合相关的财务管理制度规定，用以反映和考核项目资金的规范运行情况。</w:t>
            </w:r>
          </w:p>
        </w:tc>
        <w:tc>
          <w:tcPr>
            <w:tcW w:w="494" w:type="pct"/>
            <w:tcBorders>
              <w:top w:val="single" w:color="auto" w:sz="4" w:space="0"/>
              <w:left w:val="single" w:color="auto" w:sz="4" w:space="0"/>
              <w:bottom w:val="single" w:color="auto" w:sz="4" w:space="0"/>
              <w:right w:val="single" w:color="auto" w:sz="4" w:space="0"/>
            </w:tcBorders>
            <w:noWrap w:val="0"/>
            <w:vAlign w:val="center"/>
          </w:tcPr>
          <w:p w14:paraId="54E6DCD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合规</w:t>
            </w:r>
          </w:p>
        </w:tc>
        <w:tc>
          <w:tcPr>
            <w:tcW w:w="1737" w:type="pct"/>
            <w:tcBorders>
              <w:top w:val="single" w:color="auto" w:sz="4" w:space="0"/>
              <w:left w:val="single" w:color="auto" w:sz="4" w:space="0"/>
              <w:bottom w:val="single" w:color="auto" w:sz="4" w:space="0"/>
              <w:right w:val="single" w:color="auto" w:sz="4" w:space="0"/>
            </w:tcBorders>
            <w:noWrap w:val="0"/>
            <w:vAlign w:val="center"/>
          </w:tcPr>
          <w:p w14:paraId="520977B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①否符合国家财经法规和财务管理制度以及有关专项资金管理办法的规定；</w:t>
            </w:r>
          </w:p>
          <w:p w14:paraId="761EA10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②资金的拨付是否有完整的审批程序和手续；</w:t>
            </w:r>
          </w:p>
          <w:p w14:paraId="7B7A0A6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③是否符合项目预算批复或合同规定的用途；</w:t>
            </w:r>
          </w:p>
          <w:p w14:paraId="72E6D4F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④是否存在截留、挤占、挪用、虚列支出等情况。</w:t>
            </w:r>
          </w:p>
          <w:p w14:paraId="51A3218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以上每条指标各占权重分的25%，要素①②不符合，扣除对应权重分；要素③④不符合属于重大违纪，该指标不得分。</w:t>
            </w:r>
          </w:p>
        </w:tc>
        <w:tc>
          <w:tcPr>
            <w:tcW w:w="467" w:type="pct"/>
            <w:tcBorders>
              <w:top w:val="single" w:color="auto" w:sz="4" w:space="0"/>
              <w:left w:val="single" w:color="auto" w:sz="4" w:space="0"/>
              <w:bottom w:val="single" w:color="auto" w:sz="4" w:space="0"/>
              <w:right w:val="single" w:color="auto" w:sz="4" w:space="0"/>
            </w:tcBorders>
            <w:noWrap w:val="0"/>
            <w:vAlign w:val="center"/>
          </w:tcPr>
          <w:p w14:paraId="4AC8C36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合规</w:t>
            </w:r>
          </w:p>
        </w:tc>
        <w:tc>
          <w:tcPr>
            <w:tcW w:w="273" w:type="pct"/>
            <w:tcBorders>
              <w:top w:val="single" w:color="auto" w:sz="4" w:space="0"/>
              <w:left w:val="single" w:color="auto" w:sz="4" w:space="0"/>
              <w:bottom w:val="single" w:color="auto" w:sz="4" w:space="0"/>
              <w:right w:val="single" w:color="auto" w:sz="4" w:space="0"/>
            </w:tcBorders>
            <w:noWrap w:val="0"/>
            <w:vAlign w:val="center"/>
          </w:tcPr>
          <w:p w14:paraId="23CC0BB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3</w:t>
            </w:r>
          </w:p>
        </w:tc>
      </w:tr>
      <w:tr w14:paraId="108916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4" w:hRule="atLeast"/>
        </w:trPr>
        <w:tc>
          <w:tcPr>
            <w:tcW w:w="235" w:type="pct"/>
            <w:vMerge w:val="continue"/>
            <w:tcBorders>
              <w:top w:val="single" w:color="auto" w:sz="4" w:space="0"/>
              <w:left w:val="single" w:color="auto" w:sz="4" w:space="0"/>
              <w:bottom w:val="single" w:color="auto" w:sz="4" w:space="0"/>
              <w:right w:val="single" w:color="auto" w:sz="4" w:space="0"/>
            </w:tcBorders>
            <w:noWrap w:val="0"/>
            <w:vAlign w:val="center"/>
          </w:tcPr>
          <w:p w14:paraId="192FDE6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209" w:type="pct"/>
            <w:vMerge w:val="continue"/>
            <w:tcBorders>
              <w:top w:val="single" w:color="auto" w:sz="4" w:space="0"/>
              <w:left w:val="single" w:color="auto" w:sz="4" w:space="0"/>
              <w:bottom w:val="single" w:color="auto" w:sz="4" w:space="0"/>
              <w:right w:val="single" w:color="auto" w:sz="4" w:space="0"/>
            </w:tcBorders>
            <w:noWrap w:val="0"/>
            <w:vAlign w:val="center"/>
          </w:tcPr>
          <w:p w14:paraId="4886440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224" w:type="pct"/>
            <w:vMerge w:val="restart"/>
            <w:tcBorders>
              <w:top w:val="single" w:color="auto" w:sz="4" w:space="0"/>
              <w:left w:val="single" w:color="auto" w:sz="4" w:space="0"/>
              <w:bottom w:val="single" w:color="auto" w:sz="4" w:space="0"/>
              <w:right w:val="single" w:color="auto" w:sz="4" w:space="0"/>
            </w:tcBorders>
            <w:noWrap w:val="0"/>
            <w:vAlign w:val="center"/>
          </w:tcPr>
          <w:p w14:paraId="037B493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组织实施</w:t>
            </w:r>
          </w:p>
        </w:tc>
        <w:tc>
          <w:tcPr>
            <w:tcW w:w="199" w:type="pct"/>
            <w:vMerge w:val="restart"/>
            <w:tcBorders>
              <w:top w:val="single" w:color="auto" w:sz="4" w:space="0"/>
              <w:left w:val="single" w:color="auto" w:sz="4" w:space="0"/>
              <w:bottom w:val="single" w:color="auto" w:sz="4" w:space="0"/>
              <w:right w:val="single" w:color="auto" w:sz="4" w:space="0"/>
            </w:tcBorders>
            <w:noWrap w:val="0"/>
            <w:vAlign w:val="center"/>
          </w:tcPr>
          <w:p w14:paraId="474692A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6</w:t>
            </w:r>
          </w:p>
        </w:tc>
        <w:tc>
          <w:tcPr>
            <w:tcW w:w="249" w:type="pct"/>
            <w:tcBorders>
              <w:top w:val="single" w:color="auto" w:sz="4" w:space="0"/>
              <w:left w:val="single" w:color="auto" w:sz="4" w:space="0"/>
              <w:bottom w:val="single" w:color="auto" w:sz="4" w:space="0"/>
              <w:right w:val="single" w:color="auto" w:sz="4" w:space="0"/>
            </w:tcBorders>
            <w:noWrap w:val="0"/>
            <w:vAlign w:val="center"/>
          </w:tcPr>
          <w:p w14:paraId="560654F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管理制度健全性</w:t>
            </w:r>
          </w:p>
        </w:tc>
        <w:tc>
          <w:tcPr>
            <w:tcW w:w="189" w:type="pct"/>
            <w:tcBorders>
              <w:top w:val="single" w:color="auto" w:sz="4" w:space="0"/>
              <w:left w:val="single" w:color="auto" w:sz="4" w:space="0"/>
              <w:bottom w:val="single" w:color="auto" w:sz="4" w:space="0"/>
              <w:right w:val="single" w:color="auto" w:sz="4" w:space="0"/>
            </w:tcBorders>
            <w:noWrap w:val="0"/>
            <w:vAlign w:val="center"/>
          </w:tcPr>
          <w:p w14:paraId="7CC31A0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3</w:t>
            </w:r>
          </w:p>
        </w:tc>
        <w:tc>
          <w:tcPr>
            <w:tcW w:w="718" w:type="pct"/>
            <w:tcBorders>
              <w:top w:val="single" w:color="auto" w:sz="4" w:space="0"/>
              <w:left w:val="single" w:color="auto" w:sz="4" w:space="0"/>
              <w:bottom w:val="single" w:color="auto" w:sz="4" w:space="0"/>
              <w:right w:val="single" w:color="auto" w:sz="4" w:space="0"/>
            </w:tcBorders>
            <w:noWrap w:val="0"/>
            <w:vAlign w:val="center"/>
          </w:tcPr>
          <w:p w14:paraId="31F29C6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项目实施单位的财务和业务管理制度是否健全，用以反映和考核财务和业务管理制度对项目顺利实施的保障情况。</w:t>
            </w:r>
          </w:p>
        </w:tc>
        <w:tc>
          <w:tcPr>
            <w:tcW w:w="494" w:type="pct"/>
            <w:tcBorders>
              <w:top w:val="single" w:color="auto" w:sz="4" w:space="0"/>
              <w:left w:val="single" w:color="auto" w:sz="4" w:space="0"/>
              <w:bottom w:val="single" w:color="auto" w:sz="4" w:space="0"/>
              <w:right w:val="single" w:color="auto" w:sz="4" w:space="0"/>
            </w:tcBorders>
            <w:noWrap w:val="0"/>
            <w:vAlign w:val="center"/>
          </w:tcPr>
          <w:p w14:paraId="40AF7AA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健全</w:t>
            </w:r>
          </w:p>
        </w:tc>
        <w:tc>
          <w:tcPr>
            <w:tcW w:w="1737" w:type="pct"/>
            <w:tcBorders>
              <w:top w:val="single" w:color="auto" w:sz="4" w:space="0"/>
              <w:left w:val="single" w:color="auto" w:sz="4" w:space="0"/>
              <w:bottom w:val="single" w:color="auto" w:sz="4" w:space="0"/>
              <w:right w:val="single" w:color="auto" w:sz="4" w:space="0"/>
            </w:tcBorders>
            <w:noWrap w:val="0"/>
            <w:vAlign w:val="center"/>
          </w:tcPr>
          <w:p w14:paraId="5D2B216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①是否已制定或具有相应的财务和业务管理制度；</w:t>
            </w:r>
          </w:p>
          <w:p w14:paraId="1100862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②财务和业务管理制度是否合法、合规、完整。</w:t>
            </w:r>
          </w:p>
          <w:p w14:paraId="081A2CF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以上每条要素各占权重的50%，每有一条不符合，扣除对应的权重分，扣完为止。</w:t>
            </w:r>
          </w:p>
        </w:tc>
        <w:tc>
          <w:tcPr>
            <w:tcW w:w="467" w:type="pct"/>
            <w:tcBorders>
              <w:top w:val="single" w:color="auto" w:sz="4" w:space="0"/>
              <w:left w:val="single" w:color="auto" w:sz="4" w:space="0"/>
              <w:bottom w:val="single" w:color="auto" w:sz="4" w:space="0"/>
              <w:right w:val="single" w:color="auto" w:sz="4" w:space="0"/>
            </w:tcBorders>
            <w:noWrap w:val="0"/>
            <w:vAlign w:val="center"/>
          </w:tcPr>
          <w:p w14:paraId="23F3AC4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健全</w:t>
            </w:r>
          </w:p>
        </w:tc>
        <w:tc>
          <w:tcPr>
            <w:tcW w:w="273" w:type="pct"/>
            <w:tcBorders>
              <w:top w:val="single" w:color="auto" w:sz="4" w:space="0"/>
              <w:left w:val="single" w:color="auto" w:sz="4" w:space="0"/>
              <w:bottom w:val="single" w:color="auto" w:sz="4" w:space="0"/>
              <w:right w:val="single" w:color="auto" w:sz="4" w:space="0"/>
            </w:tcBorders>
            <w:noWrap w:val="0"/>
            <w:vAlign w:val="center"/>
          </w:tcPr>
          <w:p w14:paraId="7F997E1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3</w:t>
            </w:r>
          </w:p>
        </w:tc>
      </w:tr>
      <w:tr w14:paraId="7B7115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35" w:type="pct"/>
            <w:vMerge w:val="continue"/>
            <w:tcBorders>
              <w:top w:val="single" w:color="auto" w:sz="4" w:space="0"/>
              <w:left w:val="single" w:color="auto" w:sz="4" w:space="0"/>
              <w:bottom w:val="single" w:color="auto" w:sz="4" w:space="0"/>
              <w:right w:val="single" w:color="auto" w:sz="4" w:space="0"/>
            </w:tcBorders>
            <w:noWrap w:val="0"/>
            <w:vAlign w:val="center"/>
          </w:tcPr>
          <w:p w14:paraId="7E9AB91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209" w:type="pct"/>
            <w:vMerge w:val="continue"/>
            <w:tcBorders>
              <w:top w:val="single" w:color="auto" w:sz="4" w:space="0"/>
              <w:left w:val="single" w:color="auto" w:sz="4" w:space="0"/>
              <w:bottom w:val="single" w:color="auto" w:sz="4" w:space="0"/>
              <w:right w:val="single" w:color="auto" w:sz="4" w:space="0"/>
            </w:tcBorders>
            <w:noWrap w:val="0"/>
            <w:vAlign w:val="center"/>
          </w:tcPr>
          <w:p w14:paraId="11F5555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224" w:type="pct"/>
            <w:vMerge w:val="continue"/>
            <w:tcBorders>
              <w:top w:val="single" w:color="auto" w:sz="4" w:space="0"/>
              <w:left w:val="single" w:color="auto" w:sz="4" w:space="0"/>
              <w:bottom w:val="single" w:color="auto" w:sz="4" w:space="0"/>
              <w:right w:val="single" w:color="auto" w:sz="4" w:space="0"/>
            </w:tcBorders>
            <w:noWrap w:val="0"/>
            <w:vAlign w:val="center"/>
          </w:tcPr>
          <w:p w14:paraId="7B888D9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199" w:type="pct"/>
            <w:vMerge w:val="continue"/>
            <w:tcBorders>
              <w:top w:val="single" w:color="auto" w:sz="4" w:space="0"/>
              <w:left w:val="single" w:color="auto" w:sz="4" w:space="0"/>
              <w:bottom w:val="single" w:color="auto" w:sz="4" w:space="0"/>
              <w:right w:val="single" w:color="auto" w:sz="4" w:space="0"/>
            </w:tcBorders>
            <w:noWrap w:val="0"/>
            <w:vAlign w:val="center"/>
          </w:tcPr>
          <w:p w14:paraId="31D3E3E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249" w:type="pct"/>
            <w:tcBorders>
              <w:top w:val="single" w:color="auto" w:sz="4" w:space="0"/>
              <w:left w:val="single" w:color="auto" w:sz="4" w:space="0"/>
              <w:bottom w:val="single" w:color="auto" w:sz="4" w:space="0"/>
              <w:right w:val="single" w:color="auto" w:sz="4" w:space="0"/>
            </w:tcBorders>
            <w:noWrap w:val="0"/>
            <w:vAlign w:val="center"/>
          </w:tcPr>
          <w:p w14:paraId="369EBED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制度执行有效性</w:t>
            </w:r>
          </w:p>
        </w:tc>
        <w:tc>
          <w:tcPr>
            <w:tcW w:w="189" w:type="pct"/>
            <w:tcBorders>
              <w:top w:val="single" w:color="auto" w:sz="4" w:space="0"/>
              <w:left w:val="single" w:color="auto" w:sz="4" w:space="0"/>
              <w:bottom w:val="single" w:color="auto" w:sz="4" w:space="0"/>
              <w:right w:val="single" w:color="auto" w:sz="4" w:space="0"/>
            </w:tcBorders>
            <w:noWrap w:val="0"/>
            <w:vAlign w:val="center"/>
          </w:tcPr>
          <w:p w14:paraId="6198B3E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3</w:t>
            </w:r>
          </w:p>
        </w:tc>
        <w:tc>
          <w:tcPr>
            <w:tcW w:w="718" w:type="pct"/>
            <w:tcBorders>
              <w:top w:val="single" w:color="auto" w:sz="4" w:space="0"/>
              <w:left w:val="single" w:color="auto" w:sz="4" w:space="0"/>
              <w:bottom w:val="single" w:color="auto" w:sz="4" w:space="0"/>
              <w:right w:val="single" w:color="auto" w:sz="4" w:space="0"/>
            </w:tcBorders>
            <w:noWrap w:val="0"/>
            <w:vAlign w:val="center"/>
          </w:tcPr>
          <w:p w14:paraId="72AA759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项目实施是否符合相关管理规定，用以反映和考核相关管理制度的有效执行情况。</w:t>
            </w:r>
          </w:p>
        </w:tc>
        <w:tc>
          <w:tcPr>
            <w:tcW w:w="494" w:type="pct"/>
            <w:tcBorders>
              <w:top w:val="single" w:color="auto" w:sz="4" w:space="0"/>
              <w:left w:val="single" w:color="auto" w:sz="4" w:space="0"/>
              <w:bottom w:val="single" w:color="auto" w:sz="4" w:space="0"/>
              <w:right w:val="single" w:color="auto" w:sz="4" w:space="0"/>
            </w:tcBorders>
            <w:noWrap w:val="0"/>
            <w:vAlign w:val="center"/>
          </w:tcPr>
          <w:p w14:paraId="321819C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有效</w:t>
            </w:r>
          </w:p>
        </w:tc>
        <w:tc>
          <w:tcPr>
            <w:tcW w:w="1737" w:type="pct"/>
            <w:tcBorders>
              <w:top w:val="single" w:color="auto" w:sz="4" w:space="0"/>
              <w:left w:val="single" w:color="auto" w:sz="4" w:space="0"/>
              <w:bottom w:val="single" w:color="auto" w:sz="4" w:space="0"/>
              <w:right w:val="single" w:color="auto" w:sz="4" w:space="0"/>
            </w:tcBorders>
            <w:noWrap w:val="0"/>
            <w:vAlign w:val="center"/>
          </w:tcPr>
          <w:p w14:paraId="6A9F66A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①否遵守相关法律法规和相关管理规定；</w:t>
            </w:r>
          </w:p>
          <w:p w14:paraId="2079C18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②项目调整及支出调整手续是否完备；</w:t>
            </w:r>
          </w:p>
          <w:p w14:paraId="05C211C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③项目资料是否齐全并及时归档。</w:t>
            </w:r>
          </w:p>
          <w:p w14:paraId="4F0ABD9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①②③齐全得权重分的100%，缺①扣权重分的30%，缺②扣权重分的40%，缺③扣权重分的30%。</w:t>
            </w:r>
          </w:p>
        </w:tc>
        <w:tc>
          <w:tcPr>
            <w:tcW w:w="467" w:type="pct"/>
            <w:tcBorders>
              <w:top w:val="single" w:color="auto" w:sz="4" w:space="0"/>
              <w:left w:val="single" w:color="auto" w:sz="4" w:space="0"/>
              <w:bottom w:val="single" w:color="auto" w:sz="4" w:space="0"/>
              <w:right w:val="single" w:color="auto" w:sz="4" w:space="0"/>
            </w:tcBorders>
            <w:noWrap w:val="0"/>
            <w:vAlign w:val="center"/>
          </w:tcPr>
          <w:p w14:paraId="7AEABC9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有效</w:t>
            </w:r>
          </w:p>
        </w:tc>
        <w:tc>
          <w:tcPr>
            <w:tcW w:w="273" w:type="pct"/>
            <w:tcBorders>
              <w:top w:val="single" w:color="auto" w:sz="4" w:space="0"/>
              <w:left w:val="single" w:color="auto" w:sz="4" w:space="0"/>
              <w:bottom w:val="single" w:color="auto" w:sz="4" w:space="0"/>
              <w:right w:val="single" w:color="auto" w:sz="4" w:space="0"/>
            </w:tcBorders>
            <w:noWrap w:val="0"/>
            <w:vAlign w:val="center"/>
          </w:tcPr>
          <w:p w14:paraId="68D005A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3</w:t>
            </w:r>
          </w:p>
        </w:tc>
      </w:tr>
      <w:tr w14:paraId="00EE0F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35" w:type="pct"/>
            <w:vMerge w:val="restart"/>
            <w:tcBorders>
              <w:top w:val="single" w:color="auto" w:sz="4" w:space="0"/>
              <w:left w:val="single" w:color="auto" w:sz="4" w:space="0"/>
              <w:bottom w:val="nil"/>
              <w:right w:val="single" w:color="auto" w:sz="4" w:space="0"/>
            </w:tcBorders>
            <w:noWrap w:val="0"/>
            <w:vAlign w:val="center"/>
          </w:tcPr>
          <w:p w14:paraId="11AB4F5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项目产出</w:t>
            </w:r>
          </w:p>
        </w:tc>
        <w:tc>
          <w:tcPr>
            <w:tcW w:w="209" w:type="pct"/>
            <w:vMerge w:val="restart"/>
            <w:tcBorders>
              <w:top w:val="single" w:color="auto" w:sz="4" w:space="0"/>
              <w:left w:val="single" w:color="auto" w:sz="4" w:space="0"/>
              <w:bottom w:val="nil"/>
              <w:right w:val="single" w:color="auto" w:sz="4" w:space="0"/>
            </w:tcBorders>
            <w:noWrap w:val="0"/>
            <w:vAlign w:val="center"/>
          </w:tcPr>
          <w:p w14:paraId="652F12B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40</w:t>
            </w:r>
          </w:p>
        </w:tc>
        <w:tc>
          <w:tcPr>
            <w:tcW w:w="224" w:type="pct"/>
            <w:tcBorders>
              <w:top w:val="single" w:color="auto" w:sz="4" w:space="0"/>
              <w:left w:val="single" w:color="auto" w:sz="4" w:space="0"/>
              <w:bottom w:val="single" w:color="auto" w:sz="4" w:space="0"/>
              <w:right w:val="single" w:color="auto" w:sz="4" w:space="0"/>
            </w:tcBorders>
            <w:noWrap w:val="0"/>
            <w:vAlign w:val="center"/>
          </w:tcPr>
          <w:p w14:paraId="6E34FBF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产出数量</w:t>
            </w:r>
          </w:p>
        </w:tc>
        <w:tc>
          <w:tcPr>
            <w:tcW w:w="199" w:type="pct"/>
            <w:tcBorders>
              <w:top w:val="single" w:color="auto" w:sz="4" w:space="0"/>
              <w:left w:val="single" w:color="auto" w:sz="4" w:space="0"/>
              <w:bottom w:val="single" w:color="auto" w:sz="4" w:space="0"/>
              <w:right w:val="single" w:color="auto" w:sz="4" w:space="0"/>
            </w:tcBorders>
            <w:noWrap w:val="0"/>
            <w:vAlign w:val="center"/>
          </w:tcPr>
          <w:p w14:paraId="744CA12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w:t>
            </w:r>
          </w:p>
        </w:tc>
        <w:tc>
          <w:tcPr>
            <w:tcW w:w="249" w:type="pct"/>
            <w:tcBorders>
              <w:top w:val="single" w:color="auto" w:sz="4" w:space="0"/>
              <w:left w:val="single" w:color="auto" w:sz="4" w:space="0"/>
              <w:bottom w:val="single" w:color="auto" w:sz="4" w:space="0"/>
              <w:right w:val="single" w:color="auto" w:sz="4" w:space="0"/>
            </w:tcBorders>
            <w:noWrap w:val="0"/>
            <w:vAlign w:val="center"/>
          </w:tcPr>
          <w:p w14:paraId="7F5481C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实际完成率</w:t>
            </w:r>
          </w:p>
        </w:tc>
        <w:tc>
          <w:tcPr>
            <w:tcW w:w="189" w:type="pct"/>
            <w:tcBorders>
              <w:top w:val="single" w:color="auto" w:sz="4" w:space="0"/>
              <w:left w:val="single" w:color="auto" w:sz="4" w:space="0"/>
              <w:bottom w:val="single" w:color="auto" w:sz="4" w:space="0"/>
              <w:right w:val="single" w:color="auto" w:sz="4" w:space="0"/>
            </w:tcBorders>
            <w:noWrap w:val="0"/>
            <w:vAlign w:val="center"/>
          </w:tcPr>
          <w:p w14:paraId="0120562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w:t>
            </w:r>
          </w:p>
        </w:tc>
        <w:tc>
          <w:tcPr>
            <w:tcW w:w="718" w:type="pct"/>
            <w:tcBorders>
              <w:top w:val="single" w:color="auto" w:sz="4" w:space="0"/>
              <w:left w:val="single" w:color="auto" w:sz="4" w:space="0"/>
              <w:bottom w:val="single" w:color="auto" w:sz="4" w:space="0"/>
              <w:right w:val="single" w:color="auto" w:sz="4" w:space="0"/>
            </w:tcBorders>
            <w:noWrap w:val="0"/>
            <w:vAlign w:val="center"/>
          </w:tcPr>
          <w:p w14:paraId="3778714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涉及学校数量</w:t>
            </w:r>
          </w:p>
        </w:tc>
        <w:tc>
          <w:tcPr>
            <w:tcW w:w="494" w:type="pct"/>
            <w:tcBorders>
              <w:top w:val="single" w:color="auto" w:sz="4" w:space="0"/>
              <w:left w:val="single" w:color="auto" w:sz="4" w:space="0"/>
              <w:bottom w:val="single" w:color="auto" w:sz="4" w:space="0"/>
              <w:right w:val="single" w:color="auto" w:sz="4" w:space="0"/>
            </w:tcBorders>
            <w:noWrap w:val="0"/>
            <w:vAlign w:val="center"/>
          </w:tcPr>
          <w:p w14:paraId="6575A60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≥1所</w:t>
            </w:r>
          </w:p>
        </w:tc>
        <w:tc>
          <w:tcPr>
            <w:tcW w:w="1737" w:type="pct"/>
            <w:tcBorders>
              <w:top w:val="single" w:color="auto" w:sz="4" w:space="0"/>
              <w:left w:val="single" w:color="auto" w:sz="4" w:space="0"/>
              <w:bottom w:val="single" w:color="auto" w:sz="4" w:space="0"/>
              <w:right w:val="single" w:color="auto" w:sz="4" w:space="0"/>
            </w:tcBorders>
            <w:noWrap w:val="0"/>
            <w:vAlign w:val="center"/>
          </w:tcPr>
          <w:p w14:paraId="7737A1D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实际完成率=（实际完成/预期完成）×100%。</w:t>
            </w:r>
            <w:r>
              <w:rPr>
                <w:rFonts w:hint="eastAsia" w:ascii="宋体" w:hAnsi="宋体" w:eastAsia="宋体" w:cs="宋体"/>
                <w:i w:val="0"/>
                <w:iCs w:val="0"/>
                <w:color w:val="000000"/>
                <w:kern w:val="0"/>
                <w:sz w:val="18"/>
                <w:szCs w:val="18"/>
                <w:highlight w:val="none"/>
                <w:u w:val="none"/>
                <w:lang w:val="en-US" w:eastAsia="zh-CN"/>
              </w:rPr>
              <w:br w:type="textWrapping"/>
            </w:r>
            <w:r>
              <w:rPr>
                <w:rFonts w:hint="eastAsia" w:ascii="宋体" w:hAnsi="宋体" w:eastAsia="宋体" w:cs="宋体"/>
                <w:i w:val="0"/>
                <w:iCs w:val="0"/>
                <w:color w:val="000000"/>
                <w:kern w:val="0"/>
                <w:sz w:val="18"/>
                <w:szCs w:val="18"/>
                <w:highlight w:val="none"/>
                <w:u w:val="none"/>
                <w:lang w:val="en-US" w:eastAsia="zh-CN"/>
              </w:rPr>
              <w:t>①实际完成率≥100%，且偏离程度＜20%，得满分；</w:t>
            </w:r>
            <w:r>
              <w:rPr>
                <w:rFonts w:hint="eastAsia" w:ascii="宋体" w:hAnsi="宋体" w:eastAsia="宋体" w:cs="宋体"/>
                <w:i w:val="0"/>
                <w:iCs w:val="0"/>
                <w:color w:val="000000"/>
                <w:kern w:val="0"/>
                <w:sz w:val="18"/>
                <w:szCs w:val="18"/>
                <w:highlight w:val="none"/>
                <w:u w:val="none"/>
                <w:lang w:val="en-US" w:eastAsia="zh-CN"/>
              </w:rPr>
              <w:br w:type="textWrapping"/>
            </w:r>
            <w:r>
              <w:rPr>
                <w:rFonts w:hint="eastAsia" w:ascii="宋体" w:hAnsi="宋体" w:eastAsia="宋体" w:cs="宋体"/>
                <w:i w:val="0"/>
                <w:iCs w:val="0"/>
                <w:color w:val="000000"/>
                <w:kern w:val="0"/>
                <w:sz w:val="18"/>
                <w:szCs w:val="18"/>
                <w:highlight w:val="none"/>
                <w:u w:val="none"/>
                <w:lang w:val="en-US" w:eastAsia="zh-CN"/>
              </w:rPr>
              <w:t>②实际完成率≥100%，偏离程度≥20%，得0分；</w:t>
            </w:r>
            <w:r>
              <w:rPr>
                <w:rFonts w:hint="eastAsia" w:ascii="宋体" w:hAnsi="宋体" w:eastAsia="宋体" w:cs="宋体"/>
                <w:i w:val="0"/>
                <w:iCs w:val="0"/>
                <w:color w:val="000000"/>
                <w:kern w:val="0"/>
                <w:sz w:val="18"/>
                <w:szCs w:val="18"/>
                <w:highlight w:val="none"/>
                <w:u w:val="none"/>
                <w:lang w:val="en-US" w:eastAsia="zh-CN"/>
              </w:rPr>
              <w:br w:type="textWrapping"/>
            </w:r>
            <w:r>
              <w:rPr>
                <w:rFonts w:hint="eastAsia" w:ascii="宋体" w:hAnsi="宋体" w:eastAsia="宋体" w:cs="宋体"/>
                <w:i w:val="0"/>
                <w:iCs w:val="0"/>
                <w:color w:val="000000"/>
                <w:kern w:val="0"/>
                <w:sz w:val="18"/>
                <w:szCs w:val="18"/>
                <w:highlight w:val="none"/>
                <w:u w:val="none"/>
                <w:lang w:val="en-US" w:eastAsia="zh-CN"/>
              </w:rPr>
              <w:t>③实际完成率×100%＜100%，得分=实际完成率×指标分值。</w:t>
            </w:r>
          </w:p>
        </w:tc>
        <w:tc>
          <w:tcPr>
            <w:tcW w:w="467" w:type="pct"/>
            <w:tcBorders>
              <w:top w:val="single" w:color="auto" w:sz="4" w:space="0"/>
              <w:left w:val="single" w:color="auto" w:sz="4" w:space="0"/>
              <w:bottom w:val="single" w:color="auto" w:sz="4" w:space="0"/>
              <w:right w:val="single" w:color="auto" w:sz="4" w:space="0"/>
            </w:tcBorders>
            <w:noWrap w:val="0"/>
            <w:vAlign w:val="center"/>
          </w:tcPr>
          <w:p w14:paraId="63D346C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1所</w:t>
            </w:r>
          </w:p>
        </w:tc>
        <w:tc>
          <w:tcPr>
            <w:tcW w:w="273" w:type="pct"/>
            <w:tcBorders>
              <w:top w:val="single" w:color="auto" w:sz="4" w:space="0"/>
              <w:left w:val="single" w:color="auto" w:sz="4" w:space="0"/>
              <w:bottom w:val="single" w:color="auto" w:sz="4" w:space="0"/>
              <w:right w:val="single" w:color="auto" w:sz="4" w:space="0"/>
            </w:tcBorders>
            <w:noWrap w:val="0"/>
            <w:vAlign w:val="center"/>
          </w:tcPr>
          <w:p w14:paraId="5AD6428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w:t>
            </w:r>
          </w:p>
        </w:tc>
      </w:tr>
      <w:tr w14:paraId="64689D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35" w:type="pct"/>
            <w:vMerge w:val="continue"/>
            <w:tcBorders>
              <w:top w:val="single" w:color="auto" w:sz="4" w:space="0"/>
              <w:left w:val="single" w:color="auto" w:sz="4" w:space="0"/>
              <w:bottom w:val="nil"/>
              <w:right w:val="single" w:color="auto" w:sz="4" w:space="0"/>
            </w:tcBorders>
            <w:noWrap w:val="0"/>
            <w:vAlign w:val="center"/>
          </w:tcPr>
          <w:p w14:paraId="0ABC248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209" w:type="pct"/>
            <w:vMerge w:val="continue"/>
            <w:tcBorders>
              <w:top w:val="single" w:color="auto" w:sz="4" w:space="0"/>
              <w:left w:val="single" w:color="auto" w:sz="4" w:space="0"/>
              <w:bottom w:val="nil"/>
              <w:right w:val="single" w:color="auto" w:sz="4" w:space="0"/>
            </w:tcBorders>
            <w:noWrap w:val="0"/>
            <w:vAlign w:val="center"/>
          </w:tcPr>
          <w:p w14:paraId="5082C91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224" w:type="pct"/>
            <w:tcBorders>
              <w:top w:val="single" w:color="auto" w:sz="4" w:space="0"/>
              <w:left w:val="single" w:color="auto" w:sz="4" w:space="0"/>
              <w:bottom w:val="single" w:color="auto" w:sz="4" w:space="0"/>
              <w:right w:val="single" w:color="auto" w:sz="4" w:space="0"/>
            </w:tcBorders>
            <w:noWrap w:val="0"/>
            <w:vAlign w:val="center"/>
          </w:tcPr>
          <w:p w14:paraId="7D6B158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产出质量</w:t>
            </w:r>
          </w:p>
        </w:tc>
        <w:tc>
          <w:tcPr>
            <w:tcW w:w="199" w:type="pct"/>
            <w:tcBorders>
              <w:top w:val="single" w:color="auto" w:sz="4" w:space="0"/>
              <w:left w:val="single" w:color="auto" w:sz="4" w:space="0"/>
              <w:bottom w:val="single" w:color="auto" w:sz="4" w:space="0"/>
              <w:right w:val="single" w:color="auto" w:sz="4" w:space="0"/>
            </w:tcBorders>
            <w:noWrap w:val="0"/>
            <w:vAlign w:val="center"/>
          </w:tcPr>
          <w:p w14:paraId="5F1C872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w:t>
            </w:r>
          </w:p>
        </w:tc>
        <w:tc>
          <w:tcPr>
            <w:tcW w:w="249" w:type="pct"/>
            <w:tcBorders>
              <w:top w:val="single" w:color="auto" w:sz="4" w:space="0"/>
              <w:left w:val="single" w:color="auto" w:sz="4" w:space="0"/>
              <w:bottom w:val="single" w:color="auto" w:sz="4" w:space="0"/>
              <w:right w:val="single" w:color="auto" w:sz="4" w:space="0"/>
            </w:tcBorders>
            <w:noWrap w:val="0"/>
            <w:vAlign w:val="center"/>
          </w:tcPr>
          <w:p w14:paraId="5678F36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default" w:ascii="宋体" w:hAnsi="宋体" w:eastAsia="宋体" w:cs="宋体"/>
                <w:i w:val="0"/>
                <w:iCs w:val="0"/>
                <w:color w:val="000000"/>
                <w:kern w:val="0"/>
                <w:sz w:val="18"/>
                <w:szCs w:val="18"/>
                <w:highlight w:val="none"/>
                <w:u w:val="none"/>
                <w:lang w:val="en-US" w:eastAsia="zh-CN"/>
              </w:rPr>
              <w:t>质量达标率</w:t>
            </w:r>
          </w:p>
        </w:tc>
        <w:tc>
          <w:tcPr>
            <w:tcW w:w="189" w:type="pct"/>
            <w:tcBorders>
              <w:top w:val="single" w:color="auto" w:sz="4" w:space="0"/>
              <w:left w:val="single" w:color="auto" w:sz="4" w:space="0"/>
              <w:bottom w:val="single" w:color="auto" w:sz="4" w:space="0"/>
              <w:right w:val="single" w:color="auto" w:sz="4" w:space="0"/>
            </w:tcBorders>
            <w:noWrap w:val="0"/>
            <w:vAlign w:val="center"/>
          </w:tcPr>
          <w:p w14:paraId="6BD67B0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w:t>
            </w:r>
          </w:p>
        </w:tc>
        <w:tc>
          <w:tcPr>
            <w:tcW w:w="718" w:type="pct"/>
            <w:tcBorders>
              <w:top w:val="single" w:color="auto" w:sz="4" w:space="0"/>
              <w:left w:val="single" w:color="auto" w:sz="4" w:space="0"/>
              <w:bottom w:val="single" w:color="auto" w:sz="4" w:space="0"/>
              <w:right w:val="single" w:color="auto" w:sz="4" w:space="0"/>
            </w:tcBorders>
            <w:noWrap w:val="0"/>
            <w:vAlign w:val="center"/>
          </w:tcPr>
          <w:p w14:paraId="57F9C9A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项目验收合格率</w:t>
            </w:r>
          </w:p>
        </w:tc>
        <w:tc>
          <w:tcPr>
            <w:tcW w:w="494" w:type="pct"/>
            <w:tcBorders>
              <w:top w:val="single" w:color="auto" w:sz="4" w:space="0"/>
              <w:left w:val="single" w:color="auto" w:sz="4" w:space="0"/>
              <w:bottom w:val="single" w:color="auto" w:sz="4" w:space="0"/>
              <w:right w:val="single" w:color="auto" w:sz="4" w:space="0"/>
            </w:tcBorders>
            <w:noWrap w:val="0"/>
            <w:vAlign w:val="center"/>
          </w:tcPr>
          <w:p w14:paraId="0EF5503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≥100%</w:t>
            </w:r>
          </w:p>
        </w:tc>
        <w:tc>
          <w:tcPr>
            <w:tcW w:w="1737" w:type="pct"/>
            <w:tcBorders>
              <w:top w:val="single" w:color="auto" w:sz="4" w:space="0"/>
              <w:left w:val="single" w:color="auto" w:sz="4" w:space="0"/>
              <w:bottom w:val="single" w:color="auto" w:sz="4" w:space="0"/>
              <w:right w:val="single" w:color="auto" w:sz="4" w:space="0"/>
            </w:tcBorders>
            <w:noWrap w:val="0"/>
            <w:vAlign w:val="center"/>
          </w:tcPr>
          <w:p w14:paraId="4A3D3D5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若指标达到标杆值，则得100%权重分；否则，得分=（实际完成/预期完成）×100%×指标分值。</w:t>
            </w:r>
          </w:p>
        </w:tc>
        <w:tc>
          <w:tcPr>
            <w:tcW w:w="467" w:type="pct"/>
            <w:tcBorders>
              <w:top w:val="single" w:color="auto" w:sz="4" w:space="0"/>
              <w:left w:val="single" w:color="auto" w:sz="4" w:space="0"/>
              <w:bottom w:val="single" w:color="auto" w:sz="4" w:space="0"/>
              <w:right w:val="single" w:color="auto" w:sz="4" w:space="0"/>
            </w:tcBorders>
            <w:noWrap w:val="0"/>
            <w:vAlign w:val="center"/>
          </w:tcPr>
          <w:p w14:paraId="7EB032D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100%</w:t>
            </w:r>
          </w:p>
        </w:tc>
        <w:tc>
          <w:tcPr>
            <w:tcW w:w="273" w:type="pct"/>
            <w:tcBorders>
              <w:top w:val="single" w:color="auto" w:sz="4" w:space="0"/>
              <w:left w:val="single" w:color="auto" w:sz="4" w:space="0"/>
              <w:bottom w:val="single" w:color="auto" w:sz="4" w:space="0"/>
              <w:right w:val="single" w:color="auto" w:sz="4" w:space="0"/>
            </w:tcBorders>
            <w:noWrap w:val="0"/>
            <w:vAlign w:val="center"/>
          </w:tcPr>
          <w:p w14:paraId="7D13A2F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w:t>
            </w:r>
          </w:p>
        </w:tc>
      </w:tr>
      <w:tr w14:paraId="4471BE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35" w:type="pct"/>
            <w:vMerge w:val="continue"/>
            <w:tcBorders>
              <w:top w:val="single" w:color="auto" w:sz="4" w:space="0"/>
              <w:left w:val="single" w:color="auto" w:sz="4" w:space="0"/>
              <w:bottom w:val="nil"/>
              <w:right w:val="single" w:color="auto" w:sz="4" w:space="0"/>
            </w:tcBorders>
            <w:noWrap w:val="0"/>
            <w:vAlign w:val="center"/>
          </w:tcPr>
          <w:p w14:paraId="092FDBA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209" w:type="pct"/>
            <w:vMerge w:val="continue"/>
            <w:tcBorders>
              <w:top w:val="single" w:color="auto" w:sz="4" w:space="0"/>
              <w:left w:val="single" w:color="auto" w:sz="4" w:space="0"/>
              <w:bottom w:val="nil"/>
              <w:right w:val="single" w:color="auto" w:sz="4" w:space="0"/>
            </w:tcBorders>
            <w:noWrap w:val="0"/>
            <w:vAlign w:val="center"/>
          </w:tcPr>
          <w:p w14:paraId="1985CB2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224" w:type="pct"/>
            <w:tcBorders>
              <w:top w:val="single" w:color="auto" w:sz="4" w:space="0"/>
              <w:left w:val="single" w:color="auto" w:sz="4" w:space="0"/>
              <w:bottom w:val="nil"/>
              <w:right w:val="single" w:color="auto" w:sz="4" w:space="0"/>
            </w:tcBorders>
            <w:noWrap w:val="0"/>
            <w:vAlign w:val="center"/>
          </w:tcPr>
          <w:p w14:paraId="371E000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产出时效</w:t>
            </w:r>
          </w:p>
        </w:tc>
        <w:tc>
          <w:tcPr>
            <w:tcW w:w="199" w:type="pct"/>
            <w:tcBorders>
              <w:top w:val="single" w:color="auto" w:sz="4" w:space="0"/>
              <w:left w:val="single" w:color="auto" w:sz="4" w:space="0"/>
              <w:bottom w:val="nil"/>
              <w:right w:val="single" w:color="auto" w:sz="4" w:space="0"/>
            </w:tcBorders>
            <w:noWrap w:val="0"/>
            <w:vAlign w:val="center"/>
          </w:tcPr>
          <w:p w14:paraId="7A579B2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w:t>
            </w:r>
          </w:p>
        </w:tc>
        <w:tc>
          <w:tcPr>
            <w:tcW w:w="249" w:type="pct"/>
            <w:tcBorders>
              <w:top w:val="single" w:color="auto" w:sz="4" w:space="0"/>
              <w:left w:val="single" w:color="auto" w:sz="4" w:space="0"/>
              <w:bottom w:val="nil"/>
              <w:right w:val="single" w:color="auto" w:sz="4" w:space="0"/>
            </w:tcBorders>
            <w:noWrap w:val="0"/>
            <w:vAlign w:val="center"/>
          </w:tcPr>
          <w:p w14:paraId="698E439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完成及时率</w:t>
            </w:r>
          </w:p>
        </w:tc>
        <w:tc>
          <w:tcPr>
            <w:tcW w:w="189" w:type="pct"/>
            <w:tcBorders>
              <w:top w:val="single" w:color="auto" w:sz="4" w:space="0"/>
              <w:left w:val="single" w:color="auto" w:sz="4" w:space="0"/>
              <w:bottom w:val="nil"/>
              <w:right w:val="single" w:color="auto" w:sz="4" w:space="0"/>
            </w:tcBorders>
            <w:noWrap w:val="0"/>
            <w:vAlign w:val="center"/>
          </w:tcPr>
          <w:p w14:paraId="332FCFE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w:t>
            </w:r>
          </w:p>
        </w:tc>
        <w:tc>
          <w:tcPr>
            <w:tcW w:w="718" w:type="pct"/>
            <w:tcBorders>
              <w:top w:val="single" w:color="auto" w:sz="4" w:space="0"/>
              <w:left w:val="single" w:color="auto" w:sz="4" w:space="0"/>
              <w:bottom w:val="single" w:color="auto" w:sz="4" w:space="0"/>
              <w:right w:val="single" w:color="auto" w:sz="4" w:space="0"/>
            </w:tcBorders>
            <w:noWrap w:val="0"/>
            <w:vAlign w:val="center"/>
          </w:tcPr>
          <w:p w14:paraId="25B9DC1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项目按计划开工率</w:t>
            </w:r>
          </w:p>
        </w:tc>
        <w:tc>
          <w:tcPr>
            <w:tcW w:w="494" w:type="pct"/>
            <w:tcBorders>
              <w:top w:val="single" w:color="auto" w:sz="4" w:space="0"/>
              <w:left w:val="single" w:color="auto" w:sz="4" w:space="0"/>
              <w:bottom w:val="single" w:color="auto" w:sz="4" w:space="0"/>
              <w:right w:val="single" w:color="auto" w:sz="4" w:space="0"/>
            </w:tcBorders>
            <w:noWrap w:val="0"/>
            <w:vAlign w:val="center"/>
          </w:tcPr>
          <w:p w14:paraId="4F071E3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≥100%</w:t>
            </w:r>
          </w:p>
        </w:tc>
        <w:tc>
          <w:tcPr>
            <w:tcW w:w="1737" w:type="pct"/>
            <w:tcBorders>
              <w:top w:val="single" w:color="auto" w:sz="4" w:space="0"/>
              <w:left w:val="single" w:color="auto" w:sz="4" w:space="0"/>
              <w:bottom w:val="single" w:color="auto" w:sz="4" w:space="0"/>
              <w:right w:val="single" w:color="auto" w:sz="4" w:space="0"/>
            </w:tcBorders>
            <w:noWrap w:val="0"/>
            <w:vAlign w:val="center"/>
          </w:tcPr>
          <w:p w14:paraId="686ADD1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若指标完成值达到标杆值，则得100%权重分；否则，得分=（实际完成/预期完成）×100%×指标分值。</w:t>
            </w:r>
          </w:p>
        </w:tc>
        <w:tc>
          <w:tcPr>
            <w:tcW w:w="467" w:type="pct"/>
            <w:tcBorders>
              <w:top w:val="single" w:color="auto" w:sz="4" w:space="0"/>
              <w:left w:val="single" w:color="auto" w:sz="4" w:space="0"/>
              <w:bottom w:val="single" w:color="auto" w:sz="4" w:space="0"/>
              <w:right w:val="single" w:color="auto" w:sz="4" w:space="0"/>
            </w:tcBorders>
            <w:noWrap w:val="0"/>
            <w:vAlign w:val="center"/>
          </w:tcPr>
          <w:p w14:paraId="54AEC70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100%</w:t>
            </w:r>
          </w:p>
        </w:tc>
        <w:tc>
          <w:tcPr>
            <w:tcW w:w="273" w:type="pct"/>
            <w:tcBorders>
              <w:top w:val="single" w:color="auto" w:sz="4" w:space="0"/>
              <w:left w:val="single" w:color="auto" w:sz="4" w:space="0"/>
              <w:bottom w:val="nil"/>
              <w:right w:val="single" w:color="auto" w:sz="4" w:space="0"/>
            </w:tcBorders>
            <w:noWrap w:val="0"/>
            <w:vAlign w:val="center"/>
          </w:tcPr>
          <w:p w14:paraId="6D1223A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w:t>
            </w:r>
          </w:p>
        </w:tc>
      </w:tr>
      <w:tr w14:paraId="7CE319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0" w:hRule="atLeast"/>
        </w:trPr>
        <w:tc>
          <w:tcPr>
            <w:tcW w:w="235" w:type="pct"/>
            <w:vMerge w:val="continue"/>
            <w:tcBorders>
              <w:top w:val="single" w:color="auto" w:sz="4" w:space="0"/>
              <w:left w:val="single" w:color="auto" w:sz="4" w:space="0"/>
              <w:bottom w:val="nil"/>
              <w:right w:val="single" w:color="auto" w:sz="4" w:space="0"/>
            </w:tcBorders>
            <w:noWrap w:val="0"/>
            <w:vAlign w:val="center"/>
          </w:tcPr>
          <w:p w14:paraId="4ACD2ED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209" w:type="pct"/>
            <w:vMerge w:val="continue"/>
            <w:tcBorders>
              <w:top w:val="single" w:color="auto" w:sz="4" w:space="0"/>
              <w:left w:val="single" w:color="auto" w:sz="4" w:space="0"/>
              <w:bottom w:val="nil"/>
              <w:right w:val="single" w:color="auto" w:sz="4" w:space="0"/>
            </w:tcBorders>
            <w:noWrap w:val="0"/>
            <w:vAlign w:val="center"/>
          </w:tcPr>
          <w:p w14:paraId="2274650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224" w:type="pct"/>
            <w:vMerge w:val="restart"/>
            <w:tcBorders>
              <w:top w:val="single" w:color="auto" w:sz="4" w:space="0"/>
              <w:left w:val="single" w:color="auto" w:sz="4" w:space="0"/>
              <w:bottom w:val="single" w:color="auto" w:sz="4" w:space="0"/>
              <w:right w:val="single" w:color="auto" w:sz="4" w:space="0"/>
            </w:tcBorders>
            <w:noWrap w:val="0"/>
            <w:vAlign w:val="center"/>
          </w:tcPr>
          <w:p w14:paraId="4AAD3F0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产出成本</w:t>
            </w:r>
          </w:p>
        </w:tc>
        <w:tc>
          <w:tcPr>
            <w:tcW w:w="199" w:type="pct"/>
            <w:vMerge w:val="restart"/>
            <w:tcBorders>
              <w:top w:val="single" w:color="auto" w:sz="4" w:space="0"/>
              <w:left w:val="single" w:color="auto" w:sz="4" w:space="0"/>
              <w:bottom w:val="single" w:color="auto" w:sz="4" w:space="0"/>
              <w:right w:val="single" w:color="auto" w:sz="4" w:space="0"/>
            </w:tcBorders>
            <w:noWrap w:val="0"/>
            <w:vAlign w:val="center"/>
          </w:tcPr>
          <w:p w14:paraId="24F874D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w:t>
            </w:r>
          </w:p>
        </w:tc>
        <w:tc>
          <w:tcPr>
            <w:tcW w:w="249" w:type="pct"/>
            <w:vMerge w:val="restart"/>
            <w:tcBorders>
              <w:top w:val="single" w:color="auto" w:sz="4" w:space="0"/>
              <w:left w:val="single" w:color="auto" w:sz="4" w:space="0"/>
              <w:bottom w:val="single" w:color="auto" w:sz="4" w:space="0"/>
              <w:right w:val="single" w:color="auto" w:sz="4" w:space="0"/>
            </w:tcBorders>
            <w:noWrap w:val="0"/>
            <w:vAlign w:val="center"/>
          </w:tcPr>
          <w:p w14:paraId="2E11256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成本节约率</w:t>
            </w:r>
          </w:p>
        </w:tc>
        <w:tc>
          <w:tcPr>
            <w:tcW w:w="189" w:type="pct"/>
            <w:tcBorders>
              <w:top w:val="single" w:color="auto" w:sz="4" w:space="0"/>
              <w:left w:val="single" w:color="auto" w:sz="4" w:space="0"/>
              <w:bottom w:val="single" w:color="auto" w:sz="4" w:space="0"/>
              <w:right w:val="single" w:color="auto" w:sz="4" w:space="0"/>
            </w:tcBorders>
            <w:noWrap w:val="0"/>
            <w:vAlign w:val="center"/>
          </w:tcPr>
          <w:p w14:paraId="4C98C74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5</w:t>
            </w:r>
          </w:p>
        </w:tc>
        <w:tc>
          <w:tcPr>
            <w:tcW w:w="718" w:type="pct"/>
            <w:tcBorders>
              <w:top w:val="single" w:color="auto" w:sz="4" w:space="0"/>
              <w:left w:val="single" w:color="auto" w:sz="4" w:space="0"/>
              <w:bottom w:val="single" w:color="auto" w:sz="4" w:space="0"/>
              <w:right w:val="single" w:color="auto" w:sz="4" w:space="0"/>
            </w:tcBorders>
            <w:noWrap w:val="0"/>
            <w:vAlign w:val="center"/>
          </w:tcPr>
          <w:p w14:paraId="37537F5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2024年计划投入工程款</w:t>
            </w:r>
          </w:p>
        </w:tc>
        <w:tc>
          <w:tcPr>
            <w:tcW w:w="494" w:type="pct"/>
            <w:tcBorders>
              <w:top w:val="single" w:color="auto" w:sz="4" w:space="0"/>
              <w:left w:val="single" w:color="auto" w:sz="4" w:space="0"/>
              <w:bottom w:val="single" w:color="auto" w:sz="4" w:space="0"/>
              <w:right w:val="single" w:color="auto" w:sz="4" w:space="0"/>
            </w:tcBorders>
            <w:noWrap w:val="0"/>
            <w:vAlign w:val="center"/>
          </w:tcPr>
          <w:p w14:paraId="48DB1A2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≥4327.95万元</w:t>
            </w:r>
          </w:p>
        </w:tc>
        <w:tc>
          <w:tcPr>
            <w:tcW w:w="1737" w:type="pct"/>
            <w:tcBorders>
              <w:top w:val="single" w:color="auto" w:sz="4" w:space="0"/>
              <w:left w:val="single" w:color="auto" w:sz="4" w:space="0"/>
              <w:bottom w:val="single" w:color="auto" w:sz="4" w:space="0"/>
              <w:right w:val="single" w:color="auto" w:sz="4" w:space="0"/>
            </w:tcBorders>
            <w:noWrap w:val="0"/>
            <w:vAlign w:val="center"/>
          </w:tcPr>
          <w:p w14:paraId="5B1EC0A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实际完成率=（实际支付资金数/计划应支付资金数）×100%。</w:t>
            </w:r>
            <w:r>
              <w:rPr>
                <w:rFonts w:hint="eastAsia" w:ascii="宋体" w:hAnsi="宋体" w:eastAsia="宋体" w:cs="宋体"/>
                <w:i w:val="0"/>
                <w:iCs w:val="0"/>
                <w:color w:val="000000"/>
                <w:kern w:val="0"/>
                <w:sz w:val="18"/>
                <w:szCs w:val="18"/>
                <w:highlight w:val="none"/>
                <w:u w:val="none"/>
                <w:lang w:val="en-US" w:eastAsia="zh-CN"/>
              </w:rPr>
              <w:br w:type="textWrapping"/>
            </w:r>
            <w:r>
              <w:rPr>
                <w:rFonts w:hint="eastAsia" w:ascii="宋体" w:hAnsi="宋体" w:eastAsia="宋体" w:cs="宋体"/>
                <w:i w:val="0"/>
                <w:iCs w:val="0"/>
                <w:color w:val="000000"/>
                <w:kern w:val="0"/>
                <w:sz w:val="18"/>
                <w:szCs w:val="18"/>
                <w:highlight w:val="none"/>
                <w:u w:val="none"/>
                <w:lang w:val="en-US" w:eastAsia="zh-CN"/>
              </w:rPr>
              <w:t>①实际完成率＞年度指标值，得0得分；</w:t>
            </w:r>
            <w:r>
              <w:rPr>
                <w:rFonts w:hint="eastAsia" w:ascii="宋体" w:hAnsi="宋体" w:eastAsia="宋体" w:cs="宋体"/>
                <w:i w:val="0"/>
                <w:iCs w:val="0"/>
                <w:color w:val="000000"/>
                <w:kern w:val="0"/>
                <w:sz w:val="18"/>
                <w:szCs w:val="18"/>
                <w:highlight w:val="none"/>
                <w:u w:val="none"/>
                <w:lang w:val="en-US" w:eastAsia="zh-CN"/>
              </w:rPr>
              <w:br w:type="textWrapping"/>
            </w:r>
            <w:r>
              <w:rPr>
                <w:rFonts w:hint="eastAsia" w:ascii="宋体" w:hAnsi="宋体" w:eastAsia="宋体" w:cs="宋体"/>
                <w:i w:val="0"/>
                <w:iCs w:val="0"/>
                <w:color w:val="000000"/>
                <w:kern w:val="0"/>
                <w:sz w:val="18"/>
                <w:szCs w:val="18"/>
                <w:highlight w:val="none"/>
                <w:u w:val="none"/>
                <w:lang w:val="en-US" w:eastAsia="zh-CN"/>
              </w:rPr>
              <w:t>②实际完成率≤年度指标值，且偏离程度＜20%，得满分；</w:t>
            </w:r>
            <w:r>
              <w:rPr>
                <w:rFonts w:hint="eastAsia" w:ascii="宋体" w:hAnsi="宋体" w:eastAsia="宋体" w:cs="宋体"/>
                <w:i w:val="0"/>
                <w:iCs w:val="0"/>
                <w:color w:val="000000"/>
                <w:kern w:val="0"/>
                <w:sz w:val="18"/>
                <w:szCs w:val="18"/>
                <w:highlight w:val="none"/>
                <w:u w:val="none"/>
                <w:lang w:val="en-US" w:eastAsia="zh-CN"/>
              </w:rPr>
              <w:br w:type="textWrapping"/>
            </w:r>
            <w:r>
              <w:rPr>
                <w:rFonts w:hint="eastAsia" w:ascii="宋体" w:hAnsi="宋体" w:eastAsia="宋体" w:cs="宋体"/>
                <w:i w:val="0"/>
                <w:iCs w:val="0"/>
                <w:color w:val="000000"/>
                <w:kern w:val="0"/>
                <w:sz w:val="18"/>
                <w:szCs w:val="18"/>
                <w:highlight w:val="none"/>
                <w:u w:val="none"/>
                <w:lang w:val="en-US" w:eastAsia="zh-CN"/>
              </w:rPr>
              <w:t>③实际完成率＜年度指标值，且偏离程度≥20%，得分=实际完成率×分值。</w:t>
            </w:r>
          </w:p>
        </w:tc>
        <w:tc>
          <w:tcPr>
            <w:tcW w:w="467" w:type="pct"/>
            <w:tcBorders>
              <w:top w:val="single" w:color="auto" w:sz="4" w:space="0"/>
              <w:left w:val="single" w:color="auto" w:sz="4" w:space="0"/>
              <w:bottom w:val="single" w:color="auto" w:sz="4" w:space="0"/>
              <w:right w:val="single" w:color="auto" w:sz="4" w:space="0"/>
            </w:tcBorders>
            <w:noWrap w:val="0"/>
            <w:vAlign w:val="center"/>
          </w:tcPr>
          <w:p w14:paraId="3866EA0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4327.95万元</w:t>
            </w:r>
          </w:p>
        </w:tc>
        <w:tc>
          <w:tcPr>
            <w:tcW w:w="273" w:type="pct"/>
            <w:tcBorders>
              <w:top w:val="single" w:color="auto" w:sz="4" w:space="0"/>
              <w:left w:val="single" w:color="auto" w:sz="4" w:space="0"/>
              <w:bottom w:val="single" w:color="auto" w:sz="4" w:space="0"/>
              <w:right w:val="single" w:color="auto" w:sz="4" w:space="0"/>
            </w:tcBorders>
            <w:noWrap w:val="0"/>
            <w:vAlign w:val="center"/>
          </w:tcPr>
          <w:p w14:paraId="76A076E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5</w:t>
            </w:r>
          </w:p>
        </w:tc>
      </w:tr>
      <w:tr w14:paraId="2C9EBF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35" w:type="pct"/>
            <w:vMerge w:val="continue"/>
            <w:tcBorders>
              <w:top w:val="single" w:color="auto" w:sz="4" w:space="0"/>
              <w:left w:val="single" w:color="auto" w:sz="4" w:space="0"/>
              <w:bottom w:val="nil"/>
              <w:right w:val="single" w:color="auto" w:sz="4" w:space="0"/>
            </w:tcBorders>
            <w:noWrap w:val="0"/>
            <w:vAlign w:val="center"/>
          </w:tcPr>
          <w:p w14:paraId="5E4AC94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209" w:type="pct"/>
            <w:vMerge w:val="continue"/>
            <w:tcBorders>
              <w:top w:val="single" w:color="auto" w:sz="4" w:space="0"/>
              <w:left w:val="single" w:color="auto" w:sz="4" w:space="0"/>
              <w:bottom w:val="nil"/>
              <w:right w:val="single" w:color="auto" w:sz="4" w:space="0"/>
            </w:tcBorders>
            <w:noWrap w:val="0"/>
            <w:vAlign w:val="center"/>
          </w:tcPr>
          <w:p w14:paraId="5752875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224" w:type="pct"/>
            <w:vMerge w:val="continue"/>
            <w:tcBorders>
              <w:top w:val="single" w:color="auto" w:sz="4" w:space="0"/>
              <w:left w:val="single" w:color="auto" w:sz="4" w:space="0"/>
              <w:bottom w:val="single" w:color="auto" w:sz="4" w:space="0"/>
              <w:right w:val="single" w:color="auto" w:sz="4" w:space="0"/>
            </w:tcBorders>
            <w:noWrap w:val="0"/>
            <w:vAlign w:val="center"/>
          </w:tcPr>
          <w:p w14:paraId="6FEA51F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199" w:type="pct"/>
            <w:vMerge w:val="continue"/>
            <w:tcBorders>
              <w:top w:val="single" w:color="auto" w:sz="4" w:space="0"/>
              <w:left w:val="single" w:color="auto" w:sz="4" w:space="0"/>
              <w:bottom w:val="single" w:color="auto" w:sz="4" w:space="0"/>
              <w:right w:val="single" w:color="auto" w:sz="4" w:space="0"/>
            </w:tcBorders>
            <w:noWrap w:val="0"/>
            <w:vAlign w:val="center"/>
          </w:tcPr>
          <w:p w14:paraId="331ABE3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249" w:type="pct"/>
            <w:vMerge w:val="continue"/>
            <w:tcBorders>
              <w:top w:val="single" w:color="auto" w:sz="4" w:space="0"/>
              <w:left w:val="single" w:color="auto" w:sz="4" w:space="0"/>
              <w:bottom w:val="single" w:color="auto" w:sz="4" w:space="0"/>
              <w:right w:val="single" w:color="auto" w:sz="4" w:space="0"/>
            </w:tcBorders>
            <w:noWrap w:val="0"/>
            <w:vAlign w:val="center"/>
          </w:tcPr>
          <w:p w14:paraId="575097F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189" w:type="pct"/>
            <w:tcBorders>
              <w:top w:val="single" w:color="auto" w:sz="4" w:space="0"/>
              <w:left w:val="single" w:color="auto" w:sz="4" w:space="0"/>
              <w:bottom w:val="single" w:color="auto" w:sz="4" w:space="0"/>
              <w:right w:val="single" w:color="auto" w:sz="4" w:space="0"/>
            </w:tcBorders>
            <w:noWrap w:val="0"/>
            <w:vAlign w:val="center"/>
          </w:tcPr>
          <w:p w14:paraId="0191400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5</w:t>
            </w:r>
          </w:p>
        </w:tc>
        <w:tc>
          <w:tcPr>
            <w:tcW w:w="718" w:type="pct"/>
            <w:tcBorders>
              <w:top w:val="single" w:color="auto" w:sz="4" w:space="0"/>
              <w:left w:val="single" w:color="auto" w:sz="4" w:space="0"/>
              <w:bottom w:val="single" w:color="auto" w:sz="4" w:space="0"/>
              <w:right w:val="single" w:color="auto" w:sz="4" w:space="0"/>
            </w:tcBorders>
            <w:noWrap w:val="0"/>
            <w:vAlign w:val="center"/>
          </w:tcPr>
          <w:p w14:paraId="0C1956F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2024年计划投入二类费</w:t>
            </w:r>
          </w:p>
        </w:tc>
        <w:tc>
          <w:tcPr>
            <w:tcW w:w="494" w:type="pct"/>
            <w:tcBorders>
              <w:top w:val="single" w:color="auto" w:sz="4" w:space="0"/>
              <w:left w:val="single" w:color="auto" w:sz="4" w:space="0"/>
              <w:bottom w:val="single" w:color="auto" w:sz="4" w:space="0"/>
              <w:right w:val="single" w:color="auto" w:sz="4" w:space="0"/>
            </w:tcBorders>
            <w:noWrap w:val="0"/>
            <w:vAlign w:val="center"/>
          </w:tcPr>
          <w:p w14:paraId="0780AB2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≥8.94万元</w:t>
            </w:r>
          </w:p>
        </w:tc>
        <w:tc>
          <w:tcPr>
            <w:tcW w:w="1737" w:type="pct"/>
            <w:tcBorders>
              <w:top w:val="single" w:color="auto" w:sz="4" w:space="0"/>
              <w:left w:val="single" w:color="auto" w:sz="4" w:space="0"/>
              <w:bottom w:val="single" w:color="auto" w:sz="4" w:space="0"/>
              <w:right w:val="single" w:color="auto" w:sz="4" w:space="0"/>
            </w:tcBorders>
            <w:noWrap w:val="0"/>
            <w:vAlign w:val="center"/>
          </w:tcPr>
          <w:p w14:paraId="695537C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实际完成率=（实际支付资金数/计划应支付资金数）×100%。</w:t>
            </w:r>
            <w:r>
              <w:rPr>
                <w:rFonts w:hint="eastAsia" w:ascii="宋体" w:hAnsi="宋体" w:eastAsia="宋体" w:cs="宋体"/>
                <w:i w:val="0"/>
                <w:iCs w:val="0"/>
                <w:color w:val="000000"/>
                <w:kern w:val="0"/>
                <w:sz w:val="18"/>
                <w:szCs w:val="18"/>
                <w:highlight w:val="none"/>
                <w:u w:val="none"/>
                <w:lang w:val="en-US" w:eastAsia="zh-CN"/>
              </w:rPr>
              <w:br w:type="textWrapping"/>
            </w:r>
            <w:r>
              <w:rPr>
                <w:rFonts w:hint="eastAsia" w:ascii="宋体" w:hAnsi="宋体" w:eastAsia="宋体" w:cs="宋体"/>
                <w:i w:val="0"/>
                <w:iCs w:val="0"/>
                <w:color w:val="000000"/>
                <w:kern w:val="0"/>
                <w:sz w:val="18"/>
                <w:szCs w:val="18"/>
                <w:highlight w:val="none"/>
                <w:u w:val="none"/>
                <w:lang w:val="en-US" w:eastAsia="zh-CN"/>
              </w:rPr>
              <w:t>①实际完成率＞年度指标值，得0得分；</w:t>
            </w:r>
            <w:r>
              <w:rPr>
                <w:rFonts w:hint="eastAsia" w:ascii="宋体" w:hAnsi="宋体" w:eastAsia="宋体" w:cs="宋体"/>
                <w:i w:val="0"/>
                <w:iCs w:val="0"/>
                <w:color w:val="000000"/>
                <w:kern w:val="0"/>
                <w:sz w:val="18"/>
                <w:szCs w:val="18"/>
                <w:highlight w:val="none"/>
                <w:u w:val="none"/>
                <w:lang w:val="en-US" w:eastAsia="zh-CN"/>
              </w:rPr>
              <w:br w:type="textWrapping"/>
            </w:r>
            <w:r>
              <w:rPr>
                <w:rFonts w:hint="eastAsia" w:ascii="宋体" w:hAnsi="宋体" w:eastAsia="宋体" w:cs="宋体"/>
                <w:i w:val="0"/>
                <w:iCs w:val="0"/>
                <w:color w:val="000000"/>
                <w:kern w:val="0"/>
                <w:sz w:val="18"/>
                <w:szCs w:val="18"/>
                <w:highlight w:val="none"/>
                <w:u w:val="none"/>
                <w:lang w:val="en-US" w:eastAsia="zh-CN"/>
              </w:rPr>
              <w:t>②实际完成率≤年度指标值，且偏离程度＜20%，得满分；</w:t>
            </w:r>
            <w:r>
              <w:rPr>
                <w:rFonts w:hint="eastAsia" w:ascii="宋体" w:hAnsi="宋体" w:eastAsia="宋体" w:cs="宋体"/>
                <w:i w:val="0"/>
                <w:iCs w:val="0"/>
                <w:color w:val="000000"/>
                <w:kern w:val="0"/>
                <w:sz w:val="18"/>
                <w:szCs w:val="18"/>
                <w:highlight w:val="none"/>
                <w:u w:val="none"/>
                <w:lang w:val="en-US" w:eastAsia="zh-CN"/>
              </w:rPr>
              <w:br w:type="textWrapping"/>
            </w:r>
            <w:r>
              <w:rPr>
                <w:rFonts w:hint="eastAsia" w:ascii="宋体" w:hAnsi="宋体" w:eastAsia="宋体" w:cs="宋体"/>
                <w:i w:val="0"/>
                <w:iCs w:val="0"/>
                <w:color w:val="000000"/>
                <w:kern w:val="0"/>
                <w:sz w:val="18"/>
                <w:szCs w:val="18"/>
                <w:highlight w:val="none"/>
                <w:u w:val="none"/>
                <w:lang w:val="en-US" w:eastAsia="zh-CN"/>
              </w:rPr>
              <w:t>③实际完成率＜年度指标值，且偏离程度≥20%，得分=实际完成率×分值。</w:t>
            </w:r>
          </w:p>
        </w:tc>
        <w:tc>
          <w:tcPr>
            <w:tcW w:w="467" w:type="pct"/>
            <w:tcBorders>
              <w:top w:val="single" w:color="auto" w:sz="4" w:space="0"/>
              <w:left w:val="single" w:color="auto" w:sz="4" w:space="0"/>
              <w:bottom w:val="single" w:color="auto" w:sz="4" w:space="0"/>
              <w:right w:val="single" w:color="auto" w:sz="4" w:space="0"/>
            </w:tcBorders>
            <w:noWrap w:val="0"/>
            <w:vAlign w:val="center"/>
          </w:tcPr>
          <w:p w14:paraId="2D9585F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8.94万元</w:t>
            </w:r>
          </w:p>
        </w:tc>
        <w:tc>
          <w:tcPr>
            <w:tcW w:w="273" w:type="pct"/>
            <w:tcBorders>
              <w:top w:val="single" w:color="auto" w:sz="4" w:space="0"/>
              <w:left w:val="single" w:color="auto" w:sz="4" w:space="0"/>
              <w:bottom w:val="single" w:color="auto" w:sz="4" w:space="0"/>
              <w:right w:val="single" w:color="auto" w:sz="4" w:space="0"/>
            </w:tcBorders>
            <w:noWrap w:val="0"/>
            <w:vAlign w:val="center"/>
          </w:tcPr>
          <w:p w14:paraId="6876F2E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5</w:t>
            </w:r>
          </w:p>
        </w:tc>
      </w:tr>
      <w:tr w14:paraId="6D8E87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35" w:type="pct"/>
            <w:vMerge w:val="restart"/>
            <w:tcBorders>
              <w:top w:val="single" w:color="auto" w:sz="4" w:space="0"/>
              <w:left w:val="single" w:color="auto" w:sz="4" w:space="0"/>
              <w:bottom w:val="single" w:color="auto" w:sz="4" w:space="0"/>
              <w:right w:val="single" w:color="auto" w:sz="4" w:space="0"/>
            </w:tcBorders>
            <w:noWrap w:val="0"/>
            <w:vAlign w:val="center"/>
          </w:tcPr>
          <w:p w14:paraId="7A971D2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项目效益</w:t>
            </w:r>
          </w:p>
        </w:tc>
        <w:tc>
          <w:tcPr>
            <w:tcW w:w="209" w:type="pct"/>
            <w:vMerge w:val="restart"/>
            <w:tcBorders>
              <w:top w:val="single" w:color="auto" w:sz="4" w:space="0"/>
              <w:left w:val="single" w:color="auto" w:sz="4" w:space="0"/>
              <w:bottom w:val="single" w:color="auto" w:sz="4" w:space="0"/>
              <w:right w:val="single" w:color="auto" w:sz="4" w:space="0"/>
            </w:tcBorders>
            <w:noWrap w:val="0"/>
            <w:vAlign w:val="center"/>
          </w:tcPr>
          <w:p w14:paraId="2EB5DE5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25</w:t>
            </w:r>
          </w:p>
        </w:tc>
        <w:tc>
          <w:tcPr>
            <w:tcW w:w="224" w:type="pct"/>
            <w:vMerge w:val="restart"/>
            <w:tcBorders>
              <w:top w:val="single" w:color="auto" w:sz="4" w:space="0"/>
              <w:left w:val="single" w:color="auto" w:sz="4" w:space="0"/>
              <w:bottom w:val="single" w:color="auto" w:sz="4" w:space="0"/>
              <w:right w:val="single" w:color="auto" w:sz="4" w:space="0"/>
            </w:tcBorders>
            <w:noWrap w:val="0"/>
            <w:vAlign w:val="center"/>
          </w:tcPr>
          <w:p w14:paraId="5A7A3AA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项目效益</w:t>
            </w:r>
          </w:p>
        </w:tc>
        <w:tc>
          <w:tcPr>
            <w:tcW w:w="199" w:type="pct"/>
            <w:vMerge w:val="restart"/>
            <w:tcBorders>
              <w:top w:val="single" w:color="auto" w:sz="4" w:space="0"/>
              <w:left w:val="single" w:color="auto" w:sz="4" w:space="0"/>
              <w:bottom w:val="single" w:color="auto" w:sz="4" w:space="0"/>
              <w:right w:val="single" w:color="auto" w:sz="4" w:space="0"/>
            </w:tcBorders>
            <w:noWrap w:val="0"/>
            <w:vAlign w:val="center"/>
          </w:tcPr>
          <w:p w14:paraId="6A176EB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25</w:t>
            </w:r>
          </w:p>
        </w:tc>
        <w:tc>
          <w:tcPr>
            <w:tcW w:w="249" w:type="pct"/>
            <w:tcBorders>
              <w:top w:val="single" w:color="auto" w:sz="4" w:space="0"/>
              <w:left w:val="single" w:color="auto" w:sz="4" w:space="0"/>
              <w:bottom w:val="single" w:color="auto" w:sz="4" w:space="0"/>
              <w:right w:val="single" w:color="auto" w:sz="4" w:space="0"/>
            </w:tcBorders>
            <w:noWrap w:val="0"/>
            <w:vAlign w:val="center"/>
          </w:tcPr>
          <w:p w14:paraId="21B275C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社会效益</w:t>
            </w:r>
          </w:p>
        </w:tc>
        <w:tc>
          <w:tcPr>
            <w:tcW w:w="189" w:type="pct"/>
            <w:tcBorders>
              <w:top w:val="single" w:color="auto" w:sz="4" w:space="0"/>
              <w:left w:val="single" w:color="auto" w:sz="4" w:space="0"/>
              <w:bottom w:val="single" w:color="auto" w:sz="4" w:space="0"/>
              <w:right w:val="single" w:color="auto" w:sz="4" w:space="0"/>
            </w:tcBorders>
            <w:noWrap w:val="0"/>
            <w:vAlign w:val="center"/>
          </w:tcPr>
          <w:p w14:paraId="3144302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15</w:t>
            </w:r>
          </w:p>
        </w:tc>
        <w:tc>
          <w:tcPr>
            <w:tcW w:w="718" w:type="pct"/>
            <w:tcBorders>
              <w:top w:val="single" w:color="auto" w:sz="4" w:space="0"/>
              <w:left w:val="single" w:color="auto" w:sz="4" w:space="0"/>
              <w:bottom w:val="single" w:color="auto" w:sz="4" w:space="0"/>
              <w:right w:val="single" w:color="auto" w:sz="4" w:space="0"/>
            </w:tcBorders>
            <w:noWrap w:val="0"/>
            <w:vAlign w:val="center"/>
          </w:tcPr>
          <w:p w14:paraId="5DE9A1E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改善教育教学环境</w:t>
            </w:r>
          </w:p>
        </w:tc>
        <w:tc>
          <w:tcPr>
            <w:tcW w:w="494" w:type="pct"/>
            <w:tcBorders>
              <w:top w:val="single" w:color="auto" w:sz="4" w:space="0"/>
              <w:left w:val="single" w:color="auto" w:sz="4" w:space="0"/>
              <w:bottom w:val="single" w:color="auto" w:sz="4" w:space="0"/>
              <w:right w:val="single" w:color="auto" w:sz="4" w:space="0"/>
            </w:tcBorders>
            <w:noWrap w:val="0"/>
            <w:vAlign w:val="center"/>
          </w:tcPr>
          <w:p w14:paraId="3EF2225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有效改善</w:t>
            </w:r>
          </w:p>
        </w:tc>
        <w:tc>
          <w:tcPr>
            <w:tcW w:w="1737" w:type="pct"/>
            <w:tcBorders>
              <w:top w:val="single" w:color="auto" w:sz="4" w:space="0"/>
              <w:left w:val="single" w:color="auto" w:sz="4" w:space="0"/>
              <w:bottom w:val="single" w:color="auto" w:sz="4" w:space="0"/>
              <w:right w:val="single" w:color="auto" w:sz="4" w:space="0"/>
            </w:tcBorders>
            <w:noWrap w:val="0"/>
            <w:vAlign w:val="center"/>
          </w:tcPr>
          <w:p w14:paraId="7840A63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按评判等级赋分。分为基本达成目标、部分实现目标、实现目标程度较低三个档次，并分别按照该指标对应分值区间100%-80%（含）、80%-60%（含）、60%-0%合理确定分值。</w:t>
            </w:r>
          </w:p>
        </w:tc>
        <w:tc>
          <w:tcPr>
            <w:tcW w:w="467" w:type="pct"/>
            <w:tcBorders>
              <w:top w:val="single" w:color="auto" w:sz="4" w:space="0"/>
              <w:left w:val="single" w:color="auto" w:sz="4" w:space="0"/>
              <w:bottom w:val="single" w:color="auto" w:sz="4" w:space="0"/>
              <w:right w:val="single" w:color="auto" w:sz="4" w:space="0"/>
            </w:tcBorders>
            <w:noWrap w:val="0"/>
            <w:vAlign w:val="center"/>
          </w:tcPr>
          <w:p w14:paraId="2378CED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有效改善</w:t>
            </w:r>
          </w:p>
        </w:tc>
        <w:tc>
          <w:tcPr>
            <w:tcW w:w="273" w:type="pct"/>
            <w:tcBorders>
              <w:top w:val="single" w:color="auto" w:sz="4" w:space="0"/>
              <w:left w:val="single" w:color="auto" w:sz="4" w:space="0"/>
              <w:bottom w:val="single" w:color="auto" w:sz="4" w:space="0"/>
              <w:right w:val="single" w:color="auto" w:sz="4" w:space="0"/>
            </w:tcBorders>
            <w:noWrap w:val="0"/>
            <w:vAlign w:val="center"/>
          </w:tcPr>
          <w:p w14:paraId="4069220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15</w:t>
            </w:r>
          </w:p>
        </w:tc>
      </w:tr>
      <w:tr w14:paraId="1C9342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trPr>
        <w:tc>
          <w:tcPr>
            <w:tcW w:w="235" w:type="pct"/>
            <w:vMerge w:val="continue"/>
            <w:tcBorders>
              <w:top w:val="single" w:color="auto" w:sz="4" w:space="0"/>
              <w:left w:val="single" w:color="auto" w:sz="4" w:space="0"/>
              <w:bottom w:val="single" w:color="auto" w:sz="4" w:space="0"/>
              <w:right w:val="single" w:color="auto" w:sz="4" w:space="0"/>
            </w:tcBorders>
            <w:noWrap w:val="0"/>
            <w:vAlign w:val="center"/>
          </w:tcPr>
          <w:p w14:paraId="6F87FA5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209" w:type="pct"/>
            <w:vMerge w:val="continue"/>
            <w:tcBorders>
              <w:top w:val="single" w:color="auto" w:sz="4" w:space="0"/>
              <w:left w:val="single" w:color="auto" w:sz="4" w:space="0"/>
              <w:bottom w:val="single" w:color="auto" w:sz="4" w:space="0"/>
              <w:right w:val="single" w:color="auto" w:sz="4" w:space="0"/>
            </w:tcBorders>
            <w:noWrap w:val="0"/>
            <w:vAlign w:val="center"/>
          </w:tcPr>
          <w:p w14:paraId="7B02E67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224" w:type="pct"/>
            <w:vMerge w:val="continue"/>
            <w:tcBorders>
              <w:top w:val="single" w:color="auto" w:sz="4" w:space="0"/>
              <w:left w:val="single" w:color="auto" w:sz="4" w:space="0"/>
              <w:bottom w:val="single" w:color="auto" w:sz="4" w:space="0"/>
              <w:right w:val="single" w:color="auto" w:sz="4" w:space="0"/>
            </w:tcBorders>
            <w:noWrap w:val="0"/>
            <w:vAlign w:val="center"/>
          </w:tcPr>
          <w:p w14:paraId="001230B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199" w:type="pct"/>
            <w:vMerge w:val="continue"/>
            <w:tcBorders>
              <w:top w:val="single" w:color="auto" w:sz="4" w:space="0"/>
              <w:left w:val="single" w:color="auto" w:sz="4" w:space="0"/>
              <w:bottom w:val="single" w:color="auto" w:sz="4" w:space="0"/>
              <w:right w:val="single" w:color="auto" w:sz="4" w:space="0"/>
            </w:tcBorders>
            <w:noWrap w:val="0"/>
            <w:vAlign w:val="center"/>
          </w:tcPr>
          <w:p w14:paraId="7F4B32A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249" w:type="pct"/>
            <w:tcBorders>
              <w:top w:val="single" w:color="auto" w:sz="4" w:space="0"/>
              <w:left w:val="single" w:color="auto" w:sz="4" w:space="0"/>
              <w:bottom w:val="single" w:color="auto" w:sz="4" w:space="0"/>
              <w:right w:val="single" w:color="auto" w:sz="4" w:space="0"/>
            </w:tcBorders>
            <w:noWrap w:val="0"/>
            <w:vAlign w:val="center"/>
          </w:tcPr>
          <w:p w14:paraId="63DA4D1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服务对象满意度</w:t>
            </w:r>
          </w:p>
        </w:tc>
        <w:tc>
          <w:tcPr>
            <w:tcW w:w="189" w:type="pct"/>
            <w:tcBorders>
              <w:top w:val="single" w:color="auto" w:sz="4" w:space="0"/>
              <w:left w:val="single" w:color="auto" w:sz="4" w:space="0"/>
              <w:bottom w:val="single" w:color="auto" w:sz="4" w:space="0"/>
              <w:right w:val="single" w:color="auto" w:sz="4" w:space="0"/>
            </w:tcBorders>
            <w:noWrap w:val="0"/>
            <w:vAlign w:val="center"/>
          </w:tcPr>
          <w:p w14:paraId="0AFC111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w:t>
            </w:r>
          </w:p>
        </w:tc>
        <w:tc>
          <w:tcPr>
            <w:tcW w:w="718" w:type="pct"/>
            <w:tcBorders>
              <w:top w:val="single" w:color="auto" w:sz="4" w:space="0"/>
              <w:left w:val="single" w:color="auto" w:sz="4" w:space="0"/>
              <w:bottom w:val="single" w:color="auto" w:sz="4" w:space="0"/>
              <w:right w:val="single" w:color="auto" w:sz="4" w:space="0"/>
            </w:tcBorders>
            <w:noWrap w:val="0"/>
            <w:vAlign w:val="center"/>
          </w:tcPr>
          <w:p w14:paraId="44AD9A0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学生满意度</w:t>
            </w:r>
          </w:p>
        </w:tc>
        <w:tc>
          <w:tcPr>
            <w:tcW w:w="494" w:type="pct"/>
            <w:tcBorders>
              <w:top w:val="single" w:color="auto" w:sz="4" w:space="0"/>
              <w:left w:val="single" w:color="auto" w:sz="4" w:space="0"/>
              <w:bottom w:val="single" w:color="auto" w:sz="4" w:space="0"/>
              <w:right w:val="single" w:color="auto" w:sz="4" w:space="0"/>
            </w:tcBorders>
            <w:noWrap w:val="0"/>
            <w:vAlign w:val="center"/>
          </w:tcPr>
          <w:p w14:paraId="29ECDF0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≥100%</w:t>
            </w:r>
          </w:p>
        </w:tc>
        <w:tc>
          <w:tcPr>
            <w:tcW w:w="1737" w:type="pct"/>
            <w:tcBorders>
              <w:top w:val="single" w:color="auto" w:sz="4" w:space="0"/>
              <w:left w:val="single" w:color="auto" w:sz="4" w:space="0"/>
              <w:bottom w:val="single" w:color="auto" w:sz="4" w:space="0"/>
              <w:right w:val="single" w:color="auto" w:sz="4" w:space="0"/>
            </w:tcBorders>
            <w:noWrap w:val="0"/>
            <w:vAlign w:val="center"/>
          </w:tcPr>
          <w:p w14:paraId="41D96B7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根据问卷调查，满意度达到标杆值，得权重分的100%；否则低于95%，得分=实际满意度*指标分值。</w:t>
            </w:r>
          </w:p>
        </w:tc>
        <w:tc>
          <w:tcPr>
            <w:tcW w:w="467" w:type="pct"/>
            <w:tcBorders>
              <w:top w:val="single" w:color="auto" w:sz="4" w:space="0"/>
              <w:left w:val="single" w:color="auto" w:sz="4" w:space="0"/>
              <w:bottom w:val="single" w:color="auto" w:sz="4" w:space="0"/>
              <w:right w:val="single" w:color="auto" w:sz="4" w:space="0"/>
            </w:tcBorders>
            <w:noWrap w:val="0"/>
            <w:vAlign w:val="center"/>
          </w:tcPr>
          <w:p w14:paraId="575197C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100%</w:t>
            </w:r>
          </w:p>
        </w:tc>
        <w:tc>
          <w:tcPr>
            <w:tcW w:w="273" w:type="pct"/>
            <w:tcBorders>
              <w:top w:val="single" w:color="auto" w:sz="4" w:space="0"/>
              <w:left w:val="single" w:color="auto" w:sz="4" w:space="0"/>
              <w:bottom w:val="single" w:color="auto" w:sz="4" w:space="0"/>
              <w:right w:val="single" w:color="auto" w:sz="4" w:space="0"/>
            </w:tcBorders>
            <w:noWrap w:val="0"/>
            <w:vAlign w:val="center"/>
          </w:tcPr>
          <w:p w14:paraId="502C377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w:t>
            </w:r>
          </w:p>
        </w:tc>
      </w:tr>
      <w:tr w14:paraId="2BDFB0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35" w:type="pct"/>
            <w:tcBorders>
              <w:top w:val="single" w:color="auto" w:sz="4" w:space="0"/>
              <w:left w:val="single" w:color="auto" w:sz="4" w:space="0"/>
              <w:bottom w:val="single" w:color="auto" w:sz="4" w:space="0"/>
              <w:right w:val="single" w:color="auto" w:sz="4" w:space="0"/>
            </w:tcBorders>
            <w:noWrap w:val="0"/>
            <w:vAlign w:val="center"/>
          </w:tcPr>
          <w:p w14:paraId="2D077C2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总分</w:t>
            </w:r>
          </w:p>
        </w:tc>
        <w:tc>
          <w:tcPr>
            <w:tcW w:w="209" w:type="pct"/>
            <w:tcBorders>
              <w:top w:val="single" w:color="auto" w:sz="4" w:space="0"/>
              <w:left w:val="single" w:color="auto" w:sz="4" w:space="0"/>
              <w:bottom w:val="single" w:color="auto" w:sz="4" w:space="0"/>
              <w:right w:val="single" w:color="auto" w:sz="4" w:space="0"/>
            </w:tcBorders>
            <w:noWrap w:val="0"/>
            <w:vAlign w:val="center"/>
          </w:tcPr>
          <w:p w14:paraId="15F14DA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100</w:t>
            </w:r>
          </w:p>
        </w:tc>
        <w:tc>
          <w:tcPr>
            <w:tcW w:w="224" w:type="pct"/>
            <w:tcBorders>
              <w:top w:val="single" w:color="auto" w:sz="4" w:space="0"/>
              <w:left w:val="single" w:color="auto" w:sz="4" w:space="0"/>
              <w:bottom w:val="single" w:color="auto" w:sz="4" w:space="0"/>
              <w:right w:val="single" w:color="auto" w:sz="4" w:space="0"/>
            </w:tcBorders>
            <w:noWrap w:val="0"/>
            <w:vAlign w:val="center"/>
          </w:tcPr>
          <w:p w14:paraId="022214E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199" w:type="pct"/>
            <w:tcBorders>
              <w:top w:val="single" w:color="auto" w:sz="4" w:space="0"/>
              <w:left w:val="single" w:color="auto" w:sz="4" w:space="0"/>
              <w:bottom w:val="single" w:color="auto" w:sz="4" w:space="0"/>
              <w:right w:val="single" w:color="auto" w:sz="4" w:space="0"/>
            </w:tcBorders>
            <w:noWrap w:val="0"/>
            <w:vAlign w:val="center"/>
          </w:tcPr>
          <w:p w14:paraId="09C79ED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100</w:t>
            </w:r>
          </w:p>
        </w:tc>
        <w:tc>
          <w:tcPr>
            <w:tcW w:w="249" w:type="pct"/>
            <w:tcBorders>
              <w:top w:val="single" w:color="auto" w:sz="4" w:space="0"/>
              <w:left w:val="single" w:color="auto" w:sz="4" w:space="0"/>
              <w:bottom w:val="single" w:color="auto" w:sz="4" w:space="0"/>
              <w:right w:val="single" w:color="auto" w:sz="4" w:space="0"/>
            </w:tcBorders>
            <w:noWrap w:val="0"/>
            <w:vAlign w:val="center"/>
          </w:tcPr>
          <w:p w14:paraId="47B13C3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189" w:type="pct"/>
            <w:tcBorders>
              <w:top w:val="single" w:color="auto" w:sz="4" w:space="0"/>
              <w:left w:val="single" w:color="auto" w:sz="4" w:space="0"/>
              <w:bottom w:val="single" w:color="auto" w:sz="4" w:space="0"/>
              <w:right w:val="single" w:color="auto" w:sz="4" w:space="0"/>
            </w:tcBorders>
            <w:noWrap w:val="0"/>
            <w:vAlign w:val="center"/>
          </w:tcPr>
          <w:p w14:paraId="792C1FE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100</w:t>
            </w:r>
          </w:p>
        </w:tc>
        <w:tc>
          <w:tcPr>
            <w:tcW w:w="718" w:type="pct"/>
            <w:tcBorders>
              <w:top w:val="single" w:color="auto" w:sz="4" w:space="0"/>
              <w:left w:val="single" w:color="auto" w:sz="4" w:space="0"/>
              <w:bottom w:val="single" w:color="auto" w:sz="4" w:space="0"/>
              <w:right w:val="single" w:color="auto" w:sz="4" w:space="0"/>
            </w:tcBorders>
            <w:noWrap w:val="0"/>
            <w:vAlign w:val="center"/>
          </w:tcPr>
          <w:p w14:paraId="2E69E48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494" w:type="pct"/>
            <w:tcBorders>
              <w:top w:val="single" w:color="auto" w:sz="4" w:space="0"/>
              <w:left w:val="single" w:color="auto" w:sz="4" w:space="0"/>
              <w:bottom w:val="single" w:color="auto" w:sz="4" w:space="0"/>
              <w:right w:val="single" w:color="auto" w:sz="4" w:space="0"/>
            </w:tcBorders>
            <w:noWrap w:val="0"/>
            <w:vAlign w:val="center"/>
          </w:tcPr>
          <w:p w14:paraId="6E4ABCD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w:t>
            </w:r>
          </w:p>
        </w:tc>
        <w:tc>
          <w:tcPr>
            <w:tcW w:w="1737" w:type="pct"/>
            <w:tcBorders>
              <w:top w:val="single" w:color="auto" w:sz="4" w:space="0"/>
              <w:left w:val="single" w:color="auto" w:sz="4" w:space="0"/>
              <w:bottom w:val="single" w:color="auto" w:sz="4" w:space="0"/>
              <w:right w:val="single" w:color="auto" w:sz="4" w:space="0"/>
            </w:tcBorders>
            <w:noWrap w:val="0"/>
            <w:vAlign w:val="center"/>
          </w:tcPr>
          <w:p w14:paraId="768BE4A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467" w:type="pct"/>
            <w:tcBorders>
              <w:top w:val="single" w:color="auto" w:sz="4" w:space="0"/>
              <w:left w:val="single" w:color="auto" w:sz="4" w:space="0"/>
              <w:bottom w:val="single" w:color="auto" w:sz="4" w:space="0"/>
              <w:right w:val="single" w:color="auto" w:sz="4" w:space="0"/>
            </w:tcBorders>
            <w:noWrap w:val="0"/>
            <w:vAlign w:val="center"/>
          </w:tcPr>
          <w:p w14:paraId="39BB7AE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273" w:type="pct"/>
            <w:tcBorders>
              <w:top w:val="single" w:color="auto" w:sz="4" w:space="0"/>
              <w:left w:val="single" w:color="auto" w:sz="4" w:space="0"/>
              <w:bottom w:val="single" w:color="auto" w:sz="4" w:space="0"/>
              <w:right w:val="single" w:color="auto" w:sz="4" w:space="0"/>
            </w:tcBorders>
            <w:noWrap w:val="0"/>
            <w:vAlign w:val="center"/>
          </w:tcPr>
          <w:p w14:paraId="5F3E1F3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100</w:t>
            </w:r>
          </w:p>
        </w:tc>
      </w:tr>
    </w:tbl>
    <w:p w14:paraId="670273C3">
      <w:pPr>
        <w:pStyle w:val="10"/>
        <w:pageBreakBefore w:val="0"/>
        <w:kinsoku/>
        <w:wordWrap/>
        <w:topLinePunct w:val="0"/>
        <w:autoSpaceDE/>
        <w:autoSpaceDN/>
        <w:bidi w:val="0"/>
        <w:spacing w:line="360" w:lineRule="auto"/>
        <w:ind w:left="0" w:leftChars="0" w:firstLine="0" w:firstLineChars="0"/>
        <w:jc w:val="both"/>
        <w:rPr>
          <w:rFonts w:hint="eastAsia" w:ascii="宋体" w:hAnsi="宋体" w:eastAsia="宋体" w:cs="宋体"/>
          <w:color w:val="auto"/>
          <w:sz w:val="24"/>
          <w:szCs w:val="24"/>
          <w:lang w:eastAsia="zh-CN"/>
        </w:rPr>
      </w:pPr>
    </w:p>
    <w:p w14:paraId="41BF5B21">
      <w:pPr>
        <w:pStyle w:val="10"/>
        <w:pageBreakBefore w:val="0"/>
        <w:kinsoku/>
        <w:wordWrap/>
        <w:topLinePunct w:val="0"/>
        <w:autoSpaceDE/>
        <w:autoSpaceDN/>
        <w:bidi w:val="0"/>
        <w:spacing w:line="360" w:lineRule="auto"/>
        <w:ind w:left="0" w:leftChars="0" w:firstLine="0" w:firstLineChars="0"/>
        <w:jc w:val="both"/>
        <w:rPr>
          <w:rFonts w:hint="eastAsia" w:ascii="宋体" w:hAnsi="宋体" w:eastAsia="宋体" w:cs="宋体"/>
          <w:color w:val="auto"/>
          <w:sz w:val="24"/>
          <w:szCs w:val="24"/>
          <w:lang w:val="en-US" w:eastAsia="zh-CN"/>
        </w:rPr>
      </w:pPr>
    </w:p>
    <w:p w14:paraId="4AC6BB4B">
      <w:pPr>
        <w:pStyle w:val="10"/>
        <w:pageBreakBefore w:val="0"/>
        <w:kinsoku/>
        <w:wordWrap/>
        <w:topLinePunct w:val="0"/>
        <w:autoSpaceDE/>
        <w:autoSpaceDN/>
        <w:bidi w:val="0"/>
        <w:spacing w:line="360" w:lineRule="auto"/>
        <w:ind w:left="0" w:leftChars="0" w:firstLine="480" w:firstLineChars="200"/>
        <w:jc w:val="both"/>
        <w:rPr>
          <w:rFonts w:hint="eastAsia" w:ascii="宋体" w:hAnsi="宋体" w:eastAsia="宋体" w:cs="宋体"/>
          <w:color w:val="auto"/>
          <w:sz w:val="24"/>
          <w:szCs w:val="24"/>
          <w:lang w:val="en-US" w:eastAsia="zh-CN"/>
        </w:rPr>
      </w:pPr>
    </w:p>
    <w:p w14:paraId="7D32B6AA">
      <w:pPr>
        <w:pStyle w:val="10"/>
        <w:pageBreakBefore w:val="0"/>
        <w:kinsoku/>
        <w:wordWrap/>
        <w:topLinePunct w:val="0"/>
        <w:autoSpaceDE/>
        <w:autoSpaceDN/>
        <w:bidi w:val="0"/>
        <w:spacing w:line="360" w:lineRule="auto"/>
        <w:ind w:left="0" w:leftChars="0" w:firstLine="0" w:firstLineChars="0"/>
        <w:jc w:val="both"/>
        <w:rPr>
          <w:rFonts w:hint="eastAsia" w:ascii="宋体" w:hAnsi="宋体" w:eastAsia="宋体" w:cs="宋体"/>
          <w:color w:val="auto"/>
          <w:sz w:val="24"/>
          <w:szCs w:val="24"/>
          <w:lang w:val="en-US" w:eastAsia="zh-CN"/>
        </w:rPr>
        <w:sectPr>
          <w:pgSz w:w="16838" w:h="11906" w:orient="landscape"/>
          <w:pgMar w:top="1531" w:right="1985" w:bottom="1531" w:left="1701" w:header="851" w:footer="992" w:gutter="0"/>
          <w:pgNumType w:start="1"/>
          <w:cols w:space="720" w:num="1"/>
          <w:docGrid w:type="linesAndChars" w:linePitch="386" w:charSpace="0"/>
        </w:sectPr>
      </w:pPr>
    </w:p>
    <w:p w14:paraId="36CCD754">
      <w:pPr>
        <w:pStyle w:val="10"/>
        <w:pageBreakBefore w:val="0"/>
        <w:kinsoku/>
        <w:wordWrap/>
        <w:topLinePunct w:val="0"/>
        <w:autoSpaceDE/>
        <w:autoSpaceDN/>
        <w:bidi w:val="0"/>
        <w:spacing w:line="360" w:lineRule="auto"/>
        <w:ind w:left="0" w:leftChars="0" w:firstLine="0" w:firstLineChars="0"/>
        <w:jc w:val="both"/>
        <w:rPr>
          <w:rFonts w:hint="eastAsia" w:ascii="宋体" w:hAnsi="宋体" w:eastAsia="宋体" w:cs="宋体"/>
          <w:color w:val="auto"/>
          <w:sz w:val="24"/>
          <w:szCs w:val="24"/>
          <w:lang w:val="en-US" w:eastAsia="zh-CN"/>
        </w:rPr>
      </w:pPr>
    </w:p>
    <w:tbl>
      <w:tblPr>
        <w:tblStyle w:val="23"/>
        <w:tblW w:w="12493"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40"/>
        <w:gridCol w:w="2247"/>
        <w:gridCol w:w="1833"/>
        <w:gridCol w:w="2618"/>
        <w:gridCol w:w="2280"/>
        <w:gridCol w:w="1975"/>
      </w:tblGrid>
      <w:tr w14:paraId="55EB0C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540" w:type="dxa"/>
            <w:tcBorders>
              <w:top w:val="nil"/>
              <w:left w:val="nil"/>
              <w:bottom w:val="nil"/>
              <w:right w:val="nil"/>
            </w:tcBorders>
            <w:noWrap/>
            <w:vAlign w:val="center"/>
          </w:tcPr>
          <w:p w14:paraId="4F08E5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附件2：</w:t>
            </w:r>
          </w:p>
        </w:tc>
        <w:tc>
          <w:tcPr>
            <w:tcW w:w="2247" w:type="dxa"/>
            <w:tcBorders>
              <w:top w:val="nil"/>
              <w:left w:val="nil"/>
              <w:bottom w:val="nil"/>
              <w:right w:val="nil"/>
            </w:tcBorders>
            <w:noWrap/>
            <w:vAlign w:val="center"/>
          </w:tcPr>
          <w:p w14:paraId="6C4B6DB6">
            <w:pPr>
              <w:rPr>
                <w:rFonts w:hint="eastAsia" w:ascii="宋体" w:hAnsi="宋体" w:eastAsia="宋体" w:cs="宋体"/>
                <w:i w:val="0"/>
                <w:iCs w:val="0"/>
                <w:color w:val="000000"/>
                <w:sz w:val="22"/>
                <w:szCs w:val="22"/>
                <w:u w:val="none"/>
              </w:rPr>
            </w:pPr>
          </w:p>
        </w:tc>
        <w:tc>
          <w:tcPr>
            <w:tcW w:w="1833" w:type="dxa"/>
            <w:tcBorders>
              <w:top w:val="nil"/>
              <w:left w:val="nil"/>
              <w:bottom w:val="nil"/>
              <w:right w:val="nil"/>
            </w:tcBorders>
            <w:noWrap/>
            <w:vAlign w:val="center"/>
          </w:tcPr>
          <w:p w14:paraId="45F8A8DB">
            <w:pPr>
              <w:rPr>
                <w:rFonts w:hint="eastAsia" w:ascii="宋体" w:hAnsi="宋体" w:eastAsia="宋体" w:cs="宋体"/>
                <w:i w:val="0"/>
                <w:iCs w:val="0"/>
                <w:color w:val="000000"/>
                <w:sz w:val="22"/>
                <w:szCs w:val="22"/>
                <w:u w:val="none"/>
              </w:rPr>
            </w:pPr>
          </w:p>
        </w:tc>
        <w:tc>
          <w:tcPr>
            <w:tcW w:w="2618" w:type="dxa"/>
            <w:tcBorders>
              <w:top w:val="nil"/>
              <w:left w:val="nil"/>
              <w:bottom w:val="nil"/>
              <w:right w:val="nil"/>
            </w:tcBorders>
            <w:noWrap/>
            <w:vAlign w:val="center"/>
          </w:tcPr>
          <w:p w14:paraId="449DC450">
            <w:pPr>
              <w:rPr>
                <w:rFonts w:hint="eastAsia" w:ascii="宋体" w:hAnsi="宋体" w:eastAsia="宋体" w:cs="宋体"/>
                <w:i w:val="0"/>
                <w:iCs w:val="0"/>
                <w:color w:val="000000"/>
                <w:sz w:val="22"/>
                <w:szCs w:val="22"/>
                <w:u w:val="none"/>
              </w:rPr>
            </w:pPr>
          </w:p>
        </w:tc>
        <w:tc>
          <w:tcPr>
            <w:tcW w:w="2280" w:type="dxa"/>
            <w:tcBorders>
              <w:top w:val="nil"/>
              <w:left w:val="nil"/>
              <w:bottom w:val="nil"/>
              <w:right w:val="nil"/>
            </w:tcBorders>
            <w:noWrap/>
            <w:vAlign w:val="center"/>
          </w:tcPr>
          <w:p w14:paraId="45A2523A">
            <w:pPr>
              <w:rPr>
                <w:rFonts w:hint="eastAsia" w:ascii="宋体" w:hAnsi="宋体" w:eastAsia="宋体" w:cs="宋体"/>
                <w:i w:val="0"/>
                <w:iCs w:val="0"/>
                <w:color w:val="000000"/>
                <w:sz w:val="22"/>
                <w:szCs w:val="22"/>
                <w:u w:val="none"/>
              </w:rPr>
            </w:pPr>
          </w:p>
        </w:tc>
        <w:tc>
          <w:tcPr>
            <w:tcW w:w="1975" w:type="dxa"/>
            <w:tcBorders>
              <w:top w:val="nil"/>
              <w:left w:val="nil"/>
              <w:bottom w:val="nil"/>
              <w:right w:val="nil"/>
            </w:tcBorders>
            <w:noWrap/>
            <w:vAlign w:val="center"/>
          </w:tcPr>
          <w:p w14:paraId="50997B5F">
            <w:pPr>
              <w:rPr>
                <w:rFonts w:hint="eastAsia" w:ascii="宋体" w:hAnsi="宋体" w:eastAsia="宋体" w:cs="宋体"/>
                <w:i w:val="0"/>
                <w:iCs w:val="0"/>
                <w:color w:val="000000"/>
                <w:sz w:val="22"/>
                <w:szCs w:val="22"/>
                <w:u w:val="none"/>
              </w:rPr>
            </w:pPr>
          </w:p>
        </w:tc>
      </w:tr>
      <w:tr w14:paraId="49831B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12493" w:type="dxa"/>
            <w:gridSpan w:val="6"/>
            <w:tcBorders>
              <w:top w:val="nil"/>
              <w:left w:val="nil"/>
              <w:bottom w:val="nil"/>
              <w:right w:val="nil"/>
            </w:tcBorders>
            <w:noWrap/>
            <w:vAlign w:val="center"/>
          </w:tcPr>
          <w:p w14:paraId="195848CB">
            <w:pPr>
              <w:keepNext w:val="0"/>
              <w:keepLines w:val="0"/>
              <w:widowControl/>
              <w:suppressLineNumbers w:val="0"/>
              <w:jc w:val="center"/>
              <w:textAlignment w:val="center"/>
              <w:rPr>
                <w:rFonts w:hint="eastAsia" w:ascii="宋体" w:hAnsi="宋体" w:eastAsia="宋体" w:cs="宋体"/>
                <w:b/>
                <w:bCs/>
                <w:i w:val="0"/>
                <w:iCs w:val="0"/>
                <w:color w:val="auto"/>
                <w:sz w:val="36"/>
                <w:szCs w:val="36"/>
                <w:u w:val="none"/>
              </w:rPr>
            </w:pPr>
            <w:r>
              <w:rPr>
                <w:rFonts w:hint="eastAsia" w:ascii="宋体" w:hAnsi="宋体" w:eastAsia="宋体" w:cs="宋体"/>
                <w:b/>
                <w:bCs/>
                <w:i w:val="0"/>
                <w:iCs w:val="0"/>
                <w:color w:val="auto"/>
                <w:kern w:val="0"/>
                <w:sz w:val="36"/>
                <w:szCs w:val="36"/>
                <w:u w:val="none"/>
                <w:lang w:val="en-US" w:eastAsia="zh-CN"/>
              </w:rPr>
              <w:t>和田地区洛浦县山普鲁中学建设项目综合得分表</w:t>
            </w:r>
          </w:p>
        </w:tc>
      </w:tr>
      <w:tr w14:paraId="46E9DA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54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25F02EC">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rPr>
              <w:t>指标</w:t>
            </w:r>
          </w:p>
        </w:tc>
        <w:tc>
          <w:tcPr>
            <w:tcW w:w="224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FEE511A">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rPr>
              <w:t>项目决策</w:t>
            </w:r>
          </w:p>
        </w:tc>
        <w:tc>
          <w:tcPr>
            <w:tcW w:w="183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4CA62F9">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rPr>
              <w:t>项目过程</w:t>
            </w:r>
          </w:p>
        </w:tc>
        <w:tc>
          <w:tcPr>
            <w:tcW w:w="261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13895D0">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rPr>
              <w:t>项目产出</w:t>
            </w:r>
          </w:p>
        </w:tc>
        <w:tc>
          <w:tcPr>
            <w:tcW w:w="22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B21D980">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rPr>
              <w:t>项目效益</w:t>
            </w:r>
          </w:p>
        </w:tc>
        <w:tc>
          <w:tcPr>
            <w:tcW w:w="19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AA0CC90">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rPr>
              <w:t>合计</w:t>
            </w:r>
          </w:p>
        </w:tc>
      </w:tr>
      <w:tr w14:paraId="0BA68C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54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80B14E3">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rPr>
              <w:t>权重</w:t>
            </w:r>
          </w:p>
        </w:tc>
        <w:tc>
          <w:tcPr>
            <w:tcW w:w="2247" w:type="dxa"/>
            <w:tcBorders>
              <w:top w:val="single" w:color="auto" w:sz="4" w:space="0"/>
              <w:left w:val="single" w:color="auto" w:sz="4" w:space="0"/>
              <w:bottom w:val="single" w:color="auto" w:sz="4" w:space="0"/>
              <w:right w:val="single" w:color="auto" w:sz="4" w:space="0"/>
            </w:tcBorders>
            <w:noWrap w:val="0"/>
            <w:vAlign w:val="center"/>
          </w:tcPr>
          <w:p w14:paraId="63746EE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rPr>
              <w:t xml:space="preserve">23.00 </w:t>
            </w:r>
          </w:p>
        </w:tc>
        <w:tc>
          <w:tcPr>
            <w:tcW w:w="1833" w:type="dxa"/>
            <w:tcBorders>
              <w:top w:val="single" w:color="auto" w:sz="4" w:space="0"/>
              <w:left w:val="single" w:color="auto" w:sz="4" w:space="0"/>
              <w:bottom w:val="single" w:color="auto" w:sz="4" w:space="0"/>
              <w:right w:val="single" w:color="auto" w:sz="4" w:space="0"/>
            </w:tcBorders>
            <w:noWrap w:val="0"/>
            <w:vAlign w:val="center"/>
          </w:tcPr>
          <w:p w14:paraId="1068E18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rPr>
              <w:t xml:space="preserve">12.00 </w:t>
            </w:r>
          </w:p>
        </w:tc>
        <w:tc>
          <w:tcPr>
            <w:tcW w:w="2618" w:type="dxa"/>
            <w:tcBorders>
              <w:top w:val="single" w:color="auto" w:sz="4" w:space="0"/>
              <w:left w:val="single" w:color="auto" w:sz="4" w:space="0"/>
              <w:bottom w:val="single" w:color="auto" w:sz="4" w:space="0"/>
              <w:right w:val="single" w:color="auto" w:sz="4" w:space="0"/>
            </w:tcBorders>
            <w:noWrap w:val="0"/>
            <w:vAlign w:val="center"/>
          </w:tcPr>
          <w:p w14:paraId="54249CE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rPr>
              <w:t xml:space="preserve">40.00 </w:t>
            </w:r>
          </w:p>
        </w:tc>
        <w:tc>
          <w:tcPr>
            <w:tcW w:w="2280" w:type="dxa"/>
            <w:tcBorders>
              <w:top w:val="single" w:color="auto" w:sz="4" w:space="0"/>
              <w:left w:val="single" w:color="auto" w:sz="4" w:space="0"/>
              <w:bottom w:val="single" w:color="auto" w:sz="4" w:space="0"/>
              <w:right w:val="single" w:color="auto" w:sz="4" w:space="0"/>
            </w:tcBorders>
            <w:noWrap w:val="0"/>
            <w:vAlign w:val="center"/>
          </w:tcPr>
          <w:p w14:paraId="6913E89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rPr>
              <w:t xml:space="preserve">25.00 </w:t>
            </w:r>
          </w:p>
        </w:tc>
        <w:tc>
          <w:tcPr>
            <w:tcW w:w="1975" w:type="dxa"/>
            <w:tcBorders>
              <w:top w:val="single" w:color="auto" w:sz="4" w:space="0"/>
              <w:left w:val="single" w:color="auto" w:sz="4" w:space="0"/>
              <w:bottom w:val="single" w:color="auto" w:sz="4" w:space="0"/>
              <w:right w:val="single" w:color="auto" w:sz="4" w:space="0"/>
            </w:tcBorders>
            <w:noWrap w:val="0"/>
            <w:vAlign w:val="center"/>
          </w:tcPr>
          <w:p w14:paraId="687E10F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rPr>
              <w:t xml:space="preserve">100.00 </w:t>
            </w:r>
          </w:p>
        </w:tc>
      </w:tr>
      <w:tr w14:paraId="1126BC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54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B876803">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rPr>
              <w:t>得分</w:t>
            </w:r>
          </w:p>
        </w:tc>
        <w:tc>
          <w:tcPr>
            <w:tcW w:w="224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DBC5F7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rPr>
              <w:t xml:space="preserve">23.00 </w:t>
            </w:r>
          </w:p>
        </w:tc>
        <w:tc>
          <w:tcPr>
            <w:tcW w:w="183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653A33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rPr>
              <w:t xml:space="preserve">12.00 </w:t>
            </w:r>
          </w:p>
        </w:tc>
        <w:tc>
          <w:tcPr>
            <w:tcW w:w="261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EEE269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rPr>
              <w:t xml:space="preserve">40.00 </w:t>
            </w:r>
          </w:p>
        </w:tc>
        <w:tc>
          <w:tcPr>
            <w:tcW w:w="22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B148D2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rPr>
              <w:t xml:space="preserve">25.00 </w:t>
            </w:r>
          </w:p>
        </w:tc>
        <w:tc>
          <w:tcPr>
            <w:tcW w:w="1975" w:type="dxa"/>
            <w:tcBorders>
              <w:top w:val="single" w:color="auto" w:sz="4" w:space="0"/>
              <w:left w:val="single" w:color="auto" w:sz="4" w:space="0"/>
              <w:bottom w:val="single" w:color="auto" w:sz="4" w:space="0"/>
              <w:right w:val="single" w:color="auto" w:sz="4" w:space="0"/>
            </w:tcBorders>
            <w:noWrap w:val="0"/>
            <w:vAlign w:val="center"/>
          </w:tcPr>
          <w:p w14:paraId="38BF6D3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rPr>
              <w:t xml:space="preserve">100.00 </w:t>
            </w:r>
          </w:p>
        </w:tc>
      </w:tr>
      <w:tr w14:paraId="19753D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54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C5CE618">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rPr>
              <w:t>得分率</w:t>
            </w:r>
          </w:p>
        </w:tc>
        <w:tc>
          <w:tcPr>
            <w:tcW w:w="2247" w:type="dxa"/>
            <w:tcBorders>
              <w:top w:val="single" w:color="auto" w:sz="4" w:space="0"/>
              <w:left w:val="single" w:color="auto" w:sz="4" w:space="0"/>
              <w:bottom w:val="single" w:color="auto" w:sz="4" w:space="0"/>
              <w:right w:val="single" w:color="auto" w:sz="4" w:space="0"/>
            </w:tcBorders>
            <w:noWrap w:val="0"/>
            <w:vAlign w:val="center"/>
          </w:tcPr>
          <w:p w14:paraId="1AF615C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rPr>
              <w:t>100.00%</w:t>
            </w:r>
          </w:p>
        </w:tc>
        <w:tc>
          <w:tcPr>
            <w:tcW w:w="1833" w:type="dxa"/>
            <w:tcBorders>
              <w:top w:val="single" w:color="auto" w:sz="4" w:space="0"/>
              <w:left w:val="single" w:color="auto" w:sz="4" w:space="0"/>
              <w:bottom w:val="single" w:color="auto" w:sz="4" w:space="0"/>
              <w:right w:val="single" w:color="auto" w:sz="4" w:space="0"/>
            </w:tcBorders>
            <w:noWrap w:val="0"/>
            <w:vAlign w:val="center"/>
          </w:tcPr>
          <w:p w14:paraId="106613C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rPr>
              <w:t>100.00%</w:t>
            </w:r>
          </w:p>
        </w:tc>
        <w:tc>
          <w:tcPr>
            <w:tcW w:w="2618" w:type="dxa"/>
            <w:tcBorders>
              <w:top w:val="single" w:color="auto" w:sz="4" w:space="0"/>
              <w:left w:val="single" w:color="auto" w:sz="4" w:space="0"/>
              <w:bottom w:val="single" w:color="auto" w:sz="4" w:space="0"/>
              <w:right w:val="single" w:color="auto" w:sz="4" w:space="0"/>
            </w:tcBorders>
            <w:noWrap w:val="0"/>
            <w:vAlign w:val="center"/>
          </w:tcPr>
          <w:p w14:paraId="64D5DEB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rPr>
              <w:t>100.00%</w:t>
            </w:r>
          </w:p>
        </w:tc>
        <w:tc>
          <w:tcPr>
            <w:tcW w:w="2280" w:type="dxa"/>
            <w:tcBorders>
              <w:top w:val="single" w:color="auto" w:sz="4" w:space="0"/>
              <w:left w:val="single" w:color="auto" w:sz="4" w:space="0"/>
              <w:bottom w:val="single" w:color="auto" w:sz="4" w:space="0"/>
              <w:right w:val="single" w:color="auto" w:sz="4" w:space="0"/>
            </w:tcBorders>
            <w:noWrap w:val="0"/>
            <w:vAlign w:val="center"/>
          </w:tcPr>
          <w:p w14:paraId="2C9168D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rPr>
              <w:t>100.00%</w:t>
            </w:r>
          </w:p>
        </w:tc>
        <w:tc>
          <w:tcPr>
            <w:tcW w:w="1975" w:type="dxa"/>
            <w:tcBorders>
              <w:top w:val="single" w:color="auto" w:sz="4" w:space="0"/>
              <w:left w:val="single" w:color="auto" w:sz="4" w:space="0"/>
              <w:bottom w:val="single" w:color="auto" w:sz="4" w:space="0"/>
              <w:right w:val="single" w:color="auto" w:sz="4" w:space="0"/>
            </w:tcBorders>
            <w:noWrap w:val="0"/>
            <w:vAlign w:val="center"/>
          </w:tcPr>
          <w:p w14:paraId="5B1ED61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rPr>
              <w:t>100.00%</w:t>
            </w:r>
          </w:p>
        </w:tc>
      </w:tr>
    </w:tbl>
    <w:p w14:paraId="0DA1FC3C">
      <w:pPr>
        <w:pStyle w:val="10"/>
        <w:pageBreakBefore w:val="0"/>
        <w:kinsoku/>
        <w:wordWrap/>
        <w:topLinePunct w:val="0"/>
        <w:autoSpaceDE/>
        <w:autoSpaceDN/>
        <w:bidi w:val="0"/>
        <w:spacing w:line="360" w:lineRule="auto"/>
        <w:ind w:left="0" w:leftChars="0" w:firstLine="480" w:firstLineChars="200"/>
        <w:jc w:val="both"/>
        <w:rPr>
          <w:rFonts w:hint="eastAsia" w:ascii="宋体" w:hAnsi="宋体" w:eastAsia="宋体" w:cs="宋体"/>
          <w:color w:val="auto"/>
          <w:sz w:val="24"/>
          <w:szCs w:val="24"/>
          <w:lang w:val="en-US" w:eastAsia="zh-CN"/>
        </w:rPr>
      </w:pPr>
    </w:p>
    <w:p w14:paraId="3192784B">
      <w:pPr>
        <w:pStyle w:val="10"/>
        <w:pageBreakBefore w:val="0"/>
        <w:kinsoku/>
        <w:wordWrap/>
        <w:topLinePunct w:val="0"/>
        <w:autoSpaceDE/>
        <w:autoSpaceDN/>
        <w:bidi w:val="0"/>
        <w:spacing w:line="360" w:lineRule="auto"/>
        <w:ind w:left="0" w:leftChars="0" w:firstLine="480" w:firstLineChars="200"/>
        <w:jc w:val="both"/>
        <w:rPr>
          <w:rFonts w:hint="eastAsia" w:ascii="宋体" w:hAnsi="宋体" w:eastAsia="宋体" w:cs="宋体"/>
          <w:color w:val="auto"/>
          <w:sz w:val="24"/>
          <w:szCs w:val="24"/>
          <w:lang w:eastAsia="zh-CN"/>
        </w:rPr>
        <w:sectPr>
          <w:pgSz w:w="16838" w:h="11906" w:orient="landscape"/>
          <w:pgMar w:top="1531" w:right="1985" w:bottom="1531" w:left="1701" w:header="851" w:footer="992" w:gutter="0"/>
          <w:pgNumType w:start="1"/>
          <w:cols w:space="720" w:num="1"/>
          <w:docGrid w:type="linesAndChars" w:linePitch="386" w:charSpace="0"/>
        </w:sectPr>
      </w:pPr>
    </w:p>
    <w:p w14:paraId="3622F484">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default"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附件3：</w:t>
      </w:r>
    </w:p>
    <w:p w14:paraId="6BD6D940">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center"/>
        <w:textAlignment w:val="auto"/>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洛浦县山普鲁中学建设项目</w:t>
      </w:r>
    </w:p>
    <w:p w14:paraId="28F20EAB">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center"/>
        <w:textAlignment w:val="auto"/>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满意度调查问卷分析报告</w:t>
      </w:r>
    </w:p>
    <w:p w14:paraId="34B73024">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both"/>
        <w:textAlignment w:val="auto"/>
        <w:rPr>
          <w:rFonts w:hint="eastAsia" w:ascii="宋体" w:hAnsi="宋体" w:eastAsia="宋体" w:cs="宋体"/>
          <w:b/>
          <w:bCs/>
          <w:sz w:val="28"/>
          <w:szCs w:val="28"/>
          <w:highlight w:val="none"/>
        </w:rPr>
      </w:pPr>
    </w:p>
    <w:p w14:paraId="14529F1A">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为客观评价该项目的社会效果，了解</w:t>
      </w:r>
      <w:r>
        <w:rPr>
          <w:rFonts w:hint="eastAsia" w:ascii="宋体" w:hAnsi="宋体" w:eastAsia="宋体" w:cs="宋体"/>
          <w:sz w:val="24"/>
          <w:szCs w:val="24"/>
          <w:highlight w:val="none"/>
          <w:lang w:val="en-US" w:eastAsia="zh-CN"/>
        </w:rPr>
        <w:t>项目受益群体</w:t>
      </w:r>
      <w:r>
        <w:rPr>
          <w:rFonts w:hint="eastAsia" w:ascii="宋体" w:hAnsi="宋体" w:eastAsia="宋体" w:cs="宋体"/>
          <w:sz w:val="24"/>
          <w:szCs w:val="24"/>
          <w:highlight w:val="none"/>
        </w:rPr>
        <w:t>对项目</w:t>
      </w:r>
      <w:r>
        <w:rPr>
          <w:rFonts w:hint="eastAsia" w:ascii="宋体" w:hAnsi="宋体" w:eastAsia="宋体" w:cs="宋体"/>
          <w:sz w:val="24"/>
          <w:szCs w:val="24"/>
          <w:highlight w:val="none"/>
          <w:lang w:val="en-US" w:eastAsia="zh-CN"/>
        </w:rPr>
        <w:t>实施后</w:t>
      </w:r>
      <w:r>
        <w:rPr>
          <w:rFonts w:hint="eastAsia" w:ascii="宋体" w:hAnsi="宋体" w:eastAsia="宋体" w:cs="宋体"/>
          <w:sz w:val="24"/>
          <w:szCs w:val="24"/>
          <w:highlight w:val="none"/>
        </w:rPr>
        <w:t>的</w:t>
      </w:r>
      <w:r>
        <w:rPr>
          <w:rFonts w:hint="eastAsia" w:ascii="宋体" w:hAnsi="宋体" w:eastAsia="宋体" w:cs="宋体"/>
          <w:sz w:val="24"/>
          <w:szCs w:val="24"/>
          <w:highlight w:val="none"/>
          <w:lang w:val="en-US" w:eastAsia="zh-CN"/>
        </w:rPr>
        <w:t>真实</w:t>
      </w:r>
      <w:r>
        <w:rPr>
          <w:rFonts w:hint="eastAsia" w:ascii="宋体" w:hAnsi="宋体" w:eastAsia="宋体" w:cs="宋体"/>
          <w:sz w:val="24"/>
          <w:szCs w:val="24"/>
          <w:highlight w:val="none"/>
        </w:rPr>
        <w:t>评价情况，对本项目</w:t>
      </w:r>
      <w:r>
        <w:rPr>
          <w:rFonts w:hint="eastAsia" w:ascii="宋体" w:hAnsi="宋体" w:eastAsia="宋体" w:cs="宋体"/>
          <w:sz w:val="24"/>
          <w:szCs w:val="24"/>
          <w:highlight w:val="none"/>
          <w:lang w:eastAsia="zh-CN"/>
        </w:rPr>
        <w:t>开展</w:t>
      </w:r>
      <w:r>
        <w:rPr>
          <w:rFonts w:hint="eastAsia" w:ascii="宋体" w:hAnsi="宋体" w:eastAsia="宋体" w:cs="宋体"/>
          <w:sz w:val="24"/>
          <w:szCs w:val="24"/>
          <w:highlight w:val="none"/>
        </w:rPr>
        <w:t>满意度问卷调查。问卷调查工作情况如下。问卷调查工作情况如下：</w:t>
      </w:r>
    </w:p>
    <w:p w14:paraId="0FD6DFB4">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一、该问卷调查从2025年2月20日开始至2025年2月25日结束，调查问卷共设置3道题目。</w:t>
      </w:r>
    </w:p>
    <w:p w14:paraId="16F474A4">
      <w:pPr>
        <w:pStyle w:val="10"/>
        <w:keepNext w:val="0"/>
        <w:keepLines w:val="0"/>
        <w:pageBreakBefore w:val="0"/>
        <w:widowControl w:val="0"/>
        <w:kinsoku/>
        <w:wordWrap/>
        <w:overflowPunct/>
        <w:topLinePunct w:val="0"/>
        <w:autoSpaceDE/>
        <w:autoSpaceDN/>
        <w:bidi w:val="0"/>
        <w:snapToGrid/>
        <w:spacing w:before="0" w:after="0" w:line="360" w:lineRule="auto"/>
        <w:ind w:firstLine="480" w:firstLineChars="200"/>
        <w:jc w:val="both"/>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1.</w:t>
      </w:r>
      <w:r>
        <w:rPr>
          <w:rFonts w:hint="eastAsia" w:ascii="宋体" w:hAnsi="宋体" w:eastAsia="宋体" w:cs="宋体"/>
          <w:b/>
          <w:bCs/>
          <w:color w:val="000000"/>
          <w:sz w:val="24"/>
          <w:szCs w:val="24"/>
          <w:highlight w:val="none"/>
          <w:lang w:eastAsia="zh-CN"/>
        </w:rPr>
        <w:t>调查</w:t>
      </w:r>
      <w:r>
        <w:rPr>
          <w:rFonts w:hint="eastAsia" w:ascii="宋体" w:hAnsi="宋体" w:eastAsia="宋体" w:cs="宋体"/>
          <w:b/>
          <w:bCs/>
          <w:color w:val="000000"/>
          <w:sz w:val="24"/>
          <w:szCs w:val="24"/>
          <w:highlight w:val="none"/>
        </w:rPr>
        <w:t>对象</w:t>
      </w:r>
    </w:p>
    <w:p w14:paraId="660CD478">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本次</w:t>
      </w:r>
      <w:r>
        <w:rPr>
          <w:rFonts w:hint="eastAsia" w:ascii="宋体" w:hAnsi="宋体" w:eastAsia="宋体" w:cs="宋体"/>
          <w:sz w:val="24"/>
          <w:szCs w:val="24"/>
          <w:highlight w:val="none"/>
          <w:lang w:eastAsia="zh-CN"/>
        </w:rPr>
        <w:t>调查</w:t>
      </w:r>
      <w:r>
        <w:rPr>
          <w:rFonts w:hint="eastAsia" w:ascii="宋体" w:hAnsi="宋体" w:eastAsia="宋体" w:cs="宋体"/>
          <w:sz w:val="24"/>
          <w:szCs w:val="24"/>
          <w:highlight w:val="none"/>
        </w:rPr>
        <w:t>的受益对象为</w:t>
      </w:r>
      <w:r>
        <w:rPr>
          <w:rFonts w:hint="eastAsia" w:ascii="宋体" w:hAnsi="宋体" w:eastAsia="宋体" w:cs="宋体"/>
          <w:sz w:val="24"/>
          <w:szCs w:val="24"/>
          <w:highlight w:val="none"/>
          <w:lang w:val="en-US" w:eastAsia="zh-CN"/>
        </w:rPr>
        <w:t>学校学生</w:t>
      </w:r>
      <w:r>
        <w:rPr>
          <w:rFonts w:hint="eastAsia" w:ascii="宋体" w:hAnsi="宋体" w:eastAsia="宋体" w:cs="宋体"/>
          <w:sz w:val="24"/>
          <w:szCs w:val="24"/>
          <w:highlight w:val="none"/>
        </w:rPr>
        <w:t>。</w:t>
      </w:r>
    </w:p>
    <w:p w14:paraId="602EFD26">
      <w:pPr>
        <w:pStyle w:val="10"/>
        <w:keepNext w:val="0"/>
        <w:keepLines w:val="0"/>
        <w:pageBreakBefore w:val="0"/>
        <w:widowControl w:val="0"/>
        <w:kinsoku/>
        <w:wordWrap/>
        <w:overflowPunct/>
        <w:topLinePunct w:val="0"/>
        <w:autoSpaceDE/>
        <w:autoSpaceDN/>
        <w:bidi w:val="0"/>
        <w:snapToGrid/>
        <w:spacing w:before="0" w:after="0" w:line="360" w:lineRule="auto"/>
        <w:ind w:firstLine="480" w:firstLineChars="200"/>
        <w:jc w:val="both"/>
        <w:textAlignment w:val="auto"/>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rPr>
        <w:t>2.</w:t>
      </w:r>
      <w:r>
        <w:rPr>
          <w:rFonts w:hint="eastAsia" w:ascii="宋体" w:hAnsi="宋体" w:eastAsia="宋体" w:cs="宋体"/>
          <w:b/>
          <w:bCs/>
          <w:color w:val="000000"/>
          <w:sz w:val="24"/>
          <w:szCs w:val="24"/>
          <w:highlight w:val="none"/>
          <w:lang w:eastAsia="zh-CN"/>
        </w:rPr>
        <w:t>调查</w:t>
      </w:r>
      <w:r>
        <w:rPr>
          <w:rFonts w:hint="eastAsia" w:ascii="宋体" w:hAnsi="宋体" w:eastAsia="宋体" w:cs="宋体"/>
          <w:b/>
          <w:bCs/>
          <w:color w:val="000000"/>
          <w:sz w:val="24"/>
          <w:szCs w:val="24"/>
          <w:highlight w:val="none"/>
        </w:rPr>
        <w:t>内容</w:t>
      </w:r>
    </w:p>
    <w:p w14:paraId="073ED200">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①您对洛浦县山普鲁中学建设项目的</w:t>
      </w:r>
      <w:r>
        <w:rPr>
          <w:rFonts w:hint="eastAsia" w:ascii="宋体" w:hAnsi="宋体" w:eastAsia="宋体" w:cs="宋体"/>
          <w:color w:val="auto"/>
          <w:sz w:val="24"/>
          <w:szCs w:val="24"/>
          <w:highlight w:val="none"/>
          <w:lang w:val="en-US" w:eastAsia="zh-CN"/>
        </w:rPr>
        <w:t>实施</w:t>
      </w:r>
      <w:r>
        <w:rPr>
          <w:rFonts w:hint="eastAsia" w:ascii="宋体" w:hAnsi="宋体" w:eastAsia="宋体" w:cs="宋体"/>
          <w:sz w:val="24"/>
          <w:szCs w:val="24"/>
          <w:highlight w:val="none"/>
          <w:lang w:val="en-US" w:eastAsia="zh-CN"/>
        </w:rPr>
        <w:t>是否满意?</w:t>
      </w:r>
    </w:p>
    <w:p w14:paraId="0E97144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lang w:val="en-US" w:eastAsia="zh-CN"/>
        </w:rPr>
      </w:pPr>
      <w:r>
        <w:rPr>
          <w:rFonts w:hint="eastAsia" w:ascii="宋体" w:hAnsi="宋体" w:eastAsia="宋体" w:cs="宋体"/>
          <w:color w:val="auto"/>
          <w:sz w:val="24"/>
          <w:szCs w:val="24"/>
          <w:highlight w:val="none"/>
          <w:lang w:val="en-US" w:eastAsia="zh-CN"/>
        </w:rPr>
        <w:t>A.非常满意   B.满意    C.不满意</w:t>
      </w:r>
    </w:p>
    <w:p w14:paraId="2F66CE53">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②您认为项目的实施对改善学生生活质量的程度如何？</w:t>
      </w:r>
    </w:p>
    <w:p w14:paraId="2D9E1A48">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有效改善  B.改善    C.无效果</w:t>
      </w:r>
    </w:p>
    <w:p w14:paraId="010D174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③总的来说，您对完成教育教学活动和其他日常工作任务等方面的整体满意程度如何？</w:t>
      </w:r>
    </w:p>
    <w:p w14:paraId="71FEE4A8">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A.非常满意   B.满意    C.不满意</w:t>
      </w:r>
    </w:p>
    <w:p w14:paraId="344FBCAB">
      <w:pPr>
        <w:pStyle w:val="10"/>
        <w:keepNext w:val="0"/>
        <w:keepLines w:val="0"/>
        <w:pageBreakBefore w:val="0"/>
        <w:widowControl w:val="0"/>
        <w:kinsoku/>
        <w:wordWrap/>
        <w:overflowPunct/>
        <w:topLinePunct w:val="0"/>
        <w:autoSpaceDE/>
        <w:autoSpaceDN/>
        <w:bidi w:val="0"/>
        <w:snapToGrid/>
        <w:spacing w:before="0" w:after="0" w:line="360" w:lineRule="auto"/>
        <w:ind w:firstLine="480" w:firstLineChars="200"/>
        <w:jc w:val="both"/>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val="en-US" w:eastAsia="zh-CN"/>
        </w:rPr>
        <w:t>3.</w:t>
      </w:r>
      <w:r>
        <w:rPr>
          <w:rFonts w:hint="eastAsia" w:ascii="宋体" w:hAnsi="宋体" w:eastAsia="宋体" w:cs="宋体"/>
          <w:b/>
          <w:bCs/>
          <w:color w:val="000000"/>
          <w:sz w:val="24"/>
          <w:szCs w:val="24"/>
          <w:highlight w:val="none"/>
          <w:lang w:eastAsia="zh-CN"/>
        </w:rPr>
        <w:t>调查</w:t>
      </w:r>
      <w:r>
        <w:rPr>
          <w:rFonts w:hint="eastAsia" w:ascii="宋体" w:hAnsi="宋体" w:eastAsia="宋体" w:cs="宋体"/>
          <w:b/>
          <w:bCs/>
          <w:color w:val="000000"/>
          <w:sz w:val="24"/>
          <w:szCs w:val="24"/>
          <w:highlight w:val="none"/>
        </w:rPr>
        <w:t>方法</w:t>
      </w:r>
    </w:p>
    <w:p w14:paraId="51353BC7">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问卷调查采取</w:t>
      </w:r>
      <w:r>
        <w:rPr>
          <w:rFonts w:hint="eastAsia" w:ascii="宋体" w:hAnsi="宋体" w:eastAsia="宋体" w:cs="宋体"/>
          <w:sz w:val="24"/>
          <w:szCs w:val="24"/>
          <w:highlight w:val="none"/>
          <w:lang w:val="en-US" w:eastAsia="zh-CN"/>
        </w:rPr>
        <w:t>分层</w:t>
      </w:r>
      <w:r>
        <w:rPr>
          <w:rFonts w:hint="eastAsia" w:ascii="宋体" w:hAnsi="宋体" w:eastAsia="宋体" w:cs="宋体"/>
          <w:sz w:val="24"/>
          <w:szCs w:val="24"/>
          <w:highlight w:val="none"/>
        </w:rPr>
        <w:t>抽样和</w:t>
      </w:r>
      <w:r>
        <w:rPr>
          <w:rFonts w:hint="eastAsia" w:ascii="宋体" w:hAnsi="宋体" w:eastAsia="宋体" w:cs="宋体"/>
          <w:sz w:val="24"/>
          <w:szCs w:val="24"/>
          <w:highlight w:val="none"/>
          <w:lang w:val="en-US" w:eastAsia="zh-CN"/>
        </w:rPr>
        <w:t>随机抽样相结合</w:t>
      </w:r>
      <w:r>
        <w:rPr>
          <w:rFonts w:hint="eastAsia" w:ascii="宋体" w:hAnsi="宋体" w:eastAsia="宋体" w:cs="宋体"/>
          <w:sz w:val="24"/>
          <w:szCs w:val="24"/>
          <w:highlight w:val="none"/>
        </w:rPr>
        <w:t>的方式进行。在全面</w:t>
      </w:r>
      <w:r>
        <w:rPr>
          <w:rFonts w:hint="eastAsia" w:ascii="宋体" w:hAnsi="宋体" w:eastAsia="宋体" w:cs="宋体"/>
          <w:sz w:val="24"/>
          <w:szCs w:val="24"/>
          <w:highlight w:val="none"/>
          <w:lang w:eastAsia="zh-CN"/>
        </w:rPr>
        <w:t>调查</w:t>
      </w:r>
      <w:r>
        <w:rPr>
          <w:rFonts w:hint="eastAsia" w:ascii="宋体" w:hAnsi="宋体" w:eastAsia="宋体" w:cs="宋体"/>
          <w:sz w:val="24"/>
          <w:szCs w:val="24"/>
          <w:highlight w:val="none"/>
        </w:rPr>
        <w:t>开展之前会先进行论证，依据论证结果对问卷和抽样方案再进行一次修改和调整</w:t>
      </w:r>
      <w:r>
        <w:rPr>
          <w:rFonts w:hint="eastAsia" w:ascii="宋体" w:hAnsi="宋体" w:eastAsia="宋体" w:cs="宋体"/>
          <w:sz w:val="24"/>
          <w:szCs w:val="24"/>
          <w:highlight w:val="none"/>
          <w:lang w:val="en-US" w:eastAsia="zh-CN"/>
        </w:rPr>
        <w:t>之后再付诸实施</w:t>
      </w:r>
      <w:r>
        <w:rPr>
          <w:rFonts w:hint="eastAsia" w:ascii="宋体" w:hAnsi="宋体" w:eastAsia="宋体" w:cs="宋体"/>
          <w:sz w:val="24"/>
          <w:szCs w:val="24"/>
          <w:highlight w:val="none"/>
        </w:rPr>
        <w:t>。</w:t>
      </w:r>
    </w:p>
    <w:p w14:paraId="0461664B">
      <w:pPr>
        <w:pStyle w:val="10"/>
        <w:keepNext w:val="0"/>
        <w:keepLines w:val="0"/>
        <w:pageBreakBefore w:val="0"/>
        <w:widowControl w:val="0"/>
        <w:kinsoku/>
        <w:wordWrap/>
        <w:overflowPunct/>
        <w:topLinePunct w:val="0"/>
        <w:autoSpaceDE/>
        <w:autoSpaceDN/>
        <w:bidi w:val="0"/>
        <w:snapToGrid/>
        <w:spacing w:before="0" w:after="0" w:line="360" w:lineRule="auto"/>
        <w:ind w:firstLine="480" w:firstLineChars="200"/>
        <w:jc w:val="both"/>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val="en-US" w:eastAsia="zh-CN"/>
        </w:rPr>
        <w:t>4.</w:t>
      </w:r>
      <w:r>
        <w:rPr>
          <w:rFonts w:hint="eastAsia" w:ascii="宋体" w:hAnsi="宋体" w:eastAsia="宋体" w:cs="宋体"/>
          <w:b/>
          <w:bCs/>
          <w:color w:val="000000"/>
          <w:sz w:val="24"/>
          <w:szCs w:val="24"/>
          <w:highlight w:val="none"/>
        </w:rPr>
        <w:t>抽样方式</w:t>
      </w:r>
    </w:p>
    <w:p w14:paraId="172A434C">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为确保问卷</w:t>
      </w:r>
      <w:r>
        <w:rPr>
          <w:rFonts w:hint="eastAsia" w:ascii="宋体" w:hAnsi="宋体" w:eastAsia="宋体" w:cs="宋体"/>
          <w:sz w:val="24"/>
          <w:szCs w:val="24"/>
          <w:highlight w:val="none"/>
          <w:lang w:eastAsia="zh-CN"/>
        </w:rPr>
        <w:t>调查</w:t>
      </w:r>
      <w:r>
        <w:rPr>
          <w:rFonts w:hint="eastAsia" w:ascii="宋体" w:hAnsi="宋体" w:eastAsia="宋体" w:cs="宋体"/>
          <w:sz w:val="24"/>
          <w:szCs w:val="24"/>
          <w:highlight w:val="none"/>
        </w:rPr>
        <w:t>的全面性和代表性，本次</w:t>
      </w:r>
      <w:r>
        <w:rPr>
          <w:rFonts w:hint="eastAsia" w:ascii="宋体" w:hAnsi="宋体" w:eastAsia="宋体" w:cs="宋体"/>
          <w:sz w:val="24"/>
          <w:szCs w:val="24"/>
          <w:highlight w:val="none"/>
          <w:lang w:eastAsia="zh-CN"/>
        </w:rPr>
        <w:t>调查</w:t>
      </w:r>
      <w:r>
        <w:rPr>
          <w:rFonts w:hint="eastAsia" w:ascii="宋体" w:hAnsi="宋体" w:eastAsia="宋体" w:cs="宋体"/>
          <w:sz w:val="24"/>
          <w:szCs w:val="24"/>
          <w:highlight w:val="none"/>
        </w:rPr>
        <w:t>问卷调查采取</w:t>
      </w:r>
      <w:r>
        <w:rPr>
          <w:rFonts w:hint="eastAsia" w:ascii="宋体" w:hAnsi="宋体" w:eastAsia="宋体" w:cs="宋体"/>
          <w:sz w:val="24"/>
          <w:szCs w:val="24"/>
          <w:highlight w:val="none"/>
          <w:lang w:val="en-US" w:eastAsia="zh-CN"/>
        </w:rPr>
        <w:t>随机</w:t>
      </w:r>
      <w:r>
        <w:rPr>
          <w:rFonts w:hint="eastAsia" w:ascii="宋体" w:hAnsi="宋体" w:eastAsia="宋体" w:cs="宋体"/>
          <w:sz w:val="24"/>
          <w:szCs w:val="24"/>
          <w:highlight w:val="none"/>
        </w:rPr>
        <w:t>抽样和</w:t>
      </w:r>
      <w:r>
        <w:rPr>
          <w:rFonts w:hint="eastAsia" w:ascii="宋体" w:hAnsi="宋体" w:eastAsia="宋体" w:cs="宋体"/>
          <w:sz w:val="24"/>
          <w:szCs w:val="24"/>
          <w:highlight w:val="none"/>
          <w:lang w:val="en-US" w:eastAsia="zh-CN"/>
        </w:rPr>
        <w:t>分层抽样相结合</w:t>
      </w:r>
      <w:r>
        <w:rPr>
          <w:rFonts w:hint="eastAsia" w:ascii="宋体" w:hAnsi="宋体" w:eastAsia="宋体" w:cs="宋体"/>
          <w:sz w:val="24"/>
          <w:szCs w:val="24"/>
          <w:highlight w:val="none"/>
        </w:rPr>
        <w:t>方式进行。</w:t>
      </w:r>
    </w:p>
    <w:p w14:paraId="517D3CEF">
      <w:pPr>
        <w:pStyle w:val="10"/>
        <w:keepNext w:val="0"/>
        <w:keepLines w:val="0"/>
        <w:pageBreakBefore w:val="0"/>
        <w:widowControl w:val="0"/>
        <w:kinsoku/>
        <w:wordWrap/>
        <w:overflowPunct/>
        <w:topLinePunct w:val="0"/>
        <w:autoSpaceDE/>
        <w:autoSpaceDN/>
        <w:bidi w:val="0"/>
        <w:snapToGrid/>
        <w:spacing w:before="0" w:after="0" w:line="360" w:lineRule="auto"/>
        <w:ind w:firstLine="480" w:firstLineChars="200"/>
        <w:jc w:val="both"/>
        <w:textAlignment w:val="auto"/>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rPr>
        <w:t>5.问卷的发放和回收</w:t>
      </w:r>
    </w:p>
    <w:p w14:paraId="71A6A99F">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为了给调查对象营造良好的作答环境，保证调查的科学性和严谨性，由我单位工作人员在线下发放问卷，邀请相应的调查对象填写问卷。到目前为止共回收问卷30份，其中有效问卷30份，有效问卷回收率为100%。</w:t>
      </w:r>
    </w:p>
    <w:p w14:paraId="0282126B">
      <w:pPr>
        <w:pStyle w:val="10"/>
        <w:keepNext w:val="0"/>
        <w:keepLines w:val="0"/>
        <w:pageBreakBefore w:val="0"/>
        <w:widowControl w:val="0"/>
        <w:kinsoku/>
        <w:wordWrap/>
        <w:overflowPunct/>
        <w:topLinePunct w:val="0"/>
        <w:autoSpaceDE/>
        <w:autoSpaceDN/>
        <w:bidi w:val="0"/>
        <w:snapToGrid/>
        <w:spacing w:before="0" w:after="0" w:line="360" w:lineRule="auto"/>
        <w:ind w:firstLine="480" w:firstLineChars="200"/>
        <w:jc w:val="both"/>
        <w:textAlignment w:val="auto"/>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6.问卷调查分析结果</w:t>
      </w:r>
    </w:p>
    <w:p w14:paraId="2492797D">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本次调查过程中，评价小组实际发放问卷30份，回收问卷30份，问卷回收率为100.00%，有效问卷30份，有效回收率100.00%，本次调查的整体情况如下：</w:t>
      </w:r>
    </w:p>
    <w:p w14:paraId="18C9FAF0">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第一个问题：该项统计有效问卷数量30份，选择非常满意的人数为30人。选择比较满意的人数为0人，选择一般的人数0人，选择不满意的人数0人，选择非常不满意的人数0人。</w:t>
      </w:r>
    </w:p>
    <w:p w14:paraId="55797662">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第二个问题：该项统计有效问卷数量30份，选择非常满意的人数为30人。选择比较满意的人数为0人，选择一般的人数0人，选择不满意的人数0人，选择非常不满意的人数0人。</w:t>
      </w:r>
    </w:p>
    <w:p w14:paraId="385864FB">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第三个问题：该项统计有效问卷数量30份，选择非常满意的人数为30人。选择比较满意的人数为0人，选择一般的人数0人，选择不满意的人数0人，选择非常不满意的人数0人。</w:t>
      </w:r>
    </w:p>
    <w:p w14:paraId="18BCAC4D">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二、调查结果统计</w:t>
      </w:r>
    </w:p>
    <w:p w14:paraId="65BDD9D1">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洛浦县山普鲁中学建设项目针对受益人员发放30份调查问卷，最终统计受益人群满意度为100%。</w:t>
      </w:r>
    </w:p>
    <w:p w14:paraId="775EE307">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rPr>
          <w:rFonts w:hint="eastAsia" w:ascii="宋体" w:hAnsi="宋体" w:eastAsia="宋体" w:cs="宋体"/>
          <w:sz w:val="24"/>
          <w:szCs w:val="24"/>
          <w:highlight w:val="none"/>
          <w:lang w:val="en-US" w:eastAsia="zh-CN"/>
        </w:rPr>
      </w:pPr>
    </w:p>
    <w:p w14:paraId="1BF7EA3F">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righ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洛浦县教育局</w:t>
      </w:r>
    </w:p>
    <w:p w14:paraId="5F45AF41">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right"/>
        <w:textAlignment w:val="auto"/>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2025年2月16日</w:t>
      </w:r>
    </w:p>
    <w:p w14:paraId="14E52125">
      <w:pPr>
        <w:pStyle w:val="10"/>
        <w:pageBreakBefore w:val="0"/>
        <w:kinsoku/>
        <w:wordWrap/>
        <w:topLinePunct w:val="0"/>
        <w:autoSpaceDE/>
        <w:autoSpaceDN/>
        <w:bidi w:val="0"/>
        <w:spacing w:line="360" w:lineRule="auto"/>
        <w:ind w:left="0" w:leftChars="0" w:firstLine="480" w:firstLineChars="200"/>
        <w:rPr>
          <w:rFonts w:hint="eastAsia" w:ascii="宋体" w:hAnsi="宋体" w:eastAsia="宋体" w:cs="宋体"/>
          <w:color w:val="auto"/>
          <w:sz w:val="24"/>
          <w:szCs w:val="24"/>
          <w:lang w:eastAsia="zh-CN"/>
        </w:rPr>
      </w:pPr>
    </w:p>
    <w:sectPr>
      <w:pgSz w:w="11906" w:h="16838"/>
      <w:pgMar w:top="1985" w:right="1531" w:bottom="1701" w:left="1531" w:header="851" w:footer="992" w:gutter="0"/>
      <w:pgNumType w:start="1"/>
      <w:cols w:space="720" w:num="1"/>
      <w:docGrid w:type="linesAndChars" w:linePitch="38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B24C617-0C34-462E-B525-9BA5653C223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仿宋_GBK">
    <w:panose1 w:val="02000000000000000000"/>
    <w:charset w:val="86"/>
    <w:family w:val="script"/>
    <w:pitch w:val="default"/>
    <w:sig w:usb0="A00002BF" w:usb1="38CF7CFA" w:usb2="00082016" w:usb3="00000000" w:csb0="00040001" w:csb1="00000000"/>
    <w:embedRegular r:id="rId2" w:fontKey="{5CEE723B-C384-40C5-AD33-38BD9A6277B9}"/>
  </w:font>
  <w:font w:name="微软雅黑">
    <w:panose1 w:val="020B0503020204020204"/>
    <w:charset w:val="86"/>
    <w:family w:val="auto"/>
    <w:pitch w:val="default"/>
    <w:sig w:usb0="80000287" w:usb1="2ACF3C50" w:usb2="00000016" w:usb3="00000000" w:csb0="0004001F" w:csb1="00000000"/>
    <w:embedRegular r:id="rId3" w:fontKey="{8DABE0C9-59D6-4E87-82A8-6AFFED8D712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6EA4D3">
    <w:pPr>
      <w:pStyle w:val="1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A9D2D8">
    <w:pPr>
      <w:pStyle w:val="16"/>
      <w:pBdr>
        <w:bottom w:val="none" w:color="auto" w:sz="0" w:space="1"/>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1"/>
      <w:numFmt w:val="upperLetter"/>
      <w:lvlText w:val="%1."/>
      <w:lvlJc w:val="left"/>
      <w:pPr>
        <w:tabs>
          <w:tab w:val="left" w:pos="312"/>
        </w:tabs>
      </w:pPr>
    </w:lvl>
  </w:abstractNum>
  <w:abstractNum w:abstractNumId="1">
    <w:nsid w:val="BF205925"/>
    <w:multiLevelType w:val="singleLevel"/>
    <w:tmpl w:val="BF205925"/>
    <w:lvl w:ilvl="0" w:tentative="0">
      <w:start w:val="1"/>
      <w:numFmt w:val="decimal"/>
      <w:lvlText w:val="%1."/>
      <w:lvlJc w:val="left"/>
      <w:pPr>
        <w:tabs>
          <w:tab w:val="left" w:pos="312"/>
        </w:tabs>
      </w:pPr>
    </w:lvl>
  </w:abstractNum>
  <w:abstractNum w:abstractNumId="2">
    <w:nsid w:val="CF092B84"/>
    <w:multiLevelType w:val="singleLevel"/>
    <w:tmpl w:val="CF092B84"/>
    <w:lvl w:ilvl="0" w:tentative="0">
      <w:start w:val="1"/>
      <w:numFmt w:val="decimal"/>
      <w:suff w:val="nothing"/>
      <w:lvlText w:val="（%1）"/>
      <w:lvlJc w:val="left"/>
    </w:lvl>
  </w:abstractNum>
  <w:abstractNum w:abstractNumId="3">
    <w:nsid w:val="0053208E"/>
    <w:multiLevelType w:val="singleLevel"/>
    <w:tmpl w:val="0053208E"/>
    <w:lvl w:ilvl="0" w:tentative="0">
      <w:start w:val="2"/>
      <w:numFmt w:val="decimal"/>
      <w:lvlText w:val="%1."/>
      <w:lvlJc w:val="left"/>
      <w:pPr>
        <w:tabs>
          <w:tab w:val="left" w:pos="312"/>
        </w:tabs>
      </w:pPr>
    </w:lvl>
  </w:abstractNum>
  <w:abstractNum w:abstractNumId="4">
    <w:nsid w:val="59ADCABA"/>
    <w:multiLevelType w:val="singleLevel"/>
    <w:tmpl w:val="59ADCABA"/>
    <w:lvl w:ilvl="0" w:tentative="0">
      <w:start w:val="1"/>
      <w:numFmt w:val="decimal"/>
      <w:suff w:val="nothing"/>
      <w:lvlText w:val="%1）"/>
      <w:lvlJc w:val="left"/>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embedTrueTypeFonts/>
  <w:saveSubsetFonts/>
  <w:bordersDoNotSurroundHeader w:val="0"/>
  <w:bordersDoNotSurroundFooter w:val="0"/>
  <w:doNotTrackMoves/>
  <w:documentProtection w:enforcement="0"/>
  <w:defaultTabStop w:val="420"/>
  <w:drawingGridHorizontalSpacing w:val="140"/>
  <w:drawingGridVerticalSpacing w:val="193"/>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zIzNjhjZjkxMjg2OGJjOTQ0NThhNzBhOGI4YTVmYWYifQ=="/>
  </w:docVars>
  <w:rsids>
    <w:rsidRoot w:val="00000000"/>
    <w:rsid w:val="39D606B8"/>
    <w:rsid w:val="5DC01364"/>
    <w:rsid w:val="64A21725"/>
  </w:rsids>
  <m:mathPr>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uiPriority="99" w:name="Normal Indent"/>
    <w:lsdException w:uiPriority="99" w:name="footnote text"/>
    <w:lsdException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00" w:firstLineChars="200"/>
      <w:jc w:val="both"/>
    </w:pPr>
    <w:rPr>
      <w:rFonts w:ascii="Times New Roman" w:hAnsi="Times New Roman" w:eastAsia="仿宋_GB2312" w:cs="黑体"/>
      <w:kern w:val="2"/>
      <w:sz w:val="28"/>
      <w:szCs w:val="22"/>
      <w:lang w:val="en-US" w:eastAsia="zh-CN" w:bidi="ar-SA"/>
    </w:rPr>
  </w:style>
  <w:style w:type="paragraph" w:styleId="4">
    <w:name w:val="heading 1"/>
    <w:basedOn w:val="1"/>
    <w:next w:val="2"/>
    <w:link w:val="33"/>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5">
    <w:name w:val="heading 2"/>
    <w:basedOn w:val="1"/>
    <w:next w:val="1"/>
    <w:link w:val="34"/>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6">
    <w:name w:val="heading 3"/>
    <w:basedOn w:val="1"/>
    <w:next w:val="1"/>
    <w:link w:val="35"/>
    <w:qFormat/>
    <w:uiPriority w:val="9"/>
    <w:pPr>
      <w:keepNext/>
      <w:keepLines/>
      <w:spacing w:before="260" w:after="260" w:line="416" w:lineRule="auto"/>
      <w:jc w:val="left"/>
      <w:outlineLvl w:val="2"/>
    </w:pPr>
    <w:rPr>
      <w:rFonts w:cs="Times New Roman"/>
      <w:bCs/>
      <w:kern w:val="0"/>
      <w:szCs w:val="32"/>
    </w:rPr>
  </w:style>
  <w:style w:type="paragraph" w:styleId="7">
    <w:name w:val="heading 4"/>
    <w:basedOn w:val="1"/>
    <w:next w:val="1"/>
    <w:link w:val="36"/>
    <w:qFormat/>
    <w:uiPriority w:val="9"/>
    <w:pPr>
      <w:keepNext/>
      <w:keepLines/>
      <w:spacing w:before="280" w:after="290" w:line="376" w:lineRule="auto"/>
      <w:outlineLvl w:val="3"/>
    </w:pPr>
    <w:rPr>
      <w:rFonts w:ascii="Cambria" w:hAnsi="Cambria" w:eastAsia="宋体" w:cs="Times New Roman"/>
      <w:b/>
      <w:bCs/>
      <w:kern w:val="0"/>
      <w:szCs w:val="28"/>
    </w:rPr>
  </w:style>
  <w:style w:type="character" w:default="1" w:styleId="25">
    <w:name w:val="Default Paragraph Font"/>
    <w:unhideWhenUsed/>
    <w:qFormat/>
    <w:uiPriority w:val="1"/>
  </w:style>
  <w:style w:type="table" w:default="1" w:styleId="23">
    <w:name w:val="Normal Table"/>
    <w:unhideWhenUsed/>
    <w:qFormat/>
    <w:uiPriority w:val="99"/>
    <w:tblPr>
      <w:tblCellMar>
        <w:top w:w="0" w:type="dxa"/>
        <w:left w:w="108" w:type="dxa"/>
        <w:bottom w:w="0" w:type="dxa"/>
        <w:right w:w="108" w:type="dxa"/>
      </w:tblCellMar>
    </w:tblPr>
  </w:style>
  <w:style w:type="paragraph" w:styleId="2">
    <w:name w:val="Body Text First Indent 2"/>
    <w:basedOn w:val="3"/>
    <w:link w:val="32"/>
    <w:unhideWhenUsed/>
    <w:qFormat/>
    <w:uiPriority w:val="0"/>
    <w:pPr>
      <w:ind w:firstLine="420"/>
    </w:pPr>
  </w:style>
  <w:style w:type="paragraph" w:styleId="3">
    <w:name w:val="Body Text Indent"/>
    <w:basedOn w:val="1"/>
    <w:link w:val="31"/>
    <w:unhideWhenUsed/>
    <w:qFormat/>
    <w:uiPriority w:val="99"/>
    <w:pPr>
      <w:spacing w:after="120"/>
      <w:ind w:left="420" w:leftChars="200"/>
    </w:pPr>
    <w:rPr>
      <w:rFonts w:cs="Times New Roman"/>
      <w:kern w:val="0"/>
      <w:szCs w:val="20"/>
    </w:rPr>
  </w:style>
  <w:style w:type="paragraph" w:styleId="8">
    <w:name w:val="toc 7"/>
    <w:basedOn w:val="1"/>
    <w:next w:val="1"/>
    <w:unhideWhenUsed/>
    <w:uiPriority w:val="39"/>
    <w:pPr>
      <w:ind w:left="1680"/>
      <w:jc w:val="left"/>
    </w:pPr>
    <w:rPr>
      <w:rFonts w:ascii="Calibri" w:hAnsi="Calibri" w:cs="Calibri"/>
      <w:sz w:val="18"/>
      <w:szCs w:val="18"/>
    </w:rPr>
  </w:style>
  <w:style w:type="paragraph" w:styleId="9">
    <w:name w:val="Document Map"/>
    <w:basedOn w:val="1"/>
    <w:link w:val="37"/>
    <w:unhideWhenUsed/>
    <w:uiPriority w:val="99"/>
    <w:rPr>
      <w:rFonts w:ascii="宋体" w:eastAsia="宋体" w:cs="Times New Roman"/>
      <w:kern w:val="0"/>
      <w:sz w:val="18"/>
      <w:szCs w:val="18"/>
    </w:rPr>
  </w:style>
  <w:style w:type="paragraph" w:styleId="10">
    <w:name w:val="Body Text"/>
    <w:basedOn w:val="1"/>
    <w:qFormat/>
    <w:uiPriority w:val="0"/>
    <w:pPr>
      <w:spacing w:before="240" w:after="240" w:line="360" w:lineRule="auto"/>
      <w:jc w:val="center"/>
    </w:pPr>
    <w:rPr>
      <w:b/>
      <w:sz w:val="44"/>
    </w:rPr>
  </w:style>
  <w:style w:type="paragraph" w:styleId="11">
    <w:name w:val="toc 5"/>
    <w:basedOn w:val="1"/>
    <w:next w:val="1"/>
    <w:unhideWhenUsed/>
    <w:uiPriority w:val="39"/>
    <w:pPr>
      <w:ind w:left="1120"/>
      <w:jc w:val="left"/>
    </w:pPr>
    <w:rPr>
      <w:rFonts w:ascii="Calibri" w:hAnsi="Calibri" w:cs="Calibri"/>
      <w:sz w:val="18"/>
      <w:szCs w:val="18"/>
    </w:rPr>
  </w:style>
  <w:style w:type="paragraph" w:styleId="12">
    <w:name w:val="toc 3"/>
    <w:basedOn w:val="1"/>
    <w:next w:val="1"/>
    <w:unhideWhenUsed/>
    <w:uiPriority w:val="39"/>
    <w:pPr>
      <w:ind w:left="560"/>
      <w:jc w:val="left"/>
    </w:pPr>
    <w:rPr>
      <w:rFonts w:ascii="Calibri" w:hAnsi="Calibri" w:cs="Calibri"/>
      <w:i/>
      <w:iCs/>
      <w:sz w:val="20"/>
      <w:szCs w:val="20"/>
    </w:rPr>
  </w:style>
  <w:style w:type="paragraph" w:styleId="13">
    <w:name w:val="toc 8"/>
    <w:basedOn w:val="1"/>
    <w:next w:val="1"/>
    <w:unhideWhenUsed/>
    <w:uiPriority w:val="39"/>
    <w:pPr>
      <w:ind w:left="1960"/>
      <w:jc w:val="left"/>
    </w:pPr>
    <w:rPr>
      <w:rFonts w:ascii="Calibri" w:hAnsi="Calibri" w:cs="Calibri"/>
      <w:sz w:val="18"/>
      <w:szCs w:val="18"/>
    </w:rPr>
  </w:style>
  <w:style w:type="paragraph" w:styleId="14">
    <w:name w:val="Balloon Text"/>
    <w:basedOn w:val="1"/>
    <w:link w:val="39"/>
    <w:unhideWhenUsed/>
    <w:uiPriority w:val="99"/>
    <w:rPr>
      <w:rFonts w:cs="Times New Roman"/>
      <w:kern w:val="0"/>
      <w:sz w:val="18"/>
      <w:szCs w:val="18"/>
    </w:rPr>
  </w:style>
  <w:style w:type="paragraph" w:styleId="15">
    <w:name w:val="footer"/>
    <w:basedOn w:val="1"/>
    <w:link w:val="40"/>
    <w:unhideWhenUsed/>
    <w:qFormat/>
    <w:uiPriority w:val="99"/>
    <w:pPr>
      <w:tabs>
        <w:tab w:val="center" w:pos="4153"/>
        <w:tab w:val="right" w:pos="8306"/>
      </w:tabs>
      <w:snapToGrid w:val="0"/>
      <w:jc w:val="left"/>
    </w:pPr>
    <w:rPr>
      <w:rFonts w:cs="Times New Roman"/>
      <w:kern w:val="0"/>
      <w:sz w:val="18"/>
      <w:szCs w:val="18"/>
    </w:rPr>
  </w:style>
  <w:style w:type="paragraph" w:styleId="16">
    <w:name w:val="header"/>
    <w:basedOn w:val="1"/>
    <w:link w:val="4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paragraph" w:styleId="17">
    <w:name w:val="toc 1"/>
    <w:basedOn w:val="1"/>
    <w:next w:val="1"/>
    <w:unhideWhenUsed/>
    <w:uiPriority w:val="39"/>
    <w:pPr>
      <w:spacing w:before="120" w:after="120"/>
      <w:jc w:val="left"/>
    </w:pPr>
    <w:rPr>
      <w:rFonts w:ascii="Calibri" w:hAnsi="Calibri" w:cs="Calibri"/>
      <w:b/>
      <w:bCs/>
      <w:caps/>
      <w:sz w:val="20"/>
      <w:szCs w:val="20"/>
    </w:rPr>
  </w:style>
  <w:style w:type="paragraph" w:styleId="18">
    <w:name w:val="toc 4"/>
    <w:basedOn w:val="1"/>
    <w:next w:val="1"/>
    <w:unhideWhenUsed/>
    <w:uiPriority w:val="39"/>
    <w:pPr>
      <w:ind w:left="840"/>
      <w:jc w:val="left"/>
    </w:pPr>
    <w:rPr>
      <w:rFonts w:ascii="Calibri" w:hAnsi="Calibri" w:cs="Calibri"/>
      <w:sz w:val="18"/>
      <w:szCs w:val="18"/>
    </w:rPr>
  </w:style>
  <w:style w:type="paragraph" w:styleId="19">
    <w:name w:val="toc 6"/>
    <w:basedOn w:val="1"/>
    <w:next w:val="1"/>
    <w:unhideWhenUsed/>
    <w:uiPriority w:val="39"/>
    <w:pPr>
      <w:ind w:left="1400"/>
      <w:jc w:val="left"/>
    </w:pPr>
    <w:rPr>
      <w:rFonts w:ascii="Calibri" w:hAnsi="Calibri" w:cs="Calibri"/>
      <w:sz w:val="18"/>
      <w:szCs w:val="18"/>
    </w:rPr>
  </w:style>
  <w:style w:type="paragraph" w:styleId="20">
    <w:name w:val="toc 2"/>
    <w:basedOn w:val="1"/>
    <w:next w:val="1"/>
    <w:unhideWhenUsed/>
    <w:uiPriority w:val="39"/>
    <w:pPr>
      <w:ind w:left="280"/>
      <w:jc w:val="left"/>
    </w:pPr>
    <w:rPr>
      <w:rFonts w:ascii="Calibri" w:hAnsi="Calibri" w:cs="Calibri"/>
      <w:smallCaps/>
      <w:sz w:val="20"/>
      <w:szCs w:val="20"/>
    </w:rPr>
  </w:style>
  <w:style w:type="paragraph" w:styleId="21">
    <w:name w:val="toc 9"/>
    <w:basedOn w:val="1"/>
    <w:next w:val="1"/>
    <w:unhideWhenUsed/>
    <w:uiPriority w:val="39"/>
    <w:pPr>
      <w:ind w:left="2240"/>
      <w:jc w:val="left"/>
    </w:pPr>
    <w:rPr>
      <w:rFonts w:ascii="Calibri" w:hAnsi="Calibri" w:cs="Calibri"/>
      <w:sz w:val="18"/>
      <w:szCs w:val="18"/>
    </w:rPr>
  </w:style>
  <w:style w:type="paragraph" w:styleId="22">
    <w:name w:val="Title"/>
    <w:basedOn w:val="1"/>
    <w:next w:val="1"/>
    <w:link w:val="42"/>
    <w:qFormat/>
    <w:uiPriority w:val="10"/>
    <w:pPr>
      <w:spacing w:before="240" w:after="60"/>
      <w:jc w:val="center"/>
      <w:outlineLvl w:val="0"/>
    </w:pPr>
    <w:rPr>
      <w:rFonts w:ascii="Cambria" w:hAnsi="Cambria" w:eastAsia="宋体" w:cs="Times New Roman"/>
      <w:b/>
      <w:bCs/>
      <w:sz w:val="32"/>
      <w:szCs w:val="32"/>
    </w:rPr>
  </w:style>
  <w:style w:type="table" w:styleId="24">
    <w:name w:val="Table Grid"/>
    <w:basedOn w:val="23"/>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Strong"/>
    <w:basedOn w:val="25"/>
    <w:qFormat/>
    <w:uiPriority w:val="0"/>
    <w:rPr>
      <w:b/>
      <w:bCs/>
    </w:rPr>
  </w:style>
  <w:style w:type="character" w:styleId="27">
    <w:name w:val="Hyperlink"/>
    <w:unhideWhenUsed/>
    <w:uiPriority w:val="99"/>
    <w:rPr>
      <w:color w:val="0000FF"/>
      <w:u w:val="single"/>
    </w:rPr>
  </w:style>
  <w:style w:type="paragraph" w:customStyle="1" w:styleId="28">
    <w:name w:val="Comment Text"/>
    <w:basedOn w:val="1"/>
    <w:link w:val="38"/>
    <w:unhideWhenUsed/>
    <w:uiPriority w:val="99"/>
    <w:rPr>
      <w:rFonts w:cs="Times New Roman"/>
      <w:kern w:val="0"/>
      <w:sz w:val="20"/>
      <w:szCs w:val="20"/>
    </w:rPr>
  </w:style>
  <w:style w:type="paragraph" w:customStyle="1" w:styleId="29">
    <w:name w:val="Comment Subject"/>
    <w:basedOn w:val="28"/>
    <w:next w:val="28"/>
    <w:link w:val="43"/>
    <w:unhideWhenUsed/>
    <w:uiPriority w:val="99"/>
    <w:rPr>
      <w:b/>
      <w:bCs/>
    </w:rPr>
  </w:style>
  <w:style w:type="character" w:customStyle="1" w:styleId="30">
    <w:name w:val="Comment Reference"/>
    <w:unhideWhenUsed/>
    <w:uiPriority w:val="99"/>
    <w:rPr>
      <w:sz w:val="16"/>
      <w:szCs w:val="16"/>
    </w:rPr>
  </w:style>
  <w:style w:type="character" w:customStyle="1" w:styleId="31">
    <w:name w:val="正文文本缩进 Char"/>
    <w:link w:val="3"/>
    <w:semiHidden/>
    <w:uiPriority w:val="99"/>
    <w:rPr>
      <w:rFonts w:ascii="Calibri" w:hAnsi="Calibri" w:eastAsia="仿宋_GB2312" w:cs="黑体"/>
      <w:sz w:val="28"/>
    </w:rPr>
  </w:style>
  <w:style w:type="character" w:customStyle="1" w:styleId="32">
    <w:name w:val="正文首行缩进 2 Char"/>
    <w:link w:val="2"/>
    <w:uiPriority w:val="0"/>
    <w:rPr>
      <w:rFonts w:ascii="Calibri" w:hAnsi="Calibri" w:eastAsia="仿宋_GB2312" w:cs="黑体"/>
      <w:sz w:val="28"/>
    </w:rPr>
  </w:style>
  <w:style w:type="character" w:customStyle="1" w:styleId="33">
    <w:name w:val="标题 1 Char"/>
    <w:link w:val="4"/>
    <w:uiPriority w:val="9"/>
    <w:rPr>
      <w:rFonts w:ascii="Times New Roman" w:hAnsi="Times New Roman" w:eastAsia="仿宋_GB2312" w:cs="Times New Roman"/>
      <w:b/>
      <w:bCs/>
      <w:kern w:val="44"/>
      <w:sz w:val="32"/>
      <w:szCs w:val="44"/>
    </w:rPr>
  </w:style>
  <w:style w:type="character" w:customStyle="1" w:styleId="34">
    <w:name w:val="标题 2 Char"/>
    <w:link w:val="5"/>
    <w:uiPriority w:val="0"/>
    <w:rPr>
      <w:rFonts w:ascii="Cambria" w:hAnsi="Cambria" w:eastAsia="仿宋_GB2312" w:cs="Times New Roman"/>
      <w:b/>
      <w:bCs/>
      <w:kern w:val="0"/>
      <w:sz w:val="30"/>
      <w:szCs w:val="32"/>
    </w:rPr>
  </w:style>
  <w:style w:type="character" w:customStyle="1" w:styleId="35">
    <w:name w:val="标题 3 Char"/>
    <w:link w:val="6"/>
    <w:uiPriority w:val="9"/>
    <w:rPr>
      <w:rFonts w:ascii="Calibri" w:hAnsi="Calibri" w:eastAsia="仿宋_GB2312" w:cs="黑体"/>
      <w:bCs/>
      <w:sz w:val="28"/>
      <w:szCs w:val="32"/>
    </w:rPr>
  </w:style>
  <w:style w:type="character" w:customStyle="1" w:styleId="36">
    <w:name w:val="标题 4 Char"/>
    <w:link w:val="7"/>
    <w:semiHidden/>
    <w:uiPriority w:val="9"/>
    <w:rPr>
      <w:rFonts w:ascii="Cambria" w:hAnsi="Cambria" w:eastAsia="宋体" w:cs="Times New Roman"/>
      <w:b/>
      <w:bCs/>
      <w:sz w:val="28"/>
      <w:szCs w:val="28"/>
    </w:rPr>
  </w:style>
  <w:style w:type="character" w:customStyle="1" w:styleId="37">
    <w:name w:val="文档结构图 Char"/>
    <w:link w:val="9"/>
    <w:semiHidden/>
    <w:uiPriority w:val="99"/>
    <w:rPr>
      <w:rFonts w:ascii="宋体" w:hAnsi="Calibri" w:eastAsia="宋体" w:cs="黑体"/>
      <w:sz w:val="18"/>
      <w:szCs w:val="18"/>
    </w:rPr>
  </w:style>
  <w:style w:type="character" w:customStyle="1" w:styleId="38">
    <w:name w:val="批注文字 Char"/>
    <w:link w:val="28"/>
    <w:semiHidden/>
    <w:qFormat/>
    <w:uiPriority w:val="99"/>
    <w:rPr>
      <w:rFonts w:ascii="Calibri" w:hAnsi="Calibri" w:eastAsia="仿宋_GB2312" w:cs="黑体"/>
      <w:sz w:val="20"/>
      <w:szCs w:val="20"/>
    </w:rPr>
  </w:style>
  <w:style w:type="character" w:customStyle="1" w:styleId="39">
    <w:name w:val="批注框文本 Char"/>
    <w:link w:val="14"/>
    <w:semiHidden/>
    <w:qFormat/>
    <w:uiPriority w:val="99"/>
    <w:rPr>
      <w:rFonts w:ascii="Calibri" w:hAnsi="Calibri" w:eastAsia="仿宋_GB2312" w:cs="黑体"/>
      <w:sz w:val="18"/>
      <w:szCs w:val="18"/>
    </w:rPr>
  </w:style>
  <w:style w:type="character" w:customStyle="1" w:styleId="40">
    <w:name w:val="页脚 Char"/>
    <w:link w:val="15"/>
    <w:qFormat/>
    <w:uiPriority w:val="99"/>
    <w:rPr>
      <w:rFonts w:ascii="Calibri" w:hAnsi="Calibri" w:eastAsia="仿宋_GB2312" w:cs="黑体"/>
      <w:sz w:val="18"/>
      <w:szCs w:val="18"/>
    </w:rPr>
  </w:style>
  <w:style w:type="character" w:customStyle="1" w:styleId="41">
    <w:name w:val="页眉 Char"/>
    <w:link w:val="16"/>
    <w:qFormat/>
    <w:uiPriority w:val="99"/>
    <w:rPr>
      <w:rFonts w:ascii="Calibri" w:hAnsi="Calibri" w:eastAsia="仿宋_GB2312" w:cs="黑体"/>
      <w:sz w:val="18"/>
      <w:szCs w:val="18"/>
    </w:rPr>
  </w:style>
  <w:style w:type="character" w:customStyle="1" w:styleId="42">
    <w:name w:val="标题 Char"/>
    <w:link w:val="22"/>
    <w:qFormat/>
    <w:uiPriority w:val="10"/>
    <w:rPr>
      <w:rFonts w:ascii="Cambria" w:hAnsi="Cambria"/>
      <w:b/>
      <w:bCs/>
      <w:kern w:val="2"/>
      <w:sz w:val="32"/>
      <w:szCs w:val="32"/>
    </w:rPr>
  </w:style>
  <w:style w:type="character" w:customStyle="1" w:styleId="43">
    <w:name w:val="批注主题 Char"/>
    <w:link w:val="29"/>
    <w:semiHidden/>
    <w:qFormat/>
    <w:uiPriority w:val="99"/>
    <w:rPr>
      <w:rFonts w:ascii="Calibri" w:hAnsi="Calibri" w:eastAsia="仿宋_GB2312" w:cs="黑体"/>
      <w:b/>
      <w:bCs/>
      <w:sz w:val="20"/>
      <w:szCs w:val="20"/>
    </w:rPr>
  </w:style>
  <w:style w:type="character" w:customStyle="1" w:styleId="44">
    <w:name w:val="闻政-正文一级标题 Char"/>
    <w:link w:val="45"/>
    <w:qFormat/>
    <w:uiPriority w:val="3"/>
    <w:rPr>
      <w:rFonts w:ascii="黑体" w:hAnsi="黑体" w:eastAsia="黑体"/>
      <w:bCs/>
      <w:sz w:val="32"/>
      <w:szCs w:val="32"/>
    </w:rPr>
  </w:style>
  <w:style w:type="paragraph" w:customStyle="1" w:styleId="45">
    <w:name w:val="闻政-正文一级标题"/>
    <w:basedOn w:val="6"/>
    <w:next w:val="46"/>
    <w:link w:val="44"/>
    <w:qFormat/>
    <w:uiPriority w:val="3"/>
    <w:pPr>
      <w:spacing w:before="120" w:after="60" w:line="500" w:lineRule="exact"/>
      <w:ind w:firstLine="0" w:firstLineChars="0"/>
      <w:outlineLvl w:val="0"/>
    </w:pPr>
    <w:rPr>
      <w:rFonts w:ascii="黑体" w:hAnsi="黑体" w:eastAsia="黑体"/>
      <w:sz w:val="32"/>
    </w:rPr>
  </w:style>
  <w:style w:type="paragraph" w:customStyle="1" w:styleId="46">
    <w:name w:val="闻政-正文段落文字"/>
    <w:basedOn w:val="1"/>
    <w:link w:val="47"/>
    <w:qFormat/>
    <w:uiPriority w:val="3"/>
    <w:pPr>
      <w:spacing w:line="500" w:lineRule="exact"/>
      <w:ind w:firstLine="200"/>
    </w:pPr>
    <w:rPr>
      <w:rFonts w:ascii="Times New Roman" w:hAnsi="Times New Roman" w:cs="Times New Roman"/>
      <w:kern w:val="0"/>
      <w:szCs w:val="28"/>
    </w:rPr>
  </w:style>
  <w:style w:type="character" w:customStyle="1" w:styleId="47">
    <w:name w:val="闻政-正文段落文字 Char"/>
    <w:link w:val="46"/>
    <w:qFormat/>
    <w:uiPriority w:val="3"/>
    <w:rPr>
      <w:rFonts w:ascii="Times New Roman" w:hAnsi="Times New Roman" w:eastAsia="仿宋_GB2312"/>
      <w:sz w:val="28"/>
      <w:szCs w:val="28"/>
    </w:rPr>
  </w:style>
  <w:style w:type="character" w:customStyle="1" w:styleId="48">
    <w:name w:val="闻政-正文二级标题 Char"/>
    <w:link w:val="49"/>
    <w:qFormat/>
    <w:uiPriority w:val="3"/>
    <w:rPr>
      <w:rFonts w:ascii="Times New Roman" w:hAnsi="Times New Roman" w:eastAsia="仿宋_GB2312"/>
      <w:b/>
      <w:bCs/>
      <w:sz w:val="28"/>
      <w:szCs w:val="32"/>
    </w:rPr>
  </w:style>
  <w:style w:type="paragraph" w:customStyle="1" w:styleId="49">
    <w:name w:val="闻政-正文二级标题"/>
    <w:basedOn w:val="5"/>
    <w:next w:val="46"/>
    <w:link w:val="48"/>
    <w:qFormat/>
    <w:uiPriority w:val="3"/>
    <w:pPr>
      <w:spacing w:before="120" w:after="60" w:line="500" w:lineRule="exact"/>
      <w:ind w:left="200" w:leftChars="200" w:firstLine="0" w:firstLineChars="0"/>
    </w:pPr>
    <w:rPr>
      <w:rFonts w:ascii="Times New Roman" w:hAnsi="Times New Roman"/>
      <w:sz w:val="28"/>
    </w:rPr>
  </w:style>
  <w:style w:type="character" w:customStyle="1" w:styleId="50">
    <w:name w:val="font11"/>
    <w:qFormat/>
    <w:uiPriority w:val="0"/>
    <w:rPr>
      <w:rFonts w:hint="eastAsia" w:ascii="方正仿宋_GBK" w:hAnsi="方正仿宋_GBK" w:eastAsia="方正仿宋_GBK" w:cs="方正仿宋_GBK"/>
      <w:color w:val="000000"/>
      <w:sz w:val="24"/>
      <w:szCs w:val="24"/>
      <w:u w:val="none"/>
    </w:rPr>
  </w:style>
  <w:style w:type="character" w:customStyle="1" w:styleId="51">
    <w:name w:val="51"/>
    <w:qFormat/>
    <w:uiPriority w:val="0"/>
    <w:rPr>
      <w:b/>
      <w:bCs/>
      <w:smallCaps/>
      <w:color w:val="C0504D"/>
      <w:spacing w:val="5"/>
      <w:u w:val="single"/>
    </w:rPr>
  </w:style>
  <w:style w:type="character" w:customStyle="1" w:styleId="52">
    <w:name w:val="闻政-正文三级标题 Char"/>
    <w:link w:val="53"/>
    <w:qFormat/>
    <w:uiPriority w:val="3"/>
    <w:rPr>
      <w:rFonts w:ascii="Times New Roman" w:hAnsi="Times New Roman" w:eastAsia="仿宋_GB2312"/>
      <w:b/>
      <w:snapToGrid w:val="0"/>
      <w:sz w:val="28"/>
      <w:szCs w:val="28"/>
    </w:rPr>
  </w:style>
  <w:style w:type="paragraph" w:customStyle="1" w:styleId="53">
    <w:name w:val="闻政-正文三级标题"/>
    <w:basedOn w:val="1"/>
    <w:next w:val="46"/>
    <w:link w:val="52"/>
    <w:qFormat/>
    <w:uiPriority w:val="3"/>
    <w:pPr>
      <w:widowControl/>
      <w:spacing w:before="120" w:after="60" w:line="500" w:lineRule="exact"/>
      <w:ind w:left="200" w:leftChars="200" w:firstLine="0" w:firstLineChars="0"/>
    </w:pPr>
    <w:rPr>
      <w:rFonts w:ascii="Times New Roman" w:hAnsi="Times New Roman" w:cs="Times New Roman"/>
      <w:b/>
      <w:snapToGrid w:val="0"/>
      <w:kern w:val="0"/>
      <w:szCs w:val="28"/>
    </w:rPr>
  </w:style>
  <w:style w:type="character" w:customStyle="1" w:styleId="54">
    <w:name w:val="font21"/>
    <w:qFormat/>
    <w:uiPriority w:val="0"/>
    <w:rPr>
      <w:rFonts w:hint="default" w:ascii="Times New Roman" w:hAnsi="Times New Roman" w:cs="Times New Roman"/>
      <w:color w:val="000000"/>
      <w:sz w:val="24"/>
      <w:szCs w:val="24"/>
      <w:u w:val="none"/>
    </w:rPr>
  </w:style>
  <w:style w:type="character" w:customStyle="1" w:styleId="55">
    <w:name w:val="无间隔 Char"/>
    <w:link w:val="56"/>
    <w:qFormat/>
    <w:uiPriority w:val="1"/>
    <w:rPr>
      <w:rFonts w:eastAsia="仿宋_GB2312" w:cs="黑体"/>
      <w:kern w:val="2"/>
      <w:sz w:val="28"/>
      <w:szCs w:val="22"/>
      <w:lang w:val="en-US" w:eastAsia="zh-CN" w:bidi="ar-SA"/>
    </w:rPr>
  </w:style>
  <w:style w:type="paragraph" w:styleId="56">
    <w:name w:val="No Spacing"/>
    <w:link w:val="55"/>
    <w:qFormat/>
    <w:uiPriority w:val="1"/>
    <w:pPr>
      <w:widowControl w:val="0"/>
      <w:ind w:firstLine="600" w:firstLineChars="200"/>
      <w:jc w:val="both"/>
    </w:pPr>
    <w:rPr>
      <w:rFonts w:ascii="Times New Roman" w:hAnsi="Times New Roman" w:eastAsia="仿宋_GB2312" w:cs="黑体"/>
      <w:kern w:val="2"/>
      <w:sz w:val="28"/>
      <w:szCs w:val="22"/>
      <w:lang w:val="en-US" w:eastAsia="zh-CN" w:bidi="ar-SA"/>
    </w:rPr>
  </w:style>
  <w:style w:type="paragraph" w:styleId="57">
    <w:name w:val="List Paragraph"/>
    <w:basedOn w:val="1"/>
    <w:qFormat/>
    <w:uiPriority w:val="34"/>
    <w:pPr>
      <w:ind w:firstLine="420"/>
    </w:pPr>
  </w:style>
  <w:style w:type="paragraph" w:customStyle="1" w:styleId="58">
    <w:name w:val="和田正文1a"/>
    <w:basedOn w:val="1"/>
    <w:qFormat/>
    <w:uiPriority w:val="0"/>
    <w:pPr>
      <w:spacing w:line="560" w:lineRule="exact"/>
      <w:ind w:firstLine="1004" w:firstLineChars="200"/>
      <w:jc w:val="left"/>
    </w:pPr>
    <w:rPr>
      <w:rFonts w:ascii="Times New Roman" w:hAnsi="Times New Roman" w:cs="Times New Roman"/>
      <w:kern w:val="0"/>
      <w:sz w:val="32"/>
      <w:szCs w:val="32"/>
      <w:lang w:bidi="en-US"/>
    </w:rPr>
  </w:style>
  <w:style w:type="character" w:customStyle="1" w:styleId="59">
    <w:name w:val="font71"/>
    <w:basedOn w:val="25"/>
    <w:qFormat/>
    <w:uiPriority w:val="0"/>
    <w:rPr>
      <w:rFonts w:hint="eastAsia" w:ascii="微软雅黑" w:hAnsi="微软雅黑" w:eastAsia="微软雅黑" w:cs="微软雅黑"/>
      <w:b/>
      <w:bCs/>
      <w:color w:val="000000"/>
      <w:sz w:val="32"/>
      <w:szCs w:val="32"/>
      <w:u w:val="none"/>
    </w:rPr>
  </w:style>
  <w:style w:type="paragraph" w:customStyle="1" w:styleId="60">
    <w:name w:val="Char"/>
    <w:basedOn w:val="1"/>
    <w:qFormat/>
    <w:uiPriority w:val="0"/>
    <w:rPr>
      <w:rFonts w:ascii="仿宋_GB2312" w:eastAsia="仿宋_GB2312" w:cs="黑体"/>
      <w:b/>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8027C2BD29D942399735CA26CEC6C5BF_13</vt:lpwstr>
  </property>
  <property fmtid="{D5CDD505-2E9C-101B-9397-08002B2CF9AE}" pid="4" name="KSOTemplateDocerSaveRecord">
    <vt:lpwstr>eyJoZGlkIjoiZDE5MGZhMTJhZDM2OTQwYzkzYWVjM2FhZDUxN2Q0M2IiLCJ1c2VySWQiOiI2NTE5NDIwMjYifQ==</vt:lpwstr>
  </property>
</Properties>
</file>

<file path=customXml/itemProps1.xml><?xml version="1.0" encoding="utf-8"?>
<ds:datastoreItem xmlns:ds="http://schemas.openxmlformats.org/officeDocument/2006/customXml" ds:itemID="{f5b5b0d4-62c6-4b90-a007-ee70c87a8cc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29</Pages>
  <Words>14613</Words>
  <Characters>15467</Characters>
  <Lines>44</Lines>
  <Paragraphs>12</Paragraphs>
  <TotalTime>2</TotalTime>
  <ScaleCrop>false</ScaleCrop>
  <LinksUpToDate>false</LinksUpToDate>
  <CharactersWithSpaces>15497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2021-04-03T09:53:00Z</dcterms:created>
  <dc:creator>User</dc:creator>
  <cp:lastModifiedBy>白羊</cp:lastModifiedBy>
  <dcterms:modified xsi:type="dcterms:W3CDTF">2025-11-17T10:40:21Z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8027C2BD29D942399735CA26CEC6C5BF_13</vt:lpwstr>
  </property>
  <property fmtid="{D5CDD505-2E9C-101B-9397-08002B2CF9AE}" pid="4" name="KSOTemplateDocerSaveRecord">
    <vt:lpwstr>eyJoZGlkIjoiYjM4NWYyMWE2NWU1OGNiMmIxMmZkYzA5MWEwNzJlZmIiLCJ1c2VySWQiOiI0MzE2NzY3NzkifQ==</vt:lpwstr>
  </property>
</Properties>
</file>