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15E34">
      <w:bookmarkStart w:id="21" w:name="_GoBack"/>
      <w:bookmarkEnd w:id="21"/>
    </w:p>
    <w:p w14:paraId="176C3F4B">
      <w:pPr>
        <w:pageBreakBefore w:val="0"/>
        <w:widowControl w:val="0"/>
        <w:shd w:val="clear" w:color="auto" w:fill="auto"/>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highlight w:val="none"/>
          <w:lang w:val="en-US" w:eastAsia="zh-CN" w:bidi="en-US"/>
        </w:rPr>
      </w:pPr>
    </w:p>
    <w:p w14:paraId="40DA70DC">
      <w:pPr>
        <w:keepNext w:val="0"/>
        <w:keepLines w:val="0"/>
        <w:pageBreakBefore w:val="0"/>
        <w:widowControl w:val="0"/>
        <w:shd w:val="clear" w:color="auto" w:fill="auto"/>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和田地区洛浦县困难群众救助补助资金项目</w:t>
      </w:r>
    </w:p>
    <w:p w14:paraId="61D8F88F">
      <w:pPr>
        <w:keepNext w:val="0"/>
        <w:keepLines w:val="0"/>
        <w:pageBreakBefore w:val="0"/>
        <w:widowControl w:val="0"/>
        <w:shd w:val="clear" w:color="auto" w:fill="auto"/>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1984147F">
      <w:pPr>
        <w:pStyle w:val="6"/>
        <w:shd w:val="clear" w:color="auto" w:fill="auto"/>
        <w:ind w:left="0" w:leftChars="0" w:firstLine="0" w:firstLineChars="0"/>
        <w:jc w:val="center"/>
        <w:rPr>
          <w:rFonts w:hint="eastAsia" w:ascii="宋体" w:hAnsi="宋体" w:eastAsia="宋体" w:cs="宋体"/>
          <w:b/>
          <w:bCs w:val="0"/>
          <w:color w:val="000000"/>
          <w:sz w:val="28"/>
          <w:szCs w:val="28"/>
          <w:highlight w:val="none"/>
          <w:lang w:eastAsia="zh-CN"/>
        </w:rPr>
      </w:pPr>
      <w:r>
        <w:rPr>
          <w:rFonts w:hint="eastAsia" w:ascii="宋体" w:hAnsi="宋体" w:eastAsia="宋体" w:cs="宋体"/>
          <w:b/>
          <w:bCs w:val="0"/>
          <w:color w:val="000000"/>
          <w:sz w:val="28"/>
          <w:szCs w:val="28"/>
          <w:highlight w:val="none"/>
          <w:lang w:eastAsia="zh-CN"/>
        </w:rPr>
        <w:t>（</w:t>
      </w:r>
      <w:r>
        <w:rPr>
          <w:rFonts w:hint="eastAsia" w:ascii="宋体" w:hAnsi="宋体" w:eastAsia="宋体" w:cs="宋体"/>
          <w:b/>
          <w:bCs w:val="0"/>
          <w:color w:val="000000"/>
          <w:sz w:val="28"/>
          <w:szCs w:val="28"/>
          <w:highlight w:val="none"/>
          <w:lang w:val="en-US" w:eastAsia="zh-CN"/>
        </w:rPr>
        <w:t>2024年度</w:t>
      </w:r>
      <w:r>
        <w:rPr>
          <w:rFonts w:hint="eastAsia" w:ascii="宋体" w:hAnsi="宋体" w:eastAsia="宋体" w:cs="宋体"/>
          <w:b/>
          <w:bCs w:val="0"/>
          <w:color w:val="000000"/>
          <w:sz w:val="28"/>
          <w:szCs w:val="28"/>
          <w:highlight w:val="none"/>
          <w:lang w:eastAsia="zh-CN"/>
        </w:rPr>
        <w:t>）</w:t>
      </w:r>
    </w:p>
    <w:p w14:paraId="51E89F32">
      <w:pPr>
        <w:pageBreakBefore w:val="0"/>
        <w:widowControl w:val="0"/>
        <w:shd w:val="clear" w:color="auto" w:fill="auto"/>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6B46F0AC">
      <w:pPr>
        <w:pageBreakBefore w:val="0"/>
        <w:widowControl w:val="0"/>
        <w:shd w:val="clear" w:color="auto" w:fill="auto"/>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080DEBC4">
      <w:pPr>
        <w:pStyle w:val="6"/>
        <w:shd w:val="clear" w:color="auto" w:fill="auto"/>
        <w:rPr>
          <w:rFonts w:hint="eastAsia" w:eastAsia="方正仿宋_GBK" w:cs="方正仿宋_GBK"/>
          <w:b/>
          <w:color w:val="auto"/>
          <w:kern w:val="0"/>
          <w:sz w:val="32"/>
          <w:szCs w:val="32"/>
          <w:highlight w:val="none"/>
          <w:lang w:bidi="en-US"/>
        </w:rPr>
      </w:pPr>
    </w:p>
    <w:p w14:paraId="6BF33FCC">
      <w:pPr>
        <w:shd w:val="clear" w:color="auto" w:fill="auto"/>
        <w:rPr>
          <w:rFonts w:hint="eastAsia" w:eastAsia="方正仿宋_GBK" w:cs="方正仿宋_GBK"/>
          <w:b/>
          <w:color w:val="auto"/>
          <w:kern w:val="0"/>
          <w:sz w:val="32"/>
          <w:szCs w:val="32"/>
          <w:highlight w:val="none"/>
          <w:lang w:bidi="en-US"/>
        </w:rPr>
      </w:pPr>
    </w:p>
    <w:p w14:paraId="61F07E3A">
      <w:pPr>
        <w:pStyle w:val="6"/>
        <w:shd w:val="clear" w:color="auto" w:fill="auto"/>
        <w:rPr>
          <w:rFonts w:hint="eastAsia"/>
          <w:color w:val="auto"/>
          <w:highlight w:val="none"/>
        </w:rPr>
      </w:pPr>
    </w:p>
    <w:p w14:paraId="1E286FCC">
      <w:pPr>
        <w:pStyle w:val="6"/>
        <w:pageBreakBefore w:val="0"/>
        <w:widowControl w:val="0"/>
        <w:shd w:val="clear" w:color="auto" w:fill="auto"/>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highlight w:val="none"/>
          <w:lang w:bidi="en-US"/>
        </w:rPr>
      </w:pPr>
    </w:p>
    <w:p w14:paraId="330BE979">
      <w:pPr>
        <w:pageBreakBefore w:val="0"/>
        <w:widowControl w:val="0"/>
        <w:shd w:val="clear" w:color="auto" w:fill="auto"/>
        <w:kinsoku/>
        <w:wordWrap/>
        <w:topLinePunct w:val="0"/>
        <w:autoSpaceDE/>
        <w:autoSpaceDN/>
        <w:bidi w:val="0"/>
        <w:spacing w:line="560" w:lineRule="exact"/>
        <w:ind w:left="0" w:leftChars="0" w:firstLine="560"/>
        <w:textAlignment w:val="auto"/>
        <w:rPr>
          <w:rFonts w:hint="eastAsia"/>
          <w:color w:val="auto"/>
          <w:highlight w:val="none"/>
        </w:rPr>
      </w:pPr>
    </w:p>
    <w:p w14:paraId="388A21A2">
      <w:pPr>
        <w:pageBreakBefore w:val="0"/>
        <w:widowControl w:val="0"/>
        <w:shd w:val="clear" w:color="auto" w:fill="auto"/>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7D562C28">
      <w:pPr>
        <w:pageBreakBefore w:val="0"/>
        <w:widowControl w:val="0"/>
        <w:shd w:val="clear" w:color="auto" w:fill="auto"/>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洛浦县困难群众救助补助资金</w:t>
      </w:r>
      <w:r>
        <w:rPr>
          <w:rFonts w:hint="eastAsia" w:ascii="宋体" w:hAnsi="宋体" w:eastAsia="宋体" w:cs="宋体"/>
          <w:b/>
          <w:bCs/>
          <w:color w:val="000000"/>
          <w:kern w:val="0"/>
          <w:sz w:val="28"/>
          <w:szCs w:val="28"/>
          <w:highlight w:val="none"/>
          <w:lang w:bidi="en-US"/>
        </w:rPr>
        <w:t>项目</w:t>
      </w:r>
    </w:p>
    <w:p w14:paraId="687F45E6">
      <w:pPr>
        <w:pageBreakBefore w:val="0"/>
        <w:widowControl w:val="0"/>
        <w:shd w:val="clear" w:color="auto" w:fill="auto"/>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洛浦县儿童福利中心</w:t>
      </w:r>
    </w:p>
    <w:p w14:paraId="1F92B435">
      <w:pPr>
        <w:pageBreakBefore w:val="0"/>
        <w:widowControl w:val="0"/>
        <w:shd w:val="clear" w:color="auto" w:fill="auto"/>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洛浦县儿童福利中心</w:t>
      </w:r>
      <w:r>
        <w:rPr>
          <w:rFonts w:hint="eastAsia" w:ascii="宋体" w:hAnsi="宋体" w:eastAsia="宋体" w:cs="宋体"/>
          <w:b/>
          <w:bCs/>
          <w:color w:val="000000"/>
          <w:kern w:val="0"/>
          <w:sz w:val="28"/>
          <w:szCs w:val="28"/>
          <w:highlight w:val="none"/>
          <w:lang w:bidi="en-US"/>
        </w:rPr>
        <w:t>（本级）</w:t>
      </w:r>
    </w:p>
    <w:p w14:paraId="77BA4A80">
      <w:pPr>
        <w:pageBreakBefore w:val="0"/>
        <w:widowControl w:val="0"/>
        <w:shd w:val="clear" w:color="auto" w:fill="auto"/>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玛依热</w:t>
      </w:r>
      <w:r>
        <w:rPr>
          <w:rFonts w:hint="eastAsia" w:ascii="宋体" w:hAnsi="宋体" w:eastAsia="宋体" w:cs="宋体"/>
          <w:b/>
          <w:bCs/>
          <w:color w:val="000000"/>
          <w:kern w:val="0"/>
          <w:sz w:val="28"/>
          <w:szCs w:val="28"/>
          <w:highlight w:val="none"/>
          <w:lang w:val="en-US" w:eastAsia="zh-CN" w:bidi="en-US"/>
        </w:rPr>
        <w:t>·阿力普</w:t>
      </w:r>
    </w:p>
    <w:p w14:paraId="641171A4">
      <w:pPr>
        <w:pageBreakBefore w:val="0"/>
        <w:widowControl w:val="0"/>
        <w:shd w:val="clear" w:color="auto" w:fill="auto"/>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31</w:t>
      </w:r>
      <w:r>
        <w:rPr>
          <w:rFonts w:hint="eastAsia" w:ascii="宋体" w:hAnsi="宋体" w:eastAsia="宋体" w:cs="宋体"/>
          <w:b/>
          <w:bCs/>
          <w:color w:val="000000"/>
          <w:kern w:val="0"/>
          <w:sz w:val="28"/>
          <w:szCs w:val="28"/>
          <w:highlight w:val="none"/>
          <w:lang w:bidi="en-US"/>
        </w:rPr>
        <w:t>日</w:t>
      </w:r>
    </w:p>
    <w:p w14:paraId="2619B76E">
      <w:pPr>
        <w:pageBreakBefore w:val="0"/>
        <w:widowControl w:val="0"/>
        <w:shd w:val="clear" w:color="auto" w:fill="auto"/>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highlight w:val="none"/>
          <w:lang w:bidi="en-US"/>
        </w:rPr>
      </w:pPr>
    </w:p>
    <w:p w14:paraId="1B07DBD2">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highlight w:val="none"/>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bookmarkStart w:id="0" w:name="_Toc68364657"/>
    </w:p>
    <w:p w14:paraId="77D31E38">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7D40E516">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63A1C017">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1.项目背景</w:t>
      </w:r>
    </w:p>
    <w:p w14:paraId="50AF033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因各种原因陷入生存困境的群体，如低保边缘人口、城乡低保对象、特困人员、临时救助、流浪乞讨（含农村留守儿童、困境儿童、流浪乞讨儿童的应急处置、救助帮扶、监护支持、精神关爱等未成年人社会保护支出）孤儿（艾滋病毒感染儿童生活困难家庭中的和纳入特困人员救助供养范围内的事实无人抚养儿童）基本生活保障支出。</w:t>
      </w:r>
    </w:p>
    <w:p w14:paraId="4A834004">
      <w:pPr>
        <w:pStyle w:val="46"/>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4D85A63F">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495D1C3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用于我县低保边缘人口、城乡低保对象、特困人员、临时救助、流浪乞讨（含农村留守儿童、困境儿童、流浪乞讨儿童的应急处置、救助帮扶、监护支持、精神关爱等未成年人社会保护支出）孤儿（艾滋病毒感染儿童生活困难家庭中的和纳入特困人员救助供养范围内的事实无人抚养儿童）基本生活保障支出。</w:t>
      </w:r>
    </w:p>
    <w:p w14:paraId="449AEC4B">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188C67F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472D01E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本项目主管部门为洛浦县儿童福利中心局，实施单位为洛浦县儿童福利中心。</w:t>
      </w:r>
    </w:p>
    <w:p w14:paraId="08FC926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6BBD8A28">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2024年1月-2024年12月</w:t>
      </w:r>
    </w:p>
    <w:p w14:paraId="14703CF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206BAC44">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highlight w:val="none"/>
          <w:lang w:val="en-US" w:eastAsia="zh-CN"/>
        </w:rPr>
      </w:pPr>
      <w:r>
        <w:rPr>
          <w:rFonts w:hint="default" w:ascii="宋体" w:hAnsi="宋体" w:eastAsia="宋体" w:cs="宋体"/>
          <w:b w:val="0"/>
          <w:bCs w:val="0"/>
          <w:color w:val="auto"/>
          <w:sz w:val="24"/>
          <w:szCs w:val="24"/>
          <w:highlight w:val="none"/>
          <w:lang w:val="en-US" w:eastAsia="zh-CN"/>
        </w:rPr>
        <w:t>本</w:t>
      </w:r>
      <w:r>
        <w:rPr>
          <w:rFonts w:hint="eastAsia" w:ascii="宋体" w:hAnsi="宋体" w:eastAsia="宋体" w:cs="宋体"/>
          <w:b w:val="0"/>
          <w:bCs w:val="0"/>
          <w:color w:val="auto"/>
          <w:sz w:val="24"/>
          <w:szCs w:val="24"/>
          <w:highlight w:val="none"/>
          <w:lang w:val="en-US" w:eastAsia="zh-CN"/>
        </w:rPr>
        <w:t>项目</w:t>
      </w:r>
      <w:r>
        <w:rPr>
          <w:rFonts w:hint="default" w:ascii="宋体" w:hAnsi="宋体" w:eastAsia="宋体" w:cs="宋体"/>
          <w:b w:val="0"/>
          <w:bCs w:val="0"/>
          <w:color w:val="auto"/>
          <w:sz w:val="24"/>
          <w:szCs w:val="24"/>
          <w:highlight w:val="none"/>
          <w:lang w:val="en-US" w:eastAsia="zh-CN"/>
        </w:rPr>
        <w:t>于202</w:t>
      </w:r>
      <w:r>
        <w:rPr>
          <w:rFonts w:hint="eastAsia" w:ascii="宋体" w:hAnsi="宋体" w:eastAsia="宋体" w:cs="宋体"/>
          <w:b w:val="0"/>
          <w:bCs w:val="0"/>
          <w:color w:val="auto"/>
          <w:sz w:val="24"/>
          <w:szCs w:val="24"/>
          <w:highlight w:val="none"/>
          <w:lang w:val="en-US" w:eastAsia="zh-CN"/>
        </w:rPr>
        <w:t>4</w:t>
      </w:r>
      <w:r>
        <w:rPr>
          <w:rFonts w:hint="default" w:ascii="宋体" w:hAnsi="宋体" w:eastAsia="宋体" w:cs="宋体"/>
          <w:b w:val="0"/>
          <w:bCs w:val="0"/>
          <w:color w:val="auto"/>
          <w:sz w:val="24"/>
          <w:szCs w:val="24"/>
          <w:highlight w:val="none"/>
          <w:lang w:val="en-US" w:eastAsia="zh-CN"/>
        </w:rPr>
        <w:t>年12月</w:t>
      </w:r>
      <w:r>
        <w:rPr>
          <w:rFonts w:hint="eastAsia" w:ascii="宋体" w:hAnsi="宋体" w:eastAsia="宋体" w:cs="宋体"/>
          <w:b w:val="0"/>
          <w:bCs w:val="0"/>
          <w:color w:val="auto"/>
          <w:sz w:val="24"/>
          <w:szCs w:val="24"/>
          <w:highlight w:val="none"/>
          <w:lang w:val="en-US" w:eastAsia="zh-CN"/>
        </w:rPr>
        <w:t>31</w:t>
      </w:r>
      <w:r>
        <w:rPr>
          <w:rFonts w:hint="default" w:ascii="宋体" w:hAnsi="宋体" w:eastAsia="宋体" w:cs="宋体"/>
          <w:b w:val="0"/>
          <w:bCs w:val="0"/>
          <w:color w:val="auto"/>
          <w:sz w:val="24"/>
          <w:szCs w:val="24"/>
          <w:highlight w:val="none"/>
          <w:lang w:val="en-US" w:eastAsia="zh-CN"/>
        </w:rPr>
        <w:t>日前全部完工。</w:t>
      </w:r>
    </w:p>
    <w:p w14:paraId="37D9FA89">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根据《关于下达地区本级2024年中央财政困难群众救助补助资金预算的通知》（和地财社〔2023〕101号）、（洛财社〔2024〕31号）文件精神，为洛浦县低保边缘人口、城乡低保对象、特困人员、享受国家定期抚恤补助的优抚对象、孤儿、事实无人抚养儿童、艾滋病毒传染儿童发放生活补助。</w:t>
      </w:r>
    </w:p>
    <w:p w14:paraId="6A198EB1">
      <w:pPr>
        <w:pStyle w:val="46"/>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3.资金投入和使用情况</w:t>
      </w:r>
    </w:p>
    <w:p w14:paraId="392557A7">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191DA2EA">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万元，资金来源为部门预算其中：财政资金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9A6F131">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7FD2213E">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eastAsia="zh-CN"/>
        </w:rPr>
        <w:t>资助集中供养孤儿人数71人、特困儿童人数232人、分散供养孤儿人数1人、艾滋病病毒感染儿童人数11人的</w:t>
      </w:r>
      <w:r>
        <w:rPr>
          <w:rFonts w:hint="eastAsia" w:ascii="宋体" w:hAnsi="宋体" w:eastAsia="宋体" w:cs="宋体"/>
          <w:color w:val="auto"/>
          <w:sz w:val="24"/>
          <w:szCs w:val="24"/>
          <w:highlight w:val="none"/>
          <w:lang w:val="en-US" w:eastAsia="zh-CN"/>
        </w:rPr>
        <w:t>补助</w:t>
      </w:r>
      <w:r>
        <w:rPr>
          <w:rFonts w:hint="eastAsia" w:ascii="宋体" w:hAnsi="宋体" w:eastAsia="宋体" w:cs="宋体"/>
          <w:color w:val="auto"/>
          <w:sz w:val="24"/>
          <w:szCs w:val="24"/>
          <w:highlight w:val="none"/>
        </w:rPr>
        <w:t>。</w:t>
      </w:r>
    </w:p>
    <w:p w14:paraId="5F2D4E8B">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6C984BC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6E91C0B0">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287EA73C">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关于下达地区本级2024年中央财政困难群众救助补助资金预算的通知》（和地财社〔2023〕101号）、（洛财社〔2024〕31号）文件精神，为洛浦县低保边缘人口、城乡低保对象、特困人员、享受国家定期抚恤补助的优抚对象、孤儿、事实无人抚养儿童、艾滋病毒传染儿童发放生活补助。</w:t>
      </w:r>
    </w:p>
    <w:p w14:paraId="43471564">
      <w:pPr>
        <w:pStyle w:val="46"/>
        <w:pageBreakBefore w:val="0"/>
        <w:widowControl w:val="0"/>
        <w:numPr>
          <w:ilvl w:val="0"/>
          <w:numId w:val="1"/>
        </w:numPr>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阶段性目标</w:t>
      </w:r>
    </w:p>
    <w:p w14:paraId="62208839">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87DE6B4">
      <w:pPr>
        <w:pStyle w:val="46"/>
        <w:pageBreakBefore w:val="0"/>
        <w:widowControl w:val="0"/>
        <w:numPr>
          <w:ilvl w:val="0"/>
          <w:numId w:val="2"/>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4226AAB4">
      <w:pPr>
        <w:pStyle w:val="46"/>
        <w:pageBreakBefore w:val="0"/>
        <w:widowControl w:val="0"/>
        <w:numPr>
          <w:ilvl w:val="0"/>
          <w:numId w:val="3"/>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2A4F7F4F">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集中供养孤儿人数，</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≥71人</w:t>
      </w:r>
      <w:r>
        <w:rPr>
          <w:rFonts w:hint="eastAsia" w:ascii="宋体" w:hAnsi="宋体" w:eastAsia="宋体" w:cs="宋体"/>
          <w:color w:val="auto"/>
          <w:sz w:val="24"/>
          <w:szCs w:val="24"/>
          <w:highlight w:val="none"/>
        </w:rPr>
        <w:t>；</w:t>
      </w:r>
    </w:p>
    <w:p w14:paraId="28A6A390">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特困儿童人数，</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≥232人</w:t>
      </w:r>
      <w:r>
        <w:rPr>
          <w:rFonts w:hint="eastAsia" w:ascii="宋体" w:hAnsi="宋体" w:eastAsia="宋体" w:cs="宋体"/>
          <w:color w:val="auto"/>
          <w:sz w:val="24"/>
          <w:szCs w:val="24"/>
          <w:highlight w:val="none"/>
        </w:rPr>
        <w:t>；</w:t>
      </w:r>
    </w:p>
    <w:p w14:paraId="54BDF520">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分散供养孤儿人数，</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≥1人</w:t>
      </w:r>
      <w:r>
        <w:rPr>
          <w:rFonts w:hint="eastAsia" w:ascii="宋体" w:hAnsi="宋体" w:eastAsia="宋体" w:cs="宋体"/>
          <w:color w:val="auto"/>
          <w:sz w:val="24"/>
          <w:szCs w:val="24"/>
          <w:highlight w:val="none"/>
        </w:rPr>
        <w:t>；</w:t>
      </w:r>
    </w:p>
    <w:p w14:paraId="31CE3BA3">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艾滋病病毒感染儿童人数，</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≥11人</w:t>
      </w:r>
      <w:r>
        <w:rPr>
          <w:rFonts w:hint="eastAsia" w:ascii="宋体" w:hAnsi="宋体" w:eastAsia="宋体" w:cs="宋体"/>
          <w:color w:val="auto"/>
          <w:sz w:val="24"/>
          <w:szCs w:val="24"/>
          <w:highlight w:val="none"/>
        </w:rPr>
        <w:t>；</w:t>
      </w:r>
    </w:p>
    <w:p w14:paraId="43EF4E70">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3DCA3F2F">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补助覆盖率，</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2438EC4">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补助资金到位率，</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1449114">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w:t>
      </w:r>
      <w:r>
        <w:rPr>
          <w:rFonts w:hint="eastAsia" w:ascii="宋体" w:hAnsi="宋体" w:eastAsia="宋体" w:cs="宋体"/>
          <w:color w:val="auto"/>
          <w:sz w:val="24"/>
          <w:szCs w:val="24"/>
          <w:highlight w:val="none"/>
          <w:lang w:val="en-US" w:eastAsia="zh-CN"/>
        </w:rPr>
        <w:t>指标</w:t>
      </w:r>
      <w:r>
        <w:rPr>
          <w:rFonts w:hint="eastAsia" w:ascii="宋体" w:hAnsi="宋体" w:eastAsia="宋体" w:cs="宋体"/>
          <w:color w:val="auto"/>
          <w:sz w:val="24"/>
          <w:szCs w:val="24"/>
          <w:highlight w:val="none"/>
        </w:rPr>
        <w:t>：</w:t>
      </w:r>
    </w:p>
    <w:p w14:paraId="752E5E1B">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项目开始时间，</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2024年1月</w:t>
      </w:r>
      <w:r>
        <w:rPr>
          <w:rFonts w:hint="eastAsia" w:ascii="宋体" w:hAnsi="宋体" w:eastAsia="宋体" w:cs="宋体"/>
          <w:color w:val="auto"/>
          <w:sz w:val="24"/>
          <w:szCs w:val="24"/>
          <w:highlight w:val="none"/>
        </w:rPr>
        <w:t>；</w:t>
      </w:r>
    </w:p>
    <w:p w14:paraId="74FBB8F6">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项目完成时间，</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w:t>
      </w:r>
    </w:p>
    <w:p w14:paraId="084284BF">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指标</w:t>
      </w:r>
      <w:r>
        <w:rPr>
          <w:rFonts w:hint="eastAsia" w:ascii="宋体" w:hAnsi="宋体" w:eastAsia="宋体" w:cs="宋体"/>
          <w:color w:val="auto"/>
          <w:sz w:val="24"/>
          <w:szCs w:val="24"/>
          <w:highlight w:val="none"/>
          <w:lang w:val="en-US" w:eastAsia="zh-CN"/>
        </w:rPr>
        <w:t>3：补助资金发放及时率，预期指标值=100%</w:t>
      </w:r>
      <w:r>
        <w:rPr>
          <w:rFonts w:hint="eastAsia" w:ascii="宋体" w:hAnsi="宋体" w:eastAsia="宋体" w:cs="宋体"/>
          <w:color w:val="auto"/>
          <w:sz w:val="24"/>
          <w:szCs w:val="24"/>
          <w:highlight w:val="none"/>
        </w:rPr>
        <w:t>；</w:t>
      </w:r>
    </w:p>
    <w:p w14:paraId="04ABCF02">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（2）成本指标：</w:t>
      </w:r>
    </w:p>
    <w:p w14:paraId="5C9D84A2">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61A488D3">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集中供养孤儿供养标准，</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1610</w:t>
      </w:r>
      <w:r>
        <w:rPr>
          <w:rFonts w:hint="eastAsia" w:ascii="宋体" w:hAnsi="宋体" w:eastAsia="宋体" w:cs="宋体"/>
          <w:color w:val="auto"/>
          <w:sz w:val="24"/>
          <w:szCs w:val="24"/>
          <w:highlight w:val="none"/>
          <w:lang w:val="en-US" w:eastAsia="zh-CN"/>
        </w:rPr>
        <w:t>元/月</w:t>
      </w:r>
      <w:r>
        <w:rPr>
          <w:rFonts w:hint="eastAsia" w:ascii="宋体" w:hAnsi="宋体" w:eastAsia="宋体" w:cs="宋体"/>
          <w:color w:val="auto"/>
          <w:sz w:val="24"/>
          <w:szCs w:val="24"/>
          <w:highlight w:val="none"/>
        </w:rPr>
        <w:t>；</w:t>
      </w:r>
    </w:p>
    <w:p w14:paraId="44803DC4">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集中特困供养人员供养标准，</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1035</w:t>
      </w:r>
      <w:r>
        <w:rPr>
          <w:rFonts w:hint="eastAsia" w:ascii="宋体" w:hAnsi="宋体" w:eastAsia="宋体" w:cs="宋体"/>
          <w:color w:val="auto"/>
          <w:sz w:val="24"/>
          <w:szCs w:val="24"/>
          <w:highlight w:val="none"/>
          <w:lang w:val="en-US" w:eastAsia="zh-CN"/>
        </w:rPr>
        <w:t>元/月</w:t>
      </w:r>
      <w:r>
        <w:rPr>
          <w:rFonts w:hint="eastAsia" w:ascii="宋体" w:hAnsi="宋体" w:eastAsia="宋体" w:cs="宋体"/>
          <w:color w:val="auto"/>
          <w:sz w:val="24"/>
          <w:szCs w:val="24"/>
          <w:highlight w:val="none"/>
        </w:rPr>
        <w:t>；</w:t>
      </w:r>
    </w:p>
    <w:p w14:paraId="3608062B">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分散供养孤儿和艾滋病病毒感染儿童供养标准，</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1150</w:t>
      </w:r>
      <w:r>
        <w:rPr>
          <w:rFonts w:hint="eastAsia" w:ascii="宋体" w:hAnsi="宋体" w:eastAsia="宋体" w:cs="宋体"/>
          <w:color w:val="auto"/>
          <w:sz w:val="24"/>
          <w:szCs w:val="24"/>
          <w:highlight w:val="none"/>
          <w:lang w:val="en-US" w:eastAsia="zh-CN"/>
        </w:rPr>
        <w:t>元/月</w:t>
      </w:r>
      <w:r>
        <w:rPr>
          <w:rFonts w:hint="eastAsia" w:ascii="宋体" w:hAnsi="宋体" w:eastAsia="宋体" w:cs="宋体"/>
          <w:color w:val="auto"/>
          <w:sz w:val="24"/>
          <w:szCs w:val="24"/>
          <w:highlight w:val="none"/>
        </w:rPr>
        <w:t>；</w:t>
      </w:r>
    </w:p>
    <w:p w14:paraId="096546E8">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33A8B6AA">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3C16D5B5">
      <w:pPr>
        <w:pStyle w:val="46"/>
        <w:pageBreakBefore w:val="0"/>
        <w:widowControl w:val="0"/>
        <w:numPr>
          <w:ilvl w:val="0"/>
          <w:numId w:val="3"/>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生态成本指标;</w:t>
      </w:r>
    </w:p>
    <w:p w14:paraId="36D5A426">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1201E94D">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（3）效益指标：</w:t>
      </w:r>
    </w:p>
    <w:p w14:paraId="2ADA0739">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1）经济效益指标：</w:t>
      </w:r>
    </w:p>
    <w:p w14:paraId="50B7850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3B17793B">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4F89EB19">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保障困难群众基本救助，</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有效保障</w:t>
      </w:r>
      <w:r>
        <w:rPr>
          <w:rFonts w:hint="eastAsia" w:ascii="宋体" w:hAnsi="宋体" w:eastAsia="宋体" w:cs="宋体"/>
          <w:color w:val="auto"/>
          <w:sz w:val="24"/>
          <w:szCs w:val="24"/>
          <w:highlight w:val="none"/>
        </w:rPr>
        <w:t>；</w:t>
      </w:r>
    </w:p>
    <w:p w14:paraId="23635ABB">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3）生态效益指标：</w:t>
      </w:r>
    </w:p>
    <w:p w14:paraId="5C98321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26B13A47">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5105E14F">
      <w:pPr>
        <w:pStyle w:val="46"/>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受益群众满意度，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≥95%。</w:t>
      </w:r>
    </w:p>
    <w:p w14:paraId="6ACE01FF">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p>
    <w:p w14:paraId="0F3B62F5">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3"/>
    </w:p>
    <w:p w14:paraId="287A6883">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4" w:name="_Toc68364661"/>
      <w:r>
        <w:rPr>
          <w:rFonts w:hint="eastAsia" w:ascii="宋体" w:hAnsi="宋体" w:eastAsia="宋体" w:cs="宋体"/>
          <w:color w:val="auto"/>
          <w:sz w:val="24"/>
          <w:szCs w:val="24"/>
          <w:highlight w:val="none"/>
        </w:rPr>
        <w:t>（一）绩效评价目的、对象和范围</w:t>
      </w:r>
      <w:bookmarkEnd w:id="4"/>
    </w:p>
    <w:p w14:paraId="572D66EE">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1.绩效评价目的</w:t>
      </w:r>
    </w:p>
    <w:p w14:paraId="1FB751FF">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自治区财政厅《关于印发〈自治区项目支出绩效目标设置指引〉的通知》（新财预〔2022〕42号）等相关政策文件与规定，对洛浦县困难群众救助补助资金项目开展本次部门项目支出绩效评价工作。全面了解</w:t>
      </w:r>
      <w:r>
        <w:rPr>
          <w:rFonts w:hint="eastAsia" w:ascii="宋体" w:hAnsi="宋体" w:eastAsia="宋体" w:cs="宋体"/>
          <w:color w:val="auto"/>
          <w:sz w:val="24"/>
          <w:szCs w:val="24"/>
          <w:highlight w:val="none"/>
          <w:lang w:val="en-US" w:eastAsia="zh-CN"/>
        </w:rPr>
        <w:t>洛浦县困难群众救助补助资金</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7B14BE4E">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9F2D35F">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C21A57C">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4EE05F3E">
      <w:pPr>
        <w:pStyle w:val="46"/>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0BC56656">
      <w:pPr>
        <w:pStyle w:val="46"/>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洛浦县困难群众救助补助资金项目</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C449F4C">
      <w:pPr>
        <w:pStyle w:val="46"/>
        <w:pageBreakBefore w:val="0"/>
        <w:widowControl w:val="0"/>
        <w:shd w:val="clear" w:color="auto" w:fill="auto"/>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3.绩效评价范围</w:t>
      </w:r>
    </w:p>
    <w:p w14:paraId="75B1DB99">
      <w:pPr>
        <w:pStyle w:val="46"/>
        <w:pageBreakBefore w:val="0"/>
        <w:widowControl w:val="0"/>
        <w:shd w:val="clear" w:color="auto" w:fill="auto"/>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color w:val="auto"/>
          <w:sz w:val="24"/>
          <w:szCs w:val="24"/>
          <w:highlight w:val="none"/>
          <w:lang w:val="en-US" w:eastAsia="zh-CN"/>
        </w:rPr>
        <w:t>洛浦县困难群众救助补助资金</w:t>
      </w:r>
      <w:r>
        <w:rPr>
          <w:rFonts w:hint="eastAsia" w:ascii="宋体" w:hAnsi="宋体" w:eastAsia="宋体" w:cs="宋体"/>
          <w:color w:val="auto"/>
          <w:sz w:val="24"/>
          <w:szCs w:val="24"/>
          <w:highlight w:val="none"/>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441C5BBD">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5"/>
    </w:p>
    <w:p w14:paraId="7A9D17CF">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1.绩效评价原则</w:t>
      </w:r>
    </w:p>
    <w:p w14:paraId="16227E1B">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3BA1BB8">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1A966EA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93BA09A">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1F8B6E54">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6E542F60">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17672E9D">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222867B9">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03D663CB">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FDEF96C">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2.绩效评价指标体系</w:t>
      </w:r>
    </w:p>
    <w:p w14:paraId="7E71C9BA">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77A1FBF6">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3.绩效评价方法</w:t>
      </w:r>
    </w:p>
    <w:p w14:paraId="1A9625C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2D77A0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2F1818D5">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75DE029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6E003EDF">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00F6765A">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1BC90785">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4CF30CDB">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4EED42BE">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7F48389E">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1FDC935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08B82321">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22ECCAFD">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7DEBB68E">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26AB4C0">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01ABBB67">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4.绩效评价标准</w:t>
      </w:r>
    </w:p>
    <w:p w14:paraId="1F05F47D">
      <w:pPr>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bookmarkStart w:id="6"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绩效评价标准通常包括计划标准、行业标准、历史标准等，用于对绩效指标完成情况进行比较、分析、评价。本次评价主要采用了计划标准、行业标准</w:t>
      </w:r>
      <w:r>
        <w:rPr>
          <w:rFonts w:hint="eastAsia" w:ascii="宋体" w:hAnsi="宋体" w:eastAsia="宋体" w:cs="宋体"/>
          <w:color w:val="auto"/>
          <w:sz w:val="24"/>
          <w:szCs w:val="24"/>
          <w:highlight w:val="none"/>
          <w:lang w:eastAsia="zh-CN"/>
        </w:rPr>
        <w:t>。</w:t>
      </w:r>
    </w:p>
    <w:p w14:paraId="75508062">
      <w:pPr>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bookmarkStart w:id="7" w:name="_Toc31464"/>
      <w:bookmarkStart w:id="8" w:name="_Toc17882"/>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7"/>
      <w:bookmarkEnd w:id="8"/>
    </w:p>
    <w:p w14:paraId="403AE119">
      <w:pPr>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bookmarkStart w:id="9" w:name="_Toc5633"/>
      <w:bookmarkStart w:id="10" w:name="_Toc2318"/>
      <w:r>
        <w:rPr>
          <w:rFonts w:hint="eastAsia" w:ascii="宋体" w:hAnsi="宋体" w:eastAsia="宋体" w:cs="宋体"/>
          <w:b/>
          <w:bCs/>
          <w:color w:val="auto"/>
          <w:sz w:val="24"/>
          <w:szCs w:val="24"/>
          <w:highlight w:val="none"/>
        </w:rPr>
        <w:t>行业标准：</w:t>
      </w:r>
      <w:r>
        <w:rPr>
          <w:rFonts w:hint="eastAsia" w:ascii="宋体" w:hAnsi="宋体" w:eastAsia="宋体" w:cs="宋体"/>
          <w:color w:val="auto"/>
          <w:sz w:val="24"/>
          <w:szCs w:val="24"/>
          <w:highlight w:val="none"/>
        </w:rPr>
        <w:t>指参照国家公布的行业指标数据制定的评价标准。</w:t>
      </w:r>
      <w:bookmarkEnd w:id="9"/>
      <w:bookmarkEnd w:id="10"/>
    </w:p>
    <w:p w14:paraId="71BACAA2">
      <w:pPr>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bookmarkStart w:id="11" w:name="_Toc430"/>
      <w:bookmarkStart w:id="12" w:name="_Toc16028"/>
      <w:r>
        <w:rPr>
          <w:rFonts w:hint="eastAsia" w:ascii="宋体" w:hAnsi="宋体" w:eastAsia="宋体" w:cs="宋体"/>
          <w:b/>
          <w:bCs/>
          <w:color w:val="auto"/>
          <w:sz w:val="24"/>
          <w:szCs w:val="24"/>
          <w:highlight w:val="none"/>
        </w:rPr>
        <w:t>历史标准：</w:t>
      </w:r>
      <w:r>
        <w:rPr>
          <w:rFonts w:hint="eastAsia" w:ascii="宋体" w:hAnsi="宋体" w:eastAsia="宋体" w:cs="宋体"/>
          <w:color w:val="auto"/>
          <w:sz w:val="24"/>
          <w:szCs w:val="24"/>
          <w:highlight w:val="none"/>
        </w:rPr>
        <w:t>指参照历史数据制定的评价标准，为体现绩效改进的原则，在可实现的条件下应当确定相对较高的评价标准。</w:t>
      </w:r>
      <w:bookmarkEnd w:id="11"/>
      <w:bookmarkEnd w:id="12"/>
    </w:p>
    <w:p w14:paraId="524C912F">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6"/>
    </w:p>
    <w:p w14:paraId="090390FC">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color w:val="auto"/>
          <w:sz w:val="24"/>
          <w:szCs w:val="24"/>
          <w:highlight w:val="none"/>
        </w:rPr>
      </w:pPr>
      <w:bookmarkStart w:id="13" w:name="_Toc68364664"/>
      <w:r>
        <w:rPr>
          <w:rFonts w:hint="eastAsia" w:ascii="宋体" w:hAnsi="宋体" w:eastAsia="宋体" w:cs="宋体"/>
          <w:b/>
          <w:bCs w:val="0"/>
          <w:color w:val="auto"/>
          <w:sz w:val="24"/>
          <w:szCs w:val="24"/>
          <w:highlight w:val="none"/>
        </w:rPr>
        <w:t>1.前期准备</w:t>
      </w:r>
    </w:p>
    <w:p w14:paraId="400A2589">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F41C207">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张军</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eastAsia="zh-CN"/>
        </w:rPr>
        <w:t>全面负责绩效评价工作，协调与其他部门的关系，审核评价报告和结果</w:t>
      </w:r>
      <w:r>
        <w:rPr>
          <w:rFonts w:hint="eastAsia" w:ascii="宋体" w:hAnsi="宋体" w:eastAsia="宋体" w:cs="宋体"/>
          <w:color w:val="auto"/>
          <w:sz w:val="24"/>
          <w:szCs w:val="24"/>
          <w:highlight w:val="none"/>
        </w:rPr>
        <w:t>;</w:t>
      </w:r>
    </w:p>
    <w:p w14:paraId="6D2906C5">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胡显兰</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eastAsia="zh-CN"/>
        </w:rPr>
        <w:t>研究相关政策法规和单位实际情况，设计科学合理的绩效评价指标体系和评价方法</w:t>
      </w:r>
      <w:r>
        <w:rPr>
          <w:rFonts w:hint="eastAsia" w:ascii="宋体" w:hAnsi="宋体" w:eastAsia="宋体" w:cs="宋体"/>
          <w:color w:val="auto"/>
          <w:sz w:val="24"/>
          <w:szCs w:val="24"/>
          <w:highlight w:val="none"/>
        </w:rPr>
        <w:t>;</w:t>
      </w:r>
    </w:p>
    <w:p w14:paraId="30B6FC6E">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阿米乃</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eastAsia="zh-CN"/>
        </w:rPr>
        <w:t>写评价报告的主题内容，包括评价结果、存在的问题及原因分析</w:t>
      </w:r>
      <w:r>
        <w:rPr>
          <w:rFonts w:hint="eastAsia" w:ascii="宋体" w:hAnsi="宋体" w:eastAsia="宋体" w:cs="宋体"/>
          <w:color w:val="auto"/>
          <w:sz w:val="24"/>
          <w:szCs w:val="24"/>
          <w:highlight w:val="none"/>
        </w:rPr>
        <w:t>。</w:t>
      </w:r>
    </w:p>
    <w:p w14:paraId="2E822B21">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2.组织实施</w:t>
      </w:r>
    </w:p>
    <w:p w14:paraId="154940FA">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C60071D">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3.分析评价</w:t>
      </w:r>
    </w:p>
    <w:p w14:paraId="2BAC1EA5">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1C1E57AD">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4.撰写与提交评价报告</w:t>
      </w:r>
    </w:p>
    <w:p w14:paraId="17CCAB52">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2D37B3CC">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5.问题整改</w:t>
      </w:r>
    </w:p>
    <w:p w14:paraId="50F8AE79">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C5037CF">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6.档案整理</w:t>
      </w:r>
    </w:p>
    <w:p w14:paraId="4490A518">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5B871666">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p>
    <w:p w14:paraId="07828C5C">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3"/>
    </w:p>
    <w:p w14:paraId="65BFBF6C">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5"/>
      <w:r>
        <w:rPr>
          <w:rFonts w:hint="eastAsia" w:ascii="宋体" w:hAnsi="宋体" w:eastAsia="宋体" w:cs="宋体"/>
          <w:color w:val="auto"/>
          <w:sz w:val="24"/>
          <w:szCs w:val="24"/>
          <w:highlight w:val="none"/>
        </w:rPr>
        <w:t>（一）综合评价情况</w:t>
      </w:r>
      <w:bookmarkEnd w:id="14"/>
    </w:p>
    <w:p w14:paraId="0BDF1CE2">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5" w:name="_Toc68364666"/>
      <w:r>
        <w:rPr>
          <w:rFonts w:hint="eastAsia" w:ascii="宋体" w:hAnsi="宋体" w:eastAsia="宋体" w:cs="宋体"/>
          <w:color w:val="auto"/>
          <w:sz w:val="24"/>
          <w:szCs w:val="24"/>
          <w:highlight w:val="none"/>
        </w:rPr>
        <w:t>通过实施洛浦县困难群众救助补助资金项目产生提升困难群众生活水平效益。项目实施主要通过项目决策、项目过程、项目产出以及项目效益等方面进行评价，其中：</w:t>
      </w:r>
    </w:p>
    <w:p w14:paraId="27431BE3">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决策：该项目主要通过根据《关于下达地区本级2024年中央财政困难群众救助补助资金预算的通知》（和地财社〔2023〕101号）、（洛财社〔2024〕31号）文件立项，项目实施符合要求，项目立项依据充分，立项程序规范。</w:t>
      </w:r>
    </w:p>
    <w:p w14:paraId="265B36F9">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项目过程：洛浦县困难群众救助补助资金项目预算安排</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69D80FE2">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color w:val="auto"/>
          <w:sz w:val="24"/>
          <w:szCs w:val="24"/>
          <w:highlight w:val="none"/>
          <w:lang w:eastAsia="zh-CN"/>
        </w:rPr>
        <w:t>通过项目实施完成了</w:t>
      </w:r>
      <w:r>
        <w:rPr>
          <w:rFonts w:hint="eastAsia" w:ascii="宋体" w:hAnsi="宋体" w:eastAsia="宋体" w:cs="宋体"/>
          <w:color w:val="auto"/>
          <w:sz w:val="24"/>
          <w:szCs w:val="24"/>
          <w:highlight w:val="none"/>
          <w:lang w:val="en-US" w:eastAsia="zh-CN"/>
        </w:rPr>
        <w:t>4种，救助补助资金发放，我单位全面落实困难群众救助补助政策，保障了民生资金及时足额落实到位，体现出政策执行的高质，精准识别保障对象，通过严格的资金管理制度和监督机制，确保困难群众救助补助资金转款专用，安全运行，没出现资金被挪用，截流等问题，保障了资金使用的规范性和安全性。</w:t>
      </w:r>
    </w:p>
    <w:p w14:paraId="51154227">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项目效益：通过实施此项目</w:t>
      </w:r>
      <w:r>
        <w:rPr>
          <w:rFonts w:hint="eastAsia" w:ascii="宋体" w:hAnsi="宋体" w:eastAsia="宋体" w:cs="宋体"/>
          <w:color w:val="auto"/>
          <w:sz w:val="24"/>
          <w:szCs w:val="24"/>
          <w:highlight w:val="none"/>
          <w:lang w:eastAsia="zh-CN"/>
        </w:rPr>
        <w:t>推动了社会公平的实现，缩小了贫富差距，为社会和谐稳定奠定基础</w:t>
      </w:r>
      <w:r>
        <w:rPr>
          <w:rFonts w:hint="eastAsia" w:ascii="宋体" w:hAnsi="宋体" w:eastAsia="宋体" w:cs="宋体"/>
          <w:color w:val="auto"/>
          <w:sz w:val="24"/>
          <w:szCs w:val="24"/>
          <w:highlight w:val="none"/>
          <w:lang w:val="en-US" w:eastAsia="zh-CN"/>
        </w:rPr>
        <w:t>。</w:t>
      </w:r>
    </w:p>
    <w:p w14:paraId="67852D8B">
      <w:pPr>
        <w:pStyle w:val="49"/>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797CFAE2">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洛浦县困难群众救助补助资金项目进行客观评价，最终评分结果：评价总分</w:t>
      </w:r>
      <w:r>
        <w:rPr>
          <w:rFonts w:hint="eastAsia" w:ascii="宋体" w:hAnsi="宋体" w:eastAsia="宋体" w:cs="宋体"/>
          <w:color w:val="auto"/>
          <w:sz w:val="24"/>
          <w:szCs w:val="24"/>
          <w:highlight w:val="none"/>
          <w:lang w:val="en-US" w:eastAsia="zh-CN"/>
        </w:rPr>
        <w:t>98</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15"/>
      <w:bookmarkStart w:id="16" w:name="_Toc68364667"/>
    </w:p>
    <w:p w14:paraId="268081E3">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6"/>
    </w:p>
    <w:p w14:paraId="3B6F2970">
      <w:pPr>
        <w:pStyle w:val="49"/>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7" w:name="_Toc68364668"/>
      <w:r>
        <w:rPr>
          <w:rFonts w:hint="eastAsia" w:ascii="宋体" w:hAnsi="宋体" w:eastAsia="宋体" w:cs="宋体"/>
          <w:color w:val="auto"/>
          <w:sz w:val="24"/>
          <w:szCs w:val="24"/>
          <w:highlight w:val="none"/>
        </w:rPr>
        <w:t>（一）项目决策情况</w:t>
      </w:r>
    </w:p>
    <w:p w14:paraId="3F5832E5">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8E8B56E">
      <w:pPr>
        <w:keepNext w:val="0"/>
        <w:keepLines w:val="0"/>
        <w:pageBreakBefore w:val="0"/>
        <w:widowControl w:val="0"/>
        <w:numPr>
          <w:ilvl w:val="0"/>
          <w:numId w:val="4"/>
        </w:numPr>
        <w:shd w:val="clear" w:color="auto" w:fill="auto"/>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5D25CA96">
      <w:pPr>
        <w:keepNext w:val="0"/>
        <w:keepLines w:val="0"/>
        <w:pageBreakBefore w:val="0"/>
        <w:widowControl w:val="0"/>
        <w:numPr>
          <w:ilvl w:val="0"/>
          <w:numId w:val="0"/>
        </w:numPr>
        <w:shd w:val="clear" w:color="auto" w:fill="auto"/>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中央</w:t>
      </w:r>
      <w:r>
        <w:rPr>
          <w:rFonts w:hint="eastAsia" w:ascii="宋体" w:hAnsi="宋体" w:eastAsia="宋体" w:cs="宋体"/>
          <w:color w:val="auto"/>
          <w:sz w:val="24"/>
          <w:szCs w:val="24"/>
          <w:highlight w:val="none"/>
        </w:rPr>
        <w:t>颁发的根据《关于下达地区本级2024年中央财政困难群众救助补助资金预算的通知》（和地财社〔2023〕101号）、（洛财社〔2024〕31号）文件，和地财社〔2023〕</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号，符合行业发展规划和政策要求；本项目立项符合《</w:t>
      </w:r>
      <w:r>
        <w:rPr>
          <w:rFonts w:hint="eastAsia" w:ascii="宋体" w:hAnsi="宋体" w:eastAsia="宋体" w:cs="宋体"/>
          <w:color w:val="auto"/>
          <w:sz w:val="24"/>
          <w:szCs w:val="24"/>
          <w:highlight w:val="none"/>
          <w:lang w:eastAsia="zh-CN"/>
        </w:rPr>
        <w:t>洛浦县民政局</w:t>
      </w:r>
      <w:r>
        <w:rPr>
          <w:rFonts w:hint="eastAsia" w:ascii="宋体" w:hAnsi="宋体" w:eastAsia="宋体" w:cs="宋体"/>
          <w:color w:val="auto"/>
          <w:sz w:val="24"/>
          <w:szCs w:val="24"/>
          <w:highlight w:val="none"/>
        </w:rPr>
        <w:t>单位配置内设机构和人员编制规定》中职责范围中的“</w:t>
      </w:r>
      <w:r>
        <w:rPr>
          <w:rFonts w:hint="eastAsia" w:ascii="宋体" w:hAnsi="宋体" w:eastAsia="宋体" w:cs="宋体"/>
          <w:color w:val="auto"/>
          <w:sz w:val="24"/>
          <w:szCs w:val="24"/>
          <w:highlight w:val="none"/>
          <w:lang w:eastAsia="zh-CN"/>
        </w:rPr>
        <w:t>拟订洛浦县社会救助政策、标准，统筹社会救助体系建设，负责城乡居民最低生活保障、特困人员救助供养、临时救助、生活无照流浪乞讨人员救助工作</w:t>
      </w:r>
      <w:r>
        <w:rPr>
          <w:rFonts w:hint="eastAsia" w:ascii="宋体" w:hAnsi="宋体" w:eastAsia="宋体" w:cs="宋体"/>
          <w:color w:val="auto"/>
          <w:sz w:val="24"/>
          <w:szCs w:val="24"/>
          <w:highlight w:val="none"/>
        </w:rPr>
        <w:t>”，属于我单位履职所需；根据《财政资金直接支付申请书》，本项目资金性质为“公共财政预算”功能分类为“[2081001]儿童福利</w:t>
      </w:r>
      <w:r>
        <w:rPr>
          <w:rFonts w:hint="eastAsia" w:ascii="宋体" w:hAnsi="宋体" w:eastAsia="宋体" w:cs="宋体"/>
          <w:color w:val="auto"/>
          <w:sz w:val="24"/>
          <w:szCs w:val="24"/>
          <w:highlight w:val="none"/>
          <w:lang w:eastAsia="zh-CN"/>
        </w:rPr>
        <w:t>、[2082101]城市特困人员救助供养支出、[2082102]农村特困人员救助供养支出、[2082501]其他城市生活救助、[2082502]其他农村生活救助</w:t>
      </w:r>
      <w:r>
        <w:rPr>
          <w:rFonts w:hint="eastAsia" w:ascii="宋体" w:hAnsi="宋体" w:eastAsia="宋体" w:cs="宋体"/>
          <w:color w:val="auto"/>
          <w:sz w:val="24"/>
          <w:szCs w:val="24"/>
          <w:highlight w:val="none"/>
        </w:rPr>
        <w:t>”经济分类为“[30306]救济费</w:t>
      </w:r>
      <w:r>
        <w:rPr>
          <w:rFonts w:hint="eastAsia" w:ascii="宋体" w:hAnsi="宋体" w:eastAsia="宋体" w:cs="宋体"/>
          <w:color w:val="auto"/>
          <w:sz w:val="24"/>
          <w:szCs w:val="24"/>
          <w:highlight w:val="none"/>
          <w:lang w:eastAsia="zh-CN"/>
        </w:rPr>
        <w:t>、[30299]其他商品和服务支出</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0044B9DB">
      <w:pPr>
        <w:keepNext w:val="0"/>
        <w:keepLines w:val="0"/>
        <w:pageBreakBefore w:val="0"/>
        <w:widowControl w:val="0"/>
        <w:shd w:val="clear" w:color="auto" w:fill="auto"/>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5076574A">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20A223F8">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洛浦县困难群众救助补助资金项目，项目立项过程中产生的文件均符合相关要求。本项目为</w:t>
      </w:r>
      <w:r>
        <w:rPr>
          <w:rFonts w:hint="eastAsia" w:ascii="宋体" w:hAnsi="宋体" w:eastAsia="宋体" w:cs="宋体"/>
          <w:color w:val="auto"/>
          <w:sz w:val="24"/>
          <w:szCs w:val="24"/>
          <w:highlight w:val="none"/>
          <w:lang w:eastAsia="zh-CN"/>
        </w:rPr>
        <w:t>特定类</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万元，不涉及事前绩效评估和风险评估。</w:t>
      </w:r>
    </w:p>
    <w:p w14:paraId="6A938D53">
      <w:pPr>
        <w:keepNext w:val="0"/>
        <w:keepLines w:val="0"/>
        <w:pageBreakBefore w:val="0"/>
        <w:widowControl w:val="0"/>
        <w:shd w:val="clear" w:color="auto" w:fill="auto"/>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042906C0">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根据《关于下达地区本级2024年中央财政困难群众救助补助资金预算的通知》（和地财社〔2023〕101号）、（洛财社〔2024〕31号）文件精神，为洛浦县低保边缘人口、城乡低保对象、特困人员、享受国家定期抚恤补助的优抚对象、孤儿、事实无人抚养儿童、艾滋病毒传染儿童发放生活补助</w:t>
      </w:r>
      <w:r>
        <w:rPr>
          <w:rFonts w:hint="eastAsia" w:ascii="宋体" w:hAnsi="宋体" w:eastAsia="宋体" w:cs="宋体"/>
          <w:color w:val="auto"/>
          <w:sz w:val="24"/>
          <w:szCs w:val="24"/>
          <w:highlight w:val="none"/>
        </w:rPr>
        <w:t>。</w:t>
      </w:r>
    </w:p>
    <w:p w14:paraId="3A0CBE05">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738EADDF">
      <w:pPr>
        <w:pageBreakBefore w:val="0"/>
        <w:widowControl w:val="0"/>
        <w:numPr>
          <w:ilvl w:val="0"/>
          <w:numId w:val="5"/>
        </w:numPr>
        <w:shd w:val="clear" w:color="auto" w:fill="auto"/>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17663ABF">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14</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13</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92.86</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1375CD00">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“集中供养孤儿人数、特困儿童人数、分散供养孤儿人数、艾滋病病毒感染儿童人数”</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项目完成时间，资金支付及时率，项目开始时间</w:t>
      </w:r>
      <w:r>
        <w:rPr>
          <w:rFonts w:hint="eastAsia" w:ascii="宋体" w:hAnsi="宋体" w:eastAsia="宋体" w:cs="宋体"/>
          <w:color w:val="000000"/>
          <w:sz w:val="24"/>
          <w:szCs w:val="24"/>
          <w:highlight w:val="none"/>
        </w:rPr>
        <w:t>”。已设置的绩效目标具备明确性、可衡量性、可实现性、相关性、时限性。</w:t>
      </w:r>
    </w:p>
    <w:p w14:paraId="78E3116B">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7F847C67">
      <w:pPr>
        <w:pageBreakBefore w:val="0"/>
        <w:widowControl w:val="0"/>
        <w:numPr>
          <w:ilvl w:val="0"/>
          <w:numId w:val="5"/>
        </w:numPr>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173F3A1A">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w:t>
      </w: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该项目资金</w:t>
      </w:r>
      <w:r>
        <w:rPr>
          <w:rFonts w:hint="eastAsia" w:ascii="宋体" w:hAnsi="宋体" w:eastAsia="宋体" w:cs="宋体"/>
          <w:color w:val="000000"/>
          <w:sz w:val="24"/>
          <w:szCs w:val="24"/>
          <w:highlight w:val="none"/>
        </w:rPr>
        <w:t>用于我县</w:t>
      </w:r>
      <w:r>
        <w:rPr>
          <w:rFonts w:hint="eastAsia" w:ascii="宋体" w:hAnsi="宋体" w:eastAsia="宋体" w:cs="宋体"/>
          <w:color w:val="000000"/>
          <w:sz w:val="24"/>
          <w:szCs w:val="24"/>
          <w:highlight w:val="none"/>
          <w:lang w:eastAsia="zh-CN"/>
        </w:rPr>
        <w:t>分散孤儿</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感染儿童</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集中供养</w:t>
      </w:r>
      <w:r>
        <w:rPr>
          <w:rFonts w:hint="eastAsia" w:ascii="宋体" w:hAnsi="宋体" w:eastAsia="宋体" w:cs="宋体"/>
          <w:color w:val="000000"/>
          <w:sz w:val="24"/>
          <w:szCs w:val="24"/>
          <w:highlight w:val="none"/>
        </w:rPr>
        <w:t>特困</w:t>
      </w:r>
      <w:r>
        <w:rPr>
          <w:rFonts w:hint="eastAsia" w:ascii="宋体" w:hAnsi="宋体" w:eastAsia="宋体" w:cs="宋体"/>
          <w:color w:val="000000"/>
          <w:sz w:val="24"/>
          <w:szCs w:val="24"/>
          <w:highlight w:val="none"/>
          <w:lang w:eastAsia="zh-CN"/>
        </w:rPr>
        <w:t>儿童</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集中供养孤儿</w:t>
      </w:r>
      <w:r>
        <w:rPr>
          <w:rFonts w:hint="eastAsia" w:ascii="宋体" w:hAnsi="宋体" w:eastAsia="宋体" w:cs="宋体"/>
          <w:color w:val="000000"/>
          <w:sz w:val="24"/>
          <w:szCs w:val="24"/>
          <w:highlight w:val="none"/>
        </w:rPr>
        <w:t>、促进社会和谐稳定发展、全面做好兜底保障工作</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预算申请与《洛浦县困难群众救助补助资金项目实施方案》中涉及的项目内容匹配；</w:t>
      </w:r>
    </w:p>
    <w:p w14:paraId="4EC96F0E">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561.93</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分散孤儿生活补助</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2.415</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感染儿童生活补助</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12.765</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1F6DCA85">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分，本项目预算编制科学。</w:t>
      </w:r>
    </w:p>
    <w:p w14:paraId="650B7E6C">
      <w:pPr>
        <w:pageBreakBefore w:val="0"/>
        <w:widowControl w:val="0"/>
        <w:numPr>
          <w:ilvl w:val="0"/>
          <w:numId w:val="5"/>
        </w:numPr>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6F901D98">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关于申请洛浦县困难群众救助补助资金项目资金的请示》和《洛浦县困难群众救助补助资金项目实施方案》为依据进行资金分配，预算资金分配依据充分。根据根据《关于下达地区本级2024年中央财政困难群众救助补助资金预算的通知》（和地财社〔2023〕101号）、（洛财社〔2024〕31号）文件，和地财社〔2023〕</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号，本项目实际到位资金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4CE991E7">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分，本项目资金分配合理。</w:t>
      </w:r>
    </w:p>
    <w:p w14:paraId="52CA8FA7">
      <w:pPr>
        <w:pStyle w:val="49"/>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54B57E1C">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8223ADF">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0E861612">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43C5284A">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503C8BCB">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预算执行率：</w:t>
      </w:r>
    </w:p>
    <w:p w14:paraId="1185319C">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p>
    <w:p w14:paraId="5CEB6ED0">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B9F904F">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资金使用合规性：</w:t>
      </w:r>
    </w:p>
    <w:p w14:paraId="498CAE62">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08B554A5">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11D1C82">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管理制度健全性：</w:t>
      </w:r>
    </w:p>
    <w:p w14:paraId="7C88647B">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2D62D00A">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A8A0F6F">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制度执行有效性：</w:t>
      </w:r>
    </w:p>
    <w:p w14:paraId="384B968E">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洛浦县儿童福利中心</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06043EB">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9A192A5">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6A5FB11C">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洛浦县困难群众救助补助资金项目项目工作领导小组，由</w:t>
      </w:r>
      <w:r>
        <w:rPr>
          <w:rFonts w:hint="eastAsia" w:ascii="宋体" w:hAnsi="宋体" w:eastAsia="宋体" w:cs="宋体"/>
          <w:color w:val="auto"/>
          <w:sz w:val="24"/>
          <w:szCs w:val="24"/>
          <w:highlight w:val="none"/>
          <w:lang w:eastAsia="zh-CN"/>
        </w:rPr>
        <w:t>张军</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玛依热</w:t>
      </w:r>
      <w:r>
        <w:rPr>
          <w:rFonts w:hint="eastAsia" w:ascii="宋体" w:hAnsi="宋体" w:eastAsia="宋体" w:cs="宋体"/>
          <w:color w:val="auto"/>
          <w:sz w:val="24"/>
          <w:szCs w:val="24"/>
          <w:highlight w:val="none"/>
          <w:lang w:val="en-US" w:eastAsia="zh-CN"/>
        </w:rPr>
        <w:t>·阿力普</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阿米乃和阿迪莱</w:t>
      </w:r>
      <w:r>
        <w:rPr>
          <w:rFonts w:hint="eastAsia" w:ascii="宋体" w:hAnsi="宋体" w:eastAsia="宋体" w:cs="宋体"/>
          <w:color w:val="auto"/>
          <w:sz w:val="24"/>
          <w:szCs w:val="24"/>
          <w:highlight w:val="none"/>
        </w:rPr>
        <w:t>，主要负责项目监督管理、验收以及资金核拨等工作。</w:t>
      </w:r>
    </w:p>
    <w:p w14:paraId="045FAE6A">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5266A34">
      <w:pPr>
        <w:pStyle w:val="49"/>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3153359">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38D585E">
      <w:pPr>
        <w:pageBreakBefore w:val="0"/>
        <w:widowControl w:val="0"/>
        <w:numPr>
          <w:ilvl w:val="0"/>
          <w:numId w:val="7"/>
        </w:numPr>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4FFE8020">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集中供养孤儿人数，预期指标值</w:t>
      </w:r>
      <w:r>
        <w:rPr>
          <w:rFonts w:hint="eastAsia" w:ascii="宋体" w:hAnsi="宋体" w:eastAsia="宋体" w:cs="宋体"/>
          <w:color w:val="auto"/>
          <w:sz w:val="24"/>
          <w:szCs w:val="24"/>
          <w:highlight w:val="none"/>
          <w:lang w:val="en-US" w:eastAsia="zh-CN"/>
        </w:rPr>
        <w:t>大于等于71人</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71人</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E1A5BBB">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特困儿童人数，预期指标值</w:t>
      </w:r>
      <w:r>
        <w:rPr>
          <w:rFonts w:hint="eastAsia" w:ascii="宋体" w:hAnsi="宋体" w:eastAsia="宋体" w:cs="宋体"/>
          <w:color w:val="auto"/>
          <w:sz w:val="24"/>
          <w:szCs w:val="24"/>
          <w:highlight w:val="none"/>
          <w:lang w:val="en-US" w:eastAsia="zh-CN"/>
        </w:rPr>
        <w:t>大于等于232人</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232人</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672B7230">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分散供养孤儿人数，预期指标值</w:t>
      </w:r>
      <w:r>
        <w:rPr>
          <w:rFonts w:hint="eastAsia" w:ascii="宋体" w:hAnsi="宋体" w:eastAsia="宋体" w:cs="宋体"/>
          <w:color w:val="auto"/>
          <w:sz w:val="24"/>
          <w:szCs w:val="24"/>
          <w:highlight w:val="none"/>
          <w:lang w:val="en-US" w:eastAsia="zh-CN"/>
        </w:rPr>
        <w:t>大于等于1人</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1人</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14FCC44B">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艾滋病病毒感染儿童人数，预期指标值</w:t>
      </w:r>
      <w:r>
        <w:rPr>
          <w:rFonts w:hint="eastAsia" w:ascii="宋体" w:hAnsi="宋体" w:eastAsia="宋体" w:cs="宋体"/>
          <w:color w:val="auto"/>
          <w:sz w:val="24"/>
          <w:szCs w:val="24"/>
          <w:highlight w:val="none"/>
          <w:lang w:val="en-US" w:eastAsia="zh-CN"/>
        </w:rPr>
        <w:t>大于等于11人</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11人</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CDBF613">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highlight w:val="none"/>
        </w:rPr>
      </w:pPr>
      <w:r>
        <w:rPr>
          <w:rFonts w:hint="eastAsia" w:ascii="宋体" w:hAnsi="宋体" w:eastAsia="宋体" w:cs="宋体"/>
          <w:b w:val="0"/>
          <w:bCs/>
          <w:color w:val="000000"/>
          <w:sz w:val="24"/>
          <w:szCs w:val="24"/>
          <w:highlight w:val="none"/>
        </w:rPr>
        <w:t>合计得10分。</w:t>
      </w:r>
    </w:p>
    <w:p w14:paraId="702D3D5C">
      <w:pPr>
        <w:pageBreakBefore w:val="0"/>
        <w:widowControl w:val="0"/>
        <w:numPr>
          <w:ilvl w:val="0"/>
          <w:numId w:val="7"/>
        </w:numPr>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0337DFD3">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补助覆盖率，预期指标值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A3B98AF">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补助资金到位率，预期指标值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C821E91">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highlight w:val="none"/>
        </w:rPr>
      </w:pPr>
      <w:r>
        <w:rPr>
          <w:rFonts w:hint="eastAsia" w:ascii="宋体" w:hAnsi="宋体" w:eastAsia="宋体" w:cs="宋体"/>
          <w:b w:val="0"/>
          <w:bCs/>
          <w:color w:val="000000"/>
          <w:sz w:val="24"/>
          <w:szCs w:val="24"/>
          <w:highlight w:val="none"/>
        </w:rPr>
        <w:t>合计得10分。</w:t>
      </w:r>
    </w:p>
    <w:p w14:paraId="2BF088F1">
      <w:pPr>
        <w:pStyle w:val="10"/>
        <w:pageBreakBefore w:val="0"/>
        <w:widowControl w:val="0"/>
        <w:numPr>
          <w:ilvl w:val="0"/>
          <w:numId w:val="7"/>
        </w:numPr>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0FDF3422">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项目开始时间，预期指标值</w:t>
      </w:r>
      <w:r>
        <w:rPr>
          <w:rFonts w:hint="eastAsia" w:ascii="宋体" w:hAnsi="宋体" w:eastAsia="宋体" w:cs="宋体"/>
          <w:b w:val="0"/>
          <w:color w:val="auto"/>
          <w:sz w:val="24"/>
          <w:szCs w:val="24"/>
          <w:highlight w:val="none"/>
          <w:lang w:val="en-US" w:eastAsia="zh-CN"/>
        </w:rPr>
        <w:t>为2024年1月</w:t>
      </w:r>
      <w:r>
        <w:rPr>
          <w:rFonts w:hint="eastAsia" w:ascii="宋体" w:hAnsi="宋体" w:eastAsia="宋体" w:cs="宋体"/>
          <w:b w:val="0"/>
          <w:color w:val="auto"/>
          <w:sz w:val="24"/>
          <w:szCs w:val="24"/>
          <w:highlight w:val="none"/>
        </w:rPr>
        <w:t>，实际完成值</w:t>
      </w:r>
      <w:r>
        <w:rPr>
          <w:rFonts w:hint="eastAsia" w:ascii="宋体" w:hAnsi="宋体" w:eastAsia="宋体" w:cs="宋体"/>
          <w:b w:val="0"/>
          <w:color w:val="auto"/>
          <w:sz w:val="24"/>
          <w:szCs w:val="24"/>
          <w:highlight w:val="none"/>
          <w:lang w:val="en-US" w:eastAsia="zh-CN"/>
        </w:rPr>
        <w:t>2024年1月</w:t>
      </w:r>
      <w:r>
        <w:rPr>
          <w:rFonts w:hint="eastAsia" w:ascii="宋体" w:hAnsi="宋体" w:eastAsia="宋体" w:cs="宋体"/>
          <w:b w:val="0"/>
          <w:color w:val="auto"/>
          <w:sz w:val="24"/>
          <w:szCs w:val="24"/>
          <w:highlight w:val="none"/>
        </w:rPr>
        <w:t>，指标完成率100%，与预期目标一致，根据评分标准，该指标不扣分，得</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rPr>
        <w:t>分。</w:t>
      </w:r>
    </w:p>
    <w:p w14:paraId="41FAC10B">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w:t>
      </w:r>
      <w:r>
        <w:rPr>
          <w:rFonts w:hint="eastAsia" w:ascii="宋体" w:hAnsi="宋体" w:eastAsia="宋体" w:cs="宋体"/>
          <w:b w:val="0"/>
          <w:color w:val="auto"/>
          <w:sz w:val="24"/>
          <w:szCs w:val="24"/>
          <w:highlight w:val="none"/>
          <w:lang w:val="en-US" w:eastAsia="zh-CN"/>
        </w:rPr>
        <w:t>为2024年12月</w:t>
      </w:r>
      <w:r>
        <w:rPr>
          <w:rFonts w:hint="eastAsia" w:ascii="宋体" w:hAnsi="宋体" w:eastAsia="宋体" w:cs="宋体"/>
          <w:b w:val="0"/>
          <w:color w:val="auto"/>
          <w:sz w:val="24"/>
          <w:szCs w:val="24"/>
          <w:highlight w:val="none"/>
        </w:rPr>
        <w:t>，实际完成值</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，指标完成率100%，与预期目标一致，根据评分标准，该指标不扣分，得</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rPr>
        <w:t>分。</w:t>
      </w:r>
    </w:p>
    <w:p w14:paraId="2EF8179F">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补助资金发放及时率，预期指标值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F938F22">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000000"/>
          <w:sz w:val="24"/>
          <w:szCs w:val="24"/>
          <w:highlight w:val="none"/>
        </w:rPr>
        <w:t>合计得10分。</w:t>
      </w:r>
    </w:p>
    <w:p w14:paraId="4F2A7DE5">
      <w:pPr>
        <w:pStyle w:val="46"/>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2A20E0D3">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集中供养孤儿供养标准，预期指标值</w:t>
      </w:r>
      <w:r>
        <w:rPr>
          <w:rFonts w:hint="eastAsia" w:ascii="宋体" w:hAnsi="宋体" w:eastAsia="宋体" w:cs="宋体"/>
          <w:color w:val="auto"/>
          <w:sz w:val="24"/>
          <w:szCs w:val="24"/>
          <w:highlight w:val="none"/>
          <w:lang w:val="en-US" w:eastAsia="zh-CN"/>
        </w:rPr>
        <w:t>等于1610</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1610</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，指标完成率100%</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kern w:val="2"/>
          <w:sz w:val="24"/>
          <w:szCs w:val="24"/>
          <w:highlight w:val="none"/>
          <w:lang w:val="en-US" w:eastAsia="zh-CN" w:bidi="ar-SA"/>
        </w:rPr>
        <w:t>与预期目标一致，根据评分标准，该指标不扣分</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946576F">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集中特困供养人员供养标准，预期指标值</w:t>
      </w:r>
      <w:r>
        <w:rPr>
          <w:rFonts w:hint="eastAsia" w:ascii="宋体" w:hAnsi="宋体" w:eastAsia="宋体" w:cs="宋体"/>
          <w:color w:val="auto"/>
          <w:sz w:val="24"/>
          <w:szCs w:val="24"/>
          <w:highlight w:val="none"/>
          <w:lang w:val="en-US" w:eastAsia="zh-CN"/>
        </w:rPr>
        <w:t>等于1035</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1035</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，指标完成率100%</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kern w:val="2"/>
          <w:sz w:val="24"/>
          <w:szCs w:val="24"/>
          <w:highlight w:val="none"/>
          <w:lang w:val="en-US" w:eastAsia="zh-CN" w:bidi="ar-SA"/>
        </w:rPr>
        <w:t>与预期目标一致，根据评分标准，该指标不扣分</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96E8AEF">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分散供养孤儿和艾滋病病毒感染儿童供养标准，预期指标值</w:t>
      </w:r>
      <w:r>
        <w:rPr>
          <w:rFonts w:hint="eastAsia" w:ascii="宋体" w:hAnsi="宋体" w:eastAsia="宋体" w:cs="宋体"/>
          <w:color w:val="auto"/>
          <w:sz w:val="24"/>
          <w:szCs w:val="24"/>
          <w:highlight w:val="none"/>
          <w:lang w:val="en-US" w:eastAsia="zh-CN"/>
        </w:rPr>
        <w:t>等于1150</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，指标完成率100%</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kern w:val="2"/>
          <w:sz w:val="24"/>
          <w:szCs w:val="24"/>
          <w:highlight w:val="none"/>
          <w:lang w:val="en-US" w:eastAsia="zh-CN" w:bidi="ar-SA"/>
        </w:rPr>
        <w:t>与预期目标一致，根据评分标准，该指标不扣分</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58F4487D">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000000"/>
          <w:sz w:val="24"/>
          <w:szCs w:val="24"/>
          <w:highlight w:val="none"/>
        </w:rPr>
        <w:t>合计得10分。</w:t>
      </w:r>
    </w:p>
    <w:p w14:paraId="69C07CA3">
      <w:pPr>
        <w:pStyle w:val="49"/>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7E2C38CB">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项目效益类指标包括项目效益1个方面的内容，由2个三级指标构成，权重分为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12AD329B">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355CB7EF">
      <w:pPr>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保障困难群众基本救助</w:t>
      </w:r>
      <w:r>
        <w:rPr>
          <w:rFonts w:hint="eastAsia" w:ascii="宋体" w:hAnsi="宋体" w:eastAsia="宋体" w:cs="宋体"/>
          <w:b w:val="0"/>
          <w:bCs w:val="0"/>
          <w:color w:val="auto"/>
          <w:sz w:val="24"/>
          <w:szCs w:val="24"/>
          <w:highlight w:val="none"/>
        </w:rPr>
        <w:t>，预期指标值为</w:t>
      </w:r>
      <w:r>
        <w:rPr>
          <w:rFonts w:hint="eastAsia" w:ascii="宋体" w:hAnsi="宋体" w:eastAsia="宋体" w:cs="宋体"/>
          <w:b w:val="0"/>
          <w:bCs w:val="0"/>
          <w:color w:val="auto"/>
          <w:sz w:val="24"/>
          <w:szCs w:val="24"/>
          <w:highlight w:val="none"/>
          <w:lang w:val="en-US" w:eastAsia="zh-CN"/>
        </w:rPr>
        <w:t>有效保障</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有效保障</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，与预期指标一致，根据评分标准，该指标不扣分，得</w:t>
      </w:r>
      <w:r>
        <w:rPr>
          <w:rFonts w:hint="eastAsia" w:ascii="宋体" w:hAnsi="宋体" w:eastAsia="宋体" w:cs="宋体"/>
          <w:b w:val="0"/>
          <w:bCs w:val="0"/>
          <w:color w:val="auto"/>
          <w:sz w:val="24"/>
          <w:szCs w:val="24"/>
          <w:highlight w:val="none"/>
          <w:lang w:val="en-US" w:eastAsia="zh-CN"/>
        </w:rPr>
        <w:t>15</w:t>
      </w:r>
      <w:r>
        <w:rPr>
          <w:rFonts w:hint="eastAsia" w:ascii="宋体" w:hAnsi="宋体" w:eastAsia="宋体" w:cs="宋体"/>
          <w:b w:val="0"/>
          <w:bCs w:val="0"/>
          <w:color w:val="auto"/>
          <w:sz w:val="24"/>
          <w:szCs w:val="24"/>
          <w:highlight w:val="none"/>
        </w:rPr>
        <w:t>分。</w:t>
      </w:r>
    </w:p>
    <w:p w14:paraId="4F78DFF9">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（2）对于“经济效益指标”：</w:t>
      </w:r>
    </w:p>
    <w:p w14:paraId="757B04FB">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该项目不涉及</w:t>
      </w:r>
      <w:r>
        <w:rPr>
          <w:rFonts w:hint="eastAsia" w:ascii="宋体" w:hAnsi="宋体" w:eastAsia="宋体" w:cs="宋体"/>
          <w:b w:val="0"/>
          <w:bCs w:val="0"/>
          <w:color w:val="auto"/>
          <w:sz w:val="24"/>
          <w:szCs w:val="24"/>
          <w:highlight w:val="none"/>
        </w:rPr>
        <w:t>经济效益指标</w:t>
      </w:r>
      <w:r>
        <w:rPr>
          <w:rFonts w:hint="eastAsia" w:ascii="宋体" w:hAnsi="宋体" w:eastAsia="宋体" w:cs="宋体"/>
          <w:b w:val="0"/>
          <w:bCs w:val="0"/>
          <w:color w:val="auto"/>
          <w:sz w:val="24"/>
          <w:szCs w:val="24"/>
          <w:highlight w:val="none"/>
          <w:lang w:val="en-US" w:eastAsia="zh-CN"/>
        </w:rPr>
        <w:t>。</w:t>
      </w:r>
    </w:p>
    <w:p w14:paraId="2C93994E">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（3）对于“生态效益指标”：</w:t>
      </w:r>
    </w:p>
    <w:p w14:paraId="79A8A46A">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该项目不涉及生态效益指标。</w:t>
      </w:r>
    </w:p>
    <w:p w14:paraId="1A5855DD">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bookmarkEnd w:id="17"/>
    </w:p>
    <w:p w14:paraId="4D6A2D3E">
      <w:pPr>
        <w:pStyle w:val="46"/>
        <w:pageBreakBefore w:val="0"/>
        <w:widowControl w:val="0"/>
        <w:shd w:val="clear" w:color="auto" w:fill="auto"/>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宋体" w:hAnsi="宋体" w:eastAsia="宋体" w:cs="宋体"/>
          <w:color w:val="auto"/>
          <w:sz w:val="24"/>
          <w:szCs w:val="24"/>
          <w:highlight w:val="none"/>
          <w:lang w:val="en-US" w:eastAsia="zh-CN"/>
        </w:rPr>
        <w:t>受益群众满意度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大于等于95%</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p>
    <w:p w14:paraId="3A16BEFA">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10622438">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24330111">
      <w:pPr>
        <w:pStyle w:val="46"/>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8" w:name="_Toc68364673"/>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561.93</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E2D3E8A">
      <w:pPr>
        <w:pStyle w:val="46"/>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556E3E9">
      <w:pPr>
        <w:pStyle w:val="46"/>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w:t>
      </w:r>
      <w:r>
        <w:rPr>
          <w:rFonts w:hint="eastAsia" w:ascii="宋体" w:hAnsi="宋体" w:eastAsia="宋体" w:cs="宋体"/>
          <w:color w:val="auto"/>
          <w:sz w:val="24"/>
          <w:szCs w:val="24"/>
          <w:highlight w:val="none"/>
          <w:lang w:val="en-US" w:eastAsia="zh-CN"/>
        </w:rPr>
        <w:t>无偏差</w:t>
      </w:r>
      <w:r>
        <w:rPr>
          <w:rFonts w:hint="eastAsia" w:ascii="宋体" w:hAnsi="宋体" w:eastAsia="宋体" w:cs="宋体"/>
          <w:color w:val="auto"/>
          <w:sz w:val="24"/>
          <w:szCs w:val="24"/>
          <w:highlight w:val="none"/>
        </w:rPr>
        <w:t>。</w:t>
      </w:r>
    </w:p>
    <w:p w14:paraId="2721EE0C">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rPr>
      </w:pPr>
    </w:p>
    <w:p w14:paraId="5029A2DC">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六、主要经验及做法、存在的问题及原因分析</w:t>
      </w:r>
    </w:p>
    <w:p w14:paraId="03828496">
      <w:pPr>
        <w:pStyle w:val="49"/>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（一）主要经验及做法</w:t>
      </w:r>
      <w:bookmarkEnd w:id="18"/>
    </w:p>
    <w:p w14:paraId="3A73F195">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443C2970">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6C435255">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三是加强沟通协调，我单位及时向领导汇报项目建设进度，加强与施工单位的沟通，确保项目按期完工。</w:t>
      </w:r>
      <w:bookmarkStart w:id="19" w:name="_Toc68364675"/>
    </w:p>
    <w:p w14:paraId="16B16FE3">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lang w:val="en-US" w:eastAsia="zh-CN"/>
        </w:rPr>
      </w:pPr>
    </w:p>
    <w:p w14:paraId="2C114AAA">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lang w:val="en-US" w:eastAsia="zh-CN"/>
        </w:rPr>
        <w:t>七、</w:t>
      </w:r>
      <w:r>
        <w:rPr>
          <w:rFonts w:hint="eastAsia" w:ascii="黑体" w:hAnsi="黑体" w:eastAsia="黑体" w:cs="黑体"/>
          <w:b/>
          <w:bCs/>
          <w:color w:val="auto"/>
          <w:sz w:val="24"/>
          <w:szCs w:val="24"/>
          <w:highlight w:val="none"/>
        </w:rPr>
        <w:t>有关建议</w:t>
      </w:r>
      <w:bookmarkEnd w:id="19"/>
      <w:bookmarkStart w:id="20" w:name="_Toc68364676"/>
    </w:p>
    <w:p w14:paraId="5796619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1B1077FD">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2.项目评价资料有待进一步完善。项目启动时同步做好档案的归纳与整理，及时整理、收集、汇总，健全档案资料。项目后续管理有待进一步加强和跟踪。</w:t>
      </w:r>
    </w:p>
    <w:p w14:paraId="3AC61A96">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3.通过绩效管理，发现实施中存在漏洞，以后加强管理，及时掌握与之相关的各类信息，减少成本，使资金效益最大化。</w:t>
      </w:r>
    </w:p>
    <w:p w14:paraId="707F537A">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4．评价工作应从项目实施方案源头抓起，评价工作和意识应贯穿项目整个过程。</w:t>
      </w:r>
    </w:p>
    <w:p w14:paraId="7F607322">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highlight w:val="none"/>
        </w:rPr>
      </w:pPr>
    </w:p>
    <w:p w14:paraId="7747E09B">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八、其他需要说明的问题</w:t>
      </w:r>
      <w:bookmarkEnd w:id="20"/>
    </w:p>
    <w:p w14:paraId="54B35E66">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78A0493D">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p>
    <w:p w14:paraId="29EE009F">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附件1：洛浦县困难群众救助补助资金项目绩效评价指标体系</w:t>
      </w:r>
    </w:p>
    <w:p w14:paraId="6579A7A2">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附件2：洛浦县困难群众救助补助资金项目综合得分表</w:t>
      </w:r>
    </w:p>
    <w:p w14:paraId="61CD5FEB">
      <w:pPr>
        <w:pStyle w:val="46"/>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sectPr>
          <w:footerReference r:id="rId7" w:type="default"/>
          <w:pgSz w:w="11906" w:h="16838"/>
          <w:pgMar w:top="1985" w:right="1531" w:bottom="1701" w:left="1531" w:header="851" w:footer="992" w:gutter="0"/>
          <w:pgNumType w:fmt="decimal" w:start="1"/>
          <w:cols w:space="720" w:num="1"/>
          <w:docGrid w:type="linesAndChars" w:linePitch="386" w:charSpace="0"/>
        </w:sectPr>
      </w:pPr>
      <w:r>
        <w:rPr>
          <w:rFonts w:hint="eastAsia" w:ascii="宋体" w:hAnsi="宋体" w:eastAsia="宋体" w:cs="宋体"/>
          <w:color w:val="auto"/>
          <w:sz w:val="24"/>
          <w:szCs w:val="24"/>
          <w:highlight w:val="none"/>
          <w:lang w:val="en-US" w:eastAsia="zh-CN"/>
        </w:rPr>
        <w:t>附件3：满意度调查问分析情况</w:t>
      </w:r>
    </w:p>
    <w:p w14:paraId="1E320992">
      <w:pPr>
        <w:pStyle w:val="10"/>
        <w:shd w:val="clear" w:color="auto" w:fill="auto"/>
        <w:ind w:left="0" w:leftChars="0" w:firstLine="0" w:firstLineChars="0"/>
        <w:jc w:val="both"/>
        <w:rPr>
          <w:rFonts w:hint="eastAsia" w:ascii="宋体" w:hAnsi="宋体" w:eastAsia="宋体" w:cs="宋体"/>
          <w:color w:val="auto"/>
          <w:sz w:val="24"/>
          <w:szCs w:val="24"/>
          <w:highlight w:val="none"/>
        </w:rPr>
      </w:pPr>
    </w:p>
    <w:tbl>
      <w:tblPr>
        <w:tblStyle w:val="24"/>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7"/>
        <w:gridCol w:w="638"/>
        <w:gridCol w:w="428"/>
        <w:gridCol w:w="577"/>
        <w:gridCol w:w="473"/>
        <w:gridCol w:w="155"/>
        <w:gridCol w:w="337"/>
        <w:gridCol w:w="2367"/>
        <w:gridCol w:w="884"/>
        <w:gridCol w:w="4791"/>
        <w:gridCol w:w="802"/>
        <w:gridCol w:w="1291"/>
      </w:tblGrid>
      <w:tr w14:paraId="46F0B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5000" w:type="pct"/>
            <w:gridSpan w:val="12"/>
            <w:tcBorders>
              <w:top w:val="nil"/>
              <w:left w:val="nil"/>
              <w:bottom w:val="nil"/>
              <w:right w:val="nil"/>
            </w:tcBorders>
            <w:noWrap w:val="0"/>
            <w:vAlign w:val="center"/>
          </w:tcPr>
          <w:p w14:paraId="3746B013">
            <w:pPr>
              <w:shd w:val="clear" w:color="auto" w:fill="auto"/>
              <w:jc w:val="left"/>
              <w:rPr>
                <w:rFonts w:hint="eastAsia" w:ascii="微软雅黑" w:hAnsi="微软雅黑" w:eastAsia="微软雅黑" w:cs="微软雅黑"/>
                <w:b/>
                <w:bCs/>
                <w:i w:val="0"/>
                <w:iCs w:val="0"/>
                <w:color w:val="auto"/>
                <w:sz w:val="36"/>
                <w:szCs w:val="36"/>
                <w:highlight w:val="none"/>
                <w:u w:val="none"/>
              </w:rPr>
            </w:pPr>
            <w:r>
              <w:rPr>
                <w:rFonts w:hint="eastAsia" w:ascii="宋体" w:hAnsi="宋体" w:eastAsia="宋体" w:cs="宋体"/>
                <w:b/>
                <w:bCs/>
                <w:i w:val="0"/>
                <w:iCs w:val="0"/>
                <w:color w:val="000000"/>
                <w:kern w:val="0"/>
                <w:sz w:val="24"/>
                <w:szCs w:val="24"/>
                <w:highlight w:val="none"/>
                <w:u w:val="none"/>
                <w:lang w:val="en-US" w:eastAsia="zh-CN"/>
              </w:rPr>
              <w:t>附件1：</w:t>
            </w:r>
          </w:p>
        </w:tc>
      </w:tr>
      <w:tr w14:paraId="1B126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000" w:type="pct"/>
            <w:gridSpan w:val="12"/>
            <w:tcBorders>
              <w:top w:val="nil"/>
              <w:left w:val="nil"/>
              <w:bottom w:val="nil"/>
              <w:right w:val="nil"/>
            </w:tcBorders>
            <w:noWrap w:val="0"/>
            <w:vAlign w:val="center"/>
          </w:tcPr>
          <w:p w14:paraId="2F649A5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auto"/>
                <w:sz w:val="36"/>
                <w:szCs w:val="36"/>
                <w:highlight w:val="none"/>
                <w:u w:val="none"/>
              </w:rPr>
            </w:pPr>
            <w:r>
              <w:rPr>
                <w:rFonts w:hint="eastAsia" w:ascii="宋体" w:hAnsi="宋体" w:eastAsia="宋体" w:cs="宋体"/>
                <w:b/>
                <w:bCs/>
                <w:i w:val="0"/>
                <w:iCs w:val="0"/>
                <w:color w:val="000000"/>
                <w:kern w:val="0"/>
                <w:sz w:val="24"/>
                <w:szCs w:val="24"/>
                <w:highlight w:val="none"/>
                <w:u w:val="none"/>
                <w:lang w:val="en-US" w:eastAsia="zh-CN"/>
              </w:rPr>
              <w:t>洛浦县困难群众救助补助资金项目绩效评价指标体系综合评分表</w:t>
            </w:r>
          </w:p>
        </w:tc>
      </w:tr>
      <w:tr w14:paraId="24935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31" w:type="pct"/>
            <w:tcBorders>
              <w:top w:val="single" w:color="auto" w:sz="4" w:space="0"/>
              <w:left w:val="single" w:color="auto" w:sz="4" w:space="0"/>
              <w:bottom w:val="single" w:color="auto" w:sz="4" w:space="0"/>
              <w:right w:val="single" w:color="auto" w:sz="4" w:space="0"/>
            </w:tcBorders>
            <w:noWrap w:val="0"/>
            <w:vAlign w:val="center"/>
          </w:tcPr>
          <w:p w14:paraId="272AB56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398C791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60" w:type="pct"/>
            <w:tcBorders>
              <w:top w:val="single" w:color="auto" w:sz="4" w:space="0"/>
              <w:left w:val="single" w:color="auto" w:sz="4" w:space="0"/>
              <w:bottom w:val="single" w:color="auto" w:sz="4" w:space="0"/>
              <w:right w:val="single" w:color="auto" w:sz="4" w:space="0"/>
            </w:tcBorders>
            <w:noWrap w:val="0"/>
            <w:vAlign w:val="center"/>
          </w:tcPr>
          <w:p w14:paraId="1613154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216" w:type="pct"/>
            <w:tcBorders>
              <w:top w:val="single" w:color="auto" w:sz="4" w:space="0"/>
              <w:left w:val="single" w:color="auto" w:sz="4" w:space="0"/>
              <w:bottom w:val="single" w:color="auto" w:sz="4" w:space="0"/>
              <w:right w:val="single" w:color="auto" w:sz="4" w:space="0"/>
            </w:tcBorders>
            <w:noWrap w:val="0"/>
            <w:vAlign w:val="center"/>
          </w:tcPr>
          <w:p w14:paraId="3276AF4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35" w:type="pct"/>
            <w:gridSpan w:val="2"/>
            <w:tcBorders>
              <w:top w:val="single" w:color="auto" w:sz="4" w:space="0"/>
              <w:left w:val="single" w:color="auto" w:sz="4" w:space="0"/>
              <w:bottom w:val="single" w:color="auto" w:sz="4" w:space="0"/>
              <w:right w:val="single" w:color="auto" w:sz="4" w:space="0"/>
            </w:tcBorders>
            <w:noWrap w:val="0"/>
            <w:vAlign w:val="center"/>
          </w:tcPr>
          <w:p w14:paraId="1EDC137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26" w:type="pct"/>
            <w:tcBorders>
              <w:top w:val="single" w:color="auto" w:sz="4" w:space="0"/>
              <w:left w:val="single" w:color="auto" w:sz="4" w:space="0"/>
              <w:bottom w:val="single" w:color="auto" w:sz="4" w:space="0"/>
              <w:right w:val="single" w:color="auto" w:sz="4" w:space="0"/>
            </w:tcBorders>
            <w:noWrap w:val="0"/>
            <w:vAlign w:val="center"/>
          </w:tcPr>
          <w:p w14:paraId="17BDF51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743E6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59C0A4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6C7725E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1B5D99D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1CA9F6C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0AE8E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0" w:hRule="atLeast"/>
        </w:trPr>
        <w:tc>
          <w:tcPr>
            <w:tcW w:w="231" w:type="pct"/>
            <w:vMerge w:val="restart"/>
            <w:tcBorders>
              <w:top w:val="single" w:color="auto" w:sz="4" w:space="0"/>
              <w:left w:val="single" w:color="auto" w:sz="4" w:space="0"/>
              <w:bottom w:val="single" w:color="auto" w:sz="4" w:space="0"/>
              <w:right w:val="single" w:color="auto" w:sz="4" w:space="0"/>
            </w:tcBorders>
            <w:noWrap w:val="0"/>
            <w:vAlign w:val="center"/>
          </w:tcPr>
          <w:p w14:paraId="139E967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239" w:type="pct"/>
            <w:vMerge w:val="restart"/>
            <w:tcBorders>
              <w:top w:val="single" w:color="auto" w:sz="4" w:space="0"/>
              <w:left w:val="single" w:color="auto" w:sz="4" w:space="0"/>
              <w:bottom w:val="single" w:color="auto" w:sz="4" w:space="0"/>
              <w:right w:val="single" w:color="auto" w:sz="4" w:space="0"/>
            </w:tcBorders>
            <w:noWrap w:val="0"/>
            <w:vAlign w:val="center"/>
          </w:tcPr>
          <w:p w14:paraId="096554C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6A2E603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0C9F2EC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287CDC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0669D1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2A8382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5B6B22F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04F264A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FA9E4C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674E6E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71BE77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1C09940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5F39D2B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330F3B1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61D4BF9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16A6B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354E08C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025C1C8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7BAF328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277C9F5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1FC1762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F39BD9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5B04D0F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15BFB1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6F90056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002C4A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51E2E93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32B9C7B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7EABDF3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19DBFA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4B18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6D5E58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631558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4E8BBD6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0940804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0F9AFBB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5F3BECC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63D70E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706B43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333B431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66CDCAD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674A323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6C4BE8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6991A9B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30C7CAF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34840D8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A9A1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293C43E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2F999B1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4C4B5AF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5DF3EC0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5716A3E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24BE85A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6E27A86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332EA9E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4375B6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351A14A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69E050A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C3B90A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592954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7E088DE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374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3"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117B98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76FACD0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035DF35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569FD26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01EE3F6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3BE4327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5D2B7BF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24F08A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5FDEA20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4956B7C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06D2EE0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1B3ADE1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527E9A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5986A0C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7A0D553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35B4D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3"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32FA4C4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642F673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700E99E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257BE6A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7867E24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1119EF6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246F529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45DFA82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0147CC6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1B89AF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CEC942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0CD95B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11421B7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3BD47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31" w:type="pct"/>
            <w:vMerge w:val="restart"/>
            <w:tcBorders>
              <w:top w:val="single" w:color="auto" w:sz="4" w:space="0"/>
              <w:left w:val="single" w:color="auto" w:sz="4" w:space="0"/>
              <w:bottom w:val="single" w:color="auto" w:sz="4" w:space="0"/>
              <w:right w:val="single" w:color="auto" w:sz="4" w:space="0"/>
            </w:tcBorders>
            <w:noWrap w:val="0"/>
            <w:vAlign w:val="center"/>
          </w:tcPr>
          <w:p w14:paraId="7576120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239" w:type="pct"/>
            <w:vMerge w:val="restart"/>
            <w:tcBorders>
              <w:top w:val="single" w:color="auto" w:sz="4" w:space="0"/>
              <w:left w:val="single" w:color="auto" w:sz="4" w:space="0"/>
              <w:bottom w:val="single" w:color="auto" w:sz="4" w:space="0"/>
              <w:right w:val="single" w:color="auto" w:sz="4" w:space="0"/>
            </w:tcBorders>
            <w:noWrap w:val="0"/>
            <w:vAlign w:val="center"/>
          </w:tcPr>
          <w:p w14:paraId="48B7DFC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29BEE8C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69AA17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17BFE85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46C224C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DAC97E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5F526C4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114C1AB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A6A609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35D1E29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47141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0A933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49DCDC3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51BE48E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612B5D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5FE6656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6C0116C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586E9F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F5751F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62B5FF8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5FA4B2F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13FE71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7273EF4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A8503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5B798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5BD66D8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1C82BF5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40429BA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0BC30E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39CB2C8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25104BD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34C12A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2905BBE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53469B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06C12AA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6035CC0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359B335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30B45E0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1CE33F7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0D6631C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50A6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27D196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0202F57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62020BF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3E676E6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1C515C8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8F19CA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54C87F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4796558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6AF31F0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6B667C5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77874C7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5A01C7A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F1476B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FE37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738CB6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6BCCA9C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66EB2E7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422CE7E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73E2BB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33A41B3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BF3CC5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0E9F33E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6290A42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6B76D9C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2C2526E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6FB092A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26B9B92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64EA061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FAEB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231" w:type="pct"/>
            <w:vMerge w:val="restart"/>
            <w:tcBorders>
              <w:top w:val="single" w:color="auto" w:sz="4" w:space="0"/>
              <w:left w:val="single" w:color="auto" w:sz="4" w:space="0"/>
              <w:bottom w:val="single" w:color="auto" w:sz="4" w:space="0"/>
              <w:right w:val="single" w:color="auto" w:sz="4" w:space="0"/>
            </w:tcBorders>
            <w:noWrap w:val="0"/>
            <w:vAlign w:val="center"/>
          </w:tcPr>
          <w:p w14:paraId="5665B45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239" w:type="pct"/>
            <w:vMerge w:val="restart"/>
            <w:tcBorders>
              <w:top w:val="single" w:color="auto" w:sz="4" w:space="0"/>
              <w:left w:val="single" w:color="auto" w:sz="4" w:space="0"/>
              <w:bottom w:val="single" w:color="auto" w:sz="4" w:space="0"/>
              <w:right w:val="single" w:color="auto" w:sz="4" w:space="0"/>
            </w:tcBorders>
            <w:noWrap w:val="0"/>
            <w:vAlign w:val="center"/>
          </w:tcPr>
          <w:p w14:paraId="3615225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2D04D74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216" w:type="pct"/>
            <w:vMerge w:val="restart"/>
            <w:tcBorders>
              <w:top w:val="single" w:color="auto" w:sz="4" w:space="0"/>
              <w:left w:val="single" w:color="auto" w:sz="4" w:space="0"/>
              <w:right w:val="single" w:color="auto" w:sz="4" w:space="0"/>
            </w:tcBorders>
            <w:noWrap w:val="0"/>
            <w:vAlign w:val="center"/>
          </w:tcPr>
          <w:p w14:paraId="4E02335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77" w:type="pct"/>
            <w:vMerge w:val="restart"/>
            <w:tcBorders>
              <w:top w:val="single" w:color="auto" w:sz="4" w:space="0"/>
              <w:left w:val="single" w:color="auto" w:sz="4" w:space="0"/>
              <w:bottom w:val="single" w:color="auto" w:sz="4" w:space="0"/>
              <w:right w:val="single" w:color="auto" w:sz="4" w:space="0"/>
            </w:tcBorders>
            <w:noWrap w:val="0"/>
            <w:vAlign w:val="center"/>
          </w:tcPr>
          <w:p w14:paraId="0C7966B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2E874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10F1BE9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集中供养孤儿人数</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38BA607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≥71人</w:t>
            </w:r>
          </w:p>
        </w:tc>
        <w:tc>
          <w:tcPr>
            <w:tcW w:w="1793" w:type="pct"/>
            <w:vMerge w:val="restart"/>
            <w:tcBorders>
              <w:top w:val="single" w:color="auto" w:sz="4" w:space="0"/>
              <w:left w:val="single" w:color="auto" w:sz="4" w:space="0"/>
              <w:right w:val="single" w:color="auto" w:sz="4" w:space="0"/>
            </w:tcBorders>
            <w:noWrap w:val="0"/>
            <w:vAlign w:val="center"/>
          </w:tcPr>
          <w:p w14:paraId="6F65A34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0231E8F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71人</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BE1E4B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7EC6F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507542D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665E35D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3DF5A16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left w:val="single" w:color="auto" w:sz="4" w:space="0"/>
              <w:right w:val="single" w:color="auto" w:sz="4" w:space="0"/>
            </w:tcBorders>
            <w:noWrap w:val="0"/>
            <w:vAlign w:val="center"/>
          </w:tcPr>
          <w:p w14:paraId="5F20887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6F67EFE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15C6AD2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75F1E20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特困儿童人数</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0359B81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≥232人</w:t>
            </w:r>
          </w:p>
        </w:tc>
        <w:tc>
          <w:tcPr>
            <w:tcW w:w="1793" w:type="pct"/>
            <w:vMerge w:val="continue"/>
            <w:tcBorders>
              <w:left w:val="single" w:color="auto" w:sz="4" w:space="0"/>
              <w:right w:val="single" w:color="auto" w:sz="4" w:space="0"/>
            </w:tcBorders>
            <w:noWrap w:val="0"/>
            <w:vAlign w:val="center"/>
          </w:tcPr>
          <w:p w14:paraId="5E87EEC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510B5AA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232人</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04447E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2DE31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1835E77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23AD27F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77638E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left w:val="single" w:color="auto" w:sz="4" w:space="0"/>
              <w:right w:val="single" w:color="auto" w:sz="4" w:space="0"/>
            </w:tcBorders>
            <w:noWrap w:val="0"/>
            <w:vAlign w:val="center"/>
          </w:tcPr>
          <w:p w14:paraId="5526C2E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2168CF0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4FCEFAE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DC529B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分散供养孤儿人数</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29691BF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≥1人</w:t>
            </w:r>
          </w:p>
        </w:tc>
        <w:tc>
          <w:tcPr>
            <w:tcW w:w="1793" w:type="pct"/>
            <w:vMerge w:val="continue"/>
            <w:tcBorders>
              <w:left w:val="single" w:color="auto" w:sz="4" w:space="0"/>
              <w:right w:val="single" w:color="auto" w:sz="4" w:space="0"/>
            </w:tcBorders>
            <w:noWrap w:val="0"/>
            <w:vAlign w:val="center"/>
          </w:tcPr>
          <w:p w14:paraId="2217B80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7F462E6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1人</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7453A77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0E848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7BF07F3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339016D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0B9840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left w:val="single" w:color="auto" w:sz="4" w:space="0"/>
              <w:bottom w:val="single" w:color="auto" w:sz="4" w:space="0"/>
              <w:right w:val="single" w:color="auto" w:sz="4" w:space="0"/>
            </w:tcBorders>
            <w:noWrap w:val="0"/>
            <w:vAlign w:val="center"/>
          </w:tcPr>
          <w:p w14:paraId="238B22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15A71F0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74A9C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886" w:type="pct"/>
            <w:tcBorders>
              <w:top w:val="nil"/>
              <w:left w:val="nil"/>
              <w:bottom w:val="nil"/>
              <w:right w:val="nil"/>
            </w:tcBorders>
            <w:noWrap/>
            <w:vAlign w:val="center"/>
          </w:tcPr>
          <w:p w14:paraId="63CE7D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艾滋病病毒感染儿童人数</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565D63C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≥11人</w:t>
            </w:r>
          </w:p>
        </w:tc>
        <w:tc>
          <w:tcPr>
            <w:tcW w:w="1793" w:type="pct"/>
            <w:vMerge w:val="continue"/>
            <w:tcBorders>
              <w:left w:val="single" w:color="auto" w:sz="4" w:space="0"/>
              <w:bottom w:val="single" w:color="auto" w:sz="4" w:space="0"/>
              <w:right w:val="single" w:color="auto" w:sz="4" w:space="0"/>
            </w:tcBorders>
            <w:noWrap w:val="0"/>
            <w:vAlign w:val="center"/>
          </w:tcPr>
          <w:p w14:paraId="784B0C8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39BCC2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11人</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8C067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r>
      <w:tr w14:paraId="6452B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5A968A4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0603275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restart"/>
            <w:tcBorders>
              <w:top w:val="single" w:color="auto" w:sz="4" w:space="0"/>
              <w:left w:val="single" w:color="auto" w:sz="4" w:space="0"/>
              <w:bottom w:val="nil"/>
              <w:right w:val="single" w:color="auto" w:sz="4" w:space="0"/>
            </w:tcBorders>
            <w:noWrap w:val="0"/>
            <w:vAlign w:val="center"/>
          </w:tcPr>
          <w:p w14:paraId="5B65A6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216" w:type="pct"/>
            <w:vMerge w:val="restart"/>
            <w:tcBorders>
              <w:top w:val="single" w:color="auto" w:sz="4" w:space="0"/>
              <w:left w:val="single" w:color="auto" w:sz="4" w:space="0"/>
              <w:right w:val="single" w:color="auto" w:sz="4" w:space="0"/>
            </w:tcBorders>
            <w:noWrap w:val="0"/>
            <w:vAlign w:val="center"/>
          </w:tcPr>
          <w:p w14:paraId="117E026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77" w:type="pct"/>
            <w:vMerge w:val="restart"/>
            <w:tcBorders>
              <w:top w:val="single" w:color="auto" w:sz="4" w:space="0"/>
              <w:left w:val="single" w:color="auto" w:sz="4" w:space="0"/>
              <w:bottom w:val="nil"/>
              <w:right w:val="single" w:color="auto" w:sz="4" w:space="0"/>
            </w:tcBorders>
            <w:noWrap w:val="0"/>
            <w:vAlign w:val="center"/>
          </w:tcPr>
          <w:p w14:paraId="3749EC7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77F1934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3B621D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补助覆盖率</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1DC0D5A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793" w:type="pct"/>
            <w:vMerge w:val="restart"/>
            <w:tcBorders>
              <w:top w:val="single" w:color="auto" w:sz="4" w:space="0"/>
              <w:left w:val="single" w:color="auto" w:sz="4" w:space="0"/>
              <w:right w:val="single" w:color="auto" w:sz="4" w:space="0"/>
            </w:tcBorders>
            <w:noWrap w:val="0"/>
            <w:vAlign w:val="center"/>
          </w:tcPr>
          <w:p w14:paraId="6CFC7B0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4C809ED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1D7797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9D0A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660B331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17B26C4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nil"/>
              <w:right w:val="single" w:color="auto" w:sz="4" w:space="0"/>
            </w:tcBorders>
            <w:noWrap w:val="0"/>
            <w:vAlign w:val="center"/>
          </w:tcPr>
          <w:p w14:paraId="39BA460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left w:val="single" w:color="auto" w:sz="4" w:space="0"/>
              <w:bottom w:val="nil"/>
              <w:right w:val="single" w:color="auto" w:sz="4" w:space="0"/>
            </w:tcBorders>
            <w:noWrap w:val="0"/>
            <w:vAlign w:val="center"/>
          </w:tcPr>
          <w:p w14:paraId="0A6EE4A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nil"/>
              <w:right w:val="single" w:color="auto" w:sz="4" w:space="0"/>
            </w:tcBorders>
            <w:noWrap w:val="0"/>
            <w:vAlign w:val="center"/>
          </w:tcPr>
          <w:p w14:paraId="3FB7B4F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7F54E74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0F55B20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补助资金到位率</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617E02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793" w:type="pct"/>
            <w:vMerge w:val="continue"/>
            <w:tcBorders>
              <w:left w:val="single" w:color="auto" w:sz="4" w:space="0"/>
              <w:bottom w:val="single" w:color="auto" w:sz="4" w:space="0"/>
              <w:right w:val="single" w:color="auto" w:sz="4" w:space="0"/>
            </w:tcBorders>
            <w:noWrap w:val="0"/>
            <w:vAlign w:val="center"/>
          </w:tcPr>
          <w:p w14:paraId="45F8F51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242EDE1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1D6E0A2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7A9A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11F5472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1C6FE7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679B2E5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051AAAC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77" w:type="pct"/>
            <w:vMerge w:val="restart"/>
            <w:tcBorders>
              <w:top w:val="single" w:color="auto" w:sz="4" w:space="0"/>
              <w:left w:val="single" w:color="auto" w:sz="4" w:space="0"/>
              <w:bottom w:val="single" w:color="auto" w:sz="4" w:space="0"/>
              <w:right w:val="single" w:color="auto" w:sz="4" w:space="0"/>
            </w:tcBorders>
            <w:noWrap w:val="0"/>
            <w:vAlign w:val="center"/>
          </w:tcPr>
          <w:p w14:paraId="434E827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57C6958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4E22C7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项目开始时间</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04647F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2024年1月</w:t>
            </w:r>
          </w:p>
        </w:tc>
        <w:tc>
          <w:tcPr>
            <w:tcW w:w="1793" w:type="pct"/>
            <w:vMerge w:val="restart"/>
            <w:tcBorders>
              <w:top w:val="single" w:color="auto" w:sz="4" w:space="0"/>
              <w:left w:val="single" w:color="auto" w:sz="4" w:space="0"/>
              <w:right w:val="single" w:color="auto" w:sz="4" w:space="0"/>
            </w:tcBorders>
            <w:noWrap w:val="0"/>
            <w:vAlign w:val="center"/>
          </w:tcPr>
          <w:p w14:paraId="2492CED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1BB26A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2024年1月</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D9EDE3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A88C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4BA263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633E417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022F6B0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6F352AC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0DFE8CE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626E84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6004BF3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A3C2F7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1793" w:type="pct"/>
            <w:vMerge w:val="continue"/>
            <w:tcBorders>
              <w:left w:val="single" w:color="auto" w:sz="4" w:space="0"/>
              <w:right w:val="single" w:color="auto" w:sz="4" w:space="0"/>
            </w:tcBorders>
            <w:noWrap w:val="0"/>
            <w:vAlign w:val="center"/>
          </w:tcPr>
          <w:p w14:paraId="182B9EF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429C547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08EE4B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E32C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7F4E208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034D455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07343E7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5BE6554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06E6F0E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6AEC3E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6E7BC9C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补助资金发放及时率</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27406AB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793" w:type="pct"/>
            <w:vMerge w:val="continue"/>
            <w:tcBorders>
              <w:left w:val="single" w:color="auto" w:sz="4" w:space="0"/>
              <w:bottom w:val="single" w:color="auto" w:sz="4" w:space="0"/>
              <w:right w:val="single" w:color="auto" w:sz="4" w:space="0"/>
            </w:tcBorders>
            <w:noWrap w:val="0"/>
            <w:vAlign w:val="center"/>
          </w:tcPr>
          <w:p w14:paraId="1BAB623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0A70E59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9E0AA1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8922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2942521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72E6064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574BED0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785C89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77" w:type="pct"/>
            <w:vMerge w:val="restart"/>
            <w:tcBorders>
              <w:top w:val="single" w:color="auto" w:sz="4" w:space="0"/>
              <w:left w:val="single" w:color="auto" w:sz="4" w:space="0"/>
              <w:bottom w:val="single" w:color="auto" w:sz="4" w:space="0"/>
              <w:right w:val="single" w:color="auto" w:sz="4" w:space="0"/>
            </w:tcBorders>
            <w:noWrap w:val="0"/>
            <w:vAlign w:val="center"/>
          </w:tcPr>
          <w:p w14:paraId="7329C3F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33D9D9F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475AC72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集中供养孤儿供养标准</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029B1E1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=1610元/月</w:t>
            </w:r>
          </w:p>
        </w:tc>
        <w:tc>
          <w:tcPr>
            <w:tcW w:w="1793" w:type="pct"/>
            <w:vMerge w:val="restart"/>
            <w:tcBorders>
              <w:top w:val="single" w:color="auto" w:sz="4" w:space="0"/>
              <w:left w:val="single" w:color="auto" w:sz="4" w:space="0"/>
              <w:right w:val="single" w:color="auto" w:sz="4" w:space="0"/>
            </w:tcBorders>
            <w:noWrap w:val="0"/>
            <w:vAlign w:val="center"/>
          </w:tcPr>
          <w:p w14:paraId="3F0B0B8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35AB5C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1610元/月</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096F9CD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980E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157B33F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5DB93E9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1F408C1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47224F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519D8C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3B0214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1BE0A46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集中特困供养人员供养标准</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7A8F779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=1035元/月</w:t>
            </w:r>
          </w:p>
        </w:tc>
        <w:tc>
          <w:tcPr>
            <w:tcW w:w="1793" w:type="pct"/>
            <w:vMerge w:val="continue"/>
            <w:tcBorders>
              <w:left w:val="single" w:color="auto" w:sz="4" w:space="0"/>
              <w:right w:val="single" w:color="auto" w:sz="4" w:space="0"/>
            </w:tcBorders>
            <w:noWrap w:val="0"/>
            <w:vAlign w:val="center"/>
          </w:tcPr>
          <w:p w14:paraId="3D4F3D3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0EE55D8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1035元/月</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0D0C2F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67A9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2E0C9D7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3B234B4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3F7CD90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62B87C1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vMerge w:val="continue"/>
            <w:tcBorders>
              <w:top w:val="single" w:color="auto" w:sz="4" w:space="0"/>
              <w:left w:val="single" w:color="auto" w:sz="4" w:space="0"/>
              <w:bottom w:val="single" w:color="auto" w:sz="4" w:space="0"/>
              <w:right w:val="single" w:color="auto" w:sz="4" w:space="0"/>
            </w:tcBorders>
            <w:noWrap w:val="0"/>
            <w:vAlign w:val="center"/>
          </w:tcPr>
          <w:p w14:paraId="5E4CDE6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78A0D6F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54559F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分散供养孤儿和艾滋病病毒感染儿童供养标准</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176CEA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=1150元/月</w:t>
            </w:r>
          </w:p>
        </w:tc>
        <w:tc>
          <w:tcPr>
            <w:tcW w:w="1793" w:type="pct"/>
            <w:vMerge w:val="continue"/>
            <w:tcBorders>
              <w:left w:val="single" w:color="auto" w:sz="4" w:space="0"/>
              <w:bottom w:val="single" w:color="auto" w:sz="4" w:space="0"/>
              <w:right w:val="single" w:color="auto" w:sz="4" w:space="0"/>
            </w:tcBorders>
            <w:noWrap w:val="0"/>
            <w:vAlign w:val="center"/>
          </w:tcPr>
          <w:p w14:paraId="5CA3D61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3D974AA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1150元/月</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7B57FD3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171F5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trPr>
        <w:tc>
          <w:tcPr>
            <w:tcW w:w="231" w:type="pct"/>
            <w:vMerge w:val="restart"/>
            <w:tcBorders>
              <w:top w:val="single" w:color="auto" w:sz="4" w:space="0"/>
              <w:left w:val="single" w:color="auto" w:sz="4" w:space="0"/>
              <w:bottom w:val="single" w:color="auto" w:sz="4" w:space="0"/>
              <w:right w:val="single" w:color="auto" w:sz="4" w:space="0"/>
            </w:tcBorders>
            <w:noWrap w:val="0"/>
            <w:vAlign w:val="center"/>
          </w:tcPr>
          <w:p w14:paraId="0E893CB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239" w:type="pct"/>
            <w:vMerge w:val="restart"/>
            <w:tcBorders>
              <w:top w:val="single" w:color="auto" w:sz="4" w:space="0"/>
              <w:left w:val="single" w:color="auto" w:sz="4" w:space="0"/>
              <w:bottom w:val="single" w:color="auto" w:sz="4" w:space="0"/>
              <w:right w:val="single" w:color="auto" w:sz="4" w:space="0"/>
            </w:tcBorders>
            <w:noWrap w:val="0"/>
            <w:vAlign w:val="center"/>
          </w:tcPr>
          <w:p w14:paraId="62B1C10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60" w:type="pct"/>
            <w:vMerge w:val="restart"/>
            <w:tcBorders>
              <w:top w:val="single" w:color="auto" w:sz="4" w:space="0"/>
              <w:left w:val="single" w:color="auto" w:sz="4" w:space="0"/>
              <w:bottom w:val="single" w:color="auto" w:sz="4" w:space="0"/>
              <w:right w:val="single" w:color="auto" w:sz="4" w:space="0"/>
            </w:tcBorders>
            <w:noWrap w:val="0"/>
            <w:vAlign w:val="center"/>
          </w:tcPr>
          <w:p w14:paraId="4A47AB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216" w:type="pct"/>
            <w:vMerge w:val="restart"/>
            <w:tcBorders>
              <w:top w:val="single" w:color="auto" w:sz="4" w:space="0"/>
              <w:left w:val="single" w:color="auto" w:sz="4" w:space="0"/>
              <w:bottom w:val="single" w:color="auto" w:sz="4" w:space="0"/>
              <w:right w:val="single" w:color="auto" w:sz="4" w:space="0"/>
            </w:tcBorders>
            <w:noWrap w:val="0"/>
            <w:vAlign w:val="center"/>
          </w:tcPr>
          <w:p w14:paraId="1700127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44E55FC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1A87233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1AE5B80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保障困难群众基本救助</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65DF1D4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6D2AAC9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4892066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00EEDB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54324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231" w:type="pct"/>
            <w:vMerge w:val="continue"/>
            <w:tcBorders>
              <w:top w:val="single" w:color="auto" w:sz="4" w:space="0"/>
              <w:left w:val="single" w:color="auto" w:sz="4" w:space="0"/>
              <w:bottom w:val="single" w:color="auto" w:sz="4" w:space="0"/>
              <w:right w:val="single" w:color="auto" w:sz="4" w:space="0"/>
            </w:tcBorders>
            <w:noWrap w:val="0"/>
            <w:vAlign w:val="center"/>
          </w:tcPr>
          <w:p w14:paraId="2A7EC50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39" w:type="pct"/>
            <w:vMerge w:val="continue"/>
            <w:tcBorders>
              <w:top w:val="single" w:color="auto" w:sz="4" w:space="0"/>
              <w:left w:val="single" w:color="auto" w:sz="4" w:space="0"/>
              <w:bottom w:val="single" w:color="auto" w:sz="4" w:space="0"/>
              <w:right w:val="single" w:color="auto" w:sz="4" w:space="0"/>
            </w:tcBorders>
            <w:noWrap w:val="0"/>
            <w:vAlign w:val="center"/>
          </w:tcPr>
          <w:p w14:paraId="3AF588F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60" w:type="pct"/>
            <w:vMerge w:val="continue"/>
            <w:tcBorders>
              <w:top w:val="single" w:color="auto" w:sz="4" w:space="0"/>
              <w:left w:val="single" w:color="auto" w:sz="4" w:space="0"/>
              <w:bottom w:val="single" w:color="auto" w:sz="4" w:space="0"/>
              <w:right w:val="single" w:color="auto" w:sz="4" w:space="0"/>
            </w:tcBorders>
            <w:noWrap w:val="0"/>
            <w:vAlign w:val="center"/>
          </w:tcPr>
          <w:p w14:paraId="68B478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vMerge w:val="continue"/>
            <w:tcBorders>
              <w:top w:val="single" w:color="auto" w:sz="4" w:space="0"/>
              <w:left w:val="single" w:color="auto" w:sz="4" w:space="0"/>
              <w:bottom w:val="single" w:color="auto" w:sz="4" w:space="0"/>
              <w:right w:val="single" w:color="auto" w:sz="4" w:space="0"/>
            </w:tcBorders>
            <w:noWrap w:val="0"/>
            <w:vAlign w:val="center"/>
          </w:tcPr>
          <w:p w14:paraId="6AA265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7" w:type="pct"/>
            <w:tcBorders>
              <w:top w:val="single" w:color="auto" w:sz="4" w:space="0"/>
              <w:left w:val="single" w:color="auto" w:sz="4" w:space="0"/>
              <w:bottom w:val="single" w:color="auto" w:sz="4" w:space="0"/>
              <w:right w:val="single" w:color="auto" w:sz="4" w:space="0"/>
            </w:tcBorders>
            <w:noWrap w:val="0"/>
            <w:vAlign w:val="center"/>
          </w:tcPr>
          <w:p w14:paraId="347CA1E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0B8F91F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119D1F9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受益群众满意度</w:t>
            </w:r>
          </w:p>
        </w:tc>
        <w:tc>
          <w:tcPr>
            <w:tcW w:w="331" w:type="pct"/>
            <w:tcBorders>
              <w:top w:val="single" w:color="auto" w:sz="4" w:space="0"/>
              <w:left w:val="single" w:color="auto" w:sz="4" w:space="0"/>
              <w:bottom w:val="single" w:color="auto" w:sz="4" w:space="0"/>
              <w:right w:val="single" w:color="auto" w:sz="4" w:space="0"/>
            </w:tcBorders>
            <w:noWrap w:val="0"/>
            <w:vAlign w:val="center"/>
          </w:tcPr>
          <w:p w14:paraId="3D5A98E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45D6331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07E68A0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0667051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57A3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231" w:type="pct"/>
            <w:tcBorders>
              <w:top w:val="single" w:color="auto" w:sz="4" w:space="0"/>
              <w:left w:val="single" w:color="auto" w:sz="4" w:space="0"/>
              <w:bottom w:val="single" w:color="auto" w:sz="4" w:space="0"/>
              <w:right w:val="single" w:color="auto" w:sz="4" w:space="0"/>
            </w:tcBorders>
            <w:noWrap w:val="0"/>
            <w:vAlign w:val="center"/>
          </w:tcPr>
          <w:p w14:paraId="09365F6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6127418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60" w:type="pct"/>
            <w:tcBorders>
              <w:top w:val="single" w:color="auto" w:sz="4" w:space="0"/>
              <w:left w:val="single" w:color="auto" w:sz="4" w:space="0"/>
              <w:bottom w:val="single" w:color="auto" w:sz="4" w:space="0"/>
              <w:right w:val="single" w:color="auto" w:sz="4" w:space="0"/>
            </w:tcBorders>
            <w:noWrap w:val="0"/>
            <w:vAlign w:val="center"/>
          </w:tcPr>
          <w:p w14:paraId="7779895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6" w:type="pct"/>
            <w:tcBorders>
              <w:top w:val="single" w:color="auto" w:sz="4" w:space="0"/>
              <w:left w:val="single" w:color="auto" w:sz="4" w:space="0"/>
              <w:bottom w:val="single" w:color="auto" w:sz="4" w:space="0"/>
              <w:right w:val="single" w:color="auto" w:sz="4" w:space="0"/>
            </w:tcBorders>
            <w:noWrap w:val="0"/>
            <w:vAlign w:val="center"/>
          </w:tcPr>
          <w:p w14:paraId="4027D2D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77" w:type="pct"/>
            <w:tcBorders>
              <w:top w:val="single" w:color="auto" w:sz="4" w:space="0"/>
              <w:left w:val="single" w:color="auto" w:sz="4" w:space="0"/>
              <w:bottom w:val="single" w:color="auto" w:sz="4" w:space="0"/>
              <w:right w:val="single" w:color="auto" w:sz="4" w:space="0"/>
            </w:tcBorders>
            <w:noWrap w:val="0"/>
            <w:vAlign w:val="center"/>
          </w:tcPr>
          <w:p w14:paraId="5D1D498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4" w:type="pct"/>
            <w:gridSpan w:val="2"/>
            <w:tcBorders>
              <w:top w:val="single" w:color="auto" w:sz="4" w:space="0"/>
              <w:left w:val="single" w:color="auto" w:sz="4" w:space="0"/>
              <w:bottom w:val="single" w:color="auto" w:sz="4" w:space="0"/>
              <w:right w:val="single" w:color="auto" w:sz="4" w:space="0"/>
            </w:tcBorders>
            <w:noWrap w:val="0"/>
            <w:vAlign w:val="center"/>
          </w:tcPr>
          <w:p w14:paraId="7BA984B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86" w:type="pct"/>
            <w:tcBorders>
              <w:top w:val="single" w:color="auto" w:sz="4" w:space="0"/>
              <w:left w:val="single" w:color="auto" w:sz="4" w:space="0"/>
              <w:bottom w:val="single" w:color="auto" w:sz="4" w:space="0"/>
              <w:right w:val="single" w:color="auto" w:sz="4" w:space="0"/>
            </w:tcBorders>
            <w:noWrap w:val="0"/>
            <w:vAlign w:val="center"/>
          </w:tcPr>
          <w:p w14:paraId="21439EE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31" w:type="pct"/>
            <w:tcBorders>
              <w:top w:val="single" w:color="auto" w:sz="4" w:space="0"/>
              <w:left w:val="single" w:color="auto" w:sz="4" w:space="0"/>
              <w:bottom w:val="single" w:color="auto" w:sz="4" w:space="0"/>
              <w:right w:val="single" w:color="auto" w:sz="4" w:space="0"/>
            </w:tcBorders>
            <w:noWrap w:val="0"/>
            <w:vAlign w:val="center"/>
          </w:tcPr>
          <w:p w14:paraId="288A38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1793" w:type="pct"/>
            <w:tcBorders>
              <w:top w:val="single" w:color="auto" w:sz="4" w:space="0"/>
              <w:left w:val="single" w:color="auto" w:sz="4" w:space="0"/>
              <w:bottom w:val="single" w:color="auto" w:sz="4" w:space="0"/>
              <w:right w:val="single" w:color="auto" w:sz="4" w:space="0"/>
            </w:tcBorders>
            <w:noWrap w:val="0"/>
            <w:vAlign w:val="center"/>
          </w:tcPr>
          <w:p w14:paraId="3800B31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00" w:type="pct"/>
            <w:tcBorders>
              <w:top w:val="single" w:color="auto" w:sz="4" w:space="0"/>
              <w:left w:val="single" w:color="auto" w:sz="4" w:space="0"/>
              <w:bottom w:val="single" w:color="auto" w:sz="4" w:space="0"/>
              <w:right w:val="single" w:color="auto" w:sz="4" w:space="0"/>
            </w:tcBorders>
            <w:noWrap w:val="0"/>
            <w:vAlign w:val="center"/>
          </w:tcPr>
          <w:p w14:paraId="414D320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6CD041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43076EB2">
      <w:pPr>
        <w:pStyle w:val="10"/>
        <w:shd w:val="clear" w:color="auto" w:fill="auto"/>
        <w:ind w:left="0" w:leftChars="0" w:firstLine="0" w:firstLineChars="0"/>
        <w:jc w:val="both"/>
        <w:rPr>
          <w:rFonts w:hint="eastAsia" w:ascii="宋体" w:hAnsi="宋体" w:eastAsia="宋体" w:cs="宋体"/>
          <w:color w:val="auto"/>
          <w:sz w:val="24"/>
          <w:szCs w:val="24"/>
          <w:highlight w:val="none"/>
        </w:rPr>
        <w:sectPr>
          <w:pgSz w:w="16838" w:h="11906" w:orient="landscape"/>
          <w:pgMar w:top="1531" w:right="1985" w:bottom="1531" w:left="1701" w:header="851" w:footer="992" w:gutter="0"/>
          <w:pgNumType w:fmt="decimal"/>
          <w:cols w:space="720" w:num="1"/>
          <w:docGrid w:type="linesAndChars" w:linePitch="386" w:charSpace="0"/>
        </w:sectPr>
      </w:pPr>
    </w:p>
    <w:p w14:paraId="3E0AAE87">
      <w:pPr>
        <w:pStyle w:val="10"/>
        <w:shd w:val="clear" w:color="auto" w:fill="auto"/>
        <w:ind w:left="0" w:leftChars="0" w:firstLine="0" w:firstLineChars="0"/>
        <w:jc w:val="both"/>
        <w:rPr>
          <w:rFonts w:hint="eastAsia" w:ascii="宋体" w:hAnsi="宋体" w:eastAsia="宋体" w:cs="宋体"/>
          <w:color w:val="auto"/>
          <w:sz w:val="24"/>
          <w:szCs w:val="24"/>
          <w:highlight w:val="none"/>
          <w:lang w:eastAsia="zh-CN"/>
        </w:rPr>
      </w:pPr>
    </w:p>
    <w:p w14:paraId="5326F081">
      <w:pPr>
        <w:pStyle w:val="10"/>
        <w:shd w:val="clear" w:color="auto" w:fill="auto"/>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E92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3A3B503">
            <w:pPr>
              <w:keepNext w:val="0"/>
              <w:keepLines w:val="0"/>
              <w:widowControl/>
              <w:suppressLineNumbers w:val="0"/>
              <w:shd w:val="clear" w:color="auto" w:fill="auto"/>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5A67B6CB">
            <w:pPr>
              <w:shd w:val="clear" w:color="auto" w:fill="auto"/>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72947783">
            <w:pPr>
              <w:shd w:val="clear" w:color="auto" w:fill="auto"/>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02A3FC1E">
            <w:pPr>
              <w:shd w:val="clear" w:color="auto" w:fill="auto"/>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0DD8AF26">
            <w:pPr>
              <w:shd w:val="clear" w:color="auto" w:fill="auto"/>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26B22429">
            <w:pPr>
              <w:shd w:val="clear" w:color="auto" w:fill="auto"/>
              <w:rPr>
                <w:rFonts w:hint="eastAsia" w:ascii="宋体" w:hAnsi="宋体" w:eastAsia="宋体" w:cs="宋体"/>
                <w:i w:val="0"/>
                <w:iCs w:val="0"/>
                <w:color w:val="auto"/>
                <w:sz w:val="22"/>
                <w:szCs w:val="22"/>
                <w:highlight w:val="none"/>
                <w:u w:val="none"/>
              </w:rPr>
            </w:pPr>
          </w:p>
        </w:tc>
      </w:tr>
      <w:tr w14:paraId="16287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7518031">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洛浦县困难群众救助补助资金项目综合得分表</w:t>
            </w:r>
          </w:p>
        </w:tc>
      </w:tr>
      <w:tr w14:paraId="1A447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7E552D">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D78211">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CFD330">
            <w:pPr>
              <w:keepNext w:val="0"/>
              <w:keepLines w:val="0"/>
              <w:widowControl/>
              <w:suppressLineNumbers w:val="0"/>
              <w:shd w:val="clear" w:color="auto" w:fill="auto"/>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AF9B52">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86EF5D">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7D4082">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合计</w:t>
            </w:r>
          </w:p>
        </w:tc>
      </w:tr>
      <w:tr w14:paraId="67F8E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616EAC">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8DC5DC3">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9A60E22">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3F0773C">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47D243D">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FF53740">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31F84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447EE6">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F7AEA9">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1762E9E">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460C2E">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39EF43">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A4901BF">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3904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6AAFD8">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AECCA4F">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191CEB8">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CC197E3">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0CB0B87">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3B8BD72">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bl>
    <w:p w14:paraId="47E37BC5">
      <w:pPr>
        <w:pStyle w:val="10"/>
        <w:shd w:val="clear" w:color="auto" w:fill="auto"/>
        <w:ind w:left="0" w:leftChars="0" w:firstLine="0" w:firstLineChars="0"/>
        <w:jc w:val="both"/>
        <w:rPr>
          <w:rFonts w:hint="default" w:ascii="宋体" w:hAnsi="宋体" w:eastAsia="宋体" w:cs="宋体"/>
          <w:color w:val="auto"/>
          <w:sz w:val="24"/>
          <w:szCs w:val="24"/>
          <w:highlight w:val="none"/>
          <w:lang w:val="en-US" w:eastAsia="zh-CN"/>
        </w:rPr>
      </w:pPr>
    </w:p>
    <w:p w14:paraId="301E8D37">
      <w:pPr>
        <w:pStyle w:val="10"/>
        <w:shd w:val="clear" w:color="auto" w:fill="auto"/>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60F08B2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23961FF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2"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洛浦县困难群众救助补助资金项目满意度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14E8575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color w:val="auto"/>
          <w:sz w:val="24"/>
          <w:szCs w:val="24"/>
          <w:highlight w:val="none"/>
        </w:rPr>
      </w:pPr>
    </w:p>
    <w:p w14:paraId="02E69D2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026B9E9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0576B4E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10490CF4">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w:t>
      </w:r>
      <w:r>
        <w:rPr>
          <w:rFonts w:hint="eastAsia" w:ascii="宋体" w:hAnsi="宋体" w:eastAsia="宋体" w:cs="宋体"/>
          <w:color w:val="auto"/>
          <w:sz w:val="24"/>
          <w:szCs w:val="24"/>
          <w:highlight w:val="none"/>
          <w:lang w:val="en-US" w:eastAsia="zh-CN"/>
        </w:rPr>
        <w:t>洛浦县各乡镇居民</w:t>
      </w:r>
      <w:r>
        <w:rPr>
          <w:rFonts w:hint="eastAsia" w:ascii="宋体" w:hAnsi="宋体" w:eastAsia="宋体" w:cs="宋体"/>
          <w:color w:val="auto"/>
          <w:sz w:val="24"/>
          <w:szCs w:val="24"/>
          <w:highlight w:val="none"/>
        </w:rPr>
        <w:t>。</w:t>
      </w:r>
    </w:p>
    <w:p w14:paraId="45B9920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1E93625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①您对困难群众救助补助资金项目的救助对象精准率是否满意?</w:t>
      </w:r>
    </w:p>
    <w:p w14:paraId="5B4BE19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②您对困难群众救助补助资金项目的资金发放及时率是否满意？</w:t>
      </w:r>
    </w:p>
    <w:p w14:paraId="58A2A7C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③总的来说，您对目前困难群众救助补助资金项目实施后的整体满意程度如何？</w:t>
      </w:r>
    </w:p>
    <w:p w14:paraId="0C76BE8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435E6BC9">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655DF94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7ECE19D0">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5A1E48D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6E4F58A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06109D7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6E3AC11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本次调查过程中，评价小组实际发放问卷50份，回收问卷50份，问卷回收率为100.00%，有效问卷50份，有效回收率100.00%，本次调查的整体情况如下：</w:t>
      </w:r>
    </w:p>
    <w:p w14:paraId="7EB66B0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第一个问题：该项统计有效问卷数量50份，选择非常满意的人数为x人。选择比较满意的人数为0人，选择一般的人数0人，选择不满意的人数0人，选择非常不满意的人数0人。</w:t>
      </w:r>
    </w:p>
    <w:p w14:paraId="3D4080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第二个问题：该项统计有效问卷数量50份，选择非常满意的人数为30人。选择比较满意的人数为15人，选择一般的人数5人，选择不满意的人数0人，选择非常不满意的人数0人。</w:t>
      </w:r>
    </w:p>
    <w:p w14:paraId="15AD588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第三个问题：该项统计有效问卷数量50份，选择非常满意的人数为30人。选择比较满意的人数为15人，选择一般的人数5人，选择不满意的人数0人，选择非常不满意的人数0人。</w:t>
      </w:r>
    </w:p>
    <w:p w14:paraId="4A8D019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0778346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困难群众救助补助资金项目针对受益人员发放30份调查问卷，最终统计受益人群满意度为100%。</w:t>
      </w:r>
    </w:p>
    <w:p w14:paraId="23B1A41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p>
    <w:p w14:paraId="7185A4A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洛浦县儿童福利中心</w:t>
      </w:r>
    </w:p>
    <w:p w14:paraId="4FA6C07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2025年3月15日</w:t>
      </w:r>
    </w:p>
    <w:p w14:paraId="4A754D2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p>
    <w:p w14:paraId="2AC4BA96">
      <w:pPr>
        <w:pStyle w:val="10"/>
        <w:shd w:val="clear" w:color="auto" w:fill="auto"/>
        <w:rPr>
          <w:rFonts w:hint="eastAsia" w:ascii="宋体" w:hAnsi="宋体" w:eastAsia="宋体" w:cs="宋体"/>
          <w:color w:val="auto"/>
          <w:sz w:val="24"/>
          <w:szCs w:val="24"/>
          <w:highlight w:val="none"/>
          <w:lang w:eastAsia="zh-CN"/>
        </w:rPr>
      </w:pP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75F5D0-6821-44FB-A688-DCAC038BFA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C188117B-6EC7-4A19-BAFA-B4134020613E}"/>
  </w:font>
  <w:font w:name="微软雅黑">
    <w:panose1 w:val="020B0503020204020204"/>
    <w:charset w:val="86"/>
    <w:family w:val="auto"/>
    <w:pitch w:val="default"/>
    <w:sig w:usb0="80000287" w:usb1="280F3C52" w:usb2="00000016" w:usb3="00000000" w:csb0="0004001F" w:csb1="00000000"/>
    <w:embedRegular r:id="rId3" w:fontKey="{091C5F62-E455-43F1-859A-345A92993C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C1CE5">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9D2AC">
    <w:pPr>
      <w:pStyle w:val="16"/>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A2B2E7B">
                <w:pPr>
                  <w:pStyle w:val="16"/>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27</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FF4DC">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4"/>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25B654F3"/>
    <w:multiLevelType w:val="singleLevel"/>
    <w:tmpl w:val="25B654F3"/>
    <w:lvl w:ilvl="0" w:tentative="0">
      <w:start w:val="1"/>
      <w:numFmt w:val="decimal"/>
      <w:suff w:val="nothing"/>
      <w:lvlText w:val="（%1）"/>
      <w:lvlJc w:val="left"/>
    </w:lvl>
  </w:abstractNum>
  <w:abstractNum w:abstractNumId="6">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F5F066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HTML Address"/>
    <w:basedOn w:val="1"/>
    <w:qFormat/>
    <w:uiPriority w:val="0"/>
    <w:rPr>
      <w:rFonts w:ascii="Times New Roman" w:hAnsi="Times New Roman" w:eastAsia="宋体" w:cs="Times New Roman"/>
    </w:rPr>
  </w:style>
  <w:style w:type="paragraph" w:styleId="12">
    <w:name w:val="toc 5"/>
    <w:basedOn w:val="1"/>
    <w:next w:val="1"/>
    <w:unhideWhenUsed/>
    <w:uiPriority w:val="39"/>
    <w:pPr>
      <w:ind w:left="1120"/>
      <w:jc w:val="left"/>
    </w:pPr>
    <w:rPr>
      <w:rFonts w:ascii="Calibri" w:hAnsi="Calibri" w:cs="Calibri"/>
      <w:sz w:val="18"/>
      <w:szCs w:val="18"/>
    </w:rPr>
  </w:style>
  <w:style w:type="paragraph" w:styleId="13">
    <w:name w:val="toc 3"/>
    <w:basedOn w:val="1"/>
    <w:next w:val="1"/>
    <w:unhideWhenUsed/>
    <w:uiPriority w:val="39"/>
    <w:pPr>
      <w:ind w:left="560"/>
      <w:jc w:val="left"/>
    </w:pPr>
    <w:rPr>
      <w:rFonts w:ascii="Calibri" w:hAnsi="Calibri" w:cs="Calibri"/>
      <w:i/>
      <w:iCs/>
      <w:sz w:val="20"/>
      <w:szCs w:val="20"/>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qFormat/>
    <w:uiPriority w:val="39"/>
    <w:pPr>
      <w:ind w:left="280"/>
      <w:jc w:val="left"/>
    </w:pPr>
    <w:rPr>
      <w:rFonts w:ascii="Calibri" w:hAnsi="Calibri" w:cs="Calibri"/>
      <w:smallCaps/>
      <w:sz w:val="20"/>
      <w:szCs w:val="20"/>
    </w:rPr>
  </w:style>
  <w:style w:type="paragraph" w:styleId="22">
    <w:name w:val="toc 9"/>
    <w:basedOn w:val="1"/>
    <w:next w:val="1"/>
    <w:unhideWhenUsed/>
    <w:qFormat/>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qFormat/>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5"/>
    <w:semiHidden/>
    <w:uiPriority w:val="99"/>
    <w:rPr>
      <w:rFonts w:ascii="Calibri" w:hAnsi="Calibri" w:eastAsia="仿宋_GB2312" w:cs="黑体"/>
      <w:sz w:val="18"/>
      <w:szCs w:val="18"/>
    </w:rPr>
  </w:style>
  <w:style w:type="character" w:customStyle="1" w:styleId="40">
    <w:name w:val="页脚 Char"/>
    <w:link w:val="16"/>
    <w:uiPriority w:val="99"/>
    <w:rPr>
      <w:rFonts w:ascii="Calibri" w:hAnsi="Calibri" w:eastAsia="仿宋_GB2312" w:cs="黑体"/>
      <w:sz w:val="18"/>
      <w:szCs w:val="18"/>
    </w:rPr>
  </w:style>
  <w:style w:type="character" w:customStyle="1" w:styleId="41">
    <w:name w:val="页眉 Char"/>
    <w:link w:val="17"/>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qFormat/>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basedOn w:val="26"/>
    <w:qFormat/>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basedOn w:val="26"/>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9EA92B21289B4AB4BD04E6F33F7C970F_13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f8207-6362-4082-a851-d1b2b446a71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10636</Words>
  <Characters>11239</Characters>
  <Lines>44</Lines>
  <Paragraphs>12</Paragraphs>
  <TotalTime>5</TotalTime>
  <ScaleCrop>false</ScaleCrop>
  <LinksUpToDate>false</LinksUpToDate>
  <CharactersWithSpaces>11239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2025-10-10T08:50:49Z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9EA92B21289B4AB4BD04E6F33F7C970F_13</vt:lpwstr>
  </property>
  <property fmtid="{D5CDD505-2E9C-101B-9397-08002B2CF9AE}" pid="4" name="KSOTemplateDocerSaveRecord">
    <vt:lpwstr>eyJoZGlkIjoiMDljYzUzMWQ4OWI0YzBkYjYzMDRhZTY5ZjZkYmFmYTgiLCJ1c2VySWQiOiI2NTE5NDIwMjYifQ_x003D__x003D_</vt:lpwstr>
  </property>
</Properties>
</file>