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B1752">
      <w:bookmarkStart w:id="15" w:name="_GoBack"/>
      <w:bookmarkEnd w:id="15"/>
    </w:p>
    <w:p w14:paraId="49AAD1AA">
      <w:pPr>
        <w:spacing w:line="560" w:lineRule="exact"/>
        <w:jc w:val="center"/>
        <w:rPr>
          <w:rFonts w:hint="eastAsia" w:ascii="仿宋_GB2312" w:hAnsi="仿宋_GB2312" w:cs="仿宋_GB2312"/>
          <w:b/>
          <w:bCs/>
          <w:color w:val="000000"/>
          <w:kern w:val="0"/>
          <w:sz w:val="44"/>
          <w:szCs w:val="44"/>
        </w:rPr>
      </w:pPr>
    </w:p>
    <w:p w14:paraId="4BA1585F">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和田地区洛浦县重点项目前期费项目</w:t>
      </w:r>
    </w:p>
    <w:p w14:paraId="0EF4B878">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支出绩效评价报告</w:t>
      </w:r>
    </w:p>
    <w:p w14:paraId="63ACF2C5">
      <w:pPr>
        <w:pStyle w:val="6"/>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45CBCD8F">
      <w:pPr>
        <w:pStyle w:val="6"/>
        <w:rPr>
          <w:rFonts w:hint="eastAsia" w:ascii="方正小标宋_GBK" w:hAnsi="仿宋_GB2312" w:eastAsia="方正小标宋_GBK" w:cs="仿宋_GB2312"/>
          <w:bCs w:val="0"/>
          <w:sz w:val="44"/>
          <w:szCs w:val="44"/>
        </w:rPr>
      </w:pPr>
    </w:p>
    <w:p w14:paraId="1AA21CAE">
      <w:pPr>
        <w:rPr>
          <w:rFonts w:hint="eastAsia" w:ascii="方正小标宋_GBK" w:hAnsi="仿宋_GB2312" w:eastAsia="方正小标宋_GBK" w:cs="仿宋_GB2312"/>
          <w:bCs/>
          <w:sz w:val="44"/>
          <w:szCs w:val="44"/>
        </w:rPr>
      </w:pPr>
    </w:p>
    <w:p w14:paraId="0CD0AC24">
      <w:pPr>
        <w:pStyle w:val="6"/>
        <w:rPr>
          <w:rFonts w:hint="eastAsia" w:ascii="方正小标宋_GBK" w:hAnsi="仿宋_GB2312" w:eastAsia="方正小标宋_GBK" w:cs="仿宋_GB2312"/>
          <w:bCs w:val="0"/>
          <w:sz w:val="44"/>
          <w:szCs w:val="44"/>
        </w:rPr>
      </w:pPr>
    </w:p>
    <w:p w14:paraId="1A713B25">
      <w:pPr>
        <w:rPr>
          <w:rFonts w:hint="eastAsia" w:ascii="方正小标宋_GBK" w:hAnsi="仿宋_GB2312" w:eastAsia="方正小标宋_GBK" w:cs="仿宋_GB2312"/>
          <w:bCs/>
          <w:sz w:val="44"/>
          <w:szCs w:val="44"/>
        </w:rPr>
      </w:pPr>
    </w:p>
    <w:p w14:paraId="3E89AB4B">
      <w:pPr>
        <w:pStyle w:val="6"/>
        <w:rPr>
          <w:rFonts w:hint="eastAsia" w:ascii="方正小标宋_GBK" w:hAnsi="仿宋_GB2312" w:eastAsia="方正小标宋_GBK" w:cs="仿宋_GB2312"/>
          <w:bCs w:val="0"/>
          <w:sz w:val="44"/>
          <w:szCs w:val="44"/>
        </w:rPr>
      </w:pPr>
    </w:p>
    <w:p w14:paraId="1BFFE846">
      <w:pPr>
        <w:pStyle w:val="6"/>
        <w:rPr>
          <w:rFonts w:hint="eastAsia"/>
        </w:rPr>
      </w:pPr>
    </w:p>
    <w:p w14:paraId="6A8B742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p>
    <w:p w14:paraId="3E7E046C">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项目名称：</w:t>
      </w:r>
      <w:r>
        <w:rPr>
          <w:rFonts w:hint="eastAsia" w:ascii="宋体" w:hAnsi="宋体" w:eastAsia="宋体" w:cs="宋体"/>
          <w:b/>
          <w:bCs/>
          <w:color w:val="000000"/>
          <w:kern w:val="0"/>
          <w:sz w:val="28"/>
          <w:szCs w:val="28"/>
          <w:highlight w:val="none"/>
          <w:lang w:val="en-US" w:eastAsia="zh-CN" w:bidi="en-US"/>
        </w:rPr>
        <w:t>洛浦县重点项目前期费项目</w:t>
      </w:r>
    </w:p>
    <w:p w14:paraId="6A11BB7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洛浦县发展和改革委员会</w:t>
      </w:r>
    </w:p>
    <w:p w14:paraId="22C6F8C6">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洛浦县人民政府</w:t>
      </w:r>
    </w:p>
    <w:p w14:paraId="7FFC556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司瑞娟</w:t>
      </w:r>
    </w:p>
    <w:p w14:paraId="7EF281B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31</w:t>
      </w:r>
      <w:r>
        <w:rPr>
          <w:rFonts w:hint="eastAsia" w:ascii="宋体" w:hAnsi="宋体" w:eastAsia="宋体" w:cs="宋体"/>
          <w:b/>
          <w:bCs/>
          <w:color w:val="000000"/>
          <w:kern w:val="0"/>
          <w:sz w:val="28"/>
          <w:szCs w:val="28"/>
          <w:highlight w:val="none"/>
          <w:lang w:bidi="en-US"/>
        </w:rPr>
        <w:t>日</w:t>
      </w:r>
    </w:p>
    <w:p w14:paraId="7185AC56">
      <w:pPr>
        <w:snapToGrid w:val="0"/>
        <w:spacing w:line="560" w:lineRule="exact"/>
        <w:jc w:val="center"/>
        <w:rPr>
          <w:rFonts w:hint="eastAsia" w:ascii="仿宋_GB2312" w:hAnsi="仿宋_GB2312" w:cs="仿宋_GB2312"/>
          <w:szCs w:val="30"/>
        </w:rPr>
      </w:pPr>
    </w:p>
    <w:p w14:paraId="202FAFA4">
      <w:pPr>
        <w:snapToGrid w:val="0"/>
        <w:spacing w:line="560" w:lineRule="exact"/>
        <w:jc w:val="center"/>
        <w:rPr>
          <w:rFonts w:hint="eastAsia" w:ascii="仿宋_GB2312" w:hAnsi="仿宋_GB2312" w:cs="仿宋_GB2312"/>
          <w:szCs w:val="30"/>
        </w:rPr>
      </w:pPr>
    </w:p>
    <w:p w14:paraId="152EF81C">
      <w:pPr>
        <w:pStyle w:val="2"/>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58D9F538">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0"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0"/>
    </w:p>
    <w:p w14:paraId="537239F8">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5DCA367A">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为完善和田地区洛浦县基础设施配套，完成此项目前期工作，推动项目建设，促进经济持续健康发展，为推进洛浦县经济发展提供有效支撑。</w:t>
      </w:r>
    </w:p>
    <w:p w14:paraId="57149C5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本项目根据《2023年第六批自治区预算内投资的通知-洛浦县重点项目前期费》和地财建【2023】90号文件精神。</w:t>
      </w:r>
    </w:p>
    <w:p w14:paraId="1B1B1BCA">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6B4AA7B8">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44E74B2E">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实施内容：支付新疆和田地区洛浦县兰干调节池工程、和田地区昆冈经济技术开发区（有色金属产业园）环境改善综合治理建设项目、和田地区昆冈经济技术开发区（有色金属产业园）基础设施建设项目、新疆和田地区洛浦县兰干调节池工程(续发）等12个项目。</w:t>
      </w:r>
    </w:p>
    <w:p w14:paraId="11916EF1">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5A0A8BB7">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3C2EBB0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本项目的主管部门为洛浦县人民政府,实施单位为洛浦县发展和改革委员会。</w:t>
      </w:r>
    </w:p>
    <w:p w14:paraId="41261E72">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540F3293">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2024年1月-2024年12月</w:t>
      </w:r>
    </w:p>
    <w:p w14:paraId="795594D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294ADD1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截止2024年12月31日，项目已完成保障项目个数12个，通过项目的实施有效推进项目落地实施。</w:t>
      </w:r>
    </w:p>
    <w:p w14:paraId="3601BBE1">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714B6D0E">
      <w:pPr>
        <w:pStyle w:val="3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2050BCB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本项目预算安排总额为280.59万元，资金来源为中央专项资金，其中：财政资金280.59万元，其他资金0万元，2024年实际收到预算资金280.59万元，预算资金到位率为100%。</w:t>
      </w:r>
    </w:p>
    <w:p w14:paraId="3138A740">
      <w:pPr>
        <w:pStyle w:val="3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4D635F5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实际支付资金280.59万元，预算执行率100%。本项目资金主要用于支付新疆和田地区洛浦县兰干调节池工程、和田地区昆冈经济技术开发区（有色金属产业园）环境改善综合治理建设项目、和田地区昆冈经济技术开发区（有色金属产业园）基础设施建设项目、新疆和田地区洛浦县兰干调节池工程(续发）等12个项目。</w:t>
      </w:r>
    </w:p>
    <w:p w14:paraId="63A9F372">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eastAsia="zh-CN"/>
        </w:rPr>
      </w:pPr>
      <w:bookmarkStart w:id="1" w:name="_Toc68364659"/>
      <w:r>
        <w:rPr>
          <w:rFonts w:hint="eastAsia" w:ascii="宋体" w:hAnsi="宋体" w:eastAsia="宋体" w:cs="宋体"/>
          <w:b/>
          <w:bCs/>
          <w:color w:val="000000"/>
          <w:sz w:val="24"/>
          <w:szCs w:val="24"/>
          <w:highlight w:val="none"/>
          <w:lang w:eastAsia="zh-CN"/>
        </w:rPr>
        <w:t>（二）项目绩效目标</w:t>
      </w:r>
      <w:bookmarkEnd w:id="1"/>
    </w:p>
    <w:p w14:paraId="420F4EAD">
      <w:pPr>
        <w:pStyle w:val="3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项目绩效目标包括项目总</w:t>
      </w:r>
      <w:r>
        <w:rPr>
          <w:rFonts w:hint="eastAsia" w:ascii="宋体" w:hAnsi="宋体" w:eastAsia="宋体" w:cs="宋体"/>
          <w:color w:val="000000"/>
          <w:sz w:val="24"/>
          <w:szCs w:val="24"/>
          <w:highlight w:val="none"/>
          <w:lang w:val="en-US" w:eastAsia="zh-CN"/>
        </w:rPr>
        <w:t>体</w:t>
      </w:r>
      <w:r>
        <w:rPr>
          <w:rFonts w:hint="eastAsia" w:ascii="宋体" w:hAnsi="宋体" w:eastAsia="宋体" w:cs="宋体"/>
          <w:color w:val="000000"/>
          <w:sz w:val="24"/>
          <w:szCs w:val="24"/>
          <w:highlight w:val="none"/>
        </w:rPr>
        <w:t>目标和阶段性目标。</w:t>
      </w:r>
    </w:p>
    <w:p w14:paraId="55AF02C5">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1.总</w:t>
      </w:r>
      <w:r>
        <w:rPr>
          <w:rFonts w:hint="eastAsia" w:ascii="宋体" w:hAnsi="宋体" w:eastAsia="宋体" w:cs="宋体"/>
          <w:b/>
          <w:bCs/>
          <w:color w:val="000000"/>
          <w:sz w:val="24"/>
          <w:szCs w:val="24"/>
          <w:highlight w:val="none"/>
          <w:lang w:val="en-US" w:eastAsia="zh-CN"/>
        </w:rPr>
        <w:t>体</w:t>
      </w:r>
      <w:r>
        <w:rPr>
          <w:rFonts w:hint="eastAsia" w:ascii="宋体" w:hAnsi="宋体" w:eastAsia="宋体" w:cs="宋体"/>
          <w:b/>
          <w:bCs/>
          <w:color w:val="000000"/>
          <w:sz w:val="24"/>
          <w:szCs w:val="24"/>
          <w:highlight w:val="none"/>
        </w:rPr>
        <w:t>目标</w:t>
      </w:r>
    </w:p>
    <w:p w14:paraId="6A29B5BA">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2023年第六批自治区预算内投资的通知-洛浦县重点项目前期费》和地财建【2023】90号文件精神实施此项目，项目主要内容为：支付新疆和田地区洛浦县兰干调节池工程、和田地区昆冈经济技术开发区（有色金属产业园）环境改善综合治理建设项目、和田地区昆冈经济技术开发区（有色金属产业园）基础设施建设项目、新疆和田地区洛浦县兰干调节池工程(续发）等12个项目。通过项目实施，有效提高项目落地实施。</w:t>
      </w:r>
    </w:p>
    <w:p w14:paraId="339C2069">
      <w:pPr>
        <w:pStyle w:val="36"/>
        <w:pageBreakBefore w:val="0"/>
        <w:widowControl w:val="0"/>
        <w:numPr>
          <w:ilvl w:val="0"/>
          <w:numId w:val="2"/>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阶段性目标</w:t>
      </w:r>
    </w:p>
    <w:p w14:paraId="361B4DAE">
      <w:pPr>
        <w:pStyle w:val="3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我</w:t>
      </w:r>
      <w:r>
        <w:rPr>
          <w:rFonts w:hint="eastAsia" w:ascii="宋体" w:hAnsi="宋体" w:eastAsia="宋体" w:cs="宋体"/>
          <w:color w:val="000000"/>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2208A9F8">
      <w:pPr>
        <w:pStyle w:val="3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（1）产出指标</w:t>
      </w:r>
    </w:p>
    <w:p w14:paraId="414827CD">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1)数量指标:</w:t>
      </w:r>
    </w:p>
    <w:p w14:paraId="01DFCD89">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指标1：保障项目个数,预期指标值≥12个；</w:t>
      </w:r>
    </w:p>
    <w:p w14:paraId="0E6AF33D">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2）质量指标：</w:t>
      </w:r>
    </w:p>
    <w:p w14:paraId="64F1C89A">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指标1：资金使用合规率,预期指标值=100%；</w:t>
      </w:r>
    </w:p>
    <w:p w14:paraId="24202A11">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指标2：资金到位率,预期指标值=100%；</w:t>
      </w:r>
    </w:p>
    <w:p w14:paraId="0A7DF070">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3）时效目标：</w:t>
      </w:r>
    </w:p>
    <w:p w14:paraId="508C3CEC">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指标1：资金支付及时率,预期指标值=100%；</w:t>
      </w:r>
    </w:p>
    <w:p w14:paraId="72A07CF5">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指标2：项目完成时间,预期指标值2024年12月；</w:t>
      </w:r>
    </w:p>
    <w:p w14:paraId="13B34356">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（2）成本指标：</w:t>
      </w:r>
    </w:p>
    <w:p w14:paraId="5F26B853">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1）经济成本指标</w:t>
      </w:r>
    </w:p>
    <w:p w14:paraId="76DAF5E8">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指标1：项目前期费资金,预期指标值≤280.59万元；</w:t>
      </w:r>
    </w:p>
    <w:p w14:paraId="26499DA0">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4F77F26B">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5472EC5C">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3D1ECC7A">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22601751">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（3）效益指标：</w:t>
      </w:r>
    </w:p>
    <w:p w14:paraId="69419D63">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1）经济效益指标：</w:t>
      </w:r>
    </w:p>
    <w:p w14:paraId="3FA7511A">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1F8A7A74">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2）社会效益指标：</w:t>
      </w:r>
    </w:p>
    <w:p w14:paraId="5267D739">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指标1：推进项目落地实施，预期指标值有效推进；</w:t>
      </w:r>
    </w:p>
    <w:p w14:paraId="45DB9CF7">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3）生态效益指标：</w:t>
      </w:r>
    </w:p>
    <w:p w14:paraId="029DB530">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7AFE1088">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（4）服务对象满意度指标：</w:t>
      </w:r>
    </w:p>
    <w:p w14:paraId="45173DC3">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指标1：项目单位满意度，预期指标值≥95%。</w:t>
      </w:r>
    </w:p>
    <w:p w14:paraId="0778F120">
      <w:pPr>
        <w:pStyle w:val="2"/>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二、绩效评价工作开展情况</w:t>
      </w:r>
    </w:p>
    <w:p w14:paraId="416C0FBE">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2" w:name="_Toc68364661"/>
      <w:r>
        <w:rPr>
          <w:rFonts w:hint="eastAsia" w:ascii="宋体" w:hAnsi="宋体" w:eastAsia="宋体" w:cs="宋体"/>
          <w:color w:val="000000"/>
          <w:sz w:val="24"/>
          <w:szCs w:val="24"/>
          <w:highlight w:val="none"/>
        </w:rPr>
        <w:t>（一）绩效评价目的、对象和范围</w:t>
      </w:r>
      <w:bookmarkEnd w:id="2"/>
    </w:p>
    <w:p w14:paraId="3BC27F56">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1.绩效评价目的</w:t>
      </w:r>
    </w:p>
    <w:p w14:paraId="722A6194">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本次绩效评价遵循财政部《项目支出绩效评价管理办法》（财预〔</w:t>
      </w:r>
      <w:r>
        <w:rPr>
          <w:rFonts w:hint="eastAsia" w:ascii="宋体" w:hAnsi="宋体" w:eastAsia="宋体" w:cs="宋体"/>
          <w:color w:val="000000"/>
          <w:sz w:val="24"/>
          <w:szCs w:val="24"/>
          <w:highlight w:val="none"/>
          <w:lang w:eastAsia="zh-CN"/>
        </w:rPr>
        <w:t>202</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〕10号）和自治区财政厅《自治区财政支出绩效评价管理暂行办法》（新财预〔2018〕189号）等相关政策文件与规定，旨在评价</w:t>
      </w:r>
      <w:r>
        <w:rPr>
          <w:rFonts w:hint="eastAsia" w:ascii="宋体" w:hAnsi="宋体" w:eastAsia="宋体" w:cs="宋体"/>
          <w:color w:val="000000"/>
          <w:sz w:val="24"/>
          <w:szCs w:val="24"/>
          <w:highlight w:val="none"/>
          <w:lang w:val="en-US" w:eastAsia="zh-CN"/>
        </w:rPr>
        <w:t>洛浦县重点项目前期费</w:t>
      </w:r>
      <w:r>
        <w:rPr>
          <w:rFonts w:hint="eastAsia" w:ascii="宋体" w:hAnsi="宋体" w:eastAsia="宋体" w:cs="宋体"/>
          <w:color w:val="000000"/>
          <w:sz w:val="24"/>
          <w:szCs w:val="24"/>
          <w:highlight w:val="none"/>
        </w:rPr>
        <w:t>项目实施前期、过程及效果，评价财政预算资金使用的效率及效益。</w:t>
      </w:r>
    </w:p>
    <w:p w14:paraId="496BEBE2">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_GB2312" w:hAnsi="仿宋_GB2312" w:cs="仿宋_GB2312"/>
          <w:sz w:val="32"/>
          <w:szCs w:val="32"/>
        </w:rPr>
      </w:pPr>
      <w:r>
        <w:rPr>
          <w:rFonts w:hint="eastAsia" w:ascii="宋体" w:hAnsi="宋体" w:eastAsia="宋体" w:cs="宋体"/>
          <w:color w:val="000000"/>
          <w:sz w:val="24"/>
          <w:szCs w:val="24"/>
          <w:highlight w:val="none"/>
        </w:rPr>
        <w:t>通过绩效评价，客观地评判</w:t>
      </w:r>
      <w:r>
        <w:rPr>
          <w:rFonts w:hint="eastAsia" w:ascii="宋体" w:hAnsi="宋体" w:eastAsia="宋体" w:cs="宋体"/>
          <w:color w:val="000000"/>
          <w:sz w:val="24"/>
          <w:szCs w:val="24"/>
          <w:highlight w:val="none"/>
          <w:lang w:val="en-US" w:eastAsia="zh-CN"/>
        </w:rPr>
        <w:t>洛浦县重点项目前期费</w:t>
      </w:r>
      <w:r>
        <w:rPr>
          <w:rFonts w:hint="eastAsia" w:ascii="宋体" w:hAnsi="宋体" w:eastAsia="宋体" w:cs="宋体"/>
          <w:color w:val="000000"/>
          <w:sz w:val="24"/>
          <w:szCs w:val="24"/>
          <w:highlight w:val="none"/>
        </w:rPr>
        <w:t>项目的管理绩效，了解和掌握</w:t>
      </w:r>
      <w:r>
        <w:rPr>
          <w:rFonts w:hint="eastAsia" w:ascii="宋体" w:hAnsi="宋体" w:eastAsia="宋体" w:cs="宋体"/>
          <w:color w:val="000000"/>
          <w:sz w:val="24"/>
          <w:szCs w:val="24"/>
          <w:highlight w:val="none"/>
          <w:lang w:val="en-US" w:eastAsia="zh-CN"/>
        </w:rPr>
        <w:t>洛浦县重点项目前期费</w:t>
      </w:r>
      <w:r>
        <w:rPr>
          <w:rFonts w:hint="eastAsia" w:ascii="宋体" w:hAnsi="宋体" w:eastAsia="宋体" w:cs="宋体"/>
          <w:color w:val="000000"/>
          <w:sz w:val="24"/>
          <w:szCs w:val="24"/>
          <w:highlight w:val="none"/>
        </w:rPr>
        <w:t>项目资金的具体情况，评价该项目资金安排的科学性、合理性、规范性和资金的使用成效，及时总结项目管理经验，完善项目管理办法，提高项目管理水平和资金使用效益。促使项目承担单位</w:t>
      </w:r>
      <w:r>
        <w:rPr>
          <w:rFonts w:hint="eastAsia" w:ascii="宋体" w:hAnsi="宋体" w:eastAsia="宋体" w:cs="宋体"/>
          <w:color w:val="000000"/>
          <w:sz w:val="24"/>
          <w:szCs w:val="24"/>
          <w:highlight w:val="none"/>
          <w:lang w:eastAsia="zh-CN"/>
        </w:rPr>
        <w:t>洛浦县发展和改革委员会</w:t>
      </w:r>
      <w:r>
        <w:rPr>
          <w:rFonts w:hint="eastAsia" w:ascii="宋体" w:hAnsi="宋体" w:eastAsia="宋体" w:cs="宋体"/>
          <w:color w:val="000000"/>
          <w:sz w:val="24"/>
          <w:szCs w:val="24"/>
          <w:highlight w:val="none"/>
        </w:rPr>
        <w:t>根据绩效评价中发现的问题，认真加以整改，及时调整和完善单位的工作计划和绩效目标并加强</w:t>
      </w:r>
      <w:r>
        <w:rPr>
          <w:rFonts w:hint="eastAsia" w:ascii="宋体" w:hAnsi="宋体" w:eastAsia="宋体" w:cs="宋体"/>
          <w:color w:val="000000"/>
          <w:sz w:val="24"/>
          <w:szCs w:val="24"/>
          <w:highlight w:val="none"/>
          <w:lang w:val="en-US" w:eastAsia="zh-CN"/>
        </w:rPr>
        <w:t>洛浦县重点项目前期费</w:t>
      </w:r>
      <w:r>
        <w:rPr>
          <w:rFonts w:hint="eastAsia" w:ascii="宋体" w:hAnsi="宋体" w:eastAsia="宋体" w:cs="宋体"/>
          <w:color w:val="000000"/>
          <w:sz w:val="24"/>
          <w:szCs w:val="24"/>
          <w:highlight w:val="none"/>
        </w:rPr>
        <w:t>项目管理，提高管理水平，同时为项目后续资金投入、分配和管理提供决策依据。同时将绩效评价结果与项目预算挂钩，为</w:t>
      </w:r>
      <w:r>
        <w:rPr>
          <w:rFonts w:hint="eastAsia" w:ascii="宋体" w:hAnsi="宋体" w:eastAsia="宋体" w:cs="宋体"/>
          <w:color w:val="000000"/>
          <w:sz w:val="24"/>
          <w:szCs w:val="24"/>
          <w:highlight w:val="none"/>
          <w:lang w:val="en-US" w:eastAsia="zh-CN"/>
        </w:rPr>
        <w:t>洛浦县重点项目前期费项目</w:t>
      </w:r>
      <w:r>
        <w:rPr>
          <w:rFonts w:hint="eastAsia" w:ascii="宋体" w:hAnsi="宋体" w:eastAsia="宋体" w:cs="宋体"/>
          <w:color w:val="000000"/>
          <w:sz w:val="24"/>
          <w:szCs w:val="24"/>
          <w:highlight w:val="none"/>
        </w:rPr>
        <w:t>/资金的使用提供决策参考，进一步提高项目资金的使用效益及配置效率，实现财政资源配置效益与效率最大化。</w:t>
      </w:r>
    </w:p>
    <w:p w14:paraId="6BC66511">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2.绩效评价对象</w:t>
      </w:r>
    </w:p>
    <w:p w14:paraId="36565F60">
      <w:pPr>
        <w:pStyle w:val="3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此次绩效评价遵循财政部《项目支出绩效评价管理办法》（财预〔2020〕10号）和《自治区财政支出绩效评价管理暂行办法》（新财预〔2018〕189号）等政策文件规定，以洛浦县重点项目前期费项目为评价对象，对该项目决策、项目资金管理、项目实施过程管理，以及项目实施所带来的产出和效果等内容，进行综合评价。</w:t>
      </w:r>
    </w:p>
    <w:p w14:paraId="2C2C0749">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3.绩效评价范围</w:t>
      </w:r>
    </w:p>
    <w:p w14:paraId="3FB2B496">
      <w:pPr>
        <w:pStyle w:val="3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绩效评价主要围绕洛浦县重点项目前期费项目决策、项目资金管理、项目实施过程管理，以及项目实施所带来的产出和效果等内容，进行综合评价。范围涵盖项目总体绩效目标、各项绩效指标完成情况以及预算执行情况，覆盖预算资金支出项目的所有内容进行评价。</w:t>
      </w:r>
    </w:p>
    <w:p w14:paraId="44BEF444">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（二）绩效评价原则、评价指标体系、评价方法评价标准</w:t>
      </w:r>
    </w:p>
    <w:p w14:paraId="4893A33C">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1.绩效评价原则</w:t>
      </w:r>
    </w:p>
    <w:p w14:paraId="58494EA7">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5526F83">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（1）科学公正。绩效评价应当运用科学合理的方法，按照规范的程序，对项目绩效进行客观、公正的反映。</w:t>
      </w:r>
    </w:p>
    <w:p w14:paraId="18112501">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2A0C67E">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（3）激励约束。绩效评价结果应与预算安排、政策调整、改进管理实质性挂钩，体现奖优罚劣和激励相容导向，有效要安排、低效要压减、无效要问责。</w:t>
      </w:r>
    </w:p>
    <w:p w14:paraId="471759AC">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（4）公开透明。绩效评价结果应依法依规公开，并自觉接受社会监督。</w:t>
      </w:r>
    </w:p>
    <w:p w14:paraId="6D98CB33">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根据以上原则，绩效评价应遵循如下要求:</w:t>
      </w:r>
    </w:p>
    <w:p w14:paraId="78148E06">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0FE77A55">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0BDA84A3">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仿宋_GB2312" w:hAnsi="仿宋_GB2312" w:cs="仿宋_GB2312"/>
          <w:sz w:val="32"/>
          <w:szCs w:val="32"/>
          <w:lang w:val="en-US" w:eastAsia="zh-CN"/>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0089BFD2">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000000"/>
          <w:sz w:val="24"/>
          <w:szCs w:val="24"/>
          <w:highlight w:val="none"/>
        </w:rPr>
      </w:pPr>
      <w:bookmarkStart w:id="3" w:name="_Toc68364663"/>
      <w:r>
        <w:rPr>
          <w:rFonts w:hint="eastAsia" w:ascii="宋体" w:hAnsi="宋体" w:eastAsia="宋体" w:cs="宋体"/>
          <w:b/>
          <w:bCs/>
          <w:color w:val="000000"/>
          <w:sz w:val="24"/>
          <w:szCs w:val="24"/>
          <w:highlight w:val="none"/>
        </w:rPr>
        <w:t>2.绩效评价指标体系</w:t>
      </w:r>
    </w:p>
    <w:p w14:paraId="516CBB47">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个二级指标。项目绩效评价体系</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详细指标体系见“附件1：项目支出绩效评价体系”。</w:t>
      </w:r>
    </w:p>
    <w:p w14:paraId="26327FBF">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3.绩效评价方法</w:t>
      </w:r>
    </w:p>
    <w:p w14:paraId="0C6275C3">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78660606">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具体</w:t>
      </w:r>
      <w:r>
        <w:rPr>
          <w:rFonts w:hint="eastAsia" w:ascii="宋体" w:hAnsi="宋体" w:eastAsia="宋体" w:cs="宋体"/>
          <w:color w:val="000000"/>
          <w:sz w:val="24"/>
          <w:szCs w:val="24"/>
          <w:highlight w:val="none"/>
        </w:rPr>
        <w:t>评价方法的应用如下:</w:t>
      </w:r>
    </w:p>
    <w:p w14:paraId="4FBDBF5A">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立项依据充分性：比较法、文献法，查找法律法规政策以及规划，对比实际执行内容和政策支持内容是否匹配。</w:t>
      </w:r>
    </w:p>
    <w:p w14:paraId="79266A30">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立项程序规范性：比较法、文献法，查找相关项目设立的政策和文件要求，对比分析实际执行程序是否按照政策及文件要求执行，分析立项程序的规范性。</w:t>
      </w:r>
    </w:p>
    <w:p w14:paraId="2C2E30E1">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绩效目标合理性：比较法，对比分析年初编制项目支出绩效目标表与项目内容的相关性、资金的匹配性等。</w:t>
      </w:r>
    </w:p>
    <w:p w14:paraId="6DA0B073">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绩效指标明确性：比较法，比较分析年初编制项目支出绩效目标表是否符合双七原则，是否可衡量。</w:t>
      </w:r>
    </w:p>
    <w:p w14:paraId="4A43C6A7">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预算编制科学性</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成本效益分析法</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分析在产出一定的情况下，成本取值是否有依据，是否经过询价，是否按照市场最低成本编制。</w:t>
      </w:r>
    </w:p>
    <w:p w14:paraId="6A03C507">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资金分配合理性：因素分析法，综合分析资金的分配依据是否充分，分配金额是否与项目实施单位需求金额一致</w:t>
      </w:r>
      <w:r>
        <w:rPr>
          <w:rFonts w:hint="eastAsia" w:ascii="宋体" w:hAnsi="宋体" w:eastAsia="宋体" w:cs="宋体"/>
          <w:color w:val="000000"/>
          <w:sz w:val="24"/>
          <w:szCs w:val="24"/>
          <w:highlight w:val="none"/>
          <w:lang w:eastAsia="zh-CN"/>
        </w:rPr>
        <w:t>。</w:t>
      </w:r>
    </w:p>
    <w:p w14:paraId="7B76A900">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资金到位率：比较法，资金到位率预期指标值应为100%，通过实际计算，分析实际完成值和预期指标值之间的差距和原因。</w:t>
      </w:r>
    </w:p>
    <w:p w14:paraId="3817E948">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预算执行率：比较法，预算执行率预期指标值应为100%，通过实际计算，分析实际完成值和预期指标值之间的差距和原因。</w:t>
      </w:r>
    </w:p>
    <w:p w14:paraId="04BADF82">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25C5843B">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68795DE0">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制度执行有效性：比较法，结合项目实际实施过程性文件，根据已建设的财务管理制度和项目管理制度综合分析制度执行的有效性。</w:t>
      </w:r>
    </w:p>
    <w:p w14:paraId="03A1E083">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FB1953C">
      <w:pPr>
        <w:pStyle w:val="3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定性指标：公众评判法，通过问卷及抽样调查等方式评价本项目实施后社会公众对于其实施效果的满意程度。</w:t>
      </w:r>
    </w:p>
    <w:p w14:paraId="5CC0291E">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4.绩效评价标准</w:t>
      </w:r>
    </w:p>
    <w:p w14:paraId="36FC6233">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绩效评价标准通常包括计划标准、行业标准、历史标准等，用于对绩效指标完成情况进行比较、分析、评价。本次评价主要采用了行业标准</w:t>
      </w:r>
      <w:r>
        <w:rPr>
          <w:rFonts w:hint="eastAsia" w:ascii="宋体" w:hAnsi="宋体" w:eastAsia="宋体" w:cs="宋体"/>
          <w:color w:val="auto"/>
          <w:sz w:val="24"/>
          <w:szCs w:val="24"/>
          <w:highlight w:val="none"/>
          <w:lang w:eastAsia="zh-CN"/>
        </w:rPr>
        <w:t>，</w:t>
      </w:r>
      <w:bookmarkStart w:id="4" w:name="_Toc31464"/>
      <w:bookmarkStart w:id="5" w:name="_Toc17882"/>
      <w:r>
        <w:rPr>
          <w:rFonts w:hint="eastAsia" w:ascii="宋体" w:hAnsi="宋体" w:eastAsia="宋体" w:cs="宋体"/>
          <w:color w:val="auto"/>
          <w:sz w:val="24"/>
          <w:szCs w:val="24"/>
          <w:highlight w:val="none"/>
          <w:lang w:val="en-US" w:eastAsia="zh-CN"/>
        </w:rPr>
        <w:t>指参照国家公布的行业指标数据制定的评价标准。</w:t>
      </w:r>
      <w:bookmarkEnd w:id="3"/>
      <w:bookmarkEnd w:id="4"/>
      <w:bookmarkEnd w:id="5"/>
    </w:p>
    <w:p w14:paraId="54939D28">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6" w:name="_Toc68364664"/>
      <w:r>
        <w:rPr>
          <w:rFonts w:hint="eastAsia" w:ascii="宋体" w:hAnsi="宋体" w:eastAsia="宋体" w:cs="宋体"/>
          <w:color w:val="000000"/>
          <w:sz w:val="24"/>
          <w:szCs w:val="24"/>
          <w:highlight w:val="none"/>
        </w:rPr>
        <w:t>（三）绩效评价工作过程</w:t>
      </w:r>
    </w:p>
    <w:p w14:paraId="0835D8D7">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1.前期准备</w:t>
      </w:r>
    </w:p>
    <w:p w14:paraId="05066F50">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我单位于2025年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53B51999">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司瑞娟</w:t>
      </w:r>
      <w:r>
        <w:rPr>
          <w:rFonts w:hint="eastAsia" w:ascii="宋体" w:hAnsi="宋体" w:eastAsia="宋体" w:cs="宋体"/>
          <w:color w:val="auto"/>
          <w:sz w:val="24"/>
          <w:szCs w:val="24"/>
          <w:highlight w:val="none"/>
        </w:rPr>
        <w:t>（评价小组组长）：主要负责</w:t>
      </w:r>
      <w:r>
        <w:rPr>
          <w:rFonts w:hint="eastAsia" w:ascii="宋体" w:hAnsi="宋体" w:eastAsia="宋体" w:cs="宋体"/>
          <w:color w:val="auto"/>
          <w:sz w:val="24"/>
          <w:szCs w:val="24"/>
          <w:highlight w:val="none"/>
          <w:lang w:val="en-US" w:eastAsia="zh-CN"/>
        </w:rPr>
        <w:t>全面负责评价小组的运作，制定评价计划和方案，把控整体进度和方向，与项目相关方沟通协调。对评价结果负责</w:t>
      </w:r>
      <w:r>
        <w:rPr>
          <w:rFonts w:hint="eastAsia" w:ascii="宋体" w:hAnsi="宋体" w:eastAsia="宋体" w:cs="宋体"/>
          <w:color w:val="auto"/>
          <w:sz w:val="24"/>
          <w:szCs w:val="24"/>
          <w:highlight w:val="none"/>
        </w:rPr>
        <w:t>;</w:t>
      </w:r>
    </w:p>
    <w:p w14:paraId="2F3AD9E8">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王新强</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对项目的业务流程进行梳理和评估，分析业务流程的合理性、效率和效果。识别业务流程中存在的问题和改进点，提高优化业务流程的建议</w:t>
      </w:r>
      <w:r>
        <w:rPr>
          <w:rFonts w:hint="eastAsia" w:ascii="宋体" w:hAnsi="宋体" w:eastAsia="宋体" w:cs="宋体"/>
          <w:color w:val="auto"/>
          <w:sz w:val="24"/>
          <w:szCs w:val="24"/>
          <w:highlight w:val="none"/>
        </w:rPr>
        <w:t>;</w:t>
      </w:r>
    </w:p>
    <w:p w14:paraId="4BA1357C">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cs="仿宋_GB2312"/>
          <w:sz w:val="32"/>
          <w:szCs w:val="32"/>
          <w:lang w:val="en-US" w:eastAsia="zh-CN"/>
        </w:rPr>
      </w:pPr>
      <w:r>
        <w:rPr>
          <w:rFonts w:hint="eastAsia" w:ascii="宋体" w:hAnsi="宋体" w:eastAsia="宋体" w:cs="宋体"/>
          <w:color w:val="auto"/>
          <w:sz w:val="24"/>
          <w:szCs w:val="24"/>
          <w:highlight w:val="none"/>
          <w:lang w:eastAsia="zh-CN"/>
        </w:rPr>
        <w:t>张安吉</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eastAsia="zh-CN"/>
        </w:rPr>
        <w:t>负责项目的预算执行情况，提供财务方面的评价意见和建议，根据评价小组的工作成果，撰写项目绩效评价报告</w:t>
      </w:r>
      <w:r>
        <w:rPr>
          <w:rFonts w:hint="eastAsia" w:ascii="仿宋_GB2312" w:hAnsi="仿宋_GB2312" w:cs="仿宋_GB2312"/>
          <w:sz w:val="32"/>
          <w:szCs w:val="32"/>
          <w:lang w:eastAsia="zh-CN"/>
        </w:rPr>
        <w:t>。</w:t>
      </w:r>
    </w:p>
    <w:p w14:paraId="15C1482A">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组织实施</w:t>
      </w:r>
    </w:p>
    <w:p w14:paraId="0D98780B">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年2月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lang w:eastAsia="zh-CN"/>
        </w:rPr>
        <w:t>日-3月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日，评价工作进入实施阶段。在数据采集方面，评价</w:t>
      </w:r>
      <w:r>
        <w:rPr>
          <w:rFonts w:hint="eastAsia" w:ascii="宋体" w:hAnsi="宋体" w:eastAsia="宋体" w:cs="宋体"/>
          <w:color w:val="auto"/>
          <w:sz w:val="24"/>
          <w:szCs w:val="24"/>
          <w:highlight w:val="none"/>
        </w:rPr>
        <w:t>小组整理单位前期提交的资料，与项目实施负责人沟通，了解资金的内容、操作流程、管理机制、资金使用方向等情况并采集信息，了解项目设置背景及资金使用等情况。</w:t>
      </w:r>
    </w:p>
    <w:p w14:paraId="78D39AEE">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3.分析评价</w:t>
      </w:r>
    </w:p>
    <w:p w14:paraId="073D6392">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2025年3月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日，评价小组按照绩效评价的原则和规范，对取得的资料进行审查核实，对采集的数据进行分析，按照绩效评价指标评分表逐项进行打分、分析、汇总各方评价结果。</w:t>
      </w:r>
    </w:p>
    <w:p w14:paraId="1453409B">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4.撰写与提交评价报告</w:t>
      </w:r>
    </w:p>
    <w:p w14:paraId="3D84B60A">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2025年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月1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日评价小组撰写绩效评价报告，按照新疆维吾尔自治区财政绩效管理信息系统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10766557">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5.问题整改</w:t>
      </w:r>
    </w:p>
    <w:p w14:paraId="397E0F2D">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2C615658">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6.档案整理</w:t>
      </w:r>
    </w:p>
    <w:p w14:paraId="1ED3123C">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建立和落实档案管理制度，将项目相关资料存档，包括但不限于：评价项目基本情况和相关文件、评价实施方案、项目支付资料等相关档案。</w:t>
      </w:r>
      <w:bookmarkEnd w:id="6"/>
    </w:p>
    <w:p w14:paraId="0C179537">
      <w:pPr>
        <w:pStyle w:val="2"/>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highlight w:val="none"/>
        </w:rPr>
      </w:pPr>
      <w:bookmarkStart w:id="7" w:name="_Toc68364666"/>
      <w:r>
        <w:rPr>
          <w:rFonts w:hint="eastAsia" w:ascii="黑体" w:hAnsi="黑体" w:eastAsia="黑体" w:cs="黑体"/>
          <w:color w:val="000000"/>
          <w:sz w:val="24"/>
          <w:szCs w:val="24"/>
          <w:highlight w:val="none"/>
        </w:rPr>
        <w:t>三、综合评价情况及评价结论</w:t>
      </w:r>
    </w:p>
    <w:p w14:paraId="71C22AED">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8" w:name="_Toc68364665"/>
      <w:r>
        <w:rPr>
          <w:rFonts w:hint="eastAsia" w:ascii="宋体" w:hAnsi="宋体" w:eastAsia="宋体" w:cs="宋体"/>
          <w:color w:val="000000"/>
          <w:sz w:val="24"/>
          <w:szCs w:val="24"/>
          <w:highlight w:val="none"/>
        </w:rPr>
        <w:t>（一）综合评价情况</w:t>
      </w:r>
      <w:bookmarkEnd w:id="8"/>
    </w:p>
    <w:p w14:paraId="34FDB307">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通过实施洛浦县重点项目前期费项目，有效推进项目落地实施。</w:t>
      </w:r>
      <w:r>
        <w:rPr>
          <w:rFonts w:hint="eastAsia" w:ascii="宋体" w:hAnsi="宋体" w:eastAsia="宋体" w:cs="宋体"/>
          <w:color w:val="auto"/>
          <w:sz w:val="24"/>
          <w:szCs w:val="24"/>
          <w:highlight w:val="none"/>
        </w:rPr>
        <w:t>项目实施主要通过项目决策、项目过程、项目产出以及项目效益等方面进行评价，其中：</w:t>
      </w:r>
    </w:p>
    <w:p w14:paraId="70477547">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决策：该项目主要通过根据《2023年第六批自治区预算内投资的通知-洛浦县重点项目前期费》（和地财建【2023】90号）文件立项，项目实施符合《2023年第六批自治区预算内投资的通知-洛浦县重点项目前期费》（和地财建【2023】90号）文件要求，项目立项依据充分，立项程序规范。</w:t>
      </w:r>
    </w:p>
    <w:p w14:paraId="7109062F">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过程：2023年第六批自治区预算内投资的通知-洛浦县重点项目前期费》项目预算安排280.59万元，实际支出280.59万元，预算执行率100%。项目资金使用合规，项目财务管理制度健全，财务监控到位，所有资金支付均按照国库集中支付制度严格执行，现有项目管理制度执行情况良好。</w:t>
      </w:r>
    </w:p>
    <w:p w14:paraId="781826C2">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项目产出：该项目实际保障实施项目12个，完成率达到100%。资金使用合格率达到100%，未出现任务未完成情况；资金支付及时率达到100%。</w:t>
      </w:r>
    </w:p>
    <w:p w14:paraId="5F27174C">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效益：通过本项目的实施，不仅可以根据项目确定的建设目标、建设内容、建设规模、建设进度组织实施，完成项目前期工作，推进重点项目建设，促进经济持续健康发展，而且有利于积极开展规划编制和课题研究，为推进经济高质量发展提供政策决议、决策参与，为实现社会稳定和长治久安总目标发挥重要作用。</w:t>
      </w:r>
    </w:p>
    <w:p w14:paraId="3E9D8550">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yellow"/>
          <w:lang w:val="en-US" w:eastAsia="zh-CN"/>
        </w:rPr>
      </w:pPr>
    </w:p>
    <w:p w14:paraId="637C65B1">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（二）综合评价结论</w:t>
      </w:r>
    </w:p>
    <w:p w14:paraId="4F0435E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_GB2312" w:hAnsi="仿宋_GB2312" w:cs="仿宋_GB2312"/>
          <w:sz w:val="32"/>
          <w:szCs w:val="32"/>
          <w:lang w:val="en-US" w:eastAsia="zh-CN"/>
        </w:rPr>
      </w:pPr>
      <w:r>
        <w:rPr>
          <w:rFonts w:hint="eastAsia" w:ascii="宋体" w:hAnsi="宋体" w:eastAsia="宋体" w:cs="宋体"/>
          <w:color w:val="000000"/>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2022年中央补助地方公共文化服务体系建设补助资金（一般项目，绩效奖）项目进行客观评价，最终评分结果：评价总分</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分，绩效等级为“</w:t>
      </w:r>
      <w:r>
        <w:rPr>
          <w:rFonts w:hint="eastAsia" w:ascii="宋体" w:hAnsi="宋体" w:eastAsia="宋体" w:cs="宋体"/>
          <w:color w:val="000000"/>
          <w:sz w:val="24"/>
          <w:szCs w:val="24"/>
          <w:highlight w:val="none"/>
          <w:lang w:val="en-US" w:eastAsia="zh-CN"/>
        </w:rPr>
        <w:t>优</w:t>
      </w:r>
      <w:r>
        <w:rPr>
          <w:rFonts w:hint="eastAsia" w:ascii="宋体" w:hAnsi="宋体" w:eastAsia="宋体" w:cs="宋体"/>
          <w:color w:val="000000"/>
          <w:sz w:val="24"/>
          <w:szCs w:val="24"/>
          <w:highlight w:val="none"/>
        </w:rPr>
        <w:t>”。</w:t>
      </w:r>
      <w:bookmarkEnd w:id="7"/>
      <w:bookmarkStart w:id="9" w:name="_Toc68364667"/>
      <w:bookmarkEnd w:id="9"/>
    </w:p>
    <w:p w14:paraId="0D25CA03">
      <w:pPr>
        <w:pStyle w:val="2"/>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rPr>
      </w:pPr>
      <w:bookmarkStart w:id="10" w:name="_Toc68364668"/>
      <w:r>
        <w:rPr>
          <w:rFonts w:hint="eastAsia" w:ascii="黑体" w:hAnsi="黑体" w:eastAsia="黑体" w:cs="黑体"/>
          <w:b/>
          <w:bCs/>
          <w:color w:val="000000"/>
          <w:sz w:val="24"/>
          <w:szCs w:val="24"/>
          <w:highlight w:val="none"/>
        </w:rPr>
        <w:t>四、绩效评价指标分析</w:t>
      </w:r>
    </w:p>
    <w:p w14:paraId="028294F3">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（一）项目决策情况</w:t>
      </w:r>
    </w:p>
    <w:p w14:paraId="69AE9D6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项目决策类指标包括项目立项、绩效目标和资金投入三方面的内容，由</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个三级指标构成，权重分为</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2F0F340D">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26D4348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本项目立项符合</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2023年第六批自治区预算内投资的通知-洛浦县重点项目前期费</w:t>
      </w:r>
      <w:r>
        <w:rPr>
          <w:rFonts w:hint="eastAsia" w:ascii="宋体" w:hAnsi="宋体" w:eastAsia="宋体" w:cs="宋体"/>
          <w:color w:val="000000"/>
          <w:sz w:val="24"/>
          <w:szCs w:val="24"/>
          <w:highlight w:val="none"/>
          <w:lang w:eastAsia="zh-CN"/>
        </w:rPr>
        <w:t>》（和地财建〔2023〕</w:t>
      </w:r>
      <w:r>
        <w:rPr>
          <w:rFonts w:hint="eastAsia" w:ascii="宋体" w:hAnsi="宋体" w:eastAsia="宋体" w:cs="宋体"/>
          <w:color w:val="000000"/>
          <w:sz w:val="24"/>
          <w:szCs w:val="24"/>
          <w:highlight w:val="none"/>
          <w:lang w:val="en-US" w:eastAsia="zh-CN"/>
        </w:rPr>
        <w:t>90</w:t>
      </w:r>
      <w:r>
        <w:rPr>
          <w:rFonts w:hint="eastAsia" w:ascii="宋体" w:hAnsi="宋体" w:eastAsia="宋体" w:cs="宋体"/>
          <w:color w:val="000000"/>
          <w:sz w:val="24"/>
          <w:szCs w:val="24"/>
          <w:highlight w:val="none"/>
          <w:lang w:eastAsia="zh-CN"/>
        </w:rPr>
        <w:t>号）文件实施此项目，项目主要内容为：支付</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lang w:eastAsia="zh-CN"/>
        </w:rPr>
        <w:t>个项目前期费，共计</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80</w:t>
      </w:r>
      <w:r>
        <w:rPr>
          <w:rFonts w:hint="eastAsia" w:ascii="宋体" w:hAnsi="宋体" w:eastAsia="宋体" w:cs="宋体"/>
          <w:color w:val="000000"/>
          <w:sz w:val="24"/>
          <w:szCs w:val="24"/>
          <w:highlight w:val="none"/>
          <w:lang w:val="en-US" w:eastAsia="zh-CN"/>
        </w:rPr>
        <w:t>.59</w:t>
      </w:r>
      <w:r>
        <w:rPr>
          <w:rFonts w:hint="eastAsia" w:ascii="宋体" w:hAnsi="宋体" w:eastAsia="宋体" w:cs="宋体"/>
          <w:color w:val="000000"/>
          <w:sz w:val="24"/>
          <w:szCs w:val="24"/>
          <w:highlight w:val="none"/>
          <w:lang w:eastAsia="zh-CN"/>
        </w:rPr>
        <w:t>万元，通过项目实施，推进项目落地实施，促进经济持续健康发展。本</w:t>
      </w:r>
      <w:r>
        <w:rPr>
          <w:rFonts w:hint="eastAsia" w:ascii="宋体" w:hAnsi="宋体" w:eastAsia="宋体" w:cs="宋体"/>
          <w:color w:val="000000"/>
          <w:sz w:val="24"/>
          <w:szCs w:val="24"/>
          <w:highlight w:val="none"/>
        </w:rPr>
        <w:t>项目资金性质为“公共财政预算”功能分类为“</w:t>
      </w:r>
      <w:r>
        <w:rPr>
          <w:rFonts w:hint="eastAsia" w:ascii="宋体" w:hAnsi="宋体" w:eastAsia="宋体" w:cs="宋体"/>
          <w:color w:val="000000"/>
          <w:sz w:val="24"/>
          <w:szCs w:val="24"/>
          <w:highlight w:val="none"/>
          <w:lang w:val="en-US" w:eastAsia="zh-CN"/>
        </w:rPr>
        <w:t>2010499</w:t>
      </w:r>
      <w:r>
        <w:rPr>
          <w:rFonts w:hint="eastAsia" w:ascii="宋体" w:hAnsi="宋体" w:eastAsia="宋体" w:cs="宋体"/>
          <w:color w:val="000000"/>
          <w:sz w:val="24"/>
          <w:szCs w:val="24"/>
          <w:highlight w:val="none"/>
        </w:rPr>
        <w:t>”经济分类为“</w:t>
      </w:r>
      <w:r>
        <w:rPr>
          <w:rFonts w:hint="eastAsia" w:ascii="宋体" w:hAnsi="宋体" w:eastAsia="宋体" w:cs="宋体"/>
          <w:color w:val="000000"/>
          <w:sz w:val="24"/>
          <w:szCs w:val="24"/>
          <w:highlight w:val="none"/>
          <w:lang w:val="en-US" w:eastAsia="zh-CN"/>
        </w:rPr>
        <w:t>30227委托业务费、50205委托业务费支出、（一）</w:t>
      </w:r>
      <w:r>
        <w:rPr>
          <w:rFonts w:hint="eastAsia" w:ascii="宋体" w:hAnsi="宋体" w:eastAsia="宋体" w:cs="宋体"/>
          <w:color w:val="000000"/>
          <w:sz w:val="24"/>
          <w:szCs w:val="24"/>
          <w:highlight w:val="none"/>
        </w:rPr>
        <w:t>”属于公共财政支持范围，符合中央、地方事权支出责任划分原则；经检查我单位财政应用平台指标，本项目不存在重复。</w:t>
      </w:r>
    </w:p>
    <w:p w14:paraId="20AFE0A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分，本项目立项依据充分。</w:t>
      </w:r>
    </w:p>
    <w:p w14:paraId="3D7D6D1C">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1AEAA5C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w:t>
      </w:r>
      <w:r>
        <w:rPr>
          <w:rFonts w:hint="eastAsia" w:ascii="宋体" w:hAnsi="宋体" w:eastAsia="宋体" w:cs="宋体"/>
          <w:color w:val="000000"/>
          <w:sz w:val="24"/>
          <w:szCs w:val="24"/>
          <w:highlight w:val="none"/>
          <w:lang w:val="en-US" w:eastAsia="zh-CN"/>
        </w:rPr>
        <w:t>2023年第六批自治区预算内投资的通知-洛浦县重点项目前期费</w:t>
      </w:r>
      <w:r>
        <w:rPr>
          <w:rFonts w:hint="eastAsia" w:ascii="宋体" w:hAnsi="宋体" w:eastAsia="宋体" w:cs="宋体"/>
          <w:color w:val="000000"/>
          <w:sz w:val="24"/>
          <w:szCs w:val="24"/>
          <w:highlight w:val="none"/>
          <w:lang w:eastAsia="zh-CN"/>
        </w:rPr>
        <w:t>，项</w:t>
      </w:r>
      <w:r>
        <w:rPr>
          <w:rFonts w:hint="eastAsia" w:ascii="宋体" w:hAnsi="宋体" w:eastAsia="宋体" w:cs="宋体"/>
          <w:color w:val="000000"/>
          <w:sz w:val="24"/>
          <w:szCs w:val="24"/>
          <w:highlight w:val="none"/>
        </w:rPr>
        <w:t>目立项过程中产生的文件均符合相关要求。本项目为</w:t>
      </w:r>
      <w:r>
        <w:rPr>
          <w:rFonts w:hint="eastAsia" w:ascii="宋体" w:hAnsi="宋体" w:eastAsia="宋体" w:cs="宋体"/>
          <w:color w:val="000000"/>
          <w:sz w:val="24"/>
          <w:szCs w:val="24"/>
          <w:highlight w:val="none"/>
          <w:lang w:eastAsia="zh-CN"/>
        </w:rPr>
        <w:t>特定目标</w:t>
      </w:r>
      <w:r>
        <w:rPr>
          <w:rFonts w:hint="eastAsia" w:ascii="宋体" w:hAnsi="宋体" w:eastAsia="宋体" w:cs="宋体"/>
          <w:color w:val="000000"/>
          <w:sz w:val="24"/>
          <w:szCs w:val="24"/>
          <w:highlight w:val="none"/>
        </w:rPr>
        <w:t>类项目，属于经常性项目，项目预算金额为</w:t>
      </w:r>
      <w:r>
        <w:rPr>
          <w:rFonts w:hint="eastAsia" w:ascii="宋体" w:hAnsi="宋体" w:eastAsia="宋体" w:cs="宋体"/>
          <w:color w:val="000000"/>
          <w:sz w:val="24"/>
          <w:szCs w:val="24"/>
          <w:highlight w:val="none"/>
          <w:lang w:val="en-US" w:eastAsia="zh-CN"/>
        </w:rPr>
        <w:t>280.59</w:t>
      </w:r>
      <w:r>
        <w:rPr>
          <w:rFonts w:hint="eastAsia" w:ascii="宋体" w:hAnsi="宋体" w:eastAsia="宋体" w:cs="宋体"/>
          <w:color w:val="000000"/>
          <w:sz w:val="24"/>
          <w:szCs w:val="24"/>
          <w:highlight w:val="none"/>
        </w:rPr>
        <w:t>万元，不涉及事前绩效评估和风险评估。</w:t>
      </w:r>
    </w:p>
    <w:p w14:paraId="2E4D027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分，本项目立项程序合规。</w:t>
      </w:r>
    </w:p>
    <w:p w14:paraId="268A9FE5">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3.绩效目标合理性</w:t>
      </w:r>
    </w:p>
    <w:p w14:paraId="084951D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auto"/>
          <w:sz w:val="24"/>
          <w:szCs w:val="24"/>
          <w:highlight w:val="none"/>
          <w:lang w:val="en-US" w:eastAsia="zh-CN"/>
        </w:rPr>
        <w:t>该项目年初设定绩效目标主要内容为：</w:t>
      </w:r>
      <w:r>
        <w:rPr>
          <w:rFonts w:hint="eastAsia" w:ascii="宋体" w:hAnsi="宋体" w:eastAsia="宋体" w:cs="宋体"/>
          <w:sz w:val="24"/>
          <w:szCs w:val="24"/>
          <w:highlight w:val="none"/>
          <w:lang w:val="en-US" w:eastAsia="zh-CN"/>
        </w:rPr>
        <w:t>支付新疆和田地区洛浦县兰干调节池工程、和田地区昆冈经济技术开发区（有色金属产业园）环境改善综合治理建设项目、和田地区昆冈经济技术开发区（有色金属产业园）基础设施建设项目、新疆和田地区洛浦县兰干调节池工程(续发）等12个项目</w:t>
      </w:r>
      <w:r>
        <w:rPr>
          <w:rFonts w:hint="eastAsia" w:ascii="宋体" w:hAnsi="宋体" w:eastAsia="宋体" w:cs="宋体"/>
          <w:color w:val="000000"/>
          <w:sz w:val="24"/>
          <w:szCs w:val="24"/>
          <w:highlight w:val="none"/>
          <w:lang w:eastAsia="zh-CN"/>
        </w:rPr>
        <w:t>。</w:t>
      </w:r>
    </w:p>
    <w:p w14:paraId="18092C4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0B1AF862">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6EE91CE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经检查我单位年初设置的《洛浦县重点项目前期费项目支出绩效目标表》，得出如下结论：本项目已将年度绩效目标进行细化为绩效指标体系，共设置一级指标4个，二级指标6个，三级指标8个，定量指标7个，定性指标1个，指标量化率为87.50%，量化率100%，将项目绩效目标细化分解为具体的绩效指标。</w:t>
      </w:r>
    </w:p>
    <w:p w14:paraId="0E9AB48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该《洛浦县重点项目前期费项目绩效目标申报表》中，已设置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“保障项目个数</w:t>
      </w:r>
      <w:r>
        <w:rPr>
          <w:rFonts w:hint="eastAsia" w:ascii="宋体" w:hAnsi="宋体" w:eastAsia="宋体" w:cs="宋体"/>
          <w:color w:val="000000"/>
          <w:sz w:val="24"/>
          <w:szCs w:val="24"/>
          <w:highlight w:val="none"/>
          <w:lang w:val="en-US" w:eastAsia="zh-CN"/>
        </w:rPr>
        <w:t>≥12个</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，三级指标的年度指标值与年度绩效目标中任务数一致，已设置时效指标“资金支付及时率100%、项目完成时间2024年12月”。已设置的绩效目标具备明确性、可衡量性、可实现性、相关性、时限性。</w:t>
      </w:r>
    </w:p>
    <w:p w14:paraId="1B389E0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772BD818">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484C992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：根据和地财建【2023】90号文件实施此项目，主要内容：保障12个项目，通过项目的实施有效推进项目落地实施。</w:t>
      </w: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280.59</w:t>
      </w:r>
      <w:r>
        <w:rPr>
          <w:rFonts w:hint="eastAsia" w:ascii="宋体" w:hAnsi="宋体" w:eastAsia="宋体" w:cs="宋体"/>
          <w:color w:val="000000"/>
          <w:sz w:val="24"/>
          <w:szCs w:val="24"/>
          <w:highlight w:val="none"/>
        </w:rPr>
        <w:t>元，我单位在预算申请中严格按照项目实施内容及测算标准进行核算，其中：</w:t>
      </w:r>
      <w:r>
        <w:rPr>
          <w:rFonts w:hint="eastAsia" w:ascii="宋体" w:hAnsi="宋体" w:eastAsia="宋体" w:cs="宋体"/>
          <w:color w:val="000000"/>
          <w:sz w:val="24"/>
          <w:szCs w:val="24"/>
          <w:highlight w:val="none"/>
          <w:lang w:val="en-US" w:eastAsia="zh-CN"/>
        </w:rPr>
        <w:t>洛浦县重点项目前期费项目280.59万元</w:t>
      </w:r>
      <w:r>
        <w:rPr>
          <w:rFonts w:hint="eastAsia" w:ascii="宋体" w:hAnsi="宋体" w:eastAsia="宋体" w:cs="宋体"/>
          <w:color w:val="000000"/>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012CEFF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07282216">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62F4ABD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本项目实际分配资金以《</w:t>
      </w:r>
      <w:r>
        <w:rPr>
          <w:rFonts w:hint="eastAsia" w:ascii="宋体" w:hAnsi="宋体" w:eastAsia="宋体" w:cs="宋体"/>
          <w:color w:val="000000"/>
          <w:sz w:val="24"/>
          <w:szCs w:val="24"/>
          <w:highlight w:val="none"/>
          <w:lang w:val="en-US" w:eastAsia="zh-CN"/>
        </w:rPr>
        <w:t>2023年第六批自治区预算内投资的通知-洛浦县重点项目前期费项目》（和地财建【2023】90号）文件</w:t>
      </w:r>
      <w:r>
        <w:rPr>
          <w:rFonts w:hint="eastAsia" w:ascii="宋体" w:hAnsi="宋体" w:eastAsia="宋体" w:cs="宋体"/>
          <w:color w:val="000000"/>
          <w:sz w:val="24"/>
          <w:szCs w:val="24"/>
          <w:highlight w:val="none"/>
          <w:lang w:eastAsia="zh-CN"/>
        </w:rPr>
        <w:t>资金的请示》和《</w:t>
      </w:r>
      <w:r>
        <w:rPr>
          <w:rFonts w:hint="eastAsia" w:ascii="宋体" w:hAnsi="宋体" w:eastAsia="宋体" w:cs="宋体"/>
          <w:color w:val="000000"/>
          <w:sz w:val="24"/>
          <w:szCs w:val="24"/>
          <w:highlight w:val="none"/>
          <w:lang w:val="en-US" w:eastAsia="zh-CN"/>
        </w:rPr>
        <w:t>2023年第六批自治区预算内投资的通知-洛浦县重点项目前期费项目</w:t>
      </w:r>
      <w:r>
        <w:rPr>
          <w:rFonts w:hint="eastAsia" w:ascii="宋体" w:hAnsi="宋体" w:eastAsia="宋体" w:cs="宋体"/>
          <w:color w:val="000000"/>
          <w:sz w:val="24"/>
          <w:szCs w:val="24"/>
          <w:highlight w:val="none"/>
          <w:lang w:eastAsia="zh-CN"/>
        </w:rPr>
        <w:t>实施方案》为依据进行资金分配，预算资金分配依据充分。根据《</w:t>
      </w:r>
      <w:r>
        <w:rPr>
          <w:rFonts w:hint="eastAsia" w:ascii="宋体" w:hAnsi="宋体" w:eastAsia="宋体" w:cs="宋体"/>
          <w:color w:val="000000"/>
          <w:sz w:val="24"/>
          <w:szCs w:val="24"/>
          <w:highlight w:val="none"/>
          <w:lang w:val="en-US" w:eastAsia="zh-CN"/>
        </w:rPr>
        <w:t>关于提前下达2023年第六批自治区预算内投资的通知-洛浦县重点项目前期费项目</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和地财建【2023】90号</w:t>
      </w:r>
      <w:r>
        <w:rPr>
          <w:rFonts w:hint="eastAsia" w:ascii="宋体" w:hAnsi="宋体" w:eastAsia="宋体" w:cs="宋体"/>
          <w:color w:val="000000"/>
          <w:sz w:val="24"/>
          <w:szCs w:val="24"/>
          <w:highlight w:val="none"/>
          <w:lang w:eastAsia="zh-CN"/>
        </w:rPr>
        <w:t>），本项目实际到位资金</w:t>
      </w:r>
      <w:r>
        <w:rPr>
          <w:rFonts w:hint="eastAsia" w:ascii="宋体" w:hAnsi="宋体" w:eastAsia="宋体" w:cs="宋体"/>
          <w:color w:val="000000"/>
          <w:sz w:val="24"/>
          <w:szCs w:val="24"/>
          <w:highlight w:val="none"/>
          <w:lang w:val="en-US" w:eastAsia="zh-CN"/>
        </w:rPr>
        <w:t>280.59</w:t>
      </w:r>
      <w:r>
        <w:rPr>
          <w:rFonts w:hint="eastAsia" w:ascii="宋体" w:hAnsi="宋体" w:eastAsia="宋体" w:cs="宋体"/>
          <w:color w:val="000000"/>
          <w:sz w:val="24"/>
          <w:szCs w:val="24"/>
          <w:highlight w:val="none"/>
          <w:lang w:eastAsia="zh-CN"/>
        </w:rPr>
        <w:t>万元，</w:t>
      </w:r>
      <w:r>
        <w:rPr>
          <w:rFonts w:hint="eastAsia" w:ascii="宋体" w:hAnsi="宋体" w:eastAsia="宋体" w:cs="宋体"/>
          <w:color w:val="000000"/>
          <w:sz w:val="24"/>
          <w:szCs w:val="24"/>
          <w:highlight w:val="none"/>
        </w:rPr>
        <w:t>资金分配额度合理，与</w:t>
      </w:r>
      <w:r>
        <w:rPr>
          <w:rFonts w:hint="eastAsia" w:ascii="宋体" w:hAnsi="宋体" w:eastAsia="宋体" w:cs="宋体"/>
          <w:color w:val="000000"/>
          <w:sz w:val="24"/>
          <w:szCs w:val="24"/>
          <w:highlight w:val="none"/>
          <w:lang w:eastAsia="zh-CN"/>
        </w:rPr>
        <w:t>我</w:t>
      </w:r>
      <w:r>
        <w:rPr>
          <w:rFonts w:hint="eastAsia" w:ascii="宋体" w:hAnsi="宋体" w:eastAsia="宋体" w:cs="宋体"/>
          <w:color w:val="000000"/>
          <w:sz w:val="24"/>
          <w:szCs w:val="24"/>
          <w:highlight w:val="none"/>
        </w:rPr>
        <w:t>单位实际</w:t>
      </w:r>
      <w:r>
        <w:rPr>
          <w:rFonts w:hint="eastAsia" w:ascii="宋体" w:hAnsi="宋体" w:eastAsia="宋体" w:cs="宋体"/>
          <w:color w:val="000000"/>
          <w:sz w:val="24"/>
          <w:szCs w:val="24"/>
          <w:highlight w:val="none"/>
          <w:lang w:eastAsia="zh-CN"/>
        </w:rPr>
        <w:t>需求</w:t>
      </w:r>
      <w:r>
        <w:rPr>
          <w:rFonts w:hint="eastAsia" w:ascii="宋体" w:hAnsi="宋体" w:eastAsia="宋体" w:cs="宋体"/>
          <w:color w:val="000000"/>
          <w:sz w:val="24"/>
          <w:szCs w:val="24"/>
          <w:highlight w:val="none"/>
        </w:rPr>
        <w:t>相适应</w:t>
      </w:r>
      <w:r>
        <w:rPr>
          <w:rFonts w:hint="eastAsia" w:ascii="宋体" w:hAnsi="宋体" w:eastAsia="宋体" w:cs="宋体"/>
          <w:color w:val="000000"/>
          <w:sz w:val="24"/>
          <w:szCs w:val="24"/>
          <w:highlight w:val="none"/>
          <w:lang w:eastAsia="zh-CN"/>
        </w:rPr>
        <w:t>。</w:t>
      </w:r>
    </w:p>
    <w:p w14:paraId="10DCF13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26C4F7E8">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（二）项目过程情况</w:t>
      </w:r>
    </w:p>
    <w:p w14:paraId="2FA50F6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项目过程类指标包括资金管理和组织实施两方面的内容，由</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个三级指标构成，权重分为</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6E3A037D">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3A836FD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w:t>
      </w:r>
      <w:r>
        <w:rPr>
          <w:rFonts w:hint="eastAsia" w:ascii="宋体" w:hAnsi="宋体" w:eastAsia="宋体" w:cs="宋体"/>
          <w:color w:val="000000"/>
          <w:sz w:val="24"/>
          <w:szCs w:val="24"/>
          <w:highlight w:val="none"/>
          <w:lang w:val="en-US" w:eastAsia="zh-CN"/>
        </w:rPr>
        <w:t>280.59</w:t>
      </w:r>
      <w:r>
        <w:rPr>
          <w:rFonts w:hint="eastAsia" w:ascii="宋体" w:hAnsi="宋体" w:eastAsia="宋体" w:cs="宋体"/>
          <w:color w:val="000000"/>
          <w:sz w:val="24"/>
          <w:szCs w:val="24"/>
          <w:highlight w:val="none"/>
        </w:rPr>
        <w:t>万元，其中：财政安排资金</w:t>
      </w:r>
      <w:r>
        <w:rPr>
          <w:rFonts w:hint="eastAsia" w:ascii="宋体" w:hAnsi="宋体" w:eastAsia="宋体" w:cs="宋体"/>
          <w:color w:val="000000"/>
          <w:sz w:val="24"/>
          <w:szCs w:val="24"/>
          <w:highlight w:val="none"/>
          <w:lang w:val="en-US" w:eastAsia="zh-CN"/>
        </w:rPr>
        <w:t>280.59</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万元，实际到位资金</w:t>
      </w:r>
      <w:r>
        <w:rPr>
          <w:rFonts w:hint="eastAsia" w:ascii="宋体" w:hAnsi="宋体" w:eastAsia="宋体" w:cs="宋体"/>
          <w:color w:val="000000"/>
          <w:sz w:val="24"/>
          <w:szCs w:val="24"/>
          <w:highlight w:val="none"/>
          <w:lang w:val="en-US" w:eastAsia="zh-CN"/>
        </w:rPr>
        <w:t>280.59</w:t>
      </w:r>
      <w:r>
        <w:rPr>
          <w:rFonts w:hint="eastAsia" w:ascii="宋体" w:hAnsi="宋体" w:eastAsia="宋体" w:cs="宋体"/>
          <w:color w:val="000000"/>
          <w:sz w:val="24"/>
          <w:szCs w:val="24"/>
          <w:highlight w:val="none"/>
        </w:rPr>
        <w:t>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355FAF0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528F64C6">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3936DEA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本项目实际支出资金</w:t>
      </w:r>
      <w:r>
        <w:rPr>
          <w:rFonts w:hint="eastAsia" w:ascii="宋体" w:hAnsi="宋体" w:eastAsia="宋体" w:cs="宋体"/>
          <w:color w:val="000000"/>
          <w:sz w:val="24"/>
          <w:szCs w:val="24"/>
          <w:highlight w:val="none"/>
          <w:lang w:val="en-US" w:eastAsia="zh-CN"/>
        </w:rPr>
        <w:t>280.59</w:t>
      </w:r>
      <w:r>
        <w:rPr>
          <w:rFonts w:hint="eastAsia" w:ascii="宋体" w:hAnsi="宋体" w:eastAsia="宋体" w:cs="宋体"/>
          <w:color w:val="000000"/>
          <w:sz w:val="24"/>
          <w:szCs w:val="24"/>
          <w:highlight w:val="none"/>
        </w:rPr>
        <w:t>万元，预算执行率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预算编制较为详细，项目资金支出总体能够按照预算执行</w:t>
      </w:r>
      <w:r>
        <w:rPr>
          <w:rFonts w:hint="eastAsia" w:ascii="宋体" w:hAnsi="宋体" w:eastAsia="宋体" w:cs="宋体"/>
          <w:color w:val="000000"/>
          <w:sz w:val="24"/>
          <w:szCs w:val="24"/>
          <w:highlight w:val="none"/>
          <w:lang w:eastAsia="zh-CN"/>
        </w:rPr>
        <w:t>。</w:t>
      </w:r>
    </w:p>
    <w:p w14:paraId="4514062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051F139A">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61A42EF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rPr>
        <w:t>，得出本项目资金支出符合国家财经法规、《政府会计制度》《</w:t>
      </w:r>
      <w:r>
        <w:rPr>
          <w:rFonts w:hint="eastAsia" w:ascii="宋体" w:hAnsi="宋体" w:eastAsia="宋体" w:cs="宋体"/>
          <w:color w:val="000000"/>
          <w:sz w:val="24"/>
          <w:szCs w:val="24"/>
          <w:highlight w:val="none"/>
          <w:lang w:eastAsia="zh-CN"/>
        </w:rPr>
        <w:t>洛浦县发展和改革委员会</w:t>
      </w:r>
      <w:r>
        <w:rPr>
          <w:rFonts w:hint="eastAsia" w:ascii="宋体" w:hAnsi="宋体" w:eastAsia="宋体" w:cs="宋体"/>
          <w:color w:val="000000"/>
          <w:sz w:val="24"/>
          <w:szCs w:val="24"/>
          <w:highlight w:val="none"/>
        </w:rPr>
        <w:t>单位资金管理办法》《</w:t>
      </w:r>
      <w:r>
        <w:rPr>
          <w:rFonts w:hint="eastAsia" w:ascii="宋体" w:hAnsi="宋体" w:eastAsia="宋体" w:cs="宋体"/>
          <w:color w:val="000000"/>
          <w:sz w:val="24"/>
          <w:szCs w:val="24"/>
          <w:highlight w:val="none"/>
          <w:lang w:eastAsia="zh-CN"/>
        </w:rPr>
        <w:t>洛浦县发展和改革委员会</w:t>
      </w:r>
      <w:r>
        <w:rPr>
          <w:rFonts w:hint="eastAsia" w:ascii="宋体" w:hAnsi="宋体" w:eastAsia="宋体" w:cs="宋体"/>
          <w:color w:val="000000"/>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rPr>
        <w:t>制定了相关的制度和管理规定对经费使用进行规范管理，财务制度健全、执行严格</w:t>
      </w:r>
      <w:r>
        <w:rPr>
          <w:rFonts w:hint="eastAsia" w:ascii="宋体" w:hAnsi="宋体" w:eastAsia="宋体" w:cs="宋体"/>
          <w:color w:val="000000"/>
          <w:sz w:val="24"/>
          <w:szCs w:val="24"/>
          <w:highlight w:val="none"/>
          <w:lang w:eastAsia="zh-CN"/>
        </w:rPr>
        <w:t>。</w:t>
      </w:r>
    </w:p>
    <w:p w14:paraId="6900D7C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3414252D">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7AD7FE2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我单位已制定《</w:t>
      </w:r>
      <w:r>
        <w:rPr>
          <w:rFonts w:hint="eastAsia" w:ascii="宋体" w:hAnsi="宋体" w:eastAsia="宋体" w:cs="宋体"/>
          <w:color w:val="000000"/>
          <w:sz w:val="24"/>
          <w:szCs w:val="24"/>
          <w:highlight w:val="none"/>
          <w:lang w:eastAsia="zh-CN"/>
        </w:rPr>
        <w:t>洛浦县发展和改革委员会</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洛浦县发展和改革委员会</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eastAsia="zh-CN"/>
        </w:rPr>
        <w:t>洛浦县发展和改革委员会</w:t>
      </w:r>
      <w:r>
        <w:rPr>
          <w:rFonts w:hint="eastAsia" w:ascii="宋体" w:hAnsi="宋体" w:eastAsia="宋体" w:cs="宋体"/>
          <w:color w:val="000000"/>
          <w:sz w:val="24"/>
          <w:szCs w:val="24"/>
          <w:highlight w:val="none"/>
        </w:rPr>
        <w:t>政府采购业务管理制度》《</w:t>
      </w:r>
      <w:r>
        <w:rPr>
          <w:rFonts w:hint="eastAsia" w:ascii="宋体" w:hAnsi="宋体" w:eastAsia="宋体" w:cs="宋体"/>
          <w:color w:val="000000"/>
          <w:sz w:val="24"/>
          <w:szCs w:val="24"/>
          <w:highlight w:val="none"/>
          <w:lang w:eastAsia="zh-CN"/>
        </w:rPr>
        <w:t>洛浦县发展和改革委员会</w:t>
      </w:r>
      <w:r>
        <w:rPr>
          <w:rFonts w:hint="eastAsia" w:ascii="宋体" w:hAnsi="宋体" w:eastAsia="宋体" w:cs="宋体"/>
          <w:color w:val="000000"/>
          <w:sz w:val="24"/>
          <w:szCs w:val="24"/>
          <w:highlight w:val="none"/>
        </w:rPr>
        <w:t>合同管理制度》，</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rPr>
        <w:t>制度均符合行政事业单位内控管理要求，财务和业务管理制度合法、合规、完整，本项目执行符合上述制度规定。</w:t>
      </w:r>
    </w:p>
    <w:p w14:paraId="4FA7A01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65051992">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767D467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该项目的实施符合《</w:t>
      </w:r>
      <w:r>
        <w:rPr>
          <w:rFonts w:hint="eastAsia" w:ascii="宋体" w:hAnsi="宋体" w:eastAsia="宋体" w:cs="宋体"/>
          <w:color w:val="000000"/>
          <w:sz w:val="24"/>
          <w:szCs w:val="24"/>
          <w:highlight w:val="none"/>
          <w:lang w:eastAsia="zh-CN"/>
        </w:rPr>
        <w:t>洛浦县发展和改革委员会</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洛浦县发展和改革委员会</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eastAsia="zh-CN"/>
        </w:rPr>
        <w:t>洛浦县发展和改革委员会</w:t>
      </w:r>
      <w:r>
        <w:rPr>
          <w:rFonts w:hint="eastAsia" w:ascii="宋体" w:hAnsi="宋体" w:eastAsia="宋体" w:cs="宋体"/>
          <w:color w:val="000000"/>
          <w:sz w:val="24"/>
          <w:szCs w:val="24"/>
          <w:highlight w:val="none"/>
        </w:rPr>
        <w:t>政府采购业务管理制度》《</w:t>
      </w:r>
      <w:r>
        <w:rPr>
          <w:rFonts w:hint="eastAsia" w:ascii="宋体" w:hAnsi="宋体" w:eastAsia="宋体" w:cs="宋体"/>
          <w:color w:val="000000"/>
          <w:sz w:val="24"/>
          <w:szCs w:val="24"/>
          <w:highlight w:val="none"/>
          <w:lang w:eastAsia="zh-CN"/>
        </w:rPr>
        <w:t>洛浦县发展和改革委员会</w:t>
      </w:r>
      <w:r>
        <w:rPr>
          <w:rFonts w:hint="eastAsia" w:ascii="宋体" w:hAnsi="宋体" w:eastAsia="宋体" w:cs="宋体"/>
          <w:color w:val="000000"/>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w:t>
      </w:r>
      <w:r>
        <w:rPr>
          <w:rFonts w:hint="eastAsia" w:ascii="宋体" w:hAnsi="宋体" w:eastAsia="宋体" w:cs="宋体"/>
          <w:color w:val="000000"/>
          <w:sz w:val="24"/>
          <w:szCs w:val="24"/>
          <w:highlight w:val="none"/>
          <w:lang w:eastAsia="zh-CN"/>
        </w:rPr>
        <w:t>项目采购、实施、验收等过程均按照采购管理办法和合同管理办法等相关制度执行，该项目实施过程中不存在调整事项</w:t>
      </w:r>
      <w:r>
        <w:rPr>
          <w:rFonts w:hint="eastAsia" w:ascii="宋体" w:hAnsi="宋体" w:eastAsia="宋体" w:cs="宋体"/>
          <w:color w:val="000000"/>
          <w:sz w:val="24"/>
          <w:szCs w:val="24"/>
          <w:highlight w:val="none"/>
          <w:lang w:val="en-US" w:eastAsia="zh-CN"/>
        </w:rPr>
        <w:t>；2024年12月31日项目结束，各类</w:t>
      </w:r>
      <w:r>
        <w:rPr>
          <w:rFonts w:hint="eastAsia" w:ascii="宋体" w:hAnsi="宋体" w:eastAsia="宋体" w:cs="宋体"/>
          <w:color w:val="000000"/>
          <w:sz w:val="24"/>
          <w:szCs w:val="24"/>
          <w:highlight w:val="none"/>
          <w:lang w:eastAsia="zh-CN"/>
        </w:rPr>
        <w:t>会议纪要、项目资金支付审批表、合同、验收单、记账凭证等财务资料齐全并及时归档。</w:t>
      </w:r>
    </w:p>
    <w:p w14:paraId="31C63C2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分。</w:t>
      </w:r>
    </w:p>
    <w:p w14:paraId="54386B51">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（三）项目产出情况</w:t>
      </w:r>
    </w:p>
    <w:p w14:paraId="53A3E5D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项目产出类指标包括产出数量、产出质量、产出时效、产出成本四方面的内容，由</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个三级指标构成，权重分为</w:t>
      </w:r>
      <w:r>
        <w:rPr>
          <w:rFonts w:hint="eastAsia" w:ascii="宋体" w:hAnsi="宋体" w:eastAsia="宋体" w:cs="宋体"/>
          <w:color w:val="000000"/>
          <w:sz w:val="24"/>
          <w:szCs w:val="24"/>
          <w:highlight w:val="none"/>
          <w:lang w:val="en-US" w:eastAsia="zh-CN"/>
        </w:rPr>
        <w:t>40</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40</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3BB8C7DD">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12484F2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保障项目个数，预期指标值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12个，实际完成值12个，指标完成率为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3439C2A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761B321A">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626FAF6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5E121A2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资金到位率，预期指标值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175ED2B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6B170859">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2EE5053A">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资金支付及时率，预期指标值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2F1FBCD1">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w:t>
      </w:r>
      <w:r>
        <w:rPr>
          <w:rFonts w:hint="eastAsia" w:ascii="宋体" w:hAnsi="宋体" w:eastAsia="宋体" w:cs="宋体"/>
          <w:b w:val="0"/>
          <w:color w:val="000000"/>
          <w:sz w:val="24"/>
          <w:szCs w:val="24"/>
          <w:highlight w:val="none"/>
          <w:lang w:val="en-US" w:eastAsia="zh-CN"/>
        </w:rPr>
        <w:t>完成</w:t>
      </w:r>
      <w:r>
        <w:rPr>
          <w:rFonts w:hint="eastAsia" w:ascii="宋体" w:hAnsi="宋体" w:eastAsia="宋体" w:cs="宋体"/>
          <w:b w:val="0"/>
          <w:color w:val="000000"/>
          <w:sz w:val="24"/>
          <w:szCs w:val="24"/>
          <w:highlight w:val="none"/>
        </w:rPr>
        <w:t>时间，预期指标值2024年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月，实际完成值2024年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5F7769A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仿宋_GB2312" w:hAnsi="仿宋_GB2312" w:cs="仿宋_GB2312"/>
          <w:sz w:val="32"/>
          <w:szCs w:val="32"/>
          <w:lang w:val="en-US" w:eastAsia="zh-CN"/>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2CD500DF">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18A6A5A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项目前期费资金，预期指标值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280.59万元，实际完成值280.59万元，指标完成率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3D1D4AC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仿宋_GB2312" w:hAnsi="仿宋_GB2312" w:cs="仿宋_GB2312"/>
          <w:sz w:val="32"/>
          <w:szCs w:val="32"/>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bookmarkEnd w:id="10"/>
    </w:p>
    <w:p w14:paraId="5377D389">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bookmarkStart w:id="11" w:name="_Toc68364673"/>
      <w:r>
        <w:rPr>
          <w:rFonts w:hint="eastAsia" w:ascii="宋体" w:hAnsi="宋体" w:eastAsia="宋体" w:cs="宋体"/>
          <w:b/>
          <w:bCs/>
          <w:color w:val="000000"/>
          <w:sz w:val="24"/>
          <w:szCs w:val="24"/>
          <w:highlight w:val="none"/>
        </w:rPr>
        <w:t>（四）项目效益情况</w:t>
      </w:r>
    </w:p>
    <w:p w14:paraId="48B1956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项目效益类指标包括项目效益1个方面的内容，由2个三级指标构成，权重分为2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分，实际得分2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分，得分率为100%。</w:t>
      </w:r>
    </w:p>
    <w:p w14:paraId="7CCFC68B">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00E53B1A">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推进项目落地实施，预期指标值为</w:t>
      </w:r>
      <w:r>
        <w:rPr>
          <w:rFonts w:hint="eastAsia" w:ascii="宋体" w:hAnsi="宋体" w:eastAsia="宋体" w:cs="宋体"/>
          <w:b w:val="0"/>
          <w:bCs w:val="0"/>
          <w:color w:val="000000"/>
          <w:sz w:val="24"/>
          <w:szCs w:val="24"/>
          <w:highlight w:val="none"/>
          <w:lang w:val="en-US" w:eastAsia="zh-CN"/>
        </w:rPr>
        <w:t>有效推进</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有效推进</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2ACCF169">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3B16DCB8">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2BFC4F5D">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793CBDB1">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5C9BFDDB">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4FE3CF70">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项目单位满意度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95%</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605AD55F">
      <w:pPr>
        <w:pStyle w:val="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568350E7">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五、预算执行进度与绩效指标偏差情况</w:t>
      </w:r>
    </w:p>
    <w:p w14:paraId="2E126702">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本项目年初预算资金总额为</w:t>
      </w:r>
      <w:r>
        <w:rPr>
          <w:rFonts w:hint="eastAsia" w:ascii="宋体" w:hAnsi="宋体" w:eastAsia="宋体" w:cs="宋体"/>
          <w:color w:val="000000"/>
          <w:sz w:val="24"/>
          <w:szCs w:val="24"/>
          <w:highlight w:val="none"/>
          <w:lang w:val="en-US" w:eastAsia="zh-CN"/>
        </w:rPr>
        <w:t>280.59</w:t>
      </w:r>
      <w:r>
        <w:rPr>
          <w:rFonts w:hint="eastAsia" w:ascii="宋体" w:hAnsi="宋体" w:eastAsia="宋体" w:cs="宋体"/>
          <w:color w:val="000000"/>
          <w:sz w:val="24"/>
          <w:szCs w:val="24"/>
          <w:highlight w:val="none"/>
        </w:rPr>
        <w:t>万元，全年预算数为280.59万元，全年执行数为280.59万元，预算执行率为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4DFC3724">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本项目共设置三级指标数量</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个，满分指标数量</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个，扣分指标数量</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个，经分析计算所有三级指标完成率得出，本项目总体完成率为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1A9179A6">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仿宋_GB2312" w:hAnsi="仿宋_GB2312" w:cs="仿宋_GB2312"/>
          <w:sz w:val="32"/>
          <w:szCs w:val="32"/>
          <w:lang w:val="en-US" w:eastAsia="zh-CN"/>
        </w:rPr>
      </w:pPr>
      <w:r>
        <w:rPr>
          <w:rFonts w:hint="eastAsia" w:ascii="宋体" w:hAnsi="宋体" w:eastAsia="宋体" w:cs="宋体"/>
          <w:color w:val="000000"/>
          <w:sz w:val="24"/>
          <w:szCs w:val="24"/>
          <w:highlight w:val="none"/>
        </w:rPr>
        <w:t>综上所述本项目预算执行率与总体完成率之间</w:t>
      </w:r>
      <w:r>
        <w:rPr>
          <w:rFonts w:hint="eastAsia" w:ascii="宋体" w:hAnsi="宋体" w:eastAsia="宋体" w:cs="宋体"/>
          <w:color w:val="000000"/>
          <w:sz w:val="24"/>
          <w:szCs w:val="24"/>
          <w:highlight w:val="none"/>
          <w:lang w:val="en-US" w:eastAsia="zh-CN"/>
        </w:rPr>
        <w:t>无偏差</w:t>
      </w:r>
      <w:r>
        <w:rPr>
          <w:rFonts w:hint="eastAsia" w:ascii="宋体" w:hAnsi="宋体" w:eastAsia="宋体" w:cs="宋体"/>
          <w:color w:val="000000"/>
          <w:sz w:val="24"/>
          <w:szCs w:val="24"/>
          <w:highlight w:val="none"/>
        </w:rPr>
        <w:t>。</w:t>
      </w:r>
      <w:bookmarkEnd w:id="11"/>
    </w:p>
    <w:p w14:paraId="621BE32A">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六、主要经验及做法、存在的问题及原因分析</w:t>
      </w:r>
    </w:p>
    <w:p w14:paraId="0EE95122">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（一）主要经验及做法</w:t>
      </w:r>
    </w:p>
    <w:p w14:paraId="0F873333">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一、本项目能够严格按照《项目实施方案》执行，项目执行情况较好。</w:t>
      </w:r>
    </w:p>
    <w:p w14:paraId="42E269DD">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二、加强组织领导，本项目绩效评价工作，有主要领导亲自挂帅，分管领导具体负责，从项目到资金，均能够很好的执行。</w:t>
      </w:r>
    </w:p>
    <w:p w14:paraId="5C40A12B">
      <w:pPr>
        <w:pStyle w:val="3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bookmarkStart w:id="12" w:name="_Toc68364674"/>
      <w:r>
        <w:rPr>
          <w:rFonts w:hint="eastAsia" w:ascii="宋体" w:hAnsi="宋体" w:eastAsia="宋体" w:cs="宋体"/>
          <w:b/>
          <w:bCs/>
          <w:color w:val="000000"/>
          <w:sz w:val="24"/>
          <w:szCs w:val="24"/>
          <w:highlight w:val="none"/>
        </w:rPr>
        <w:t>（二）存在问题及原因分析</w:t>
      </w:r>
      <w:bookmarkEnd w:id="12"/>
    </w:p>
    <w:p w14:paraId="64C93EED">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1.项目资金管理环节</w:t>
      </w:r>
    </w:p>
    <w:p w14:paraId="1FF8C265">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缺乏有效的资金监控机制，无法实时掌握资金流向和使用情况；对资金使用</w:t>
      </w:r>
    </w:p>
    <w:p w14:paraId="795C8858">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2.项目管理环节</w:t>
      </w:r>
    </w:p>
    <w:p w14:paraId="1FD77695">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项目计划缺乏详细分解和时间安排，目标不够清晰；对风险和问题考虑不足，缺乏应急措施，项目实际进度落后于计划，延误支付；对进度偏差不敏感，未及时采取调整措施。根据《项目绩效管理办法》及单位相关项目管理制度的规定，对项目的实施进行监督管理。建立健全项目后续各项监督管理制度，确保项目正常运转，长期发挥效益。</w:t>
      </w:r>
    </w:p>
    <w:p w14:paraId="66936D66">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3.项目绩效管理环节</w:t>
      </w:r>
    </w:p>
    <w:p w14:paraId="2659C6EF">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成本控制情况：严格按照相关的专项资金管理办法，实行多重审批控制专项经费的支出。</w:t>
      </w:r>
    </w:p>
    <w:p w14:paraId="343CC846">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成本节约情况：项目根据实际情况做出合理预算，支出严格控制在预算范围内，本着节约成本，防止资源浪费的原则将项目成效最大化。</w:t>
      </w:r>
    </w:p>
    <w:p w14:paraId="44571485">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4.各级监督检查（项目管理、资金管理、绩效管理）发现问题及原因分析</w:t>
      </w:r>
    </w:p>
    <w:p w14:paraId="6D444E04">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bookmarkStart w:id="13" w:name="_Toc68364675"/>
      <w:r>
        <w:rPr>
          <w:rFonts w:hint="eastAsia" w:ascii="宋体" w:hAnsi="宋体" w:eastAsia="宋体" w:cs="宋体"/>
          <w:color w:val="000000"/>
          <w:sz w:val="24"/>
          <w:szCs w:val="24"/>
          <w:highlight w:val="none"/>
          <w:lang w:val="en-US" w:eastAsia="zh-CN"/>
        </w:rPr>
        <w:t>（1）对各项指标和指标值要进一步优化、完善，主要在细化、量化上改进；</w:t>
      </w:r>
    </w:p>
    <w:p w14:paraId="22921C3B">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（2）部门评价工作还存在自我审定的局限性，会影响评价质量，容易造成问题的疏漏，在客观性和公正性上说服力不强；</w:t>
      </w:r>
    </w:p>
    <w:p w14:paraId="718EAA1D">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（3）缺少带着问题去评价的意识；</w:t>
      </w:r>
    </w:p>
    <w:p w14:paraId="67035E63">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（4）现场评价的工作量少，后续效益评价具体措施和方法较少。</w:t>
      </w:r>
      <w:bookmarkEnd w:id="13"/>
    </w:p>
    <w:p w14:paraId="16603F6A">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bookmarkStart w:id="14" w:name="_Toc68364676"/>
      <w:r>
        <w:rPr>
          <w:rFonts w:hint="eastAsia" w:ascii="宋体" w:hAnsi="宋体" w:eastAsia="宋体" w:cs="宋体"/>
          <w:color w:val="000000"/>
          <w:sz w:val="24"/>
          <w:szCs w:val="24"/>
          <w:highlight w:val="none"/>
        </w:rPr>
        <w:t>七、有关建议</w:t>
      </w:r>
    </w:p>
    <w:p w14:paraId="24228E0E">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预算编制工作，认真做好预算的编制。全面编制预算项目，优先保障固定性的、相对刚性的费用支出项目，尽量压缩变动性的、有控制空间的费用项目，进一步提高预算编制的科学性、严谨性和可控性。</w:t>
      </w:r>
    </w:p>
    <w:p w14:paraId="7FA95F81">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开展进度的跟踪，确保项目绩效目标的完成。规范程序，严格把关。进一步完善项目申报、审核、公示、审批等程序，严格审核切实做好项目信息公开，公开内容要及时、完整、真实，确保项目公平、公开、公正。</w:t>
      </w:r>
    </w:p>
    <w:p w14:paraId="1F32A197">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健全制度，加强督促。针对项目实施中存在的问题，进一步完善相关制度，加强督促检查，确保质量安全和建设进度；同时及时完善资料。</w:t>
      </w:r>
      <w:bookmarkEnd w:id="14"/>
    </w:p>
    <w:p w14:paraId="7595D8CF">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八、其他需要说明的问题</w:t>
      </w:r>
    </w:p>
    <w:p w14:paraId="079B510F">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我单位对上述项目支出绩效评价报告内反映内容的真实性、完整性负责，愿接受上级部门及社会公众监督。</w:t>
      </w:r>
    </w:p>
    <w:p w14:paraId="46F2C6E2">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p>
    <w:p w14:paraId="3CD93C33">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附件1：洛浦县重点项目前期费项目绩效评价指标体系</w:t>
      </w:r>
    </w:p>
    <w:p w14:paraId="6F6D0069">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附件2：洛浦县重点项目前期费项目综合得分表</w:t>
      </w:r>
    </w:p>
    <w:p w14:paraId="6172508A">
      <w:pPr>
        <w:pStyle w:val="3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sectPr>
          <w:headerReference r:id="rId3" w:type="default"/>
          <w:footerReference r:id="rId4" w:type="default"/>
          <w:pgSz w:w="11906" w:h="16838"/>
          <w:pgMar w:top="1985" w:right="1531" w:bottom="1701" w:left="1531" w:header="851" w:footer="992" w:gutter="0"/>
          <w:pgNumType w:start="1"/>
          <w:cols w:space="720" w:num="1"/>
          <w:docGrid w:type="linesAndChars" w:linePitch="386" w:charSpace="0"/>
        </w:sectPr>
      </w:pPr>
    </w:p>
    <w:tbl>
      <w:tblPr>
        <w:tblStyle w:val="11"/>
        <w:tblpPr w:leftFromText="180" w:rightFromText="180" w:vertAnchor="text" w:horzAnchor="page" w:tblpX="1733" w:tblpY="347"/>
        <w:tblOverlap w:val="never"/>
        <w:tblW w:w="1421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3"/>
        <w:gridCol w:w="570"/>
        <w:gridCol w:w="615"/>
        <w:gridCol w:w="555"/>
        <w:gridCol w:w="630"/>
        <w:gridCol w:w="585"/>
        <w:gridCol w:w="2890"/>
        <w:gridCol w:w="885"/>
        <w:gridCol w:w="4959"/>
        <w:gridCol w:w="1026"/>
        <w:gridCol w:w="855"/>
      </w:tblGrid>
      <w:tr w14:paraId="61B250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213" w:type="dxa"/>
            <w:gridSpan w:val="11"/>
            <w:tcBorders>
              <w:top w:val="nil"/>
              <w:left w:val="nil"/>
              <w:bottom w:val="single" w:color="auto" w:sz="4" w:space="0"/>
              <w:right w:val="nil"/>
            </w:tcBorders>
            <w:noWrap w:val="0"/>
            <w:vAlign w:val="center"/>
          </w:tcPr>
          <w:p w14:paraId="788F79E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24"/>
                <w:szCs w:val="24"/>
                <w:highlight w:val="none"/>
                <w:u w:val="none"/>
                <w:lang w:val="en-US" w:eastAsia="zh-CN"/>
              </w:rPr>
              <w:t>洛浦县重点项目前期费项目绩效评价指标体系综合评分表</w:t>
            </w:r>
          </w:p>
        </w:tc>
      </w:tr>
      <w:tr w14:paraId="530431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3" w:type="dxa"/>
            <w:tcBorders>
              <w:top w:val="single" w:color="auto" w:sz="4" w:space="0"/>
              <w:bottom w:val="single" w:color="auto" w:sz="4" w:space="0"/>
              <w:right w:val="single" w:color="auto" w:sz="4" w:space="0"/>
            </w:tcBorders>
            <w:noWrap w:val="0"/>
            <w:vAlign w:val="center"/>
          </w:tcPr>
          <w:p w14:paraId="6BEBB4B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一级指标</w:t>
            </w:r>
          </w:p>
        </w:tc>
        <w:tc>
          <w:tcPr>
            <w:tcW w:w="570" w:type="dxa"/>
            <w:tcBorders>
              <w:top w:val="single" w:color="auto" w:sz="4" w:space="0"/>
              <w:left w:val="single" w:color="auto" w:sz="4" w:space="0"/>
              <w:bottom w:val="single" w:color="auto" w:sz="4" w:space="0"/>
              <w:right w:val="single" w:color="auto" w:sz="4" w:space="0"/>
            </w:tcBorders>
            <w:noWrap w:val="0"/>
            <w:vAlign w:val="center"/>
          </w:tcPr>
          <w:p w14:paraId="767356A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分值</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4876251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二级指标</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7A39034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分值</w:t>
            </w:r>
          </w:p>
        </w:tc>
        <w:tc>
          <w:tcPr>
            <w:tcW w:w="630" w:type="dxa"/>
            <w:tcBorders>
              <w:top w:val="single" w:color="auto" w:sz="4" w:space="0"/>
              <w:left w:val="single" w:color="auto" w:sz="4" w:space="0"/>
              <w:bottom w:val="single" w:color="auto" w:sz="4" w:space="0"/>
              <w:right w:val="single" w:color="auto" w:sz="4" w:space="0"/>
            </w:tcBorders>
            <w:noWrap w:val="0"/>
            <w:vAlign w:val="center"/>
          </w:tcPr>
          <w:p w14:paraId="65480EE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三级指标</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7B33292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分值</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16814C7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指标解释</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38704AB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标杆值</w:t>
            </w:r>
          </w:p>
        </w:tc>
        <w:tc>
          <w:tcPr>
            <w:tcW w:w="4959" w:type="dxa"/>
            <w:tcBorders>
              <w:top w:val="single" w:color="auto" w:sz="4" w:space="0"/>
              <w:left w:val="single" w:color="auto" w:sz="4" w:space="0"/>
              <w:bottom w:val="single" w:color="auto" w:sz="4" w:space="0"/>
              <w:right w:val="single" w:color="auto" w:sz="4" w:space="0"/>
            </w:tcBorders>
            <w:noWrap w:val="0"/>
            <w:vAlign w:val="center"/>
          </w:tcPr>
          <w:p w14:paraId="717CC11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评分标准</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A93C74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完成值</w:t>
            </w:r>
          </w:p>
        </w:tc>
        <w:tc>
          <w:tcPr>
            <w:tcW w:w="855" w:type="dxa"/>
            <w:tcBorders>
              <w:top w:val="single" w:color="auto" w:sz="4" w:space="0"/>
              <w:left w:val="single" w:color="auto" w:sz="4" w:space="0"/>
              <w:bottom w:val="single" w:color="auto" w:sz="4" w:space="0"/>
            </w:tcBorders>
            <w:noWrap w:val="0"/>
            <w:vAlign w:val="center"/>
          </w:tcPr>
          <w:p w14:paraId="24AE5E6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得分</w:t>
            </w:r>
          </w:p>
        </w:tc>
      </w:tr>
      <w:tr w14:paraId="3FE319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3" w:type="dxa"/>
            <w:vMerge w:val="restart"/>
            <w:tcBorders>
              <w:top w:val="single" w:color="auto" w:sz="4" w:space="0"/>
              <w:bottom w:val="single" w:color="auto" w:sz="4" w:space="0"/>
              <w:right w:val="single" w:color="auto" w:sz="4" w:space="0"/>
            </w:tcBorders>
            <w:noWrap w:val="0"/>
            <w:vAlign w:val="center"/>
          </w:tcPr>
          <w:p w14:paraId="75CAE4C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项目决策</w:t>
            </w:r>
          </w:p>
        </w:tc>
        <w:tc>
          <w:tcPr>
            <w:tcW w:w="570" w:type="dxa"/>
            <w:vMerge w:val="restart"/>
            <w:tcBorders>
              <w:top w:val="single" w:color="auto" w:sz="4" w:space="0"/>
              <w:left w:val="single" w:color="auto" w:sz="4" w:space="0"/>
              <w:bottom w:val="single" w:color="auto" w:sz="4" w:space="0"/>
              <w:right w:val="single" w:color="auto" w:sz="4" w:space="0"/>
            </w:tcBorders>
            <w:noWrap w:val="0"/>
            <w:vAlign w:val="center"/>
          </w:tcPr>
          <w:p w14:paraId="6C2F31B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rPr>
              <w:t>23</w:t>
            </w:r>
          </w:p>
        </w:tc>
        <w:tc>
          <w:tcPr>
            <w:tcW w:w="615" w:type="dxa"/>
            <w:vMerge w:val="restart"/>
            <w:tcBorders>
              <w:top w:val="single" w:color="auto" w:sz="4" w:space="0"/>
              <w:left w:val="single" w:color="auto" w:sz="4" w:space="0"/>
              <w:bottom w:val="single" w:color="auto" w:sz="4" w:space="0"/>
              <w:right w:val="single" w:color="auto" w:sz="4" w:space="0"/>
            </w:tcBorders>
            <w:noWrap w:val="0"/>
            <w:vAlign w:val="center"/>
          </w:tcPr>
          <w:p w14:paraId="38C1DDC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项目立项</w:t>
            </w:r>
          </w:p>
        </w:tc>
        <w:tc>
          <w:tcPr>
            <w:tcW w:w="555" w:type="dxa"/>
            <w:vMerge w:val="restart"/>
            <w:tcBorders>
              <w:top w:val="single" w:color="auto" w:sz="4" w:space="0"/>
              <w:left w:val="single" w:color="auto" w:sz="4" w:space="0"/>
              <w:bottom w:val="single" w:color="auto" w:sz="8" w:space="0"/>
              <w:right w:val="single" w:color="auto" w:sz="8" w:space="0"/>
            </w:tcBorders>
            <w:noWrap w:val="0"/>
            <w:vAlign w:val="center"/>
          </w:tcPr>
          <w:p w14:paraId="59E0D03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630" w:type="dxa"/>
            <w:tcBorders>
              <w:top w:val="single" w:color="auto" w:sz="4" w:space="0"/>
              <w:left w:val="nil"/>
              <w:bottom w:val="single" w:color="auto" w:sz="8" w:space="0"/>
              <w:right w:val="single" w:color="auto" w:sz="8" w:space="0"/>
            </w:tcBorders>
            <w:noWrap w:val="0"/>
            <w:vAlign w:val="center"/>
          </w:tcPr>
          <w:p w14:paraId="6A0853E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立项依据充分性</w:t>
            </w:r>
          </w:p>
        </w:tc>
        <w:tc>
          <w:tcPr>
            <w:tcW w:w="585" w:type="dxa"/>
            <w:tcBorders>
              <w:top w:val="single" w:color="auto" w:sz="4" w:space="0"/>
              <w:left w:val="nil"/>
              <w:bottom w:val="single" w:color="auto" w:sz="8" w:space="0"/>
              <w:right w:val="single" w:color="auto" w:sz="8" w:space="0"/>
            </w:tcBorders>
            <w:noWrap w:val="0"/>
            <w:vAlign w:val="center"/>
          </w:tcPr>
          <w:p w14:paraId="06EA644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w:t>
            </w:r>
          </w:p>
        </w:tc>
        <w:tc>
          <w:tcPr>
            <w:tcW w:w="2890" w:type="dxa"/>
            <w:tcBorders>
              <w:top w:val="single" w:color="auto" w:sz="4" w:space="0"/>
              <w:left w:val="nil"/>
              <w:bottom w:val="single" w:color="auto" w:sz="8" w:space="0"/>
              <w:right w:val="single" w:color="auto" w:sz="8" w:space="0"/>
            </w:tcBorders>
            <w:noWrap w:val="0"/>
            <w:vAlign w:val="center"/>
          </w:tcPr>
          <w:p w14:paraId="118D287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项目立项是否符合法律法规、相关政策、发展规划以及部门职责，用以反映和考核项目立项依据情况。</w:t>
            </w:r>
          </w:p>
        </w:tc>
        <w:tc>
          <w:tcPr>
            <w:tcW w:w="885" w:type="dxa"/>
            <w:tcBorders>
              <w:top w:val="single" w:color="auto" w:sz="4" w:space="0"/>
              <w:left w:val="nil"/>
              <w:bottom w:val="single" w:color="auto" w:sz="8" w:space="0"/>
              <w:right w:val="single" w:color="auto" w:sz="8" w:space="0"/>
            </w:tcBorders>
            <w:noWrap w:val="0"/>
            <w:vAlign w:val="center"/>
          </w:tcPr>
          <w:p w14:paraId="6DE266A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充分</w:t>
            </w:r>
          </w:p>
        </w:tc>
        <w:tc>
          <w:tcPr>
            <w:tcW w:w="4959" w:type="dxa"/>
            <w:tcBorders>
              <w:top w:val="single" w:color="auto" w:sz="4" w:space="0"/>
              <w:left w:val="nil"/>
              <w:bottom w:val="single" w:color="auto" w:sz="8" w:space="0"/>
              <w:right w:val="single" w:color="auto" w:sz="8" w:space="0"/>
            </w:tcBorders>
            <w:noWrap w:val="0"/>
            <w:vAlign w:val="center"/>
          </w:tcPr>
          <w:p w14:paraId="48B2B8D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①项目立项是否符合国家法律法规、国民经济发展规划和相关政策；</w:t>
            </w:r>
          </w:p>
          <w:p w14:paraId="410EA8A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②项目立项是否符合行业发展规划和政策要求；</w:t>
            </w:r>
          </w:p>
          <w:p w14:paraId="2CC7511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③项目立项是否与部门职责范围相符，属于部门履职所需；</w:t>
            </w:r>
          </w:p>
          <w:p w14:paraId="1866858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④项目是否属于公共财政支持范围，是否符合中央、地方事权支出责任划分原则；</w:t>
            </w:r>
          </w:p>
          <w:p w14:paraId="25C0F70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⑤项目是否与相关部门同类项目或部门内部相关项目重复。</w:t>
            </w:r>
          </w:p>
          <w:p w14:paraId="02CAD4C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以上每条要素占权重分的20%，每有一条不符合，扣除对应权重分，扣完为止。</w:t>
            </w:r>
          </w:p>
        </w:tc>
        <w:tc>
          <w:tcPr>
            <w:tcW w:w="1026" w:type="dxa"/>
            <w:tcBorders>
              <w:top w:val="single" w:color="auto" w:sz="4" w:space="0"/>
              <w:left w:val="nil"/>
              <w:bottom w:val="single" w:color="auto" w:sz="8" w:space="0"/>
              <w:right w:val="single" w:color="auto" w:sz="8" w:space="0"/>
            </w:tcBorders>
            <w:noWrap w:val="0"/>
            <w:vAlign w:val="center"/>
          </w:tcPr>
          <w:p w14:paraId="4C95F60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充分</w:t>
            </w:r>
          </w:p>
        </w:tc>
        <w:tc>
          <w:tcPr>
            <w:tcW w:w="855" w:type="dxa"/>
            <w:tcBorders>
              <w:top w:val="single" w:color="auto" w:sz="4" w:space="0"/>
              <w:left w:val="nil"/>
              <w:bottom w:val="single" w:color="auto" w:sz="8" w:space="0"/>
            </w:tcBorders>
            <w:noWrap w:val="0"/>
            <w:vAlign w:val="center"/>
          </w:tcPr>
          <w:p w14:paraId="5BA18F6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w:t>
            </w:r>
          </w:p>
        </w:tc>
      </w:tr>
      <w:tr w14:paraId="6756CC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643" w:type="dxa"/>
            <w:vMerge w:val="continue"/>
            <w:tcBorders>
              <w:top w:val="single" w:color="auto" w:sz="4" w:space="0"/>
              <w:bottom w:val="single" w:color="auto" w:sz="4" w:space="0"/>
              <w:right w:val="single" w:color="auto" w:sz="4" w:space="0"/>
            </w:tcBorders>
            <w:noWrap w:val="0"/>
            <w:vAlign w:val="center"/>
          </w:tcPr>
          <w:p w14:paraId="4D4C664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top w:val="single" w:color="auto" w:sz="4" w:space="0"/>
              <w:left w:val="single" w:color="auto" w:sz="4" w:space="0"/>
              <w:bottom w:val="single" w:color="auto" w:sz="4" w:space="0"/>
              <w:right w:val="single" w:color="auto" w:sz="4" w:space="0"/>
            </w:tcBorders>
            <w:noWrap w:val="0"/>
            <w:vAlign w:val="center"/>
          </w:tcPr>
          <w:p w14:paraId="07FB506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continue"/>
            <w:tcBorders>
              <w:top w:val="single" w:color="auto" w:sz="4" w:space="0"/>
              <w:left w:val="single" w:color="auto" w:sz="4" w:space="0"/>
              <w:bottom w:val="single" w:color="auto" w:sz="4" w:space="0"/>
              <w:right w:val="single" w:color="auto" w:sz="4" w:space="0"/>
            </w:tcBorders>
            <w:noWrap w:val="0"/>
            <w:vAlign w:val="center"/>
          </w:tcPr>
          <w:p w14:paraId="4BA777E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55" w:type="dxa"/>
            <w:vMerge w:val="continue"/>
            <w:tcBorders>
              <w:top w:val="nil"/>
              <w:left w:val="single" w:color="auto" w:sz="4" w:space="0"/>
              <w:bottom w:val="single" w:color="auto" w:sz="4" w:space="0"/>
              <w:right w:val="single" w:color="auto" w:sz="8" w:space="0"/>
            </w:tcBorders>
            <w:noWrap w:val="0"/>
            <w:vAlign w:val="center"/>
          </w:tcPr>
          <w:p w14:paraId="6991826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30" w:type="dxa"/>
            <w:tcBorders>
              <w:top w:val="nil"/>
              <w:left w:val="nil"/>
              <w:bottom w:val="single" w:color="auto" w:sz="4" w:space="0"/>
              <w:right w:val="single" w:color="auto" w:sz="8" w:space="0"/>
            </w:tcBorders>
            <w:noWrap w:val="0"/>
            <w:vAlign w:val="center"/>
          </w:tcPr>
          <w:p w14:paraId="21B5C55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立项程序规范性</w:t>
            </w:r>
          </w:p>
        </w:tc>
        <w:tc>
          <w:tcPr>
            <w:tcW w:w="585" w:type="dxa"/>
            <w:tcBorders>
              <w:top w:val="nil"/>
              <w:left w:val="nil"/>
              <w:bottom w:val="single" w:color="auto" w:sz="4" w:space="0"/>
              <w:right w:val="single" w:color="auto" w:sz="8" w:space="0"/>
            </w:tcBorders>
            <w:noWrap w:val="0"/>
            <w:vAlign w:val="center"/>
          </w:tcPr>
          <w:p w14:paraId="0387B57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890" w:type="dxa"/>
            <w:tcBorders>
              <w:top w:val="nil"/>
              <w:left w:val="nil"/>
              <w:bottom w:val="single" w:color="auto" w:sz="4" w:space="0"/>
              <w:right w:val="single" w:color="auto" w:sz="8" w:space="0"/>
            </w:tcBorders>
            <w:noWrap w:val="0"/>
            <w:vAlign w:val="center"/>
          </w:tcPr>
          <w:p w14:paraId="114AFE5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项目申请、设立过程是否符合相关要求，用以反映和考核项目立项的规范情况。</w:t>
            </w:r>
          </w:p>
        </w:tc>
        <w:tc>
          <w:tcPr>
            <w:tcW w:w="885" w:type="dxa"/>
            <w:tcBorders>
              <w:top w:val="nil"/>
              <w:left w:val="nil"/>
              <w:bottom w:val="single" w:color="auto" w:sz="4" w:space="0"/>
              <w:right w:val="single" w:color="auto" w:sz="8" w:space="0"/>
            </w:tcBorders>
            <w:noWrap w:val="0"/>
            <w:vAlign w:val="center"/>
          </w:tcPr>
          <w:p w14:paraId="08CA45B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规范</w:t>
            </w:r>
          </w:p>
        </w:tc>
        <w:tc>
          <w:tcPr>
            <w:tcW w:w="4959" w:type="dxa"/>
            <w:tcBorders>
              <w:top w:val="nil"/>
              <w:left w:val="nil"/>
              <w:bottom w:val="single" w:color="auto" w:sz="4" w:space="0"/>
              <w:right w:val="single" w:color="auto" w:sz="8" w:space="0"/>
            </w:tcBorders>
            <w:noWrap w:val="0"/>
            <w:vAlign w:val="center"/>
          </w:tcPr>
          <w:p w14:paraId="61A7E14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①项目是否按照规定的程序申请设立；</w:t>
            </w:r>
          </w:p>
          <w:p w14:paraId="071090F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②审批文件、材料是否符合相关要求；</w:t>
            </w:r>
          </w:p>
          <w:p w14:paraId="21D6978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③事前是否已经过必要的可行性研究、专家论证、风险评估、绩效评估、集体决策。</w:t>
            </w:r>
          </w:p>
          <w:p w14:paraId="53FDC2F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①②③齐全得权重分的100%，缺①扣权重分的40%，缺②扣权重分的30%，缺③扣权重分的30%。</w:t>
            </w:r>
          </w:p>
        </w:tc>
        <w:tc>
          <w:tcPr>
            <w:tcW w:w="1026" w:type="dxa"/>
            <w:tcBorders>
              <w:top w:val="nil"/>
              <w:left w:val="nil"/>
              <w:bottom w:val="single" w:color="auto" w:sz="4" w:space="0"/>
              <w:right w:val="single" w:color="auto" w:sz="8" w:space="0"/>
            </w:tcBorders>
            <w:noWrap w:val="0"/>
            <w:vAlign w:val="center"/>
          </w:tcPr>
          <w:p w14:paraId="35746C6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规范</w:t>
            </w:r>
          </w:p>
        </w:tc>
        <w:tc>
          <w:tcPr>
            <w:tcW w:w="855" w:type="dxa"/>
            <w:tcBorders>
              <w:top w:val="nil"/>
              <w:left w:val="nil"/>
              <w:bottom w:val="single" w:color="auto" w:sz="4" w:space="0"/>
            </w:tcBorders>
            <w:noWrap w:val="0"/>
            <w:vAlign w:val="center"/>
          </w:tcPr>
          <w:p w14:paraId="42062E6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r>
      <w:tr w14:paraId="336B39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9" w:hRule="atLeast"/>
        </w:trPr>
        <w:tc>
          <w:tcPr>
            <w:tcW w:w="643" w:type="dxa"/>
            <w:vMerge w:val="continue"/>
            <w:tcBorders>
              <w:top w:val="single" w:color="auto" w:sz="4" w:space="0"/>
              <w:bottom w:val="single" w:color="auto" w:sz="4" w:space="0"/>
              <w:right w:val="single" w:color="auto" w:sz="4" w:space="0"/>
            </w:tcBorders>
            <w:noWrap w:val="0"/>
            <w:vAlign w:val="center"/>
          </w:tcPr>
          <w:p w14:paraId="02CE54B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top w:val="single" w:color="auto" w:sz="4" w:space="0"/>
              <w:left w:val="single" w:color="auto" w:sz="4" w:space="0"/>
              <w:bottom w:val="single" w:color="auto" w:sz="4" w:space="0"/>
              <w:right w:val="single" w:color="auto" w:sz="4" w:space="0"/>
            </w:tcBorders>
            <w:noWrap w:val="0"/>
            <w:vAlign w:val="center"/>
          </w:tcPr>
          <w:p w14:paraId="632E602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restart"/>
            <w:tcBorders>
              <w:top w:val="single" w:color="auto" w:sz="4" w:space="0"/>
              <w:left w:val="single" w:color="auto" w:sz="4" w:space="0"/>
              <w:bottom w:val="single" w:color="auto" w:sz="4" w:space="0"/>
              <w:right w:val="single" w:color="auto" w:sz="4" w:space="0"/>
            </w:tcBorders>
            <w:noWrap w:val="0"/>
            <w:vAlign w:val="center"/>
          </w:tcPr>
          <w:p w14:paraId="58ED8AD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绩效目标</w:t>
            </w:r>
          </w:p>
        </w:tc>
        <w:tc>
          <w:tcPr>
            <w:tcW w:w="555" w:type="dxa"/>
            <w:vMerge w:val="restart"/>
            <w:tcBorders>
              <w:top w:val="single" w:color="auto" w:sz="4" w:space="0"/>
              <w:left w:val="single" w:color="auto" w:sz="4" w:space="0"/>
              <w:bottom w:val="single" w:color="auto" w:sz="8" w:space="0"/>
              <w:right w:val="single" w:color="auto" w:sz="8" w:space="0"/>
            </w:tcBorders>
            <w:noWrap w:val="0"/>
            <w:vAlign w:val="center"/>
          </w:tcPr>
          <w:p w14:paraId="57AB444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630" w:type="dxa"/>
            <w:tcBorders>
              <w:top w:val="single" w:color="auto" w:sz="4" w:space="0"/>
              <w:left w:val="nil"/>
              <w:bottom w:val="single" w:color="auto" w:sz="8" w:space="0"/>
              <w:right w:val="single" w:color="auto" w:sz="8" w:space="0"/>
            </w:tcBorders>
            <w:noWrap w:val="0"/>
            <w:vAlign w:val="center"/>
          </w:tcPr>
          <w:p w14:paraId="4108145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绩效目标合理性</w:t>
            </w:r>
          </w:p>
        </w:tc>
        <w:tc>
          <w:tcPr>
            <w:tcW w:w="585" w:type="dxa"/>
            <w:tcBorders>
              <w:top w:val="single" w:color="auto" w:sz="4" w:space="0"/>
              <w:left w:val="nil"/>
              <w:bottom w:val="single" w:color="auto" w:sz="8" w:space="0"/>
              <w:right w:val="single" w:color="auto" w:sz="8" w:space="0"/>
            </w:tcBorders>
            <w:noWrap w:val="0"/>
            <w:vAlign w:val="center"/>
          </w:tcPr>
          <w:p w14:paraId="53F88BE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890" w:type="dxa"/>
            <w:tcBorders>
              <w:top w:val="single" w:color="auto" w:sz="4" w:space="0"/>
              <w:left w:val="nil"/>
              <w:bottom w:val="single" w:color="auto" w:sz="8" w:space="0"/>
              <w:right w:val="single" w:color="auto" w:sz="8" w:space="0"/>
            </w:tcBorders>
            <w:noWrap w:val="0"/>
            <w:vAlign w:val="center"/>
          </w:tcPr>
          <w:p w14:paraId="5C09191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项目所设定的绩效目标是否依据充分，是否符合客观实际，用以反映和考核项目绩效目标与项目实施的相符情况。</w:t>
            </w:r>
          </w:p>
        </w:tc>
        <w:tc>
          <w:tcPr>
            <w:tcW w:w="885" w:type="dxa"/>
            <w:tcBorders>
              <w:top w:val="single" w:color="auto" w:sz="4" w:space="0"/>
              <w:left w:val="nil"/>
              <w:bottom w:val="single" w:color="auto" w:sz="8" w:space="0"/>
              <w:right w:val="single" w:color="auto" w:sz="8" w:space="0"/>
            </w:tcBorders>
            <w:noWrap w:val="0"/>
            <w:vAlign w:val="center"/>
          </w:tcPr>
          <w:p w14:paraId="3C45948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合理</w:t>
            </w:r>
          </w:p>
        </w:tc>
        <w:tc>
          <w:tcPr>
            <w:tcW w:w="4959" w:type="dxa"/>
            <w:tcBorders>
              <w:top w:val="single" w:color="auto" w:sz="4" w:space="0"/>
              <w:left w:val="nil"/>
              <w:bottom w:val="single" w:color="auto" w:sz="8" w:space="0"/>
              <w:right w:val="single" w:color="auto" w:sz="8" w:space="0"/>
            </w:tcBorders>
            <w:noWrap w:val="0"/>
            <w:vAlign w:val="center"/>
          </w:tcPr>
          <w:p w14:paraId="11591E2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①项目是否有绩效目标；</w:t>
            </w:r>
          </w:p>
          <w:p w14:paraId="0A1B0A0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②项目绩效目标与实际工作内容是否具有相关性；</w:t>
            </w:r>
          </w:p>
          <w:p w14:paraId="759DF2A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③项目预期产出效益和效果是否符合正常的业绩水平；</w:t>
            </w:r>
          </w:p>
          <w:p w14:paraId="26E30E8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④是否与预算确定的项目投资额或资金量相匹配。</w:t>
            </w:r>
          </w:p>
          <w:p w14:paraId="64219BF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以上每条要素各占权重的25%，每有一条不符合，扣除对应的权重分，扣完为止。</w:t>
            </w:r>
          </w:p>
        </w:tc>
        <w:tc>
          <w:tcPr>
            <w:tcW w:w="1026" w:type="dxa"/>
            <w:tcBorders>
              <w:top w:val="single" w:color="auto" w:sz="4" w:space="0"/>
              <w:left w:val="nil"/>
              <w:bottom w:val="single" w:color="auto" w:sz="8" w:space="0"/>
              <w:right w:val="single" w:color="auto" w:sz="8" w:space="0"/>
            </w:tcBorders>
            <w:noWrap w:val="0"/>
            <w:vAlign w:val="center"/>
          </w:tcPr>
          <w:p w14:paraId="28E4E2B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合理</w:t>
            </w:r>
          </w:p>
        </w:tc>
        <w:tc>
          <w:tcPr>
            <w:tcW w:w="855" w:type="dxa"/>
            <w:tcBorders>
              <w:top w:val="single" w:color="auto" w:sz="4" w:space="0"/>
              <w:left w:val="nil"/>
              <w:bottom w:val="single" w:color="auto" w:sz="8" w:space="0"/>
            </w:tcBorders>
            <w:noWrap w:val="0"/>
            <w:vAlign w:val="center"/>
          </w:tcPr>
          <w:p w14:paraId="3AE4476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r>
      <w:tr w14:paraId="42A010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3" w:type="dxa"/>
            <w:vMerge w:val="continue"/>
            <w:tcBorders>
              <w:top w:val="single" w:color="auto" w:sz="4" w:space="0"/>
              <w:bottom w:val="single" w:color="auto" w:sz="4" w:space="0"/>
              <w:right w:val="single" w:color="auto" w:sz="4" w:space="0"/>
            </w:tcBorders>
            <w:noWrap w:val="0"/>
            <w:vAlign w:val="center"/>
          </w:tcPr>
          <w:p w14:paraId="2D560BE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top w:val="single" w:color="auto" w:sz="4" w:space="0"/>
              <w:left w:val="single" w:color="auto" w:sz="4" w:space="0"/>
              <w:bottom w:val="single" w:color="auto" w:sz="4" w:space="0"/>
              <w:right w:val="single" w:color="auto" w:sz="4" w:space="0"/>
            </w:tcBorders>
            <w:noWrap w:val="0"/>
            <w:vAlign w:val="center"/>
          </w:tcPr>
          <w:p w14:paraId="5E5CC27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continue"/>
            <w:tcBorders>
              <w:top w:val="single" w:color="auto" w:sz="4" w:space="0"/>
              <w:left w:val="single" w:color="auto" w:sz="4" w:space="0"/>
              <w:bottom w:val="single" w:color="auto" w:sz="4" w:space="0"/>
              <w:right w:val="single" w:color="auto" w:sz="4" w:space="0"/>
            </w:tcBorders>
            <w:noWrap w:val="0"/>
            <w:vAlign w:val="center"/>
          </w:tcPr>
          <w:p w14:paraId="13D6D88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55" w:type="dxa"/>
            <w:vMerge w:val="continue"/>
            <w:tcBorders>
              <w:top w:val="nil"/>
              <w:left w:val="single" w:color="auto" w:sz="4" w:space="0"/>
              <w:bottom w:val="single" w:color="auto" w:sz="4" w:space="0"/>
              <w:right w:val="single" w:color="auto" w:sz="8" w:space="0"/>
            </w:tcBorders>
            <w:noWrap w:val="0"/>
            <w:vAlign w:val="center"/>
          </w:tcPr>
          <w:p w14:paraId="762840D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30" w:type="dxa"/>
            <w:tcBorders>
              <w:top w:val="nil"/>
              <w:left w:val="nil"/>
              <w:bottom w:val="single" w:color="auto" w:sz="4" w:space="0"/>
              <w:right w:val="single" w:color="auto" w:sz="8" w:space="0"/>
            </w:tcBorders>
            <w:noWrap w:val="0"/>
            <w:vAlign w:val="center"/>
          </w:tcPr>
          <w:p w14:paraId="3455C6F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绩效指标明确性</w:t>
            </w:r>
          </w:p>
        </w:tc>
        <w:tc>
          <w:tcPr>
            <w:tcW w:w="585" w:type="dxa"/>
            <w:tcBorders>
              <w:top w:val="nil"/>
              <w:left w:val="nil"/>
              <w:bottom w:val="single" w:color="auto" w:sz="4" w:space="0"/>
              <w:right w:val="single" w:color="auto" w:sz="8" w:space="0"/>
            </w:tcBorders>
            <w:noWrap w:val="0"/>
            <w:vAlign w:val="center"/>
          </w:tcPr>
          <w:p w14:paraId="2C8F9C4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890" w:type="dxa"/>
            <w:tcBorders>
              <w:top w:val="nil"/>
              <w:left w:val="nil"/>
              <w:bottom w:val="single" w:color="auto" w:sz="4" w:space="0"/>
              <w:right w:val="single" w:color="auto" w:sz="8" w:space="0"/>
            </w:tcBorders>
            <w:noWrap w:val="0"/>
            <w:vAlign w:val="center"/>
          </w:tcPr>
          <w:p w14:paraId="056BBE2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依据绩效目标设定的绩效指标是否清晰、细化、可衡量等，用以反映和考核项目绩效目标的明细化情况。</w:t>
            </w:r>
          </w:p>
        </w:tc>
        <w:tc>
          <w:tcPr>
            <w:tcW w:w="885" w:type="dxa"/>
            <w:tcBorders>
              <w:top w:val="nil"/>
              <w:left w:val="nil"/>
              <w:bottom w:val="single" w:color="auto" w:sz="4" w:space="0"/>
              <w:right w:val="single" w:color="auto" w:sz="8" w:space="0"/>
            </w:tcBorders>
            <w:noWrap w:val="0"/>
            <w:vAlign w:val="center"/>
          </w:tcPr>
          <w:p w14:paraId="61B7AB5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明确</w:t>
            </w:r>
          </w:p>
        </w:tc>
        <w:tc>
          <w:tcPr>
            <w:tcW w:w="4959" w:type="dxa"/>
            <w:tcBorders>
              <w:top w:val="nil"/>
              <w:left w:val="nil"/>
              <w:bottom w:val="single" w:color="auto" w:sz="4" w:space="0"/>
              <w:right w:val="single" w:color="auto" w:sz="8" w:space="0"/>
            </w:tcBorders>
            <w:noWrap w:val="0"/>
            <w:vAlign w:val="center"/>
          </w:tcPr>
          <w:p w14:paraId="70E89E9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①是否将项目绩效目标细化分解为具体的绩效指标；</w:t>
            </w:r>
          </w:p>
          <w:p w14:paraId="3498D91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②是否通过清晰、可衡量的指标值予以体现；</w:t>
            </w:r>
          </w:p>
          <w:p w14:paraId="047AAC4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③是否与项目目标任务数或计划数相对应。</w:t>
            </w:r>
          </w:p>
          <w:p w14:paraId="78E3F6A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①②③齐全得权重分的100%，缺①扣权重分的20%，缺②扣权重分的50%，缺③扣权重分的30%。</w:t>
            </w:r>
          </w:p>
        </w:tc>
        <w:tc>
          <w:tcPr>
            <w:tcW w:w="1026" w:type="dxa"/>
            <w:tcBorders>
              <w:top w:val="nil"/>
              <w:left w:val="nil"/>
              <w:bottom w:val="single" w:color="auto" w:sz="4" w:space="0"/>
              <w:right w:val="single" w:color="auto" w:sz="8" w:space="0"/>
            </w:tcBorders>
            <w:noWrap w:val="0"/>
            <w:vAlign w:val="center"/>
          </w:tcPr>
          <w:p w14:paraId="1E1DEC4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明确</w:t>
            </w:r>
          </w:p>
        </w:tc>
        <w:tc>
          <w:tcPr>
            <w:tcW w:w="855" w:type="dxa"/>
            <w:tcBorders>
              <w:top w:val="nil"/>
              <w:left w:val="nil"/>
              <w:bottom w:val="single" w:color="auto" w:sz="4" w:space="0"/>
            </w:tcBorders>
            <w:noWrap w:val="0"/>
            <w:vAlign w:val="center"/>
          </w:tcPr>
          <w:p w14:paraId="7255DEB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r>
      <w:tr w14:paraId="570906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85" w:hRule="atLeast"/>
        </w:trPr>
        <w:tc>
          <w:tcPr>
            <w:tcW w:w="643" w:type="dxa"/>
            <w:vMerge w:val="continue"/>
            <w:tcBorders>
              <w:top w:val="single" w:color="auto" w:sz="4" w:space="0"/>
              <w:bottom w:val="single" w:color="auto" w:sz="4" w:space="0"/>
              <w:right w:val="single" w:color="auto" w:sz="4" w:space="0"/>
            </w:tcBorders>
            <w:noWrap w:val="0"/>
            <w:vAlign w:val="center"/>
          </w:tcPr>
          <w:p w14:paraId="5091451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top w:val="single" w:color="auto" w:sz="4" w:space="0"/>
              <w:left w:val="single" w:color="auto" w:sz="4" w:space="0"/>
              <w:bottom w:val="single" w:color="auto" w:sz="4" w:space="0"/>
              <w:right w:val="single" w:color="auto" w:sz="4" w:space="0"/>
            </w:tcBorders>
            <w:noWrap w:val="0"/>
            <w:vAlign w:val="center"/>
          </w:tcPr>
          <w:p w14:paraId="0285A49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restart"/>
            <w:tcBorders>
              <w:top w:val="single" w:color="auto" w:sz="4" w:space="0"/>
              <w:left w:val="single" w:color="auto" w:sz="4" w:space="0"/>
              <w:bottom w:val="single" w:color="auto" w:sz="4" w:space="0"/>
              <w:right w:val="single" w:color="auto" w:sz="4" w:space="0"/>
            </w:tcBorders>
            <w:noWrap w:val="0"/>
            <w:vAlign w:val="center"/>
          </w:tcPr>
          <w:p w14:paraId="0D440B0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资金投入</w:t>
            </w:r>
          </w:p>
        </w:tc>
        <w:tc>
          <w:tcPr>
            <w:tcW w:w="555" w:type="dxa"/>
            <w:vMerge w:val="restart"/>
            <w:tcBorders>
              <w:top w:val="single" w:color="auto" w:sz="4" w:space="0"/>
              <w:left w:val="single" w:color="auto" w:sz="4" w:space="0"/>
              <w:bottom w:val="single" w:color="auto" w:sz="4" w:space="0"/>
              <w:right w:val="single" w:color="auto" w:sz="8" w:space="0"/>
            </w:tcBorders>
            <w:noWrap w:val="0"/>
            <w:vAlign w:val="center"/>
          </w:tcPr>
          <w:p w14:paraId="7ACE4FD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8</w:t>
            </w:r>
          </w:p>
        </w:tc>
        <w:tc>
          <w:tcPr>
            <w:tcW w:w="630" w:type="dxa"/>
            <w:tcBorders>
              <w:top w:val="single" w:color="auto" w:sz="4" w:space="0"/>
              <w:left w:val="nil"/>
              <w:bottom w:val="single" w:color="auto" w:sz="4" w:space="0"/>
              <w:right w:val="single" w:color="auto" w:sz="8" w:space="0"/>
            </w:tcBorders>
            <w:noWrap w:val="0"/>
            <w:vAlign w:val="center"/>
          </w:tcPr>
          <w:p w14:paraId="028C3EC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预算编制科学性</w:t>
            </w:r>
          </w:p>
        </w:tc>
        <w:tc>
          <w:tcPr>
            <w:tcW w:w="585" w:type="dxa"/>
            <w:tcBorders>
              <w:top w:val="single" w:color="auto" w:sz="4" w:space="0"/>
              <w:left w:val="nil"/>
              <w:bottom w:val="single" w:color="auto" w:sz="4" w:space="0"/>
              <w:right w:val="single" w:color="auto" w:sz="8" w:space="0"/>
            </w:tcBorders>
            <w:noWrap w:val="0"/>
            <w:vAlign w:val="center"/>
          </w:tcPr>
          <w:p w14:paraId="52B1F90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w:t>
            </w:r>
          </w:p>
        </w:tc>
        <w:tc>
          <w:tcPr>
            <w:tcW w:w="2890" w:type="dxa"/>
            <w:tcBorders>
              <w:top w:val="single" w:color="auto" w:sz="4" w:space="0"/>
              <w:left w:val="nil"/>
              <w:bottom w:val="single" w:color="auto" w:sz="4" w:space="0"/>
              <w:right w:val="single" w:color="auto" w:sz="8" w:space="0"/>
            </w:tcBorders>
            <w:noWrap w:val="0"/>
            <w:vAlign w:val="center"/>
          </w:tcPr>
          <w:p w14:paraId="7525D3A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项目预算编制是否经过科学论证、有明确标准，资金额度与年度目标是否相适应，用以反映和考核项目预算编制的科学性、合理性情况。</w:t>
            </w:r>
          </w:p>
        </w:tc>
        <w:tc>
          <w:tcPr>
            <w:tcW w:w="885" w:type="dxa"/>
            <w:tcBorders>
              <w:top w:val="single" w:color="auto" w:sz="4" w:space="0"/>
              <w:left w:val="nil"/>
              <w:bottom w:val="single" w:color="auto" w:sz="4" w:space="0"/>
              <w:right w:val="single" w:color="auto" w:sz="8" w:space="0"/>
            </w:tcBorders>
            <w:noWrap w:val="0"/>
            <w:vAlign w:val="center"/>
          </w:tcPr>
          <w:p w14:paraId="16E29E7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科学</w:t>
            </w:r>
          </w:p>
        </w:tc>
        <w:tc>
          <w:tcPr>
            <w:tcW w:w="4959" w:type="dxa"/>
            <w:tcBorders>
              <w:top w:val="single" w:color="auto" w:sz="4" w:space="0"/>
              <w:left w:val="nil"/>
              <w:bottom w:val="single" w:color="auto" w:sz="4" w:space="0"/>
              <w:right w:val="single" w:color="auto" w:sz="8" w:space="0"/>
            </w:tcBorders>
            <w:noWrap w:val="0"/>
            <w:vAlign w:val="center"/>
          </w:tcPr>
          <w:p w14:paraId="4C26431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①预算编制是否经过科学论证；</w:t>
            </w:r>
          </w:p>
          <w:p w14:paraId="170B02B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②预算内容与项目内容是否匹配；</w:t>
            </w:r>
          </w:p>
          <w:p w14:paraId="4F6FEF2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③预算额度测算依据是否充分，是否按照标准编制；</w:t>
            </w:r>
          </w:p>
          <w:p w14:paraId="176530C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④预算确定的项目投资额或资金量是否与工作任务相匹配。</w:t>
            </w:r>
          </w:p>
          <w:p w14:paraId="7A411C8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以上每条要素各占权重的25%，每有一条不符合，扣除对应的权重分，扣完为止。</w:t>
            </w:r>
          </w:p>
        </w:tc>
        <w:tc>
          <w:tcPr>
            <w:tcW w:w="1026" w:type="dxa"/>
            <w:tcBorders>
              <w:top w:val="single" w:color="auto" w:sz="4" w:space="0"/>
              <w:left w:val="nil"/>
              <w:bottom w:val="single" w:color="auto" w:sz="4" w:space="0"/>
              <w:right w:val="single" w:color="auto" w:sz="8" w:space="0"/>
            </w:tcBorders>
            <w:noWrap w:val="0"/>
            <w:vAlign w:val="center"/>
          </w:tcPr>
          <w:p w14:paraId="71E48C6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科学</w:t>
            </w:r>
          </w:p>
        </w:tc>
        <w:tc>
          <w:tcPr>
            <w:tcW w:w="855" w:type="dxa"/>
            <w:tcBorders>
              <w:top w:val="single" w:color="auto" w:sz="4" w:space="0"/>
              <w:left w:val="nil"/>
              <w:bottom w:val="single" w:color="auto" w:sz="4" w:space="0"/>
            </w:tcBorders>
            <w:noWrap w:val="0"/>
            <w:vAlign w:val="center"/>
          </w:tcPr>
          <w:p w14:paraId="31E84CF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w:t>
            </w:r>
          </w:p>
        </w:tc>
      </w:tr>
      <w:tr w14:paraId="3A717A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643" w:type="dxa"/>
            <w:vMerge w:val="continue"/>
            <w:tcBorders>
              <w:top w:val="single" w:color="auto" w:sz="4" w:space="0"/>
              <w:bottom w:val="single" w:color="auto" w:sz="4" w:space="0"/>
              <w:right w:val="single" w:color="auto" w:sz="8" w:space="0"/>
            </w:tcBorders>
            <w:noWrap w:val="0"/>
            <w:vAlign w:val="center"/>
          </w:tcPr>
          <w:p w14:paraId="5386278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top w:val="single" w:color="auto" w:sz="4" w:space="0"/>
              <w:left w:val="nil"/>
              <w:bottom w:val="single" w:color="auto" w:sz="4" w:space="0"/>
              <w:right w:val="single" w:color="auto" w:sz="4" w:space="0"/>
            </w:tcBorders>
            <w:noWrap w:val="0"/>
            <w:vAlign w:val="center"/>
          </w:tcPr>
          <w:p w14:paraId="0A6F08A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continue"/>
            <w:tcBorders>
              <w:top w:val="single" w:color="auto" w:sz="4" w:space="0"/>
              <w:left w:val="single" w:color="auto" w:sz="4" w:space="0"/>
              <w:bottom w:val="single" w:color="auto" w:sz="4" w:space="0"/>
              <w:right w:val="single" w:color="auto" w:sz="4" w:space="0"/>
            </w:tcBorders>
            <w:noWrap w:val="0"/>
            <w:vAlign w:val="center"/>
          </w:tcPr>
          <w:p w14:paraId="490978D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55" w:type="dxa"/>
            <w:vMerge w:val="continue"/>
            <w:tcBorders>
              <w:top w:val="single" w:color="auto" w:sz="4" w:space="0"/>
              <w:left w:val="single" w:color="auto" w:sz="4" w:space="0"/>
              <w:bottom w:val="single" w:color="auto" w:sz="8" w:space="0"/>
              <w:right w:val="single" w:color="auto" w:sz="8" w:space="0"/>
            </w:tcBorders>
            <w:noWrap w:val="0"/>
            <w:vAlign w:val="center"/>
          </w:tcPr>
          <w:p w14:paraId="6D757D4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30" w:type="dxa"/>
            <w:tcBorders>
              <w:top w:val="single" w:color="auto" w:sz="4" w:space="0"/>
              <w:left w:val="nil"/>
              <w:bottom w:val="single" w:color="auto" w:sz="8" w:space="0"/>
              <w:right w:val="single" w:color="auto" w:sz="8" w:space="0"/>
            </w:tcBorders>
            <w:noWrap w:val="0"/>
            <w:vAlign w:val="center"/>
          </w:tcPr>
          <w:p w14:paraId="07722DC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资金分配合理性</w:t>
            </w:r>
          </w:p>
        </w:tc>
        <w:tc>
          <w:tcPr>
            <w:tcW w:w="585" w:type="dxa"/>
            <w:tcBorders>
              <w:top w:val="single" w:color="auto" w:sz="4" w:space="0"/>
              <w:left w:val="nil"/>
              <w:bottom w:val="single" w:color="auto" w:sz="8" w:space="0"/>
              <w:right w:val="single" w:color="auto" w:sz="8" w:space="0"/>
            </w:tcBorders>
            <w:noWrap w:val="0"/>
            <w:vAlign w:val="center"/>
          </w:tcPr>
          <w:p w14:paraId="25A5DCD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w:t>
            </w:r>
          </w:p>
        </w:tc>
        <w:tc>
          <w:tcPr>
            <w:tcW w:w="2890" w:type="dxa"/>
            <w:tcBorders>
              <w:top w:val="single" w:color="auto" w:sz="4" w:space="0"/>
              <w:left w:val="nil"/>
              <w:bottom w:val="single" w:color="auto" w:sz="8" w:space="0"/>
              <w:right w:val="single" w:color="auto" w:sz="8" w:space="0"/>
            </w:tcBorders>
            <w:noWrap w:val="0"/>
            <w:vAlign w:val="center"/>
          </w:tcPr>
          <w:p w14:paraId="319F037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项目预算资金分配是否有测算依据，与补助单位或地方实际是否相适应，用以反映和考核项目预算资金分配的科学性、合理性情况。</w:t>
            </w:r>
          </w:p>
        </w:tc>
        <w:tc>
          <w:tcPr>
            <w:tcW w:w="885" w:type="dxa"/>
            <w:tcBorders>
              <w:top w:val="single" w:color="auto" w:sz="4" w:space="0"/>
              <w:left w:val="nil"/>
              <w:bottom w:val="single" w:color="auto" w:sz="8" w:space="0"/>
              <w:right w:val="single" w:color="auto" w:sz="8" w:space="0"/>
            </w:tcBorders>
            <w:noWrap w:val="0"/>
            <w:vAlign w:val="center"/>
          </w:tcPr>
          <w:p w14:paraId="4F86C8E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合理</w:t>
            </w:r>
          </w:p>
        </w:tc>
        <w:tc>
          <w:tcPr>
            <w:tcW w:w="4959" w:type="dxa"/>
            <w:tcBorders>
              <w:top w:val="single" w:color="auto" w:sz="4" w:space="0"/>
              <w:left w:val="nil"/>
              <w:bottom w:val="single" w:color="auto" w:sz="8" w:space="0"/>
              <w:right w:val="single" w:color="auto" w:sz="8" w:space="0"/>
            </w:tcBorders>
            <w:noWrap w:val="0"/>
            <w:vAlign w:val="center"/>
          </w:tcPr>
          <w:p w14:paraId="5BCC473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①预算资金分配依据是否充分；</w:t>
            </w:r>
          </w:p>
          <w:p w14:paraId="21ED951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②资金分配额度是否合理，与项目单位或地方实际是否相适应。</w:t>
            </w:r>
          </w:p>
          <w:p w14:paraId="5DD45B5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以上每条要素各占权重的50%，每有一条不符合，扣除对应的权重分，扣完为止。</w:t>
            </w:r>
          </w:p>
        </w:tc>
        <w:tc>
          <w:tcPr>
            <w:tcW w:w="1026" w:type="dxa"/>
            <w:tcBorders>
              <w:top w:val="single" w:color="auto" w:sz="4" w:space="0"/>
              <w:left w:val="nil"/>
              <w:bottom w:val="single" w:color="auto" w:sz="8" w:space="0"/>
              <w:right w:val="single" w:color="auto" w:sz="8" w:space="0"/>
            </w:tcBorders>
            <w:noWrap w:val="0"/>
            <w:vAlign w:val="center"/>
          </w:tcPr>
          <w:p w14:paraId="2E2D971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合理</w:t>
            </w:r>
          </w:p>
        </w:tc>
        <w:tc>
          <w:tcPr>
            <w:tcW w:w="855" w:type="dxa"/>
            <w:tcBorders>
              <w:top w:val="single" w:color="auto" w:sz="4" w:space="0"/>
              <w:left w:val="nil"/>
              <w:bottom w:val="single" w:color="auto" w:sz="8" w:space="0"/>
            </w:tcBorders>
            <w:noWrap w:val="0"/>
            <w:vAlign w:val="center"/>
          </w:tcPr>
          <w:p w14:paraId="5A3F0A9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w:t>
            </w:r>
          </w:p>
        </w:tc>
      </w:tr>
      <w:tr w14:paraId="418867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5" w:hRule="atLeast"/>
        </w:trPr>
        <w:tc>
          <w:tcPr>
            <w:tcW w:w="643" w:type="dxa"/>
            <w:vMerge w:val="restart"/>
            <w:tcBorders>
              <w:top w:val="single" w:color="auto" w:sz="4" w:space="0"/>
              <w:bottom w:val="single" w:color="auto" w:sz="4" w:space="0"/>
              <w:right w:val="single" w:color="auto" w:sz="8" w:space="0"/>
            </w:tcBorders>
            <w:noWrap w:val="0"/>
            <w:vAlign w:val="center"/>
          </w:tcPr>
          <w:p w14:paraId="3084AB8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项目过程</w:t>
            </w:r>
          </w:p>
        </w:tc>
        <w:tc>
          <w:tcPr>
            <w:tcW w:w="570" w:type="dxa"/>
            <w:vMerge w:val="restart"/>
            <w:tcBorders>
              <w:top w:val="single" w:color="auto" w:sz="4" w:space="0"/>
              <w:left w:val="nil"/>
              <w:bottom w:val="single" w:color="auto" w:sz="4" w:space="0"/>
              <w:right w:val="single" w:color="auto" w:sz="8" w:space="0"/>
            </w:tcBorders>
            <w:noWrap w:val="0"/>
            <w:vAlign w:val="center"/>
          </w:tcPr>
          <w:p w14:paraId="6A54B9D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12</w:t>
            </w:r>
          </w:p>
        </w:tc>
        <w:tc>
          <w:tcPr>
            <w:tcW w:w="615" w:type="dxa"/>
            <w:vMerge w:val="restart"/>
            <w:tcBorders>
              <w:top w:val="single" w:color="auto" w:sz="4" w:space="0"/>
              <w:left w:val="nil"/>
              <w:bottom w:val="single" w:color="auto" w:sz="4" w:space="0"/>
              <w:right w:val="single" w:color="auto" w:sz="8" w:space="0"/>
            </w:tcBorders>
            <w:noWrap w:val="0"/>
            <w:vAlign w:val="center"/>
          </w:tcPr>
          <w:p w14:paraId="73C99AD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资金管理</w:t>
            </w:r>
          </w:p>
        </w:tc>
        <w:tc>
          <w:tcPr>
            <w:tcW w:w="555" w:type="dxa"/>
            <w:vMerge w:val="restart"/>
            <w:tcBorders>
              <w:top w:val="nil"/>
              <w:left w:val="nil"/>
              <w:bottom w:val="single" w:color="auto" w:sz="8" w:space="0"/>
              <w:right w:val="single" w:color="auto" w:sz="8" w:space="0"/>
            </w:tcBorders>
            <w:noWrap w:val="0"/>
            <w:vAlign w:val="center"/>
          </w:tcPr>
          <w:p w14:paraId="13A617F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630" w:type="dxa"/>
            <w:tcBorders>
              <w:top w:val="nil"/>
              <w:left w:val="nil"/>
              <w:bottom w:val="single" w:color="auto" w:sz="8" w:space="0"/>
              <w:right w:val="single" w:color="auto" w:sz="8" w:space="0"/>
            </w:tcBorders>
            <w:noWrap w:val="0"/>
            <w:vAlign w:val="center"/>
          </w:tcPr>
          <w:p w14:paraId="2D9CF98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资金到位率</w:t>
            </w:r>
          </w:p>
        </w:tc>
        <w:tc>
          <w:tcPr>
            <w:tcW w:w="585" w:type="dxa"/>
            <w:tcBorders>
              <w:top w:val="nil"/>
              <w:left w:val="nil"/>
              <w:bottom w:val="single" w:color="auto" w:sz="8" w:space="0"/>
              <w:right w:val="single" w:color="auto" w:sz="8" w:space="0"/>
            </w:tcBorders>
            <w:noWrap w:val="0"/>
            <w:vAlign w:val="center"/>
          </w:tcPr>
          <w:p w14:paraId="03AD879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c>
          <w:tcPr>
            <w:tcW w:w="2890" w:type="dxa"/>
            <w:tcBorders>
              <w:top w:val="nil"/>
              <w:left w:val="nil"/>
              <w:bottom w:val="single" w:color="auto" w:sz="8" w:space="0"/>
              <w:right w:val="single" w:color="auto" w:sz="8" w:space="0"/>
            </w:tcBorders>
            <w:noWrap w:val="0"/>
            <w:vAlign w:val="center"/>
          </w:tcPr>
          <w:p w14:paraId="0381059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实际到位资金与预算资金的比率，用以反映和考核资金落实情况对项目实施的总体保障程度。</w:t>
            </w:r>
          </w:p>
        </w:tc>
        <w:tc>
          <w:tcPr>
            <w:tcW w:w="885" w:type="dxa"/>
            <w:tcBorders>
              <w:top w:val="nil"/>
              <w:left w:val="nil"/>
              <w:bottom w:val="single" w:color="auto" w:sz="8" w:space="0"/>
              <w:right w:val="single" w:color="auto" w:sz="8" w:space="0"/>
            </w:tcBorders>
            <w:noWrap w:val="0"/>
            <w:vAlign w:val="center"/>
          </w:tcPr>
          <w:p w14:paraId="49C0A67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4959" w:type="dxa"/>
            <w:tcBorders>
              <w:top w:val="nil"/>
              <w:left w:val="nil"/>
              <w:bottom w:val="single" w:color="auto" w:sz="8" w:space="0"/>
              <w:right w:val="single" w:color="auto" w:sz="8" w:space="0"/>
            </w:tcBorders>
            <w:noWrap w:val="0"/>
            <w:vAlign w:val="center"/>
          </w:tcPr>
          <w:p w14:paraId="3F96C04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资金到位率=（实际到位资金/预算资金）×100%。</w:t>
            </w:r>
          </w:p>
          <w:p w14:paraId="28A3BCA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资金到位率=100%，得权重分满分，每降低1%，扣除5%权重分，扣完为止。</w:t>
            </w:r>
          </w:p>
        </w:tc>
        <w:tc>
          <w:tcPr>
            <w:tcW w:w="1026" w:type="dxa"/>
            <w:tcBorders>
              <w:top w:val="nil"/>
              <w:left w:val="nil"/>
              <w:bottom w:val="single" w:color="auto" w:sz="8" w:space="0"/>
              <w:right w:val="single" w:color="auto" w:sz="8" w:space="0"/>
            </w:tcBorders>
            <w:noWrap w:val="0"/>
            <w:vAlign w:val="center"/>
          </w:tcPr>
          <w:p w14:paraId="469FBC7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855" w:type="dxa"/>
            <w:tcBorders>
              <w:top w:val="nil"/>
              <w:left w:val="nil"/>
              <w:bottom w:val="single" w:color="auto" w:sz="8" w:space="0"/>
            </w:tcBorders>
            <w:noWrap w:val="0"/>
            <w:vAlign w:val="center"/>
          </w:tcPr>
          <w:p w14:paraId="3C9C0BA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r>
      <w:tr w14:paraId="438E33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43" w:type="dxa"/>
            <w:vMerge w:val="continue"/>
            <w:tcBorders>
              <w:top w:val="single" w:color="auto" w:sz="4" w:space="0"/>
              <w:bottom w:val="single" w:color="auto" w:sz="4" w:space="0"/>
              <w:right w:val="single" w:color="auto" w:sz="8" w:space="0"/>
            </w:tcBorders>
            <w:noWrap w:val="0"/>
            <w:vAlign w:val="center"/>
          </w:tcPr>
          <w:p w14:paraId="1A7A5C2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top w:val="single" w:color="auto" w:sz="4" w:space="0"/>
              <w:left w:val="nil"/>
              <w:bottom w:val="single" w:color="auto" w:sz="4" w:space="0"/>
              <w:right w:val="single" w:color="auto" w:sz="8" w:space="0"/>
            </w:tcBorders>
            <w:noWrap w:val="0"/>
            <w:vAlign w:val="center"/>
          </w:tcPr>
          <w:p w14:paraId="53718F1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continue"/>
            <w:tcBorders>
              <w:top w:val="single" w:color="auto" w:sz="4" w:space="0"/>
              <w:left w:val="nil"/>
              <w:bottom w:val="single" w:color="auto" w:sz="4" w:space="0"/>
              <w:right w:val="single" w:color="auto" w:sz="8" w:space="0"/>
            </w:tcBorders>
            <w:noWrap w:val="0"/>
            <w:vAlign w:val="center"/>
          </w:tcPr>
          <w:p w14:paraId="0B6ABE2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55" w:type="dxa"/>
            <w:vMerge w:val="continue"/>
            <w:tcBorders>
              <w:top w:val="nil"/>
              <w:left w:val="nil"/>
              <w:bottom w:val="single" w:color="auto" w:sz="8" w:space="0"/>
              <w:right w:val="single" w:color="auto" w:sz="8" w:space="0"/>
            </w:tcBorders>
            <w:noWrap w:val="0"/>
            <w:vAlign w:val="center"/>
          </w:tcPr>
          <w:p w14:paraId="54F0F5C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30" w:type="dxa"/>
            <w:tcBorders>
              <w:top w:val="nil"/>
              <w:left w:val="nil"/>
              <w:bottom w:val="single" w:color="auto" w:sz="4" w:space="0"/>
              <w:right w:val="single" w:color="auto" w:sz="8" w:space="0"/>
            </w:tcBorders>
            <w:noWrap w:val="0"/>
            <w:vAlign w:val="center"/>
          </w:tcPr>
          <w:p w14:paraId="7138545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预算执行率</w:t>
            </w:r>
          </w:p>
        </w:tc>
        <w:tc>
          <w:tcPr>
            <w:tcW w:w="585" w:type="dxa"/>
            <w:tcBorders>
              <w:top w:val="nil"/>
              <w:left w:val="nil"/>
              <w:bottom w:val="single" w:color="auto" w:sz="4" w:space="0"/>
              <w:right w:val="single" w:color="auto" w:sz="8" w:space="0"/>
            </w:tcBorders>
            <w:noWrap w:val="0"/>
            <w:vAlign w:val="center"/>
          </w:tcPr>
          <w:p w14:paraId="68779EA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w:t>
            </w:r>
          </w:p>
        </w:tc>
        <w:tc>
          <w:tcPr>
            <w:tcW w:w="2890" w:type="dxa"/>
            <w:tcBorders>
              <w:top w:val="nil"/>
              <w:left w:val="nil"/>
              <w:bottom w:val="single" w:color="auto" w:sz="4" w:space="0"/>
              <w:right w:val="single" w:color="auto" w:sz="8" w:space="0"/>
            </w:tcBorders>
            <w:noWrap w:val="0"/>
            <w:vAlign w:val="center"/>
          </w:tcPr>
          <w:p w14:paraId="4B2BE41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项目预算资金是否按照计划执行，用以反映或考核项目预算执行情况。</w:t>
            </w:r>
          </w:p>
        </w:tc>
        <w:tc>
          <w:tcPr>
            <w:tcW w:w="885" w:type="dxa"/>
            <w:tcBorders>
              <w:top w:val="nil"/>
              <w:left w:val="nil"/>
              <w:bottom w:val="single" w:color="auto" w:sz="4" w:space="0"/>
              <w:right w:val="single" w:color="auto" w:sz="8" w:space="0"/>
            </w:tcBorders>
            <w:noWrap w:val="0"/>
            <w:vAlign w:val="center"/>
          </w:tcPr>
          <w:p w14:paraId="79C0F46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4959" w:type="dxa"/>
            <w:tcBorders>
              <w:top w:val="nil"/>
              <w:left w:val="nil"/>
              <w:bottom w:val="single" w:color="auto" w:sz="4" w:space="0"/>
              <w:right w:val="single" w:color="auto" w:sz="8" w:space="0"/>
            </w:tcBorders>
            <w:noWrap w:val="0"/>
            <w:vAlign w:val="center"/>
          </w:tcPr>
          <w:p w14:paraId="34F62EA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预算执行率=（实际支出资金/实际到位资金）×100%。</w:t>
            </w:r>
          </w:p>
          <w:p w14:paraId="2C2C9AC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预算执行率=100%，得权重分满分；若预算执行率＜100%，得分=预算执行率*分值；若执行率≤60%，则不得分。</w:t>
            </w:r>
          </w:p>
        </w:tc>
        <w:tc>
          <w:tcPr>
            <w:tcW w:w="1026" w:type="dxa"/>
            <w:tcBorders>
              <w:top w:val="nil"/>
              <w:left w:val="nil"/>
              <w:bottom w:val="single" w:color="auto" w:sz="4" w:space="0"/>
              <w:right w:val="single" w:color="auto" w:sz="8" w:space="0"/>
            </w:tcBorders>
            <w:noWrap w:val="0"/>
            <w:vAlign w:val="center"/>
          </w:tcPr>
          <w:p w14:paraId="061D478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55" w:type="dxa"/>
            <w:tcBorders>
              <w:top w:val="nil"/>
              <w:left w:val="nil"/>
              <w:bottom w:val="single" w:color="auto" w:sz="4" w:space="0"/>
            </w:tcBorders>
            <w:noWrap w:val="0"/>
            <w:vAlign w:val="center"/>
          </w:tcPr>
          <w:p w14:paraId="1EDD122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089D31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45" w:hRule="atLeast"/>
        </w:trPr>
        <w:tc>
          <w:tcPr>
            <w:tcW w:w="643" w:type="dxa"/>
            <w:vMerge w:val="continue"/>
            <w:tcBorders>
              <w:top w:val="single" w:color="auto" w:sz="4" w:space="0"/>
              <w:bottom w:val="single" w:color="auto" w:sz="4" w:space="0"/>
              <w:right w:val="single" w:color="auto" w:sz="8" w:space="0"/>
            </w:tcBorders>
            <w:noWrap w:val="0"/>
            <w:vAlign w:val="center"/>
          </w:tcPr>
          <w:p w14:paraId="062E9C3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top w:val="single" w:color="auto" w:sz="4" w:space="0"/>
              <w:left w:val="nil"/>
              <w:bottom w:val="single" w:color="auto" w:sz="4" w:space="0"/>
              <w:right w:val="single" w:color="auto" w:sz="8" w:space="0"/>
            </w:tcBorders>
            <w:noWrap w:val="0"/>
            <w:vAlign w:val="center"/>
          </w:tcPr>
          <w:p w14:paraId="16B464F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continue"/>
            <w:tcBorders>
              <w:top w:val="single" w:color="auto" w:sz="4" w:space="0"/>
              <w:left w:val="nil"/>
              <w:bottom w:val="single" w:color="auto" w:sz="4" w:space="0"/>
              <w:right w:val="single" w:color="auto" w:sz="8" w:space="0"/>
            </w:tcBorders>
            <w:noWrap w:val="0"/>
            <w:vAlign w:val="center"/>
          </w:tcPr>
          <w:p w14:paraId="1DA14A1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55" w:type="dxa"/>
            <w:vMerge w:val="continue"/>
            <w:tcBorders>
              <w:top w:val="nil"/>
              <w:left w:val="nil"/>
              <w:bottom w:val="single" w:color="auto" w:sz="4" w:space="0"/>
              <w:right w:val="single" w:color="auto" w:sz="8" w:space="0"/>
            </w:tcBorders>
            <w:noWrap w:val="0"/>
            <w:vAlign w:val="center"/>
          </w:tcPr>
          <w:p w14:paraId="5DAA491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30" w:type="dxa"/>
            <w:tcBorders>
              <w:top w:val="single" w:color="auto" w:sz="4" w:space="0"/>
              <w:left w:val="nil"/>
              <w:bottom w:val="single" w:color="auto" w:sz="4" w:space="0"/>
              <w:right w:val="single" w:color="auto" w:sz="8" w:space="0"/>
            </w:tcBorders>
            <w:noWrap w:val="0"/>
            <w:vAlign w:val="center"/>
          </w:tcPr>
          <w:p w14:paraId="533AB53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资金使用合规性</w:t>
            </w:r>
          </w:p>
        </w:tc>
        <w:tc>
          <w:tcPr>
            <w:tcW w:w="585" w:type="dxa"/>
            <w:tcBorders>
              <w:top w:val="single" w:color="auto" w:sz="4" w:space="0"/>
              <w:left w:val="nil"/>
              <w:bottom w:val="single" w:color="auto" w:sz="4" w:space="0"/>
              <w:right w:val="single" w:color="auto" w:sz="8" w:space="0"/>
            </w:tcBorders>
            <w:noWrap w:val="0"/>
            <w:vAlign w:val="center"/>
          </w:tcPr>
          <w:p w14:paraId="753101D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w:t>
            </w:r>
          </w:p>
        </w:tc>
        <w:tc>
          <w:tcPr>
            <w:tcW w:w="2890" w:type="dxa"/>
            <w:tcBorders>
              <w:top w:val="single" w:color="auto" w:sz="4" w:space="0"/>
              <w:left w:val="nil"/>
              <w:bottom w:val="single" w:color="auto" w:sz="4" w:space="0"/>
              <w:right w:val="single" w:color="auto" w:sz="8" w:space="0"/>
            </w:tcBorders>
            <w:noWrap w:val="0"/>
            <w:vAlign w:val="center"/>
          </w:tcPr>
          <w:p w14:paraId="3F9C30D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项目资金使用是否符合相关的财务管理制度规定，用以反映和考核项目资金的规范运行情况。</w:t>
            </w:r>
          </w:p>
        </w:tc>
        <w:tc>
          <w:tcPr>
            <w:tcW w:w="885" w:type="dxa"/>
            <w:tcBorders>
              <w:top w:val="single" w:color="auto" w:sz="4" w:space="0"/>
              <w:left w:val="nil"/>
              <w:bottom w:val="single" w:color="auto" w:sz="4" w:space="0"/>
              <w:right w:val="single" w:color="auto" w:sz="8" w:space="0"/>
            </w:tcBorders>
            <w:noWrap w:val="0"/>
            <w:vAlign w:val="center"/>
          </w:tcPr>
          <w:p w14:paraId="016C5BC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合规</w:t>
            </w:r>
          </w:p>
        </w:tc>
        <w:tc>
          <w:tcPr>
            <w:tcW w:w="4959" w:type="dxa"/>
            <w:tcBorders>
              <w:top w:val="single" w:color="auto" w:sz="4" w:space="0"/>
              <w:left w:val="nil"/>
              <w:bottom w:val="single" w:color="auto" w:sz="4" w:space="0"/>
              <w:right w:val="single" w:color="auto" w:sz="8" w:space="0"/>
            </w:tcBorders>
            <w:noWrap w:val="0"/>
            <w:vAlign w:val="center"/>
          </w:tcPr>
          <w:p w14:paraId="0D50B00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①否符合国家财经法规和财务管理制度以及有关专项资金管理办法的规定；</w:t>
            </w:r>
          </w:p>
          <w:p w14:paraId="4453F45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②资金的拨付是否有完整的审批程序和手续；</w:t>
            </w:r>
          </w:p>
          <w:p w14:paraId="763E9E0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③是否符合项目预算批复或合同规定的用途；</w:t>
            </w:r>
          </w:p>
          <w:p w14:paraId="1B8018C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④是否存在截留、挤占、挪用、虚列支出等情况。</w:t>
            </w:r>
          </w:p>
          <w:p w14:paraId="38D82E5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以上每条指标各占权重分的25%，要素①②不符合，扣除对应权重分；要素③④不符合属于重大违纪，该指标不得分。</w:t>
            </w:r>
          </w:p>
        </w:tc>
        <w:tc>
          <w:tcPr>
            <w:tcW w:w="1026" w:type="dxa"/>
            <w:tcBorders>
              <w:top w:val="single" w:color="auto" w:sz="4" w:space="0"/>
              <w:left w:val="nil"/>
              <w:bottom w:val="single" w:color="auto" w:sz="4" w:space="0"/>
              <w:right w:val="single" w:color="auto" w:sz="8" w:space="0"/>
            </w:tcBorders>
            <w:noWrap w:val="0"/>
            <w:vAlign w:val="center"/>
          </w:tcPr>
          <w:p w14:paraId="1088F3F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合规</w:t>
            </w:r>
          </w:p>
        </w:tc>
        <w:tc>
          <w:tcPr>
            <w:tcW w:w="855" w:type="dxa"/>
            <w:tcBorders>
              <w:top w:val="single" w:color="auto" w:sz="4" w:space="0"/>
              <w:left w:val="nil"/>
              <w:bottom w:val="single" w:color="auto" w:sz="4" w:space="0"/>
            </w:tcBorders>
            <w:noWrap w:val="0"/>
            <w:vAlign w:val="center"/>
          </w:tcPr>
          <w:p w14:paraId="2FD28EA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w:t>
            </w:r>
          </w:p>
        </w:tc>
      </w:tr>
      <w:tr w14:paraId="57383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9" w:hRule="atLeast"/>
        </w:trPr>
        <w:tc>
          <w:tcPr>
            <w:tcW w:w="643" w:type="dxa"/>
            <w:vMerge w:val="continue"/>
            <w:tcBorders>
              <w:top w:val="single" w:color="auto" w:sz="4" w:space="0"/>
              <w:bottom w:val="single" w:color="auto" w:sz="4" w:space="0"/>
              <w:right w:val="single" w:color="auto" w:sz="8" w:space="0"/>
            </w:tcBorders>
            <w:noWrap w:val="0"/>
            <w:vAlign w:val="center"/>
          </w:tcPr>
          <w:p w14:paraId="5477A37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top w:val="single" w:color="auto" w:sz="4" w:space="0"/>
              <w:left w:val="nil"/>
              <w:bottom w:val="single" w:color="auto" w:sz="4" w:space="0"/>
              <w:right w:val="single" w:color="auto" w:sz="4" w:space="0"/>
            </w:tcBorders>
            <w:noWrap w:val="0"/>
            <w:vAlign w:val="center"/>
          </w:tcPr>
          <w:p w14:paraId="5F5BF39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restart"/>
            <w:tcBorders>
              <w:top w:val="single" w:color="auto" w:sz="4" w:space="0"/>
              <w:left w:val="single" w:color="auto" w:sz="4" w:space="0"/>
              <w:bottom w:val="single" w:color="auto" w:sz="4" w:space="0"/>
              <w:right w:val="single" w:color="auto" w:sz="4" w:space="0"/>
            </w:tcBorders>
            <w:noWrap w:val="0"/>
            <w:vAlign w:val="center"/>
          </w:tcPr>
          <w:p w14:paraId="28A312C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组织实施</w:t>
            </w:r>
          </w:p>
        </w:tc>
        <w:tc>
          <w:tcPr>
            <w:tcW w:w="555" w:type="dxa"/>
            <w:vMerge w:val="restart"/>
            <w:tcBorders>
              <w:top w:val="single" w:color="auto" w:sz="4" w:space="0"/>
              <w:left w:val="single" w:color="auto" w:sz="4" w:space="0"/>
              <w:bottom w:val="single" w:color="auto" w:sz="4" w:space="0"/>
              <w:right w:val="single" w:color="auto" w:sz="4" w:space="0"/>
            </w:tcBorders>
            <w:noWrap w:val="0"/>
            <w:vAlign w:val="center"/>
          </w:tcPr>
          <w:p w14:paraId="4C53A5A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6</w:t>
            </w:r>
          </w:p>
        </w:tc>
        <w:tc>
          <w:tcPr>
            <w:tcW w:w="630" w:type="dxa"/>
            <w:tcBorders>
              <w:top w:val="single" w:color="auto" w:sz="4" w:space="0"/>
              <w:left w:val="single" w:color="auto" w:sz="4" w:space="0"/>
              <w:bottom w:val="single" w:color="auto" w:sz="4" w:space="0"/>
              <w:right w:val="single" w:color="auto" w:sz="4" w:space="0"/>
            </w:tcBorders>
            <w:noWrap w:val="0"/>
            <w:vAlign w:val="center"/>
          </w:tcPr>
          <w:p w14:paraId="11EE872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管理制度健全性</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1AF7FAF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0401E53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项目实施单位的财务和业务管理制度是否健全，用以反映和考核财务和业务管理制度对项目顺利实施的保障情况。</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5F1E245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健全</w:t>
            </w:r>
          </w:p>
        </w:tc>
        <w:tc>
          <w:tcPr>
            <w:tcW w:w="4959" w:type="dxa"/>
            <w:tcBorders>
              <w:top w:val="single" w:color="auto" w:sz="4" w:space="0"/>
              <w:left w:val="single" w:color="auto" w:sz="4" w:space="0"/>
              <w:bottom w:val="single" w:color="auto" w:sz="4" w:space="0"/>
              <w:right w:val="single" w:color="auto" w:sz="4" w:space="0"/>
            </w:tcBorders>
            <w:noWrap w:val="0"/>
            <w:vAlign w:val="center"/>
          </w:tcPr>
          <w:p w14:paraId="0BFD251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①是否已制定或具有相应的财务和业务管理制度；</w:t>
            </w:r>
          </w:p>
          <w:p w14:paraId="7B03E24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②财务和业务管理制度是否合法、合规、完整。</w:t>
            </w:r>
          </w:p>
          <w:p w14:paraId="0D6588F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以上每条要素各占权重的50%，每有一条不符合，扣除对应的权重分，扣完为止。</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710786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健全</w:t>
            </w:r>
          </w:p>
        </w:tc>
        <w:tc>
          <w:tcPr>
            <w:tcW w:w="855" w:type="dxa"/>
            <w:tcBorders>
              <w:top w:val="single" w:color="auto" w:sz="4" w:space="0"/>
              <w:left w:val="single" w:color="auto" w:sz="4" w:space="0"/>
              <w:bottom w:val="single" w:color="auto" w:sz="4" w:space="0"/>
            </w:tcBorders>
            <w:noWrap w:val="0"/>
            <w:vAlign w:val="center"/>
          </w:tcPr>
          <w:p w14:paraId="1FEF840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r>
      <w:tr w14:paraId="34F9BD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3" w:type="dxa"/>
            <w:vMerge w:val="continue"/>
            <w:tcBorders>
              <w:top w:val="single" w:color="auto" w:sz="4" w:space="0"/>
              <w:bottom w:val="single" w:color="auto" w:sz="4" w:space="0"/>
              <w:right w:val="single" w:color="auto" w:sz="8" w:space="0"/>
            </w:tcBorders>
            <w:noWrap w:val="0"/>
            <w:vAlign w:val="center"/>
          </w:tcPr>
          <w:p w14:paraId="7A4D88F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top w:val="single" w:color="auto" w:sz="4" w:space="0"/>
              <w:left w:val="nil"/>
              <w:bottom w:val="single" w:color="auto" w:sz="4" w:space="0"/>
              <w:right w:val="single" w:color="auto" w:sz="4" w:space="0"/>
            </w:tcBorders>
            <w:noWrap w:val="0"/>
            <w:vAlign w:val="center"/>
          </w:tcPr>
          <w:p w14:paraId="598F140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continue"/>
            <w:tcBorders>
              <w:top w:val="single" w:color="auto" w:sz="4" w:space="0"/>
              <w:left w:val="single" w:color="auto" w:sz="4" w:space="0"/>
              <w:bottom w:val="single" w:color="auto" w:sz="4" w:space="0"/>
              <w:right w:val="single" w:color="auto" w:sz="8" w:space="0"/>
            </w:tcBorders>
            <w:noWrap w:val="0"/>
            <w:vAlign w:val="center"/>
          </w:tcPr>
          <w:p w14:paraId="0155791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55" w:type="dxa"/>
            <w:vMerge w:val="continue"/>
            <w:tcBorders>
              <w:top w:val="single" w:color="auto" w:sz="4" w:space="0"/>
              <w:left w:val="nil"/>
              <w:bottom w:val="single" w:color="auto" w:sz="4" w:space="0"/>
              <w:right w:val="single" w:color="auto" w:sz="8" w:space="0"/>
            </w:tcBorders>
            <w:noWrap w:val="0"/>
            <w:vAlign w:val="center"/>
          </w:tcPr>
          <w:p w14:paraId="063D2EC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30" w:type="dxa"/>
            <w:tcBorders>
              <w:top w:val="single" w:color="auto" w:sz="4" w:space="0"/>
              <w:left w:val="nil"/>
              <w:bottom w:val="single" w:color="auto" w:sz="4" w:space="0"/>
              <w:right w:val="single" w:color="auto" w:sz="8" w:space="0"/>
            </w:tcBorders>
            <w:noWrap w:val="0"/>
            <w:vAlign w:val="center"/>
          </w:tcPr>
          <w:p w14:paraId="55E804C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制度执行有效性</w:t>
            </w:r>
          </w:p>
        </w:tc>
        <w:tc>
          <w:tcPr>
            <w:tcW w:w="585" w:type="dxa"/>
            <w:tcBorders>
              <w:top w:val="single" w:color="auto" w:sz="4" w:space="0"/>
              <w:left w:val="nil"/>
              <w:bottom w:val="single" w:color="auto" w:sz="4" w:space="0"/>
              <w:right w:val="single" w:color="auto" w:sz="8" w:space="0"/>
            </w:tcBorders>
            <w:noWrap w:val="0"/>
            <w:vAlign w:val="center"/>
          </w:tcPr>
          <w:p w14:paraId="1DB4326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890" w:type="dxa"/>
            <w:tcBorders>
              <w:top w:val="single" w:color="auto" w:sz="4" w:space="0"/>
              <w:left w:val="nil"/>
              <w:bottom w:val="single" w:color="auto" w:sz="4" w:space="0"/>
              <w:right w:val="single" w:color="auto" w:sz="8" w:space="0"/>
            </w:tcBorders>
            <w:noWrap w:val="0"/>
            <w:vAlign w:val="center"/>
          </w:tcPr>
          <w:p w14:paraId="2A1DBC7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项目实施是否符合相关管理规定，用以反映和考核相关管理制度的有效执行情况。</w:t>
            </w:r>
          </w:p>
        </w:tc>
        <w:tc>
          <w:tcPr>
            <w:tcW w:w="885" w:type="dxa"/>
            <w:tcBorders>
              <w:top w:val="single" w:color="auto" w:sz="4" w:space="0"/>
              <w:left w:val="nil"/>
              <w:bottom w:val="single" w:color="auto" w:sz="4" w:space="0"/>
              <w:right w:val="single" w:color="auto" w:sz="8" w:space="0"/>
            </w:tcBorders>
            <w:noWrap w:val="0"/>
            <w:vAlign w:val="center"/>
          </w:tcPr>
          <w:p w14:paraId="0E24ABF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有效</w:t>
            </w:r>
          </w:p>
        </w:tc>
        <w:tc>
          <w:tcPr>
            <w:tcW w:w="4959" w:type="dxa"/>
            <w:tcBorders>
              <w:top w:val="single" w:color="auto" w:sz="4" w:space="0"/>
              <w:left w:val="nil"/>
              <w:bottom w:val="single" w:color="auto" w:sz="4" w:space="0"/>
              <w:right w:val="single" w:color="auto" w:sz="8" w:space="0"/>
            </w:tcBorders>
            <w:noWrap w:val="0"/>
            <w:vAlign w:val="center"/>
          </w:tcPr>
          <w:p w14:paraId="3707FD1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①否遵守相关法律法规和相关管理规定；</w:t>
            </w:r>
          </w:p>
          <w:p w14:paraId="16D4E5C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②项目调整及支出调整手续是否完备；</w:t>
            </w:r>
          </w:p>
          <w:p w14:paraId="4AA3850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③项目资料是否齐全并及时归档。</w:t>
            </w:r>
          </w:p>
          <w:p w14:paraId="4F79C67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①②③齐全得权重分的100%，缺①扣权重分的30%，缺②扣权重分的40%，缺③扣权重分的30%。</w:t>
            </w:r>
          </w:p>
        </w:tc>
        <w:tc>
          <w:tcPr>
            <w:tcW w:w="1026" w:type="dxa"/>
            <w:tcBorders>
              <w:top w:val="single" w:color="auto" w:sz="4" w:space="0"/>
              <w:left w:val="nil"/>
              <w:bottom w:val="single" w:color="auto" w:sz="4" w:space="0"/>
              <w:right w:val="single" w:color="auto" w:sz="8" w:space="0"/>
            </w:tcBorders>
            <w:noWrap w:val="0"/>
            <w:vAlign w:val="center"/>
          </w:tcPr>
          <w:p w14:paraId="396F322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有效</w:t>
            </w:r>
          </w:p>
        </w:tc>
        <w:tc>
          <w:tcPr>
            <w:tcW w:w="855" w:type="dxa"/>
            <w:tcBorders>
              <w:top w:val="single" w:color="auto" w:sz="4" w:space="0"/>
              <w:left w:val="nil"/>
              <w:bottom w:val="single" w:color="auto" w:sz="8" w:space="0"/>
            </w:tcBorders>
            <w:noWrap w:val="0"/>
            <w:vAlign w:val="center"/>
          </w:tcPr>
          <w:p w14:paraId="38753AE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r>
      <w:tr w14:paraId="40EC58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643" w:type="dxa"/>
            <w:vMerge w:val="restart"/>
            <w:tcBorders>
              <w:top w:val="single" w:color="auto" w:sz="4" w:space="0"/>
              <w:bottom w:val="single" w:color="auto" w:sz="4" w:space="0"/>
              <w:right w:val="single" w:color="auto" w:sz="8" w:space="0"/>
            </w:tcBorders>
            <w:noWrap w:val="0"/>
            <w:vAlign w:val="center"/>
          </w:tcPr>
          <w:p w14:paraId="1938768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项目产出</w:t>
            </w:r>
          </w:p>
        </w:tc>
        <w:tc>
          <w:tcPr>
            <w:tcW w:w="570" w:type="dxa"/>
            <w:vMerge w:val="restart"/>
            <w:tcBorders>
              <w:top w:val="single" w:color="auto" w:sz="4" w:space="0"/>
              <w:left w:val="nil"/>
              <w:bottom w:val="single" w:color="auto" w:sz="4" w:space="0"/>
              <w:right w:val="single" w:color="auto" w:sz="8" w:space="0"/>
            </w:tcBorders>
            <w:noWrap w:val="0"/>
            <w:vAlign w:val="center"/>
          </w:tcPr>
          <w:p w14:paraId="125E292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40</w:t>
            </w:r>
          </w:p>
        </w:tc>
        <w:tc>
          <w:tcPr>
            <w:tcW w:w="615" w:type="dxa"/>
            <w:tcBorders>
              <w:top w:val="single" w:color="auto" w:sz="4" w:space="0"/>
              <w:left w:val="nil"/>
              <w:bottom w:val="single" w:color="auto" w:sz="4" w:space="0"/>
              <w:right w:val="single" w:color="auto" w:sz="4" w:space="0"/>
            </w:tcBorders>
            <w:noWrap w:val="0"/>
            <w:vAlign w:val="center"/>
          </w:tcPr>
          <w:p w14:paraId="3C4C7D3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产出数量</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16FA30E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c>
          <w:tcPr>
            <w:tcW w:w="630" w:type="dxa"/>
            <w:tcBorders>
              <w:top w:val="single" w:color="auto" w:sz="4" w:space="0"/>
              <w:left w:val="single" w:color="auto" w:sz="4" w:space="0"/>
              <w:bottom w:val="single" w:color="auto" w:sz="4" w:space="0"/>
              <w:right w:val="single" w:color="auto" w:sz="4" w:space="0"/>
            </w:tcBorders>
            <w:noWrap w:val="0"/>
            <w:vAlign w:val="center"/>
          </w:tcPr>
          <w:p w14:paraId="2541668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实际完成率</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3F6B12B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890" w:type="dxa"/>
            <w:tcBorders>
              <w:top w:val="single" w:color="auto" w:sz="4" w:space="0"/>
              <w:left w:val="single" w:color="auto" w:sz="4" w:space="0"/>
              <w:bottom w:val="single" w:color="auto" w:sz="4" w:space="0"/>
              <w:right w:val="single" w:color="auto" w:sz="8" w:space="0"/>
            </w:tcBorders>
            <w:noWrap w:val="0"/>
            <w:vAlign w:val="center"/>
          </w:tcPr>
          <w:p w14:paraId="31380E4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保障项目个数</w:t>
            </w:r>
          </w:p>
        </w:tc>
        <w:tc>
          <w:tcPr>
            <w:tcW w:w="885" w:type="dxa"/>
            <w:tcBorders>
              <w:top w:val="single" w:color="auto" w:sz="4" w:space="0"/>
              <w:left w:val="nil"/>
              <w:bottom w:val="single" w:color="auto" w:sz="4" w:space="0"/>
              <w:right w:val="single" w:color="auto" w:sz="8" w:space="0"/>
            </w:tcBorders>
            <w:noWrap w:val="0"/>
            <w:vAlign w:val="center"/>
          </w:tcPr>
          <w:p w14:paraId="78C38F4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≥12个</w:t>
            </w:r>
          </w:p>
        </w:tc>
        <w:tc>
          <w:tcPr>
            <w:tcW w:w="4959" w:type="dxa"/>
            <w:tcBorders>
              <w:top w:val="single" w:color="auto" w:sz="4" w:space="0"/>
              <w:left w:val="nil"/>
              <w:right w:val="single" w:color="auto" w:sz="4" w:space="0"/>
            </w:tcBorders>
            <w:noWrap w:val="0"/>
            <w:vAlign w:val="center"/>
          </w:tcPr>
          <w:p w14:paraId="29F2C60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①实际完成率=（实际完成/预期完成）×100%。</w:t>
            </w:r>
          </w:p>
          <w:p w14:paraId="3C0229B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②实际完成率≥100%，偏离程度≥20%，得0分；</w:t>
            </w:r>
          </w:p>
          <w:p w14:paraId="5694D87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③实际完成率×100%＜100%，得分=实际完成率×指标分值。</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C145FF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12</w:t>
            </w:r>
            <w:r>
              <w:rPr>
                <w:rFonts w:hint="eastAsia" w:ascii="宋体" w:hAnsi="宋体" w:eastAsia="宋体" w:cs="宋体"/>
                <w:i w:val="0"/>
                <w:iCs w:val="0"/>
                <w:color w:val="000000"/>
                <w:sz w:val="18"/>
                <w:szCs w:val="18"/>
                <w:u w:val="none"/>
              </w:rPr>
              <w:t>个</w:t>
            </w:r>
          </w:p>
        </w:tc>
        <w:tc>
          <w:tcPr>
            <w:tcW w:w="855" w:type="dxa"/>
            <w:tcBorders>
              <w:top w:val="nil"/>
              <w:left w:val="single" w:color="auto" w:sz="4" w:space="0"/>
              <w:bottom w:val="single" w:color="auto" w:sz="4" w:space="0"/>
            </w:tcBorders>
            <w:noWrap w:val="0"/>
            <w:vAlign w:val="center"/>
          </w:tcPr>
          <w:p w14:paraId="1847C46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r>
      <w:tr w14:paraId="0E36CE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643" w:type="dxa"/>
            <w:vMerge w:val="continue"/>
            <w:tcBorders>
              <w:top w:val="single" w:color="auto" w:sz="4" w:space="0"/>
              <w:right w:val="single" w:color="auto" w:sz="8" w:space="0"/>
            </w:tcBorders>
            <w:noWrap w:val="0"/>
            <w:vAlign w:val="center"/>
          </w:tcPr>
          <w:p w14:paraId="729A8CC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top w:val="single" w:color="auto" w:sz="4" w:space="0"/>
              <w:left w:val="nil"/>
              <w:right w:val="single" w:color="auto" w:sz="8" w:space="0"/>
            </w:tcBorders>
            <w:noWrap w:val="0"/>
            <w:vAlign w:val="center"/>
          </w:tcPr>
          <w:p w14:paraId="14797F6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restart"/>
            <w:tcBorders>
              <w:top w:val="single" w:color="auto" w:sz="4" w:space="0"/>
              <w:left w:val="nil"/>
              <w:right w:val="single" w:color="auto" w:sz="8" w:space="0"/>
            </w:tcBorders>
            <w:noWrap w:val="0"/>
            <w:vAlign w:val="center"/>
          </w:tcPr>
          <w:p w14:paraId="5E7772F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产出质量</w:t>
            </w:r>
          </w:p>
        </w:tc>
        <w:tc>
          <w:tcPr>
            <w:tcW w:w="555" w:type="dxa"/>
            <w:vMerge w:val="restart"/>
            <w:tcBorders>
              <w:top w:val="single" w:color="auto" w:sz="4" w:space="0"/>
              <w:left w:val="nil"/>
              <w:bottom w:val="single" w:color="auto" w:sz="4" w:space="0"/>
              <w:right w:val="single" w:color="auto" w:sz="8" w:space="0"/>
            </w:tcBorders>
            <w:noWrap w:val="0"/>
            <w:vAlign w:val="center"/>
          </w:tcPr>
          <w:p w14:paraId="319D0BC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c>
          <w:tcPr>
            <w:tcW w:w="630" w:type="dxa"/>
            <w:vMerge w:val="restart"/>
            <w:tcBorders>
              <w:top w:val="single" w:color="auto" w:sz="4" w:space="0"/>
              <w:left w:val="nil"/>
              <w:bottom w:val="single" w:color="auto" w:sz="4" w:space="0"/>
              <w:right w:val="single" w:color="auto" w:sz="4" w:space="0"/>
            </w:tcBorders>
            <w:noWrap w:val="0"/>
            <w:vAlign w:val="center"/>
          </w:tcPr>
          <w:p w14:paraId="7EB2075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质量达标率</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18A3745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890" w:type="dxa"/>
            <w:tcBorders>
              <w:top w:val="single" w:color="auto" w:sz="4" w:space="0"/>
              <w:left w:val="single" w:color="auto" w:sz="4" w:space="0"/>
              <w:right w:val="single" w:color="auto" w:sz="4" w:space="0"/>
            </w:tcBorders>
            <w:noWrap w:val="0"/>
            <w:vAlign w:val="center"/>
          </w:tcPr>
          <w:p w14:paraId="41C5E1E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资金使用合规率</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2E401B1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4959" w:type="dxa"/>
            <w:vMerge w:val="restart"/>
            <w:tcBorders>
              <w:top w:val="single" w:color="auto" w:sz="4" w:space="0"/>
              <w:left w:val="single" w:color="auto" w:sz="4" w:space="0"/>
              <w:right w:val="single" w:color="auto" w:sz="4" w:space="0"/>
            </w:tcBorders>
            <w:noWrap w:val="0"/>
            <w:vAlign w:val="center"/>
          </w:tcPr>
          <w:p w14:paraId="4A57043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若指标达到标杆值，则得100%权重分；否则，得分=（实际完成/预期完成）×100%×指标分值。</w:t>
            </w:r>
          </w:p>
          <w:p w14:paraId="0AE0559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若指标完成值达到标杆值，则得100%权重分；否则，不得分。</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3F5338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855" w:type="dxa"/>
            <w:tcBorders>
              <w:top w:val="single" w:color="auto" w:sz="4" w:space="0"/>
              <w:left w:val="single" w:color="auto" w:sz="4" w:space="0"/>
              <w:bottom w:val="single" w:color="auto" w:sz="4" w:space="0"/>
            </w:tcBorders>
            <w:noWrap w:val="0"/>
            <w:vAlign w:val="center"/>
          </w:tcPr>
          <w:p w14:paraId="744F842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5</w:t>
            </w:r>
          </w:p>
        </w:tc>
      </w:tr>
      <w:tr w14:paraId="6C2631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643" w:type="dxa"/>
            <w:vMerge w:val="continue"/>
            <w:tcBorders>
              <w:right w:val="single" w:color="auto" w:sz="8" w:space="0"/>
            </w:tcBorders>
            <w:noWrap w:val="0"/>
            <w:vAlign w:val="center"/>
          </w:tcPr>
          <w:p w14:paraId="212871E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18"/>
                <w:szCs w:val="18"/>
              </w:rPr>
            </w:pPr>
          </w:p>
        </w:tc>
        <w:tc>
          <w:tcPr>
            <w:tcW w:w="570" w:type="dxa"/>
            <w:vMerge w:val="continue"/>
            <w:tcBorders>
              <w:left w:val="nil"/>
              <w:right w:val="single" w:color="auto" w:sz="8" w:space="0"/>
            </w:tcBorders>
            <w:noWrap w:val="0"/>
            <w:vAlign w:val="center"/>
          </w:tcPr>
          <w:p w14:paraId="431FD52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18"/>
                <w:szCs w:val="18"/>
              </w:rPr>
            </w:pPr>
          </w:p>
        </w:tc>
        <w:tc>
          <w:tcPr>
            <w:tcW w:w="615" w:type="dxa"/>
            <w:vMerge w:val="continue"/>
            <w:tcBorders>
              <w:left w:val="nil"/>
              <w:bottom w:val="single" w:color="auto" w:sz="8" w:space="0"/>
              <w:right w:val="single" w:color="auto" w:sz="8" w:space="0"/>
            </w:tcBorders>
            <w:noWrap w:val="0"/>
            <w:vAlign w:val="center"/>
          </w:tcPr>
          <w:p w14:paraId="7A0E7DF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18"/>
                <w:szCs w:val="18"/>
              </w:rPr>
            </w:pPr>
          </w:p>
        </w:tc>
        <w:tc>
          <w:tcPr>
            <w:tcW w:w="555" w:type="dxa"/>
            <w:vMerge w:val="continue"/>
            <w:tcBorders>
              <w:top w:val="single" w:color="auto" w:sz="4" w:space="0"/>
              <w:left w:val="nil"/>
              <w:bottom w:val="single" w:color="auto" w:sz="4" w:space="0"/>
              <w:right w:val="single" w:color="auto" w:sz="8" w:space="0"/>
            </w:tcBorders>
            <w:noWrap w:val="0"/>
            <w:vAlign w:val="center"/>
          </w:tcPr>
          <w:p w14:paraId="7468FD3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18"/>
                <w:szCs w:val="18"/>
              </w:rPr>
            </w:pPr>
          </w:p>
        </w:tc>
        <w:tc>
          <w:tcPr>
            <w:tcW w:w="630" w:type="dxa"/>
            <w:vMerge w:val="continue"/>
            <w:tcBorders>
              <w:top w:val="single" w:color="auto" w:sz="4" w:space="0"/>
              <w:left w:val="nil"/>
              <w:bottom w:val="single" w:color="auto" w:sz="4" w:space="0"/>
              <w:right w:val="single" w:color="auto" w:sz="8" w:space="0"/>
            </w:tcBorders>
            <w:noWrap w:val="0"/>
            <w:vAlign w:val="center"/>
          </w:tcPr>
          <w:p w14:paraId="52C9D0D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18"/>
                <w:szCs w:val="18"/>
              </w:rPr>
            </w:pPr>
          </w:p>
        </w:tc>
        <w:tc>
          <w:tcPr>
            <w:tcW w:w="585" w:type="dxa"/>
            <w:tcBorders>
              <w:top w:val="single" w:color="auto" w:sz="4" w:space="0"/>
              <w:left w:val="nil"/>
              <w:bottom w:val="single" w:color="auto" w:sz="8" w:space="0"/>
              <w:right w:val="single" w:color="auto" w:sz="8" w:space="0"/>
            </w:tcBorders>
            <w:noWrap w:val="0"/>
            <w:vAlign w:val="center"/>
          </w:tcPr>
          <w:p w14:paraId="0663C070">
            <w:pPr>
              <w:keepNext w:val="0"/>
              <w:keepLines w:val="0"/>
              <w:pageBreakBefore w:val="0"/>
              <w:widowControl w:val="0"/>
              <w:suppressLineNumbers w:val="0"/>
              <w:kinsoku/>
              <w:wordWrap/>
              <w:overflowPunct/>
              <w:topLinePunct w:val="0"/>
              <w:autoSpaceDE/>
              <w:autoSpaceDN/>
              <w:bidi w:val="0"/>
              <w:adjustRightInd/>
              <w:snapToGrid/>
              <w:spacing w:line="240" w:lineRule="exact"/>
              <w:ind w:firstLine="180" w:firstLineChars="100"/>
              <w:jc w:val="both"/>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2890" w:type="dxa"/>
            <w:tcBorders>
              <w:top w:val="single" w:color="auto" w:sz="4" w:space="0"/>
              <w:left w:val="nil"/>
              <w:right w:val="single" w:color="auto" w:sz="4" w:space="0"/>
            </w:tcBorders>
            <w:noWrap w:val="0"/>
            <w:vAlign w:val="center"/>
          </w:tcPr>
          <w:p w14:paraId="5620019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资金到位率</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384A9C5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4959" w:type="dxa"/>
            <w:vMerge w:val="continue"/>
            <w:tcBorders>
              <w:left w:val="single" w:color="auto" w:sz="4" w:space="0"/>
              <w:bottom w:val="single" w:color="auto" w:sz="4" w:space="0"/>
              <w:right w:val="single" w:color="auto" w:sz="4" w:space="0"/>
            </w:tcBorders>
            <w:noWrap w:val="0"/>
            <w:vAlign w:val="center"/>
          </w:tcPr>
          <w:p w14:paraId="12992EE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3E4B71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855" w:type="dxa"/>
            <w:tcBorders>
              <w:top w:val="single" w:color="auto" w:sz="4" w:space="0"/>
              <w:left w:val="single" w:color="auto" w:sz="4" w:space="0"/>
              <w:bottom w:val="single" w:color="auto" w:sz="8" w:space="0"/>
            </w:tcBorders>
            <w:noWrap w:val="0"/>
            <w:vAlign w:val="center"/>
          </w:tcPr>
          <w:p w14:paraId="14066B5A">
            <w:pPr>
              <w:keepNext w:val="0"/>
              <w:keepLines w:val="0"/>
              <w:pageBreakBefore w:val="0"/>
              <w:widowControl w:val="0"/>
              <w:suppressLineNumbers w:val="0"/>
              <w:kinsoku/>
              <w:wordWrap/>
              <w:overflowPunct/>
              <w:topLinePunct w:val="0"/>
              <w:autoSpaceDE/>
              <w:autoSpaceDN/>
              <w:bidi w:val="0"/>
              <w:adjustRightInd/>
              <w:snapToGrid/>
              <w:spacing w:line="240" w:lineRule="exact"/>
              <w:ind w:firstLine="180" w:firstLineChars="10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sz w:val="18"/>
                <w:szCs w:val="18"/>
                <w:lang w:val="en-US" w:eastAsia="zh-CN"/>
              </w:rPr>
              <w:t>5</w:t>
            </w:r>
          </w:p>
        </w:tc>
      </w:tr>
      <w:tr w14:paraId="25169D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exact"/>
        </w:trPr>
        <w:tc>
          <w:tcPr>
            <w:tcW w:w="643" w:type="dxa"/>
            <w:vMerge w:val="continue"/>
            <w:tcBorders>
              <w:right w:val="single" w:color="auto" w:sz="8" w:space="0"/>
            </w:tcBorders>
            <w:noWrap w:val="0"/>
            <w:vAlign w:val="center"/>
          </w:tcPr>
          <w:p w14:paraId="3E046ED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left w:val="nil"/>
              <w:right w:val="single" w:color="auto" w:sz="8" w:space="0"/>
            </w:tcBorders>
            <w:noWrap w:val="0"/>
            <w:vAlign w:val="center"/>
          </w:tcPr>
          <w:p w14:paraId="2999856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restart"/>
            <w:tcBorders>
              <w:top w:val="nil"/>
              <w:left w:val="nil"/>
              <w:right w:val="single" w:color="auto" w:sz="8" w:space="0"/>
            </w:tcBorders>
            <w:noWrap w:val="0"/>
            <w:vAlign w:val="center"/>
          </w:tcPr>
          <w:p w14:paraId="468B0D5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产出时效</w:t>
            </w:r>
          </w:p>
        </w:tc>
        <w:tc>
          <w:tcPr>
            <w:tcW w:w="555" w:type="dxa"/>
            <w:vMerge w:val="restart"/>
            <w:tcBorders>
              <w:top w:val="single" w:color="auto" w:sz="4" w:space="0"/>
              <w:left w:val="nil"/>
              <w:bottom w:val="single" w:color="auto" w:sz="4" w:space="0"/>
              <w:right w:val="single" w:color="auto" w:sz="8" w:space="0"/>
            </w:tcBorders>
            <w:noWrap w:val="0"/>
            <w:vAlign w:val="center"/>
          </w:tcPr>
          <w:p w14:paraId="73A130C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630" w:type="dxa"/>
            <w:vMerge w:val="restart"/>
            <w:tcBorders>
              <w:top w:val="single" w:color="auto" w:sz="4" w:space="0"/>
              <w:left w:val="nil"/>
              <w:bottom w:val="single" w:color="auto" w:sz="4" w:space="0"/>
              <w:right w:val="single" w:color="auto" w:sz="8" w:space="0"/>
            </w:tcBorders>
            <w:noWrap w:val="0"/>
            <w:vAlign w:val="center"/>
          </w:tcPr>
          <w:p w14:paraId="564629A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完成及时率</w:t>
            </w:r>
          </w:p>
        </w:tc>
        <w:tc>
          <w:tcPr>
            <w:tcW w:w="585" w:type="dxa"/>
            <w:tcBorders>
              <w:top w:val="nil"/>
              <w:left w:val="nil"/>
              <w:bottom w:val="single" w:color="auto" w:sz="8" w:space="0"/>
              <w:right w:val="single" w:color="auto" w:sz="8" w:space="0"/>
            </w:tcBorders>
            <w:noWrap w:val="0"/>
            <w:vAlign w:val="center"/>
          </w:tcPr>
          <w:p w14:paraId="294F1CE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890" w:type="dxa"/>
            <w:tcBorders>
              <w:top w:val="single" w:color="auto" w:sz="4" w:space="0"/>
              <w:left w:val="single" w:color="auto" w:sz="4" w:space="0"/>
              <w:bottom w:val="single" w:color="auto" w:sz="4" w:space="0"/>
              <w:right w:val="single" w:color="auto" w:sz="4" w:space="0"/>
            </w:tcBorders>
            <w:noWrap/>
            <w:vAlign w:val="center"/>
          </w:tcPr>
          <w:p w14:paraId="7C440F1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项目完成时间</w:t>
            </w:r>
          </w:p>
        </w:tc>
        <w:tc>
          <w:tcPr>
            <w:tcW w:w="885" w:type="dxa"/>
            <w:tcBorders>
              <w:top w:val="single" w:color="auto" w:sz="4" w:space="0"/>
              <w:left w:val="single" w:color="auto" w:sz="4" w:space="0"/>
              <w:bottom w:val="single" w:color="auto" w:sz="4" w:space="0"/>
              <w:right w:val="single" w:color="auto" w:sz="4" w:space="0"/>
            </w:tcBorders>
            <w:noWrap/>
            <w:vAlign w:val="center"/>
          </w:tcPr>
          <w:p w14:paraId="7E1DF04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2024年</w:t>
            </w:r>
          </w:p>
          <w:p w14:paraId="774944F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12月</w:t>
            </w:r>
          </w:p>
        </w:tc>
        <w:tc>
          <w:tcPr>
            <w:tcW w:w="4959" w:type="dxa"/>
            <w:vMerge w:val="restart"/>
            <w:tcBorders>
              <w:top w:val="single" w:color="auto" w:sz="4" w:space="0"/>
              <w:left w:val="single" w:color="auto" w:sz="4" w:space="0"/>
              <w:bottom w:val="single" w:color="auto" w:sz="4" w:space="0"/>
              <w:right w:val="single" w:color="auto" w:sz="4" w:space="0"/>
            </w:tcBorders>
            <w:noWrap w:val="0"/>
            <w:vAlign w:val="center"/>
          </w:tcPr>
          <w:p w14:paraId="514FB4D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若指标完成值达到标杆值，则得100%权重分；否则，得分=（实际完成/预期完成）×100%×指标分值。</w:t>
            </w:r>
          </w:p>
          <w:p w14:paraId="254E3872">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若在规定时间内完成，得100%权重分；若未在规定的时间内完成，得分=（1-未在规定时间内完成工作数/实际完成工作总数）×分值。</w:t>
            </w:r>
          </w:p>
        </w:tc>
        <w:tc>
          <w:tcPr>
            <w:tcW w:w="1026" w:type="dxa"/>
            <w:tcBorders>
              <w:top w:val="single" w:color="auto" w:sz="4" w:space="0"/>
              <w:left w:val="single" w:color="auto" w:sz="4" w:space="0"/>
              <w:right w:val="single" w:color="auto" w:sz="4" w:space="0"/>
            </w:tcBorders>
            <w:noWrap w:val="0"/>
            <w:vAlign w:val="center"/>
          </w:tcPr>
          <w:p w14:paraId="1CDD202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2024年</w:t>
            </w:r>
          </w:p>
          <w:p w14:paraId="6C81A43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12月</w:t>
            </w:r>
          </w:p>
        </w:tc>
        <w:tc>
          <w:tcPr>
            <w:tcW w:w="855" w:type="dxa"/>
            <w:tcBorders>
              <w:top w:val="nil"/>
              <w:left w:val="single" w:color="auto" w:sz="4" w:space="0"/>
              <w:bottom w:val="single" w:color="auto" w:sz="8" w:space="0"/>
            </w:tcBorders>
            <w:noWrap w:val="0"/>
            <w:vAlign w:val="center"/>
          </w:tcPr>
          <w:p w14:paraId="2D1A27D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r>
      <w:tr w14:paraId="2A6222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43" w:type="dxa"/>
            <w:vMerge w:val="continue"/>
            <w:tcBorders>
              <w:right w:val="single" w:color="auto" w:sz="8" w:space="0"/>
            </w:tcBorders>
            <w:noWrap w:val="0"/>
            <w:vAlign w:val="center"/>
          </w:tcPr>
          <w:p w14:paraId="56816AA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left w:val="nil"/>
              <w:right w:val="single" w:color="auto" w:sz="8" w:space="0"/>
            </w:tcBorders>
            <w:noWrap w:val="0"/>
            <w:vAlign w:val="center"/>
          </w:tcPr>
          <w:p w14:paraId="5D898AB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continue"/>
            <w:tcBorders>
              <w:top w:val="nil"/>
              <w:left w:val="nil"/>
              <w:bottom w:val="single" w:color="auto" w:sz="8" w:space="0"/>
              <w:right w:val="single" w:color="auto" w:sz="8" w:space="0"/>
            </w:tcBorders>
            <w:noWrap w:val="0"/>
            <w:vAlign w:val="center"/>
          </w:tcPr>
          <w:p w14:paraId="3247C5C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55" w:type="dxa"/>
            <w:vMerge w:val="continue"/>
            <w:tcBorders>
              <w:top w:val="single" w:color="auto" w:sz="4" w:space="0"/>
              <w:left w:val="nil"/>
              <w:bottom w:val="single" w:color="auto" w:sz="4" w:space="0"/>
              <w:right w:val="single" w:color="auto" w:sz="8" w:space="0"/>
            </w:tcBorders>
            <w:noWrap w:val="0"/>
            <w:vAlign w:val="center"/>
          </w:tcPr>
          <w:p w14:paraId="701ECA6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30" w:type="dxa"/>
            <w:vMerge w:val="continue"/>
            <w:tcBorders>
              <w:top w:val="single" w:color="auto" w:sz="4" w:space="0"/>
              <w:left w:val="nil"/>
              <w:bottom w:val="single" w:color="auto" w:sz="4" w:space="0"/>
              <w:right w:val="single" w:color="auto" w:sz="8" w:space="0"/>
            </w:tcBorders>
            <w:noWrap w:val="0"/>
            <w:vAlign w:val="center"/>
          </w:tcPr>
          <w:p w14:paraId="541AEDF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85" w:type="dxa"/>
            <w:tcBorders>
              <w:top w:val="nil"/>
              <w:left w:val="nil"/>
              <w:bottom w:val="single" w:color="auto" w:sz="8" w:space="0"/>
              <w:right w:val="single" w:color="auto" w:sz="8" w:space="0"/>
            </w:tcBorders>
            <w:noWrap w:val="0"/>
            <w:vAlign w:val="center"/>
          </w:tcPr>
          <w:p w14:paraId="497F0B0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890" w:type="dxa"/>
            <w:tcBorders>
              <w:top w:val="nil"/>
              <w:left w:val="nil"/>
              <w:bottom w:val="single" w:color="auto" w:sz="8" w:space="0"/>
              <w:right w:val="single" w:color="auto" w:sz="8" w:space="0"/>
            </w:tcBorders>
            <w:noWrap w:val="0"/>
            <w:vAlign w:val="center"/>
          </w:tcPr>
          <w:p w14:paraId="0EAAF6E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资金支付及时率</w:t>
            </w:r>
          </w:p>
        </w:tc>
        <w:tc>
          <w:tcPr>
            <w:tcW w:w="885" w:type="dxa"/>
            <w:tcBorders>
              <w:top w:val="nil"/>
              <w:left w:val="nil"/>
              <w:bottom w:val="single" w:color="auto" w:sz="8" w:space="0"/>
              <w:right w:val="single" w:color="auto" w:sz="4" w:space="0"/>
            </w:tcBorders>
            <w:noWrap w:val="0"/>
            <w:vAlign w:val="center"/>
          </w:tcPr>
          <w:p w14:paraId="28E329D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000000"/>
                <w:sz w:val="18"/>
                <w:szCs w:val="18"/>
                <w:u w:val="none"/>
                <w:lang w:val="en-US" w:eastAsia="zh-CN"/>
              </w:rPr>
              <w:t>=100%</w:t>
            </w:r>
          </w:p>
        </w:tc>
        <w:tc>
          <w:tcPr>
            <w:tcW w:w="4959" w:type="dxa"/>
            <w:vMerge w:val="continue"/>
            <w:tcBorders>
              <w:top w:val="single" w:color="auto" w:sz="4" w:space="0"/>
              <w:left w:val="single" w:color="auto" w:sz="4" w:space="0"/>
              <w:bottom w:val="single" w:color="auto" w:sz="4" w:space="0"/>
              <w:right w:val="single" w:color="auto" w:sz="4" w:space="0"/>
            </w:tcBorders>
            <w:noWrap w:val="0"/>
            <w:vAlign w:val="center"/>
          </w:tcPr>
          <w:p w14:paraId="524DCC1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4FD22A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kern w:val="0"/>
                <w:sz w:val="18"/>
                <w:szCs w:val="18"/>
                <w:u w:val="none"/>
                <w:lang w:val="en-US" w:eastAsia="zh-CN"/>
              </w:rPr>
              <w:t>100%</w:t>
            </w:r>
          </w:p>
        </w:tc>
        <w:tc>
          <w:tcPr>
            <w:tcW w:w="855" w:type="dxa"/>
            <w:tcBorders>
              <w:top w:val="nil"/>
              <w:left w:val="single" w:color="auto" w:sz="4" w:space="0"/>
              <w:bottom w:val="single" w:color="auto" w:sz="8" w:space="0"/>
            </w:tcBorders>
            <w:noWrap w:val="0"/>
            <w:vAlign w:val="center"/>
          </w:tcPr>
          <w:p w14:paraId="7F82DB4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r>
      <w:tr w14:paraId="3A4235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643" w:type="dxa"/>
            <w:vMerge w:val="continue"/>
            <w:tcBorders>
              <w:right w:val="single" w:color="auto" w:sz="8" w:space="0"/>
            </w:tcBorders>
            <w:noWrap w:val="0"/>
            <w:vAlign w:val="center"/>
          </w:tcPr>
          <w:p w14:paraId="120A669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left w:val="nil"/>
              <w:right w:val="single" w:color="auto" w:sz="8" w:space="0"/>
            </w:tcBorders>
            <w:noWrap w:val="0"/>
            <w:vAlign w:val="center"/>
          </w:tcPr>
          <w:p w14:paraId="4CF1E95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tcBorders>
              <w:top w:val="nil"/>
              <w:left w:val="nil"/>
              <w:right w:val="single" w:color="auto" w:sz="8" w:space="0"/>
            </w:tcBorders>
            <w:noWrap w:val="0"/>
            <w:vAlign w:val="center"/>
          </w:tcPr>
          <w:p w14:paraId="0E2C55A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产出成本</w:t>
            </w:r>
          </w:p>
        </w:tc>
        <w:tc>
          <w:tcPr>
            <w:tcW w:w="555" w:type="dxa"/>
            <w:tcBorders>
              <w:top w:val="single" w:color="auto" w:sz="4" w:space="0"/>
              <w:left w:val="nil"/>
              <w:bottom w:val="single" w:color="auto" w:sz="4" w:space="0"/>
              <w:right w:val="single" w:color="auto" w:sz="8" w:space="0"/>
            </w:tcBorders>
            <w:noWrap w:val="0"/>
            <w:vAlign w:val="center"/>
          </w:tcPr>
          <w:p w14:paraId="33D7A86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c>
          <w:tcPr>
            <w:tcW w:w="630" w:type="dxa"/>
            <w:tcBorders>
              <w:top w:val="single" w:color="auto" w:sz="4" w:space="0"/>
              <w:left w:val="nil"/>
              <w:bottom w:val="single" w:color="auto" w:sz="4" w:space="0"/>
              <w:right w:val="single" w:color="auto" w:sz="8" w:space="0"/>
            </w:tcBorders>
            <w:noWrap w:val="0"/>
            <w:vAlign w:val="center"/>
          </w:tcPr>
          <w:p w14:paraId="611EF91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成本节约率</w:t>
            </w:r>
          </w:p>
        </w:tc>
        <w:tc>
          <w:tcPr>
            <w:tcW w:w="585" w:type="dxa"/>
            <w:tcBorders>
              <w:top w:val="nil"/>
              <w:left w:val="nil"/>
              <w:bottom w:val="single" w:color="auto" w:sz="8" w:space="0"/>
              <w:right w:val="single" w:color="auto" w:sz="8" w:space="0"/>
            </w:tcBorders>
            <w:noWrap w:val="0"/>
            <w:vAlign w:val="center"/>
          </w:tcPr>
          <w:p w14:paraId="0B31145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890" w:type="dxa"/>
            <w:tcBorders>
              <w:top w:val="nil"/>
              <w:left w:val="nil"/>
              <w:bottom w:val="single" w:color="auto" w:sz="4" w:space="0"/>
              <w:right w:val="single" w:color="auto" w:sz="8" w:space="0"/>
            </w:tcBorders>
            <w:noWrap w:val="0"/>
            <w:vAlign w:val="center"/>
          </w:tcPr>
          <w:p w14:paraId="61D7E8E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sz w:val="18"/>
                <w:szCs w:val="18"/>
                <w:u w:val="none"/>
              </w:rPr>
              <w:t>项目前期费资金</w:t>
            </w:r>
          </w:p>
        </w:tc>
        <w:tc>
          <w:tcPr>
            <w:tcW w:w="885" w:type="dxa"/>
            <w:tcBorders>
              <w:top w:val="nil"/>
              <w:left w:val="nil"/>
              <w:bottom w:val="single" w:color="auto" w:sz="4" w:space="0"/>
              <w:right w:val="single" w:color="auto" w:sz="8" w:space="0"/>
            </w:tcBorders>
            <w:noWrap w:val="0"/>
            <w:vAlign w:val="center"/>
          </w:tcPr>
          <w:p w14:paraId="3F0529A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sz w:val="18"/>
                <w:szCs w:val="18"/>
                <w:u w:val="none"/>
              </w:rPr>
              <w:t>≤280.59万元</w:t>
            </w:r>
          </w:p>
        </w:tc>
        <w:tc>
          <w:tcPr>
            <w:tcW w:w="4959" w:type="dxa"/>
            <w:tcBorders>
              <w:top w:val="single" w:color="auto" w:sz="4" w:space="0"/>
              <w:left w:val="nil"/>
              <w:bottom w:val="single" w:color="auto" w:sz="4" w:space="0"/>
              <w:right w:val="single" w:color="auto" w:sz="8" w:space="0"/>
            </w:tcBorders>
            <w:noWrap w:val="0"/>
            <w:vAlign w:val="center"/>
          </w:tcPr>
          <w:p w14:paraId="053F853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实际完成率=（实际支付资金数/计划应支付资金数）×100%。</w:t>
            </w:r>
          </w:p>
          <w:p w14:paraId="4A07892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①实际完成率＞年度指标值，得0得分；</w:t>
            </w:r>
          </w:p>
          <w:p w14:paraId="3ADF4AA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②实际完成率≤年度指标值，且偏离程度＜20%，得满分；</w:t>
            </w:r>
          </w:p>
          <w:p w14:paraId="3428724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③实际完成率＜年度指标值，且偏离程度≥20%，得分=实际完成率×分值。</w:t>
            </w:r>
          </w:p>
        </w:tc>
        <w:tc>
          <w:tcPr>
            <w:tcW w:w="1026" w:type="dxa"/>
            <w:tcBorders>
              <w:top w:val="single" w:color="auto" w:sz="4" w:space="0"/>
              <w:left w:val="nil"/>
              <w:bottom w:val="single" w:color="auto" w:sz="8" w:space="0"/>
              <w:right w:val="single" w:color="auto" w:sz="8" w:space="0"/>
            </w:tcBorders>
            <w:noWrap w:val="0"/>
            <w:vAlign w:val="center"/>
          </w:tcPr>
          <w:p w14:paraId="3D45CD2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sz w:val="18"/>
                <w:szCs w:val="18"/>
                <w:u w:val="none"/>
              </w:rPr>
              <w:t>280.59万元</w:t>
            </w:r>
          </w:p>
        </w:tc>
        <w:tc>
          <w:tcPr>
            <w:tcW w:w="855" w:type="dxa"/>
            <w:tcBorders>
              <w:top w:val="nil"/>
              <w:left w:val="nil"/>
              <w:bottom w:val="single" w:color="auto" w:sz="8" w:space="0"/>
            </w:tcBorders>
            <w:noWrap w:val="0"/>
            <w:vAlign w:val="center"/>
          </w:tcPr>
          <w:p w14:paraId="7F8C7B3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r>
      <w:tr w14:paraId="5E911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643" w:type="dxa"/>
            <w:vMerge w:val="restart"/>
            <w:tcBorders>
              <w:top w:val="single" w:color="auto" w:sz="4" w:space="0"/>
              <w:bottom w:val="single" w:color="auto" w:sz="4" w:space="0"/>
              <w:right w:val="single" w:color="auto" w:sz="4" w:space="0"/>
            </w:tcBorders>
            <w:noWrap w:val="0"/>
            <w:vAlign w:val="center"/>
          </w:tcPr>
          <w:p w14:paraId="680775F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项目效益</w:t>
            </w:r>
          </w:p>
        </w:tc>
        <w:tc>
          <w:tcPr>
            <w:tcW w:w="570" w:type="dxa"/>
            <w:vMerge w:val="restart"/>
            <w:tcBorders>
              <w:top w:val="single" w:color="auto" w:sz="4" w:space="0"/>
              <w:left w:val="single" w:color="auto" w:sz="4" w:space="0"/>
              <w:bottom w:val="single" w:color="auto" w:sz="4" w:space="0"/>
              <w:right w:val="single" w:color="auto" w:sz="4" w:space="0"/>
            </w:tcBorders>
            <w:noWrap w:val="0"/>
            <w:vAlign w:val="center"/>
          </w:tcPr>
          <w:p w14:paraId="3574FAF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rPr>
              <w:t>25</w:t>
            </w:r>
          </w:p>
        </w:tc>
        <w:tc>
          <w:tcPr>
            <w:tcW w:w="615" w:type="dxa"/>
            <w:vMerge w:val="restart"/>
            <w:tcBorders>
              <w:top w:val="single" w:color="auto" w:sz="4" w:space="0"/>
              <w:left w:val="single" w:color="auto" w:sz="4" w:space="0"/>
              <w:bottom w:val="single" w:color="auto" w:sz="4" w:space="0"/>
              <w:right w:val="single" w:color="auto" w:sz="4" w:space="0"/>
            </w:tcBorders>
            <w:noWrap w:val="0"/>
            <w:vAlign w:val="center"/>
          </w:tcPr>
          <w:p w14:paraId="4A0B060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项目效益</w:t>
            </w:r>
          </w:p>
        </w:tc>
        <w:tc>
          <w:tcPr>
            <w:tcW w:w="555" w:type="dxa"/>
            <w:vMerge w:val="restart"/>
            <w:tcBorders>
              <w:top w:val="single" w:color="auto" w:sz="4" w:space="0"/>
              <w:left w:val="single" w:color="auto" w:sz="4" w:space="0"/>
              <w:bottom w:val="single" w:color="auto" w:sz="4" w:space="0"/>
              <w:right w:val="single" w:color="auto" w:sz="4" w:space="0"/>
            </w:tcBorders>
            <w:noWrap w:val="0"/>
            <w:vAlign w:val="center"/>
          </w:tcPr>
          <w:p w14:paraId="4E03501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rPr>
              <w:t>25</w:t>
            </w:r>
          </w:p>
        </w:tc>
        <w:tc>
          <w:tcPr>
            <w:tcW w:w="630" w:type="dxa"/>
            <w:tcBorders>
              <w:top w:val="single" w:color="auto" w:sz="4" w:space="0"/>
              <w:left w:val="single" w:color="auto" w:sz="4" w:space="0"/>
              <w:bottom w:val="single" w:color="auto" w:sz="4" w:space="0"/>
              <w:right w:val="single" w:color="auto" w:sz="4" w:space="0"/>
            </w:tcBorders>
            <w:noWrap w:val="0"/>
            <w:vAlign w:val="center"/>
          </w:tcPr>
          <w:p w14:paraId="248CE5F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社会效益</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2F7C73A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rPr>
              <w:t>15</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0F6A878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推进项目落地实施</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75516E6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有效推进</w:t>
            </w:r>
          </w:p>
        </w:tc>
        <w:tc>
          <w:tcPr>
            <w:tcW w:w="4959" w:type="dxa"/>
            <w:tcBorders>
              <w:top w:val="single" w:color="auto" w:sz="4" w:space="0"/>
              <w:left w:val="single" w:color="auto" w:sz="4" w:space="0"/>
              <w:bottom w:val="single" w:color="auto" w:sz="4" w:space="0"/>
              <w:right w:val="single" w:color="auto" w:sz="4" w:space="0"/>
            </w:tcBorders>
            <w:noWrap w:val="0"/>
            <w:vAlign w:val="center"/>
          </w:tcPr>
          <w:p w14:paraId="71C0707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按评判等级赋分。分为基本达成目标、部分实现目标、实现目标程度较低三个档次，并分别按照该指标对应分值区间100%-80%（含）、80%-60%（含）、60%-0%合理确定分值。</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E0245C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有效推进</w:t>
            </w:r>
          </w:p>
        </w:tc>
        <w:tc>
          <w:tcPr>
            <w:tcW w:w="855" w:type="dxa"/>
            <w:tcBorders>
              <w:top w:val="single" w:color="auto" w:sz="4" w:space="0"/>
              <w:left w:val="single" w:color="auto" w:sz="4" w:space="0"/>
              <w:bottom w:val="single" w:color="auto" w:sz="4" w:space="0"/>
            </w:tcBorders>
            <w:noWrap w:val="0"/>
            <w:vAlign w:val="center"/>
          </w:tcPr>
          <w:p w14:paraId="10132FC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rPr>
              <w:t>15</w:t>
            </w:r>
          </w:p>
        </w:tc>
      </w:tr>
      <w:tr w14:paraId="021E8F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643" w:type="dxa"/>
            <w:vMerge w:val="continue"/>
            <w:tcBorders>
              <w:top w:val="single" w:color="auto" w:sz="4" w:space="0"/>
              <w:bottom w:val="single" w:color="auto" w:sz="4" w:space="0"/>
              <w:right w:val="single" w:color="auto" w:sz="4" w:space="0"/>
            </w:tcBorders>
            <w:noWrap w:val="0"/>
            <w:vAlign w:val="center"/>
          </w:tcPr>
          <w:p w14:paraId="6686BC4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70" w:type="dxa"/>
            <w:vMerge w:val="continue"/>
            <w:tcBorders>
              <w:top w:val="single" w:color="auto" w:sz="4" w:space="0"/>
              <w:left w:val="single" w:color="auto" w:sz="4" w:space="0"/>
              <w:bottom w:val="single" w:color="auto" w:sz="4" w:space="0"/>
              <w:right w:val="single" w:color="auto" w:sz="4" w:space="0"/>
            </w:tcBorders>
            <w:noWrap w:val="0"/>
            <w:vAlign w:val="center"/>
          </w:tcPr>
          <w:p w14:paraId="15BFE92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15" w:type="dxa"/>
            <w:vMerge w:val="continue"/>
            <w:tcBorders>
              <w:top w:val="single" w:color="auto" w:sz="4" w:space="0"/>
              <w:left w:val="single" w:color="auto" w:sz="4" w:space="0"/>
              <w:bottom w:val="single" w:color="auto" w:sz="4" w:space="0"/>
              <w:right w:val="single" w:color="auto" w:sz="4" w:space="0"/>
            </w:tcBorders>
            <w:noWrap w:val="0"/>
            <w:vAlign w:val="center"/>
          </w:tcPr>
          <w:p w14:paraId="490E177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14:paraId="2E53E25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0EDF895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服务对象满意度</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0C910BF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c>
          <w:tcPr>
            <w:tcW w:w="2890" w:type="dxa"/>
            <w:tcBorders>
              <w:top w:val="single" w:color="auto" w:sz="4" w:space="0"/>
              <w:left w:val="single" w:color="auto" w:sz="4" w:space="0"/>
              <w:bottom w:val="single" w:color="auto" w:sz="4" w:space="0"/>
              <w:right w:val="single" w:color="auto" w:sz="4" w:space="0"/>
            </w:tcBorders>
            <w:noWrap w:val="0"/>
            <w:vAlign w:val="center"/>
          </w:tcPr>
          <w:p w14:paraId="7CD702E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项目单位满意度</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7ABB489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≥95%</w:t>
            </w:r>
          </w:p>
        </w:tc>
        <w:tc>
          <w:tcPr>
            <w:tcW w:w="4959" w:type="dxa"/>
            <w:tcBorders>
              <w:top w:val="single" w:color="auto" w:sz="4" w:space="0"/>
              <w:left w:val="single" w:color="auto" w:sz="4" w:space="0"/>
              <w:bottom w:val="single" w:color="auto" w:sz="4" w:space="0"/>
              <w:right w:val="single" w:color="auto" w:sz="4" w:space="0"/>
            </w:tcBorders>
            <w:noWrap w:val="0"/>
            <w:vAlign w:val="center"/>
          </w:tcPr>
          <w:p w14:paraId="6DAED8E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根据问卷调查，满意度达到标杆值，得权重分的100%；否则低于95%，得分=实际满意度*指标分值。</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200769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95%</w:t>
            </w:r>
          </w:p>
        </w:tc>
        <w:tc>
          <w:tcPr>
            <w:tcW w:w="855" w:type="dxa"/>
            <w:tcBorders>
              <w:top w:val="single" w:color="auto" w:sz="4" w:space="0"/>
              <w:left w:val="single" w:color="auto" w:sz="4" w:space="0"/>
              <w:bottom w:val="single" w:color="auto" w:sz="4" w:space="0"/>
            </w:tcBorders>
            <w:noWrap w:val="0"/>
            <w:vAlign w:val="center"/>
          </w:tcPr>
          <w:p w14:paraId="026CFAF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w:t>
            </w:r>
          </w:p>
        </w:tc>
      </w:tr>
      <w:tr w14:paraId="42BF3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3" w:type="dxa"/>
            <w:tcBorders>
              <w:top w:val="single" w:color="auto" w:sz="4" w:space="0"/>
              <w:right w:val="single" w:color="auto" w:sz="8" w:space="0"/>
            </w:tcBorders>
            <w:noWrap w:val="0"/>
            <w:vAlign w:val="center"/>
          </w:tcPr>
          <w:p w14:paraId="0F4C255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总分</w:t>
            </w:r>
          </w:p>
        </w:tc>
        <w:tc>
          <w:tcPr>
            <w:tcW w:w="570" w:type="dxa"/>
            <w:tcBorders>
              <w:top w:val="single" w:color="auto" w:sz="4" w:space="0"/>
              <w:left w:val="nil"/>
              <w:right w:val="single" w:color="auto" w:sz="8" w:space="0"/>
            </w:tcBorders>
            <w:noWrap w:val="0"/>
            <w:vAlign w:val="center"/>
          </w:tcPr>
          <w:p w14:paraId="2C6C763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615" w:type="dxa"/>
            <w:tcBorders>
              <w:top w:val="single" w:color="auto" w:sz="4" w:space="0"/>
              <w:left w:val="nil"/>
              <w:right w:val="single" w:color="auto" w:sz="8" w:space="0"/>
            </w:tcBorders>
            <w:noWrap w:val="0"/>
            <w:vAlign w:val="center"/>
          </w:tcPr>
          <w:p w14:paraId="61282DE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55" w:type="dxa"/>
            <w:tcBorders>
              <w:top w:val="single" w:color="auto" w:sz="4" w:space="0"/>
              <w:left w:val="nil"/>
              <w:right w:val="single" w:color="auto" w:sz="8" w:space="0"/>
            </w:tcBorders>
            <w:noWrap w:val="0"/>
            <w:vAlign w:val="center"/>
          </w:tcPr>
          <w:p w14:paraId="4EBA103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630" w:type="dxa"/>
            <w:tcBorders>
              <w:top w:val="single" w:color="auto" w:sz="4" w:space="0"/>
              <w:left w:val="nil"/>
              <w:right w:val="single" w:color="auto" w:sz="8" w:space="0"/>
            </w:tcBorders>
            <w:noWrap w:val="0"/>
            <w:vAlign w:val="center"/>
          </w:tcPr>
          <w:p w14:paraId="1D37E9F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585" w:type="dxa"/>
            <w:tcBorders>
              <w:top w:val="single" w:color="auto" w:sz="4" w:space="0"/>
              <w:left w:val="nil"/>
              <w:right w:val="single" w:color="auto" w:sz="8" w:space="0"/>
            </w:tcBorders>
            <w:noWrap w:val="0"/>
            <w:vAlign w:val="center"/>
          </w:tcPr>
          <w:p w14:paraId="3B6BBC2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2890" w:type="dxa"/>
            <w:tcBorders>
              <w:top w:val="single" w:color="auto" w:sz="4" w:space="0"/>
              <w:left w:val="nil"/>
              <w:right w:val="single" w:color="auto" w:sz="8" w:space="0"/>
            </w:tcBorders>
            <w:noWrap w:val="0"/>
            <w:vAlign w:val="center"/>
          </w:tcPr>
          <w:p w14:paraId="1F23D4C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885" w:type="dxa"/>
            <w:tcBorders>
              <w:top w:val="single" w:color="auto" w:sz="4" w:space="0"/>
              <w:left w:val="nil"/>
              <w:right w:val="single" w:color="auto" w:sz="8" w:space="0"/>
            </w:tcBorders>
            <w:noWrap w:val="0"/>
            <w:vAlign w:val="center"/>
          </w:tcPr>
          <w:p w14:paraId="2A731D9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4959" w:type="dxa"/>
            <w:tcBorders>
              <w:top w:val="single" w:color="auto" w:sz="4" w:space="0"/>
              <w:left w:val="nil"/>
              <w:right w:val="single" w:color="auto" w:sz="8" w:space="0"/>
            </w:tcBorders>
            <w:noWrap w:val="0"/>
            <w:vAlign w:val="center"/>
          </w:tcPr>
          <w:p w14:paraId="4B276E13">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u w:val="none"/>
              </w:rPr>
            </w:pPr>
          </w:p>
        </w:tc>
        <w:tc>
          <w:tcPr>
            <w:tcW w:w="1026" w:type="dxa"/>
            <w:tcBorders>
              <w:top w:val="single" w:color="auto" w:sz="4" w:space="0"/>
              <w:left w:val="nil"/>
              <w:right w:val="single" w:color="auto" w:sz="8" w:space="0"/>
            </w:tcBorders>
            <w:noWrap w:val="0"/>
            <w:vAlign w:val="center"/>
          </w:tcPr>
          <w:p w14:paraId="0F741B2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u w:val="none"/>
              </w:rPr>
            </w:pPr>
          </w:p>
        </w:tc>
        <w:tc>
          <w:tcPr>
            <w:tcW w:w="855" w:type="dxa"/>
            <w:tcBorders>
              <w:top w:val="single" w:color="auto" w:sz="4" w:space="0"/>
              <w:left w:val="nil"/>
            </w:tcBorders>
            <w:noWrap w:val="0"/>
            <w:vAlign w:val="center"/>
          </w:tcPr>
          <w:p w14:paraId="208DB4A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r>
    </w:tbl>
    <w:p w14:paraId="76FA48B5">
      <w:pPr>
        <w:pStyle w:val="7"/>
        <w:keepNext w:val="0"/>
        <w:keepLines w:val="0"/>
        <w:pageBreakBefore w:val="0"/>
        <w:shd w:val="clear" w:color="auto" w:fill="auto"/>
        <w:kinsoku/>
        <w:wordWrap/>
        <w:overflowPunct/>
        <w:topLinePunct w:val="0"/>
        <w:autoSpaceDE/>
        <w:autoSpaceDN/>
        <w:bidi w:val="0"/>
        <w:adjustRightInd/>
        <w:snapToGrid/>
        <w:spacing w:before="0" w:after="0" w:line="240" w:lineRule="auto"/>
        <w:ind w:left="0" w:leftChars="0" w:firstLine="0" w:firstLineChars="0"/>
        <w:jc w:val="both"/>
        <w:rPr>
          <w:rFonts w:hint="eastAsia" w:ascii="宋体" w:hAnsi="宋体" w:eastAsia="宋体" w:cs="宋体"/>
          <w:sz w:val="21"/>
          <w:szCs w:val="21"/>
          <w:lang w:eastAsia="zh-CN"/>
        </w:rPr>
      </w:pPr>
    </w:p>
    <w:p w14:paraId="1B70B3DB">
      <w:pPr>
        <w:pStyle w:val="7"/>
        <w:keepNext w:val="0"/>
        <w:keepLines w:val="0"/>
        <w:pageBreakBefore w:val="0"/>
        <w:kinsoku/>
        <w:wordWrap/>
        <w:overflowPunct/>
        <w:topLinePunct w:val="0"/>
        <w:autoSpaceDE/>
        <w:autoSpaceDN/>
        <w:bidi w:val="0"/>
        <w:adjustRightInd/>
        <w:snapToGrid/>
        <w:jc w:val="center"/>
        <w:rPr>
          <w:rFonts w:hint="eastAsia" w:ascii="宋体" w:hAnsi="宋体" w:eastAsia="宋体" w:cs="宋体"/>
          <w:sz w:val="21"/>
          <w:szCs w:val="21"/>
          <w:lang w:eastAsia="zh-CN"/>
        </w:rPr>
      </w:pPr>
    </w:p>
    <w:p w14:paraId="39CC1300">
      <w:pPr>
        <w:pStyle w:val="7"/>
        <w:keepNext w:val="0"/>
        <w:keepLines w:val="0"/>
        <w:pageBreakBefore w:val="0"/>
        <w:kinsoku/>
        <w:wordWrap/>
        <w:overflowPunct/>
        <w:topLinePunct w:val="0"/>
        <w:autoSpaceDE/>
        <w:autoSpaceDN/>
        <w:bidi w:val="0"/>
        <w:adjustRightInd/>
        <w:snapToGrid/>
        <w:jc w:val="center"/>
        <w:rPr>
          <w:rFonts w:hint="eastAsia" w:ascii="宋体" w:hAnsi="宋体" w:eastAsia="宋体" w:cs="宋体"/>
          <w:sz w:val="21"/>
          <w:szCs w:val="21"/>
          <w:lang w:eastAsia="zh-CN"/>
        </w:rPr>
      </w:pPr>
    </w:p>
    <w:p w14:paraId="37358AE5">
      <w:pPr>
        <w:pStyle w:val="7"/>
        <w:keepNext w:val="0"/>
        <w:keepLines w:val="0"/>
        <w:pageBreakBefore w:val="0"/>
        <w:kinsoku/>
        <w:wordWrap/>
        <w:overflowPunct/>
        <w:topLinePunct w:val="0"/>
        <w:autoSpaceDE/>
        <w:autoSpaceDN/>
        <w:bidi w:val="0"/>
        <w:adjustRightInd/>
        <w:snapToGrid/>
        <w:jc w:val="center"/>
        <w:rPr>
          <w:rFonts w:hint="eastAsia" w:ascii="宋体" w:hAnsi="宋体" w:eastAsia="宋体" w:cs="宋体"/>
          <w:sz w:val="21"/>
          <w:szCs w:val="21"/>
          <w:lang w:eastAsia="zh-CN"/>
        </w:rPr>
      </w:pPr>
    </w:p>
    <w:p w14:paraId="77AA2014">
      <w:pPr>
        <w:pStyle w:val="7"/>
        <w:keepNext w:val="0"/>
        <w:keepLines w:val="0"/>
        <w:pageBreakBefore w:val="0"/>
        <w:kinsoku/>
        <w:wordWrap/>
        <w:overflowPunct/>
        <w:topLinePunct w:val="0"/>
        <w:autoSpaceDE/>
        <w:autoSpaceDN/>
        <w:bidi w:val="0"/>
        <w:adjustRightInd/>
        <w:snapToGrid/>
        <w:ind w:left="0" w:leftChars="0" w:firstLine="0" w:firstLineChars="0"/>
        <w:jc w:val="left"/>
        <w:rPr>
          <w:rFonts w:hint="eastAsia" w:ascii="宋体" w:hAnsi="宋体" w:eastAsia="宋体" w:cs="宋体"/>
          <w:sz w:val="21"/>
          <w:szCs w:val="21"/>
          <w:lang w:val="en-US" w:eastAsia="zh-CN"/>
        </w:rPr>
      </w:pPr>
    </w:p>
    <w:p w14:paraId="7E1B1756">
      <w:pPr>
        <w:pStyle w:val="7"/>
        <w:keepNext w:val="0"/>
        <w:keepLines w:val="0"/>
        <w:pageBreakBefore w:val="0"/>
        <w:kinsoku/>
        <w:wordWrap/>
        <w:overflowPunct/>
        <w:topLinePunct w:val="0"/>
        <w:autoSpaceDE/>
        <w:autoSpaceDN/>
        <w:bidi w:val="0"/>
        <w:adjustRightInd/>
        <w:snapToGrid/>
        <w:ind w:left="0" w:lef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附件2：</w:t>
      </w:r>
    </w:p>
    <w:tbl>
      <w:tblPr>
        <w:tblStyle w:val="11"/>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0AD98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4239C5D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auto"/>
                <w:sz w:val="21"/>
                <w:szCs w:val="21"/>
                <w:highlight w:val="yellow"/>
                <w:u w:val="none"/>
              </w:rPr>
            </w:pPr>
          </w:p>
        </w:tc>
        <w:tc>
          <w:tcPr>
            <w:tcW w:w="1778" w:type="dxa"/>
            <w:tcBorders>
              <w:top w:val="nil"/>
              <w:left w:val="nil"/>
              <w:bottom w:val="nil"/>
              <w:right w:val="nil"/>
            </w:tcBorders>
            <w:noWrap/>
            <w:vAlign w:val="center"/>
          </w:tcPr>
          <w:p w14:paraId="58DBC5B6">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auto"/>
                <w:sz w:val="21"/>
                <w:szCs w:val="21"/>
                <w:highlight w:val="yellow"/>
                <w:u w:val="none"/>
              </w:rPr>
            </w:pPr>
          </w:p>
        </w:tc>
        <w:tc>
          <w:tcPr>
            <w:tcW w:w="2786" w:type="dxa"/>
            <w:tcBorders>
              <w:top w:val="nil"/>
              <w:left w:val="nil"/>
              <w:bottom w:val="nil"/>
              <w:right w:val="nil"/>
            </w:tcBorders>
            <w:noWrap/>
            <w:vAlign w:val="center"/>
          </w:tcPr>
          <w:p w14:paraId="4658FAF1">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auto"/>
                <w:sz w:val="21"/>
                <w:szCs w:val="21"/>
                <w:highlight w:val="yellow"/>
                <w:u w:val="none"/>
              </w:rPr>
            </w:pPr>
          </w:p>
        </w:tc>
        <w:tc>
          <w:tcPr>
            <w:tcW w:w="2314" w:type="dxa"/>
            <w:tcBorders>
              <w:top w:val="nil"/>
              <w:left w:val="nil"/>
              <w:bottom w:val="nil"/>
              <w:right w:val="nil"/>
            </w:tcBorders>
            <w:noWrap/>
            <w:vAlign w:val="center"/>
          </w:tcPr>
          <w:p w14:paraId="183F78FB">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auto"/>
                <w:sz w:val="21"/>
                <w:szCs w:val="21"/>
                <w:highlight w:val="yellow"/>
                <w:u w:val="none"/>
              </w:rPr>
            </w:pPr>
          </w:p>
        </w:tc>
        <w:tc>
          <w:tcPr>
            <w:tcW w:w="3449" w:type="dxa"/>
            <w:tcBorders>
              <w:top w:val="nil"/>
              <w:left w:val="nil"/>
              <w:bottom w:val="nil"/>
              <w:right w:val="nil"/>
            </w:tcBorders>
            <w:noWrap/>
            <w:vAlign w:val="center"/>
          </w:tcPr>
          <w:p w14:paraId="2CD182A8">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auto"/>
                <w:sz w:val="21"/>
                <w:szCs w:val="21"/>
                <w:highlight w:val="yellow"/>
                <w:u w:val="none"/>
              </w:rPr>
            </w:pPr>
          </w:p>
        </w:tc>
        <w:tc>
          <w:tcPr>
            <w:tcW w:w="1331" w:type="dxa"/>
            <w:tcBorders>
              <w:top w:val="nil"/>
              <w:left w:val="nil"/>
              <w:bottom w:val="nil"/>
              <w:right w:val="nil"/>
            </w:tcBorders>
            <w:noWrap/>
            <w:vAlign w:val="center"/>
          </w:tcPr>
          <w:p w14:paraId="53DCFBC1">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auto"/>
                <w:sz w:val="21"/>
                <w:szCs w:val="21"/>
                <w:highlight w:val="yellow"/>
                <w:u w:val="none"/>
              </w:rPr>
            </w:pPr>
          </w:p>
        </w:tc>
      </w:tr>
      <w:tr w14:paraId="0DD7E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56D896B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000000"/>
                <w:kern w:val="0"/>
                <w:sz w:val="36"/>
                <w:szCs w:val="36"/>
                <w:highlight w:val="none"/>
                <w:u w:val="none"/>
                <w:lang w:val="en-US" w:eastAsia="zh-CN"/>
              </w:rPr>
              <w:t>洛浦县重点项目前期费项目综合得分表</w:t>
            </w:r>
          </w:p>
        </w:tc>
      </w:tr>
      <w:tr w14:paraId="14268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217FEF2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7B7DA2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F632930">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6A96F0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111450C">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463A247">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合计</w:t>
            </w:r>
          </w:p>
        </w:tc>
      </w:tr>
      <w:tr w14:paraId="05FF6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13A3AD7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875A98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85FA52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FBE131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default"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5338D87">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FC789A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r>
      <w:tr w14:paraId="11646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7FD3DC2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3A811C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43FE92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default"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A25A120">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default"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E5AF49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D8AA2F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r>
      <w:tr w14:paraId="51FD9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246AC91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A738CF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A8E432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DE55444">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D33BA8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9C214C7">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r>
    </w:tbl>
    <w:p w14:paraId="7C2F00FD">
      <w:pPr>
        <w:pStyle w:val="7"/>
        <w:ind w:left="0" w:leftChars="0" w:firstLine="0" w:firstLineChars="0"/>
        <w:jc w:val="both"/>
        <w:rPr>
          <w:rFonts w:hint="default" w:ascii="宋体" w:hAnsi="宋体" w:eastAsia="宋体" w:cs="宋体"/>
          <w:sz w:val="24"/>
          <w:szCs w:val="24"/>
          <w:lang w:val="en-US" w:eastAsia="zh-CN"/>
        </w:rPr>
        <w:sectPr>
          <w:pgSz w:w="16838" w:h="11906" w:orient="landscape"/>
          <w:pgMar w:top="1531" w:right="1985" w:bottom="1531" w:left="1701" w:header="851" w:footer="992" w:gutter="0"/>
          <w:pgNumType w:start="1"/>
          <w:cols w:space="720" w:num="1"/>
          <w:docGrid w:type="linesAndChars" w:linePitch="386" w:charSpace="0"/>
        </w:sectPr>
      </w:pPr>
    </w:p>
    <w:p w14:paraId="32ECA3C4">
      <w:pPr>
        <w:spacing w:line="560" w:lineRule="exact"/>
        <w:rPr>
          <w:rFonts w:hint="eastAsia" w:ascii="仿宋_GB2312" w:hAnsi="仿宋_GB2312" w:cs="仿宋_GB2312"/>
        </w:rPr>
      </w:pPr>
    </w:p>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E61F2">
    <w:pPr>
      <w:widowControl w:val="0"/>
      <w:snapToGrid w:val="0"/>
      <w:ind w:firstLine="360" w:firstLineChars="200"/>
      <w:jc w:val="left"/>
      <w:rPr>
        <w:rFonts w:ascii="Times New Roman" w:hAnsi="Times New Roman" w:eastAsia="仿宋_GB2312" w:cs="Times New Roman"/>
        <w:kern w:val="0"/>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43D74">
    <w:pPr>
      <w:widowControl w:val="0"/>
      <w:pBdr>
        <w:bottom w:val="none" w:color="auto" w:sz="0" w:space="1"/>
      </w:pBdr>
      <w:snapToGrid w:val="0"/>
      <w:ind w:firstLine="360" w:firstLineChars="200"/>
      <w:jc w:val="center"/>
      <w:rPr>
        <w:rFonts w:ascii="Times New Roman" w:hAnsi="Times New Roman" w:eastAsia="仿宋_GB2312" w:cs="Times New Roman"/>
        <w:kern w:val="0"/>
        <w:sz w:val="18"/>
        <w:szCs w:val="18"/>
        <w:lang w:val="en-US" w:eastAsia="zh-CN" w:bidi="ar-SA"/>
      </w:rPr>
    </w:pPr>
  </w:p>
  <w:p w14:paraId="49FDE181">
    <w:pPr>
      <w:widowControl w:val="0"/>
      <w:pBdr>
        <w:bottom w:val="none" w:color="auto" w:sz="0" w:space="1"/>
      </w:pBdr>
      <w:snapToGrid w:val="0"/>
      <w:ind w:firstLine="360" w:firstLineChars="200"/>
      <w:jc w:val="center"/>
      <w:rPr>
        <w:rFonts w:ascii="Times New Roman" w:hAnsi="Times New Roman" w:eastAsia="仿宋_GB2312" w:cs="Times New Roman"/>
        <w:kern w:val="0"/>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decimal"/>
      <w:lvlText w:val="%1."/>
      <w:lvlJc w:val="left"/>
      <w:pPr>
        <w:tabs>
          <w:tab w:val="left" w:pos="312"/>
        </w:tabs>
      </w:pPr>
    </w:lvl>
  </w:abstractNum>
  <w:abstractNum w:abstractNumId="1">
    <w:nsid w:val="0053208E"/>
    <w:multiLevelType w:val="multilevel"/>
    <w:tmpl w:val="0053208E"/>
    <w:lvl w:ilvl="0" w:tentative="0">
      <w:start w:val="1"/>
      <w:numFmt w:val="chineseCountingThousand"/>
      <w:pStyle w:val="3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GM2Y2M2OGEzZDY5NDM5Y2I1NTg3YmU3MTc3ZWNkZjAifQ=="/>
  </w:docVars>
  <w:rsids>
    <w:rsidRoot w:val="00000000"/>
    <w:rsid w:val="222A7CE7"/>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3"/>
    <w:link w:val="18"/>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19"/>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unhideWhenUsed/>
    <w:qFormat/>
    <w:uiPriority w:val="9"/>
    <w:pPr>
      <w:keepNext/>
      <w:widowControl/>
      <w:spacing w:before="240" w:after="60"/>
      <w:jc w:val="left"/>
      <w:outlineLvl w:val="2"/>
    </w:pPr>
    <w:rPr>
      <w:rFonts w:ascii="Cambria" w:hAnsi="Cambria" w:eastAsia="宋体"/>
      <w:b/>
      <w:bCs/>
      <w:kern w:val="0"/>
      <w:sz w:val="26"/>
      <w:szCs w:val="26"/>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Body Text First Indent 2"/>
    <w:basedOn w:val="4"/>
    <w:unhideWhenUsed/>
    <w:qFormat/>
    <w:uiPriority w:val="0"/>
    <w:pPr>
      <w:widowControl w:val="0"/>
      <w:spacing w:after="120"/>
      <w:ind w:left="420" w:leftChars="200" w:firstLine="420" w:firstLineChars="200"/>
      <w:jc w:val="both"/>
    </w:pPr>
    <w:rPr>
      <w:rFonts w:ascii="Times New Roman" w:hAnsi="Times New Roman" w:eastAsia="仿宋_GB2312" w:cs="Times New Roman"/>
      <w:kern w:val="0"/>
      <w:sz w:val="28"/>
      <w:szCs w:val="20"/>
      <w:lang w:val="en-US" w:eastAsia="zh-CN" w:bidi="ar-SA"/>
    </w:rPr>
  </w:style>
  <w:style w:type="paragraph" w:styleId="4">
    <w:name w:val="Body Text Indent"/>
    <w:basedOn w:val="1"/>
    <w:unhideWhenUsed/>
    <w:qFormat/>
    <w:uiPriority w:val="99"/>
    <w:pPr>
      <w:widowControl w:val="0"/>
      <w:spacing w:after="120"/>
      <w:ind w:left="420" w:leftChars="200" w:firstLine="600" w:firstLineChars="200"/>
      <w:jc w:val="both"/>
    </w:pPr>
    <w:rPr>
      <w:rFonts w:ascii="Times New Roman" w:hAnsi="Times New Roman" w:eastAsia="仿宋_GB2312" w:cs="Times New Roman"/>
      <w:kern w:val="0"/>
      <w:sz w:val="28"/>
      <w:szCs w:val="20"/>
      <w:lang w:val="en-US" w:eastAsia="zh-CN" w:bidi="ar-SA"/>
    </w:rPr>
  </w:style>
  <w:style w:type="paragraph" w:styleId="7">
    <w:name w:val="Body Text"/>
    <w:basedOn w:val="1"/>
    <w:qFormat/>
    <w:uiPriority w:val="0"/>
    <w:pPr>
      <w:widowControl w:val="0"/>
      <w:spacing w:before="240" w:after="240" w:line="360" w:lineRule="auto"/>
      <w:ind w:firstLine="600" w:firstLineChars="200"/>
      <w:jc w:val="center"/>
    </w:pPr>
    <w:rPr>
      <w:rFonts w:ascii="Times New Roman" w:hAnsi="Times New Roman" w:eastAsia="仿宋_GB2312" w:cs="黑体"/>
      <w:b/>
      <w:kern w:val="2"/>
      <w:sz w:val="44"/>
      <w:szCs w:val="22"/>
      <w:lang w:val="en-US" w:eastAsia="zh-CN" w:bidi="ar-SA"/>
    </w:rPr>
  </w:style>
  <w:style w:type="paragraph" w:styleId="8">
    <w:name w:val="Balloon Text"/>
    <w:basedOn w:val="1"/>
    <w:link w:val="21"/>
    <w:uiPriority w:val="0"/>
    <w:rPr>
      <w:sz w:val="18"/>
      <w:szCs w:val="18"/>
    </w:rPr>
  </w:style>
  <w:style w:type="paragraph" w:styleId="9">
    <w:name w:val="footer"/>
    <w:basedOn w:val="1"/>
    <w:link w:val="22"/>
    <w:uiPriority w:val="0"/>
    <w:pPr>
      <w:tabs>
        <w:tab w:val="center" w:pos="4153"/>
        <w:tab w:val="right" w:pos="8306"/>
      </w:tabs>
      <w:snapToGrid w:val="0"/>
      <w:jc w:val="left"/>
    </w:pPr>
    <w:rPr>
      <w:sz w:val="18"/>
      <w:szCs w:val="18"/>
    </w:rPr>
  </w:style>
  <w:style w:type="paragraph" w:styleId="10">
    <w:name w:val="header"/>
    <w:basedOn w:val="1"/>
    <w:link w:val="23"/>
    <w:uiPriority w:val="0"/>
    <w:pPr>
      <w:pBdr>
        <w:bottom w:val="single" w:color="auto" w:sz="6" w:space="1"/>
      </w:pBdr>
      <w:tabs>
        <w:tab w:val="center" w:pos="4153"/>
        <w:tab w:val="right" w:pos="8306"/>
      </w:tabs>
      <w:snapToGrid w:val="0"/>
      <w:jc w:val="center"/>
    </w:pPr>
    <w:rPr>
      <w:sz w:val="18"/>
      <w:szCs w:val="18"/>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0"/>
    <w:rPr>
      <w:b/>
      <w:bCs/>
    </w:rPr>
  </w:style>
  <w:style w:type="paragraph" w:customStyle="1" w:styleId="15">
    <w:name w:val="Comment Text"/>
    <w:basedOn w:val="1"/>
    <w:link w:val="20"/>
    <w:uiPriority w:val="0"/>
    <w:pPr>
      <w:jc w:val="left"/>
    </w:pPr>
  </w:style>
  <w:style w:type="paragraph" w:customStyle="1" w:styleId="16">
    <w:name w:val="Comment Subject"/>
    <w:basedOn w:val="15"/>
    <w:next w:val="15"/>
    <w:link w:val="24"/>
    <w:uiPriority w:val="0"/>
    <w:rPr>
      <w:b/>
      <w:bCs/>
    </w:rPr>
  </w:style>
  <w:style w:type="character" w:customStyle="1" w:styleId="17">
    <w:name w:val="Comment Reference"/>
    <w:uiPriority w:val="0"/>
    <w:rPr>
      <w:sz w:val="21"/>
      <w:szCs w:val="21"/>
    </w:rPr>
  </w:style>
  <w:style w:type="character" w:customStyle="1" w:styleId="18">
    <w:name w:val="标题 1 Char"/>
    <w:basedOn w:val="13"/>
    <w:link w:val="2"/>
    <w:uiPriority w:val="0"/>
    <w:rPr>
      <w:rFonts w:eastAsia="仿宋_GB2312"/>
      <w:b/>
      <w:bCs/>
      <w:kern w:val="44"/>
      <w:sz w:val="44"/>
      <w:szCs w:val="44"/>
    </w:rPr>
  </w:style>
  <w:style w:type="character" w:customStyle="1" w:styleId="19">
    <w:name w:val="标题 2 Char"/>
    <w:basedOn w:val="13"/>
    <w:link w:val="5"/>
    <w:semiHidden/>
    <w:uiPriority w:val="0"/>
    <w:rPr>
      <w:rFonts w:ascii="Cambria" w:hAnsi="Cambria" w:eastAsia="宋体" w:cs="Times New Roman"/>
      <w:b/>
      <w:bCs/>
      <w:kern w:val="2"/>
      <w:sz w:val="32"/>
      <w:szCs w:val="32"/>
    </w:rPr>
  </w:style>
  <w:style w:type="character" w:customStyle="1" w:styleId="20">
    <w:name w:val="批注文字 字符"/>
    <w:link w:val="15"/>
    <w:uiPriority w:val="0"/>
    <w:rPr>
      <w:rFonts w:eastAsia="仿宋_GB2312"/>
      <w:kern w:val="2"/>
      <w:sz w:val="30"/>
      <w:szCs w:val="24"/>
    </w:rPr>
  </w:style>
  <w:style w:type="character" w:customStyle="1" w:styleId="21">
    <w:name w:val="批注框文本 字符"/>
    <w:link w:val="8"/>
    <w:uiPriority w:val="0"/>
    <w:rPr>
      <w:rFonts w:eastAsia="仿宋_GB2312"/>
      <w:kern w:val="2"/>
      <w:sz w:val="18"/>
      <w:szCs w:val="18"/>
    </w:rPr>
  </w:style>
  <w:style w:type="character" w:customStyle="1" w:styleId="22">
    <w:name w:val="页脚 字符"/>
    <w:link w:val="9"/>
    <w:uiPriority w:val="0"/>
    <w:rPr>
      <w:rFonts w:eastAsia="仿宋_GB2312"/>
      <w:kern w:val="2"/>
      <w:sz w:val="18"/>
      <w:szCs w:val="18"/>
    </w:rPr>
  </w:style>
  <w:style w:type="character" w:customStyle="1" w:styleId="23">
    <w:name w:val="页眉 字符"/>
    <w:link w:val="10"/>
    <w:uiPriority w:val="0"/>
    <w:rPr>
      <w:rFonts w:eastAsia="仿宋_GB2312"/>
      <w:kern w:val="2"/>
      <w:sz w:val="18"/>
      <w:szCs w:val="18"/>
    </w:rPr>
  </w:style>
  <w:style w:type="character" w:customStyle="1" w:styleId="24">
    <w:name w:val="批注主题 字符"/>
    <w:link w:val="16"/>
    <w:uiPriority w:val="0"/>
    <w:rPr>
      <w:rFonts w:eastAsia="仿宋_GB2312"/>
      <w:b/>
      <w:bCs/>
      <w:kern w:val="2"/>
      <w:sz w:val="30"/>
      <w:szCs w:val="24"/>
    </w:rPr>
  </w:style>
  <w:style w:type="character" w:customStyle="1" w:styleId="25">
    <w:name w:val="闻政正文 Char"/>
    <w:link w:val="26"/>
    <w:qFormat/>
    <w:uiPriority w:val="0"/>
    <w:rPr>
      <w:rFonts w:eastAsia="仿宋_GB2312"/>
      <w:sz w:val="28"/>
      <w:szCs w:val="28"/>
    </w:rPr>
  </w:style>
  <w:style w:type="paragraph" w:customStyle="1" w:styleId="26">
    <w:name w:val="闻政正文"/>
    <w:basedOn w:val="1"/>
    <w:link w:val="25"/>
    <w:qFormat/>
    <w:uiPriority w:val="0"/>
    <w:pPr>
      <w:spacing w:line="500" w:lineRule="exact"/>
      <w:ind w:firstLine="560" w:firstLineChars="200"/>
    </w:pPr>
    <w:rPr>
      <w:kern w:val="0"/>
      <w:sz w:val="28"/>
      <w:szCs w:val="28"/>
    </w:rPr>
  </w:style>
  <w:style w:type="character" w:customStyle="1" w:styleId="27">
    <w:name w:val="闻政-正文三级标题 Char"/>
    <w:link w:val="28"/>
    <w:uiPriority w:val="3"/>
    <w:rPr>
      <w:rFonts w:eastAsia="仿宋_GB2312"/>
      <w:b/>
      <w:snapToGrid w:val="0"/>
      <w:sz w:val="28"/>
      <w:szCs w:val="28"/>
    </w:rPr>
  </w:style>
  <w:style w:type="paragraph" w:customStyle="1" w:styleId="28">
    <w:name w:val="闻政-正文三级标题"/>
    <w:basedOn w:val="1"/>
    <w:next w:val="1"/>
    <w:link w:val="27"/>
    <w:qFormat/>
    <w:uiPriority w:val="3"/>
    <w:pPr>
      <w:widowControl/>
      <w:spacing w:before="120" w:after="60" w:line="500" w:lineRule="exact"/>
      <w:ind w:left="200" w:leftChars="200"/>
    </w:pPr>
    <w:rPr>
      <w:b/>
      <w:snapToGrid w:val="0"/>
      <w:kern w:val="0"/>
      <w:sz w:val="28"/>
      <w:szCs w:val="28"/>
    </w:rPr>
  </w:style>
  <w:style w:type="character" w:customStyle="1" w:styleId="29">
    <w:name w:val="Body text|1_"/>
    <w:link w:val="30"/>
    <w:uiPriority w:val="0"/>
    <w:rPr>
      <w:rFonts w:ascii="宋体" w:hAnsi="宋体" w:cs="宋体"/>
      <w:kern w:val="2"/>
      <w:sz w:val="30"/>
      <w:szCs w:val="30"/>
      <w:lang w:val="zh-TW" w:eastAsia="zh-TW" w:bidi="zh-TW"/>
    </w:rPr>
  </w:style>
  <w:style w:type="paragraph" w:customStyle="1" w:styleId="30">
    <w:name w:val="Body text|1"/>
    <w:basedOn w:val="1"/>
    <w:link w:val="29"/>
    <w:uiPriority w:val="0"/>
    <w:pPr>
      <w:spacing w:line="420" w:lineRule="auto"/>
      <w:ind w:firstLine="400"/>
    </w:pPr>
    <w:rPr>
      <w:rFonts w:ascii="宋体" w:hAnsi="宋体" w:eastAsia="宋体" w:cs="宋体"/>
      <w:szCs w:val="30"/>
      <w:lang w:val="zh-TW" w:eastAsia="zh-TW" w:bidi="zh-TW"/>
    </w:rPr>
  </w:style>
  <w:style w:type="paragraph" w:customStyle="1" w:styleId="31">
    <w:name w:val="标题2"/>
    <w:basedOn w:val="5"/>
    <w:qFormat/>
    <w:uiPriority w:val="0"/>
    <w:pPr>
      <w:numPr>
        <w:ilvl w:val="0"/>
        <w:numId w:val="1"/>
      </w:numPr>
      <w:spacing w:before="120" w:after="120" w:line="500" w:lineRule="exact"/>
    </w:pPr>
    <w:rPr>
      <w:rFonts w:ascii="仿宋_GB2312" w:eastAsia="仿宋_GB2312" w:cs="Times New Roman"/>
    </w:rPr>
  </w:style>
  <w:style w:type="paragraph" w:customStyle="1" w:styleId="32">
    <w:name w:val="标题1"/>
    <w:basedOn w:val="2"/>
    <w:next w:val="1"/>
    <w:qFormat/>
    <w:uiPriority w:val="0"/>
    <w:pPr>
      <w:spacing w:before="120" w:after="120" w:line="500" w:lineRule="exact"/>
      <w:ind w:firstLine="200" w:firstLineChars="200"/>
    </w:pPr>
    <w:rPr>
      <w:rFonts w:eastAsia="黑体"/>
      <w:sz w:val="32"/>
      <w:szCs w:val="32"/>
    </w:rPr>
  </w:style>
  <w:style w:type="paragraph" w:customStyle="1" w:styleId="33">
    <w:name w:val="Other|1"/>
    <w:basedOn w:val="1"/>
    <w:qFormat/>
    <w:uiPriority w:val="0"/>
    <w:pPr>
      <w:spacing w:line="420" w:lineRule="auto"/>
      <w:ind w:firstLine="400"/>
    </w:pPr>
    <w:rPr>
      <w:rFonts w:ascii="宋体" w:hAnsi="宋体" w:eastAsia="宋体" w:cs="宋体"/>
      <w:szCs w:val="30"/>
      <w:lang w:val="zh-TW" w:eastAsia="zh-TW" w:bidi="zh-TW"/>
    </w:rPr>
  </w:style>
  <w:style w:type="paragraph" w:styleId="34">
    <w:name w:val="List Paragraph"/>
    <w:basedOn w:val="1"/>
    <w:qFormat/>
    <w:uiPriority w:val="34"/>
    <w:pPr>
      <w:ind w:firstLine="420" w:firstLineChars="200"/>
    </w:pPr>
    <w:rPr>
      <w:rFonts w:ascii="Calibri" w:hAnsi="Calibri" w:eastAsia="宋体" w:cs="Times New Roman"/>
      <w:sz w:val="21"/>
      <w:szCs w:val="21"/>
    </w:rPr>
  </w:style>
  <w:style w:type="paragraph" w:customStyle="1" w:styleId="35">
    <w:name w:val="Char"/>
    <w:basedOn w:val="1"/>
    <w:qFormat/>
    <w:uiPriority w:val="0"/>
    <w:rPr>
      <w:rFonts w:ascii="仿宋_GB2312" w:eastAsia="仿宋_GB2312" w:cs="黑体"/>
      <w:b/>
      <w:sz w:val="32"/>
      <w:szCs w:val="32"/>
    </w:rPr>
  </w:style>
  <w:style w:type="paragraph" w:customStyle="1" w:styleId="3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37">
    <w:name w:val="闻政-正文二级标题"/>
    <w:next w:val="36"/>
    <w:qFormat/>
    <w:uiPriority w:val="3"/>
    <w:pPr>
      <w:keepNext/>
      <w:keepLines/>
      <w:widowControl w:val="0"/>
      <w:spacing w:before="120" w:after="60" w:line="500" w:lineRule="exact"/>
      <w:ind w:left="200" w:leftChars="200" w:firstLine="0" w:firstLineChars="0"/>
      <w:jc w:val="left"/>
      <w:outlineLvl w:val="1"/>
    </w:pPr>
    <w:rPr>
      <w:rFonts w:ascii="Times New Roman" w:hAnsi="Times New Roman" w:eastAsia="仿宋_GB2312" w:cs="Times New Roman"/>
      <w:b/>
      <w:bCs/>
      <w:kern w:val="0"/>
      <w:sz w:val="28"/>
      <w:szCs w:val="3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2A817AF6BEFA4CFE8E1DBDFB8DCEA12C_13</vt:lpwstr>
  </property>
</Properties>
</file>

<file path=customXml/itemProps1.xml><?xml version="1.0" encoding="utf-8"?>
<ds:datastoreItem xmlns:ds="http://schemas.openxmlformats.org/officeDocument/2006/customXml" ds:itemID="{16eef93d-b9ad-4044-aaa3-ed55a885ccbc}">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24</Pages>
  <Words>7188</Words>
  <Characters>7545</Characters>
  <Lines>56</Lines>
  <Paragraphs>15</Paragraphs>
  <TotalTime>0</TotalTime>
  <ScaleCrop>false</ScaleCrop>
  <LinksUpToDate>false</LinksUpToDate>
  <CharactersWithSpaces>7556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2025-10-10T08:45:21Z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2A817AF6BEFA4CFE8E1DBDFB8DCEA12C_13</vt:lpwstr>
  </property>
</Properties>
</file>